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6.4.0 -->
  <w:body>
    <w:p w:rsidR="00A77B3E">
      <w:pPr>
        <w:pStyle w:val="Normal-wk"/>
        <w:keepNext w:val="0"/>
        <w:keepLines/>
        <w:pageBreakBefore w:val="0"/>
        <w:widowControl w:val="0"/>
        <w:numPr>
          <w:ilvl w:val="0"/>
          <w:numId w:val="0"/>
        </w:numPr>
        <w:spacing w:before="0" w:after="0" w:line="288" w:lineRule="auto"/>
        <w:ind w:left="0" w:right="0" w:firstLine="0"/>
        <w:jc w:val="center"/>
        <w:outlineLvl w:val="0"/>
        <w:rPr>
          <w:rFonts w:ascii="Calibri" w:eastAsia="Calibri" w:hAnsi="Calibri" w:cs="Calibri"/>
          <w:b w:val="0"/>
          <w:i w:val="0"/>
          <w:color w:val="000000"/>
          <w:sz w:val="20"/>
          <w:u w:val="none"/>
        </w:rPr>
      </w:pPr>
      <w:bookmarkStart w:id="0" w:name="Section1"/>
      <w:bookmarkEnd w:id="0"/>
      <w:r>
        <w:rPr>
          <w:rFonts w:ascii="Calibri" w:eastAsia="Calibri" w:hAnsi="Calibri" w:cs="Calibri"/>
          <w:b/>
          <w:i w:val="0"/>
          <w:color w:val="000000"/>
          <w:sz w:val="28"/>
          <w:u w:val="none"/>
        </w:rPr>
        <w:t>CONTENIDO</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pStyle w:val="Normal-wk"/>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8"/>
          <w:u w:val="none"/>
        </w:rPr>
        <w:tab/>
      </w:r>
    </w:p>
    <w:p>
      <w:pPr>
        <w:pStyle w:val="Normal-wk"/>
        <w:keepNext w:val="0"/>
        <w:keepLines/>
        <w:pageBreakBefore w:val="0"/>
        <w:widowControl w:val="0"/>
        <w:numPr>
          <w:ilvl w:val="0"/>
          <w:numId w:val="13"/>
        </w:numPr>
        <w:spacing w:before="0" w:after="0" w:line="288" w:lineRule="auto"/>
        <w:ind w:left="567" w:right="0" w:hanging="36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ESTADOS FINANCIEROS RESUMIDOS CONSOLIDADOS.</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40" w:lineRule="exact"/>
        <w:ind w:left="567" w:right="0" w:firstLine="0"/>
        <w:jc w:val="both"/>
        <w:outlineLvl w:val="9"/>
        <w:rPr>
          <w:rFonts w:ascii="Calibri" w:eastAsia="Calibri" w:hAnsi="Calibri" w:cs="Calibri"/>
          <w:b w:val="0"/>
          <w:i w:val="0"/>
          <w:sz w:val="20"/>
        </w:rPr>
      </w:pPr>
      <w:r>
        <w:rPr>
          <w:rFonts w:ascii="Calibri" w:eastAsia="Calibri" w:hAnsi="Calibri" w:cs="Calibri"/>
          <w:b w:val="0"/>
          <w:i w:val="0"/>
          <w:sz w:val="20"/>
        </w:rPr>
        <w:t>ESTADO RESUMIDO CONSOLIDADO DE SITUACIÓN FINANCIERA CLASIFICADO.</w:t>
      </w:r>
    </w:p>
    <w:p w:rsidR="00A77B3E">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Activos</w:t>
      </w:r>
      <w:r>
        <w:rPr>
          <w:rFonts w:ascii="Calibri" w:eastAsia="Calibri" w:hAnsi="Calibri" w:cs="Calibri"/>
          <w:b w:val="0"/>
          <w:i w:val="0"/>
          <w:color w:val="000000"/>
          <w:sz w:val="20"/>
          <w:u w:val="none"/>
        </w:rPr>
        <w:t>.</w:t>
      </w:r>
    </w:p>
    <w:p w:rsidR="00A77B3E">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Patrimonio</w:t>
      </w:r>
      <w:r>
        <w:rPr>
          <w:rFonts w:ascii="Calibri" w:eastAsia="Calibri" w:hAnsi="Calibri" w:cs="Calibri"/>
          <w:b w:val="0"/>
          <w:i w:val="0"/>
          <w:color w:val="000000"/>
          <w:sz w:val="20"/>
          <w:u w:val="none"/>
        </w:rPr>
        <w:t xml:space="preserve"> y pasivos.</w:t>
      </w:r>
    </w:p>
    <w:p w:rsidR="00A77B3E">
      <w:pPr>
        <w:pStyle w:val="Normal-wk"/>
        <w:keepNext w:val="0"/>
        <w:keepLines/>
        <w:pageBreakBefore w:val="0"/>
        <w:widowControl w:val="0"/>
        <w:numPr>
          <w:ilvl w:val="0"/>
          <w:numId w:val="0"/>
        </w:numPr>
        <w:spacing w:before="0" w:after="0" w:line="240" w:lineRule="exact"/>
        <w:ind w:left="56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ESTADO RESUMIDO CONSOLIDADO DE RESULTADOS POR FUNCIÓN.</w:t>
      </w:r>
    </w:p>
    <w:p w:rsidR="00A77B3E">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ESTADO</w:t>
      </w:r>
      <w:r>
        <w:rPr>
          <w:rFonts w:ascii="Calibri" w:eastAsia="Calibri" w:hAnsi="Calibri" w:cs="Calibri"/>
          <w:b w:val="0"/>
          <w:i w:val="0"/>
          <w:color w:val="000000"/>
          <w:sz w:val="20"/>
          <w:u w:val="none"/>
        </w:rPr>
        <w:t xml:space="preserve"> RESUMIDO CONSOLIDADO DE RESULTADO INTEGRAL.</w:t>
      </w:r>
    </w:p>
    <w:p w:rsidR="00A77B3E">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ESTADO RESUMIDO</w:t>
      </w:r>
      <w:r>
        <w:rPr>
          <w:rFonts w:ascii="Calibri" w:eastAsia="Calibri" w:hAnsi="Calibri" w:cs="Calibri"/>
          <w:b w:val="0"/>
          <w:i w:val="0"/>
          <w:color w:val="000000"/>
          <w:sz w:val="20"/>
          <w:u w:val="none"/>
        </w:rPr>
        <w:t xml:space="preserve"> CONSOLIDADO DE CAMBIOS EN EL PATRIMONIO NETO.</w:t>
      </w:r>
    </w:p>
    <w:p w:rsidR="00A77B3E">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ESTADO</w:t>
      </w:r>
      <w:r>
        <w:rPr>
          <w:rFonts w:ascii="Calibri" w:eastAsia="Calibri" w:hAnsi="Calibri" w:cs="Calibri"/>
          <w:b w:val="0"/>
          <w:i w:val="0"/>
          <w:color w:val="000000"/>
          <w:sz w:val="20"/>
          <w:u w:val="none"/>
        </w:rPr>
        <w:t xml:space="preserve"> RESUMIDO CONSOLIDADO DE FLUJO DE EFECTIVO DIRECTO.</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3"/>
        </w:numPr>
        <w:spacing w:before="0" w:after="0" w:line="288" w:lineRule="auto"/>
        <w:ind w:left="567" w:right="0" w:hanging="360"/>
        <w:jc w:val="both"/>
        <w:outlineLvl w:val="9"/>
        <w:rPr>
          <w:rFonts w:ascii="Calibri" w:eastAsia="Calibri" w:hAnsi="Calibri" w:cs="Calibri"/>
          <w:b/>
          <w:i w:val="0"/>
          <w:color w:val="000000"/>
          <w:sz w:val="20"/>
          <w:u w:val="none"/>
        </w:rPr>
      </w:pPr>
      <w:r>
        <w:rPr>
          <w:rFonts w:ascii="Calibri" w:eastAsia="Calibri" w:hAnsi="Calibri" w:cs="Calibri"/>
          <w:b/>
          <w:i w:val="0"/>
          <w:color w:val="000000"/>
          <w:sz w:val="20"/>
          <w:u w:val="none"/>
        </w:rPr>
        <w:t>NOTAS A LOS ESTADOS FINANCIEROS RESUMIDOS CONSOLIDADOS.</w:t>
      </w: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4"/>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4"/>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M</w:t>
      </w: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Miles de pesos chilenos.</w:t>
      </w:r>
    </w:p>
    <w:p w:rsidR="00A77B3E">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CL</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Peso chileno.</w:t>
      </w:r>
    </w:p>
    <w:p w:rsidR="00A77B3E">
      <w:pPr>
        <w:keepNext w:val="0"/>
        <w:keepLines/>
        <w:pageBreakBefore w:val="0"/>
        <w:widowControl w:val="0"/>
        <w:numPr>
          <w:ilvl w:val="0"/>
          <w:numId w:val="0"/>
        </w:numPr>
        <w:spacing w:before="0" w:after="0" w:line="240" w:lineRule="exact"/>
        <w:ind w:left="56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US</w:t>
      </w:r>
      <w:r>
        <w:rPr>
          <w:rFonts w:ascii="Calibri" w:eastAsia="Calibri" w:hAnsi="Calibri" w:cs="Calibri"/>
          <w:b w:val="0"/>
          <w:i w:val="0"/>
          <w:color w:val="000000"/>
          <w:sz w:val="20"/>
          <w:u w:val="none"/>
        </w:rPr>
        <w:t xml:space="preserve">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Dólar estadounidense.</w:t>
      </w:r>
    </w:p>
    <w:p w:rsidR="00A77B3E">
      <w:pPr>
        <w:keepNext w:val="0"/>
        <w:keepLines/>
        <w:pageBreakBefore w:val="0"/>
        <w:widowControl w:val="0"/>
        <w:numPr>
          <w:ilvl w:val="0"/>
          <w:numId w:val="0"/>
        </w:numPr>
        <w:spacing w:before="0" w:after="0" w:line="288" w:lineRule="auto"/>
        <w:ind w:left="567" w:right="0" w:firstLine="0"/>
        <w:jc w:val="both"/>
        <w:outlineLvl w:val="9"/>
        <w:rPr>
          <w:rFonts w:ascii="Calibri" w:eastAsia="Calibri" w:hAnsi="Calibri" w:cs="Calibri"/>
          <w:b w:val="0"/>
          <w:i w:val="0"/>
          <w:color w:val="000000"/>
          <w:sz w:val="20"/>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8"/>
          <w:u w:val="none"/>
        </w:rPr>
      </w:pPr>
    </w:p>
    <w:p w:rsidR="00A77B3E">
      <w:pPr>
        <w:keepNext w:val="0"/>
        <w:keepLines/>
        <w:pageBreakBefore w:val="0"/>
        <w:widowControl w:val="0"/>
        <w:numPr>
          <w:ilvl w:val="0"/>
          <w:numId w:val="0"/>
        </w:numPr>
        <w:spacing w:before="0" w:after="0" w:line="288" w:lineRule="auto"/>
        <w:ind w:left="0" w:right="0" w:firstLine="0"/>
        <w:jc w:val="both"/>
        <w:outlineLvl w:val="9"/>
        <w:sectPr>
          <w:headerReference w:type="default" r:id="rId4"/>
          <w:footerReference w:type="default" r:id="rId5"/>
          <w:type w:val="continuous"/>
          <w:pgSz w:w="12240" w:h="15840"/>
          <w:pgMar w:top="1134" w:right="1134" w:bottom="1134" w:left="1134" w:header="0" w:footer="0" w:gutter="0"/>
          <w:cols w:space="708"/>
          <w:docGrid w:linePitch="360"/>
        </w:sect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bookmarkStart w:id="1" w:name="Section2"/>
      <w:bookmarkEnd w:id="1"/>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30"/>
          <w:u w:val="none"/>
        </w:rPr>
      </w:pPr>
    </w:p>
    <w:p>
      <w:pPr>
        <w:pStyle w:val="Normal-wk"/>
        <w:keepNext w:val="0"/>
        <w:keepLines/>
        <w:pageBreakBefore w:val="0"/>
        <w:widowControl w:val="0"/>
        <w:numPr>
          <w:ilvl w:val="0"/>
          <w:numId w:val="0"/>
        </w:numPr>
        <w:tabs>
          <w:tab w:val="left" w:pos="1340"/>
        </w:tabs>
        <w:spacing w:before="0" w:after="0" w:line="288" w:lineRule="auto"/>
        <w:ind w:left="0" w:right="0" w:firstLine="0"/>
        <w:jc w:val="center"/>
        <w:outlineLvl w:val="0"/>
        <w:rPr>
          <w:rFonts w:ascii="Calibri" w:eastAsia="Calibri" w:hAnsi="Calibri" w:cs="Calibri"/>
          <w:b w:val="0"/>
          <w:i w:val="0"/>
          <w:color w:val="000000"/>
          <w:sz w:val="40"/>
          <w:u w:val="none"/>
        </w:rPr>
      </w:pPr>
      <w:r>
        <w:rPr>
          <w:rFonts w:ascii="Calibri" w:eastAsia="Calibri" w:hAnsi="Calibri" w:cs="Calibri"/>
          <w:b/>
          <w:i w:val="0"/>
          <w:color w:val="000000"/>
          <w:sz w:val="40"/>
          <w:u w:val="none"/>
        </w:rPr>
        <w:t>CGE MAGALLANES S.A. Y SUBSIDIARIA</w:t>
      </w: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30"/>
          <w:u w:val="none"/>
        </w:rPr>
      </w:pPr>
    </w:p>
    <w:p>
      <w:pPr>
        <w:pStyle w:val="Normal-wk"/>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i w:val="0"/>
          <w:color w:val="000000"/>
          <w:sz w:val="36"/>
          <w:u w:val="none"/>
        </w:rPr>
      </w:pPr>
      <w:r>
        <w:rPr>
          <w:rFonts w:ascii="Calibri" w:eastAsia="Calibri" w:hAnsi="Calibri" w:cs="Calibri"/>
          <w:b/>
          <w:i w:val="0"/>
          <w:color w:val="000000"/>
          <w:sz w:val="36"/>
          <w:u w:val="none"/>
        </w:rPr>
        <w:t>Estados Financieros Resumidos Consolidados</w:t>
      </w: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Arial" w:eastAsia="Arial" w:hAnsi="Arial" w:cs="Arial"/>
          <w:b w:val="0"/>
          <w:i w:val="0"/>
          <w:color w:val="000000"/>
          <w:sz w:val="22"/>
          <w:u w:val="none"/>
        </w:rPr>
      </w:pPr>
      <w:r>
        <w:rPr>
          <w:rFonts w:ascii="Calibri" w:eastAsia="Calibri" w:hAnsi="Calibri" w:cs="Calibri"/>
          <w:b/>
          <w:i w:val="0"/>
          <w:sz w:val="24"/>
        </w:rPr>
        <w:t>(Expresados en miles de pesos chilenos)</w:t>
      </w: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Arial" w:eastAsia="Arial" w:hAnsi="Arial" w:cs="Arial"/>
          <w:b w:val="0"/>
          <w:i w:val="0"/>
          <w:color w:val="000000"/>
          <w:sz w:val="22"/>
          <w:u w:val="none"/>
        </w:rPr>
      </w:pPr>
      <w:r>
        <w:rPr>
          <w:rFonts w:ascii="Calibri" w:eastAsia="Calibri" w:hAnsi="Calibri" w:cs="Calibri"/>
          <w:b/>
          <w:i w:val="0"/>
          <w:sz w:val="24"/>
        </w:rPr>
        <w:t>Correspondientes a los ejercicios terminados al</w:t>
      </w: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i w:val="0"/>
          <w:color w:val="000000"/>
          <w:sz w:val="24"/>
          <w:u w:val="none"/>
        </w:rPr>
      </w:pPr>
      <w:r>
        <w:rPr>
          <w:rFonts w:ascii="Calibri" w:eastAsia="Calibri" w:hAnsi="Calibri" w:cs="Calibri"/>
          <w:b/>
          <w:i w:val="0"/>
          <w:color w:val="000000"/>
          <w:sz w:val="24"/>
          <w:u w:val="none"/>
        </w:rPr>
        <w:t>30 de junio de 2026 y 2025</w:t>
      </w: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rPr>
          <w:rFonts w:ascii="Calibri" w:eastAsia="Calibri" w:hAnsi="Calibri" w:cs="Calibri"/>
          <w:b w:val="0"/>
          <w:i w:val="0"/>
          <w:sz w:val="30"/>
        </w:rPr>
      </w:pPr>
    </w:p>
    <w:p>
      <w:pPr>
        <w:keepNext w:val="0"/>
        <w:keepLines/>
        <w:pageBreakBefore w:val="0"/>
        <w:widowControl w:val="0"/>
        <w:numPr>
          <w:ilvl w:val="0"/>
          <w:numId w:val="0"/>
        </w:numPr>
        <w:tabs>
          <w:tab w:val="left" w:pos="1340"/>
        </w:tabs>
        <w:spacing w:before="0" w:after="0" w:line="288" w:lineRule="auto"/>
        <w:ind w:left="0" w:right="0" w:firstLine="0"/>
        <w:jc w:val="center"/>
        <w:outlineLvl w:val="9"/>
        <w:sectPr>
          <w:headerReference w:type="default" r:id="rId6"/>
          <w:pgSz w:w="12240" w:h="15840"/>
          <w:pgMar w:top="1134" w:right="1134" w:bottom="1134" w:left="1134" w:header="700" w:footer="0"/>
          <w:cols w:space="708"/>
        </w:sectPr>
      </w:pPr>
    </w:p>
    <w:p>
      <w:pPr>
        <w:pStyle w:val="Normal-wk"/>
        <w:keepNext/>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2" w:name="Section3"/>
      <w:bookmarkEnd w:id="2"/>
      <w:r>
        <w:rPr>
          <w:rFonts w:ascii="Calibri" w:eastAsia="Calibri" w:hAnsi="Calibri" w:cs="Calibri"/>
          <w:b/>
          <w:i w:val="0"/>
          <w:color w:val="000000"/>
          <w:sz w:val="20"/>
          <w:u w:val="none"/>
        </w:rPr>
        <w:t>CGE MAGALLANES S.A. Y SUBSIDIARIA</w:t>
      </w:r>
    </w:p>
    <w:p>
      <w:pPr>
        <w:pStyle w:val="Normal-wk"/>
        <w:keepNext w:val="0"/>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CONSOLIDADO DE SITUACIÓN FINANCIERA CLASIFICADO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 y 2025</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8.9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94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1200"/>
        <w:gridCol w:w="1200"/>
      </w:tblGrid>
      <w:tr>
        <w:tblPrEx>
          <w:tblW w:w="9480" w:type="dxa"/>
          <w:tblInd w:w="0" w:type="dxa"/>
          <w:tblLayout w:type="fixed"/>
        </w:tblPrEx>
        <w:trPr>
          <w:cantSplit/>
          <w:trHeight w:hRule="exact" w:val="240"/>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ACTIVOS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480" w:type="dxa"/>
          <w:tblInd w:w="0" w:type="dxa"/>
          <w:tblLayout w:type="fixed"/>
        </w:tblPrEx>
        <w:trPr>
          <w:cantSplit/>
          <w:trHeight w:hRule="exact" w:val="240"/>
        </w:trPr>
        <w:tc>
          <w:tcPr>
            <w:tcW w:w="708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477.266</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activos no financieros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162.525</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Deudores comerciales y otras cuentas por cobrar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15.737.335</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a entidades relacionadas,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1.449.603</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Inventarios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4.452.597</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impuestos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700.362</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22.979.688</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cobrar no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30.041.470</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intangibles distintos de la plusvalía.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168.045</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59.998.078</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Propiedad de inversión.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1.666.385</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Activos por derecho de uso.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707.140</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Activos no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92.581.118</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ACTIVOS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115.560.806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MAGALLANES S.A. Y SUBSIDIARIA</w:t>
      </w: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CONSOLIDADO DE SITUACIÓN FINANCIERA CLASIFICADO</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Al </w:t>
      </w:r>
      <w:r>
        <w:rPr>
          <w:rFonts w:ascii="Calibri" w:eastAsia="Calibri" w:hAnsi="Calibri" w:cs="Calibri"/>
          <w:b/>
          <w:i w:val="0"/>
          <w:color w:val="000000"/>
          <w:sz w:val="20"/>
          <w:u w:val="none"/>
        </w:rPr>
        <w:t>30 de junio de 2026 y 2025</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6" type="#_x0000_t75" style="width:498.9pt;height:1.98pt">
            <v:imagedata r:id="rId7" o:title=""/>
            <o:lock v:ext="edit" aspectratio="t"/>
          </v:shape>
        </w:pic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94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1200"/>
        <w:gridCol w:w="1200"/>
      </w:tblGrid>
      <w:tr>
        <w:tblPrEx>
          <w:tblW w:w="9480" w:type="dxa"/>
          <w:tblInd w:w="0" w:type="dxa"/>
          <w:tblLayout w:type="fixed"/>
        </w:tblPrEx>
        <w:trPr>
          <w:cantSplit/>
          <w:trHeight w:hRule="exact" w:val="240"/>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Y PASIVOS</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9480" w:type="dxa"/>
          <w:tblInd w:w="0" w:type="dxa"/>
          <w:tblLayout w:type="fixed"/>
        </w:tblPrEx>
        <w:trPr>
          <w:cantSplit/>
          <w:trHeight w:hRule="exact" w:val="240"/>
        </w:trPr>
        <w:tc>
          <w:tcPr>
            <w:tcW w:w="708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financieros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30.721.327</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148.149</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comerciales y otras cuentas por pagar.</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13.717.231</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2.011.660</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provisiones a corto plazo.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284.749</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no financieros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347.339</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47.230.455</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pasivos financieros no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2.200.000</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Pasivos por arrendamientos no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71.333</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no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4.160.660</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Cuentas por pagar a entidades relacionadas, no corrientes.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519.187</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provisiones a largo plazo.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136</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Pasivo por impuestos diferidos.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13.425.610</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Provisiones no corrientes por beneficios a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2.336.335</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Pasivos no corrientes totales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22.713.261</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DE PASIVOS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69.943.716</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Capital emitido y pagado.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11.576.501</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acumuladas.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13.509.923</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reservas.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(551.278)</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atribuible a los propietarios de la controladora.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24.535.146</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Participaciones no controladoras.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21.081.944</w:t>
            </w: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total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45.617.090</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4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DE PASIVOS Y PATRIMONIO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115.560.806</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MAGALLANES S.A. Y SUBSIDIARIA</w:t>
      </w:r>
    </w:p>
    <w:p>
      <w:pPr>
        <w:pStyle w:val="Normal-wk"/>
        <w:keepNext/>
        <w:keepLines/>
        <w:pageBreakBefore w:val="0"/>
        <w:widowControl w:val="0"/>
        <w:numPr>
          <w:ilvl w:val="0"/>
          <w:numId w:val="0"/>
        </w:numPr>
        <w:spacing w:before="0" w:after="0" w:line="240" w:lineRule="exact"/>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CONSOLIDADO DE RESULTADOS POR FUNCIÓN</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 xml:space="preserve">. </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7" type="#_x0000_t75" style="width:498.9pt;height:1.98pt">
            <v:imagedata r:id="rId7" o:title=""/>
            <o:lock v:ext="edit" aspectratio="t"/>
          </v:shape>
        </w:pic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4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1200"/>
        <w:gridCol w:w="1200"/>
      </w:tblGrid>
      <w:tr>
        <w:tblPrEx>
          <w:tblW w:w="9480" w:type="dxa"/>
          <w:tblInd w:w="0" w:type="dxa"/>
          <w:tblLayout w:type="fixed"/>
        </w:tblPrEx>
        <w:trPr>
          <w:cantSplit/>
          <w:trHeight w:hRule="exact" w:val="255"/>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RESULTADOS POR FUNCIÓN</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480" w:type="dxa"/>
          <w:tblInd w:w="0" w:type="dxa"/>
          <w:tblLayout w:type="fixed"/>
        </w:tblPrEx>
        <w:trPr>
          <w:cantSplit/>
          <w:trHeight w:hRule="exact" w:val="255"/>
        </w:trPr>
        <w:tc>
          <w:tcPr>
            <w:tcW w:w="708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480" w:type="dxa"/>
          <w:tblInd w:w="0" w:type="dxa"/>
          <w:tblLayout w:type="fixed"/>
        </w:tblPrEx>
        <w:trPr>
          <w:cantSplit/>
          <w:trHeight w:hRule="exact" w:val="255"/>
        </w:trPr>
        <w:tc>
          <w:tcPr>
            <w:tcW w:w="708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de actividades ordinarias.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29.902.611</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 de ventas.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(18.896.629)</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bruta.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11.005.982</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ingresos.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45.634</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Gasto de administración.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(3.752.998)</w:t>
            </w:r>
          </w:p>
        </w:tc>
      </w:tr>
      <w:tr>
        <w:tblPrEx>
          <w:tblW w:w="9480" w:type="dxa"/>
          <w:tblInd w:w="0" w:type="dxa"/>
          <w:tblLayout w:type="fixed"/>
        </w:tblPrEx>
        <w:trPr>
          <w:cantSplit/>
          <w:trHeight w:hRule="exact" w:val="40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Deterioro de valor de ganancias y reversión de pérdidas por deterioro de valor (pérdidas por deterioro de valor) determinado de acuerdo con la NIIF 9.</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(40.736)</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ganancias (pérdidas).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(162.598)</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Ganancias (pérdidas) de actividades operacionales.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7.095.284</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Ingresos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207.529</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Costos financieros.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(1.185.328)</w:t>
            </w:r>
          </w:p>
        </w:tc>
      </w:tr>
      <w:tr>
        <w:tblPrEx>
          <w:tblW w:w="9480" w:type="dxa"/>
          <w:tblInd w:w="0" w:type="dxa"/>
          <w:tblLayout w:type="fixed"/>
        </w:tblPrEx>
        <w:trPr>
          <w:cantSplit/>
          <w:trHeight w:hRule="exact" w:val="40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Participación en ganancia (pérdida) de asociadas y negocios conjuntos que se contabilicen utilizando el método de la participación.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139</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(pérdidas) de cambio en moneda extranjera.</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460.449</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Resultados por unidades de reajuste.</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(7.476)</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antes de impuesto.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6.570.597</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Beneficio (gasto) por impuestos a las ganancias.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(1.679.185)</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4.891.412</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atribuible a</w:t>
            </w:r>
          </w:p>
        </w:tc>
        <w:tc>
          <w:tcPr>
            <w:tcW w:w="12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 atribuible a los propietarios de la controladora.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2.652.915</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atribuible a participaciones no controladoras.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2.238.497</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4.891.412</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Ganancias por acción</w:t>
            </w:r>
          </w:p>
        </w:tc>
        <w:tc>
          <w:tcPr>
            <w:tcW w:w="1200" w:type="dxa"/>
            <w:tcBorders>
              <w:top w:val="single" w:sz="2" w:space="0" w:color="000000"/>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por acción básica y diluida ($ por acción)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 por acción básica en operaciones continuadas.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16,77</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Ganancia (pérdida) por acción básica.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0,00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16,77</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MAGALLANES S.A. Y SUBSIDIARIA</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CONSOLIDADO DE RESULTADO INTEGRAL</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8" type="#_x0000_t75" style="width:498.9pt;height:1.98pt">
            <v:imagedata r:id="rId7" o:title=""/>
            <o:lock v:ext="edit" aspectratio="t"/>
          </v:shape>
        </w:pict>
      </w:r>
    </w:p>
    <w:p>
      <w:pPr>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94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1200"/>
        <w:gridCol w:w="1200"/>
      </w:tblGrid>
      <w:tr>
        <w:tblPrEx>
          <w:tblW w:w="9480" w:type="dxa"/>
          <w:tblInd w:w="0" w:type="dxa"/>
          <w:tblLayout w:type="fixed"/>
        </w:tblPrEx>
        <w:trPr>
          <w:cantSplit/>
          <w:trHeight w:hRule="auto" w:val="0"/>
          <w:tblHeader/>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DEL RESULTADO INTEGRAL</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480" w:type="dxa"/>
          <w:tblInd w:w="0" w:type="dxa"/>
          <w:tblLayout w:type="fixed"/>
        </w:tblPrEx>
        <w:trPr>
          <w:cantSplit/>
          <w:trHeight w:hRule="auto" w:val="0"/>
          <w:tblHeader/>
        </w:trPr>
        <w:tc>
          <w:tcPr>
            <w:tcW w:w="708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480" w:type="dxa"/>
          <w:tblInd w:w="0" w:type="dxa"/>
          <w:tblLayout w:type="fixed"/>
        </w:tblPrEx>
        <w:trPr>
          <w:cantSplit/>
          <w:trHeight w:hRule="auto" w:val="0"/>
          <w:tblHeader/>
        </w:trPr>
        <w:tc>
          <w:tcPr>
            <w:tcW w:w="708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Ganancia (pérdida)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4.891.412</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Componentes de otro resultado integral que no se reclasificarán al resultado del período, antes de impuestos.</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 resultado integral, antes de impuestos, ganancias (pérdidas) por nuevas mediciones de planes de beneficios definidos.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1.083.188</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273.230</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 resultado integral que no se reclasificarán al resultado del período, antes de impuestos.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1.083.188</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273.230</w:t>
            </w:r>
          </w:p>
        </w:tc>
      </w:tr>
      <w:tr>
        <w:tblPrEx>
          <w:tblW w:w="948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 a las ganancias relacionado con componentes de otro resultado integral que no se reclasificarán a resultado del período.</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 a las ganancias relativo a nuevas mediciones de planes de beneficios definidos de otro resultado integral.</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(496.156)</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(73.773)</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Impuestos a las ganancias relativos a componentes de otro resultado integral que no se reclasificará al resultado del periodo.</w:t>
            </w:r>
          </w:p>
        </w:tc>
        <w:tc>
          <w:tcPr>
            <w:tcW w:w="1200" w:type="dxa"/>
            <w:tcBorders>
              <w:top w:val="single" w:sz="2" w:space="0" w:color="000000"/>
              <w:left w:val="single" w:sz="4" w:space="0" w:color="FFFFFF"/>
              <w:bottom w:val="nil"/>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(496.156)</w:t>
            </w:r>
          </w:p>
        </w:tc>
        <w:tc>
          <w:tcPr>
            <w:tcW w:w="1200" w:type="dxa"/>
            <w:tcBorders>
              <w:top w:val="single" w:sz="2" w:space="0" w:color="000000"/>
              <w:left w:val="single" w:sz="4" w:space="0" w:color="FFFFFF"/>
              <w:bottom w:val="nil"/>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(73.773)</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 resultado integral.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587.032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199.457</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resultado integral.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587.032</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5.090.869</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 atribuible a</w:t>
            </w:r>
          </w:p>
        </w:tc>
        <w:tc>
          <w:tcPr>
            <w:tcW w:w="12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 atribuible a los propietarios de la controladora.</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(203.145)</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2.762.843</w:t>
            </w: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Resultado integral atribuible a participaciones no controladoras.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1.285.502</w:t>
            </w: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2.328.026</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Total resultado integral.</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1.082.357</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5.090.869</w:t>
            </w:r>
          </w:p>
        </w:tc>
      </w:tr>
    </w:tbl>
    <w:p>
      <w:pPr>
        <w:keepNext w:val="0"/>
        <w:keepLines/>
        <w:pageBreakBefore w:val="0"/>
        <w:widowControl w:val="0"/>
        <w:numPr>
          <w:ilvl w:val="0"/>
          <w:numId w:val="0"/>
        </w:numPr>
        <w:spacing w:before="0" w:after="0" w:line="288" w:lineRule="auto"/>
        <w:ind w:left="709" w:right="0" w:firstLine="0"/>
        <w:jc w:val="center"/>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709" w:right="0" w:firstLine="0"/>
        <w:jc w:val="center"/>
        <w:outlineLvl w:val="9"/>
        <w:rPr>
          <w:rFonts w:ascii="Calibri" w:eastAsia="Calibri" w:hAnsi="Calibri" w:cs="Calibri"/>
          <w:b w:val="0"/>
          <w:i w:val="0"/>
          <w:color w:val="000000"/>
          <w:sz w:val="18"/>
          <w:u w:val="none"/>
        </w:rPr>
        <w:sectPr>
          <w:headerReference w:type="default" r:id="rId8"/>
          <w:footerReference w:type="default" r:id="rId9"/>
          <w:type w:val="continuous"/>
          <w:pgSz w:w="12240" w:h="15840"/>
          <w:pgMar w:top="1134" w:right="1134" w:bottom="1134" w:left="1134" w:header="0" w:footer="425"/>
          <w:pgNumType w:start="1"/>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3" w:name="Section4"/>
      <w:bookmarkEnd w:id="3"/>
      <w:r>
        <w:rPr>
          <w:rFonts w:ascii="Calibri" w:eastAsia="Calibri" w:hAnsi="Calibri" w:cs="Calibri"/>
          <w:b/>
          <w:i w:val="0"/>
          <w:color w:val="000000"/>
          <w:sz w:val="20"/>
          <w:u w:val="none"/>
        </w:rPr>
        <w:t xml:space="preserve">CGE MAGALLANES S.A. Y SUBSIDIARIA </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CONSOLIDADO DE CAMBIOS EN EL PATRIMONIO NETO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29" type="#_x0000_t75" style="width:677.48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134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695"/>
        <w:gridCol w:w="1095"/>
        <w:gridCol w:w="1095"/>
        <w:gridCol w:w="1095"/>
        <w:gridCol w:w="1095"/>
        <w:gridCol w:w="1095"/>
        <w:gridCol w:w="1095"/>
        <w:gridCol w:w="1125"/>
        <w:gridCol w:w="1095"/>
      </w:tblGrid>
      <w:tr>
        <w:tblPrEx>
          <w:tblW w:w="13485" w:type="dxa"/>
          <w:tblInd w:w="0" w:type="dxa"/>
          <w:tblLayout w:type="fixed"/>
        </w:tblPrEx>
        <w:trPr>
          <w:cantSplit/>
          <w:trHeight w:hRule="auto" w:val="0"/>
        </w:trPr>
        <w:tc>
          <w:tcPr>
            <w:tcW w:w="469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Estado de cambios en el patrimonio </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Capital emitido</w:t>
            </w:r>
          </w:p>
        </w:tc>
        <w:tc>
          <w:tcPr>
            <w:tcW w:w="3285" w:type="dxa"/>
            <w:gridSpan w:val="3"/>
            <w:tcBorders>
              <w:top w:val="single" w:sz="2" w:space="0" w:color="000000"/>
              <w:left w:val="nil"/>
              <w:bottom w:val="single" w:sz="4" w:space="0" w:color="FFFFFF"/>
              <w:right w:val="single" w:sz="8"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Reservas</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Ganancias (pérdidas) acumuladas</w:t>
            </w:r>
          </w:p>
        </w:tc>
        <w:tc>
          <w:tcPr>
            <w:tcW w:w="331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w:t>
            </w:r>
          </w:p>
        </w:tc>
      </w:tr>
      <w:tr>
        <w:tblPrEx>
          <w:tblW w:w="13485" w:type="dxa"/>
          <w:tblInd w:w="0" w:type="dxa"/>
          <w:tblLayout w:type="fixed"/>
        </w:tblPrEx>
        <w:trPr>
          <w:cantSplit/>
          <w:trHeight w:hRule="auto" w:val="0"/>
        </w:trPr>
        <w:tc>
          <w:tcPr>
            <w:tcW w:w="4695" w:type="dxa"/>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 de ganancias o pérdidas actuariales en planes de beneficios definidos</w:t>
            </w:r>
          </w:p>
        </w:tc>
        <w:tc>
          <w:tcPr>
            <w:tcW w:w="10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reservas varias</w:t>
            </w:r>
          </w:p>
        </w:tc>
        <w:tc>
          <w:tcPr>
            <w:tcW w:w="10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reservas</w:t>
            </w: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atribuible a los propietarios de la controladora</w:t>
            </w:r>
          </w:p>
        </w:tc>
        <w:tc>
          <w:tcPr>
            <w:tcW w:w="112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Participaciones no controladoras</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total</w:t>
            </w:r>
          </w:p>
        </w:tc>
      </w:tr>
      <w:tr>
        <w:tblPrEx>
          <w:tblW w:w="13485" w:type="dxa"/>
          <w:tblInd w:w="0" w:type="dxa"/>
          <w:tblLayout w:type="fixed"/>
        </w:tblPrEx>
        <w:trPr>
          <w:cantSplit/>
          <w:trHeight w:hRule="auto" w:val="0"/>
        </w:trPr>
        <w:tc>
          <w:tcPr>
            <w:tcW w:w="469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1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348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al comienzo del período al 1 de enero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11.576.501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(264.476)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(286.802)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(551.278)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13.509.923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24.535.146</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21.081.944</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45.617.090</w:t>
            </w:r>
          </w:p>
        </w:tc>
      </w:tr>
      <w:tr>
        <w:tblPrEx>
          <w:tblW w:w="1348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patrimonio</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auto" w:val="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exact" w:val="255"/>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348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 resultado integral</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(15.514)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(15.514)</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(15.514)</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1.285.502</w:t>
            </w: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1.269.988</w:t>
            </w:r>
          </w:p>
        </w:tc>
      </w:tr>
      <w:tr>
        <w:tblPrEx>
          <w:tblW w:w="1348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resultado integral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(15.514)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(15.514)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(15.514)</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1.285.502</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1.269.988</w:t>
            </w:r>
          </w:p>
        </w:tc>
      </w:tr>
      <w:tr>
        <w:tblPrEx>
          <w:tblW w:w="1348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Dividendos.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1348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incremento (disminución) en el patrimonio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(15.514)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(15.514)</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(15.514)</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1.285.502</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1.269.988</w:t>
            </w:r>
          </w:p>
        </w:tc>
      </w:tr>
      <w:tr>
        <w:tblPrEx>
          <w:tblW w:w="1348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8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Patrimonio al final del período al 30 de junio de 2026</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11.576.501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(279.990)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(286.802)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(566.792)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13.509.923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24.519.632</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22.367.446</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46.887.078</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CGE MAGALLANES S.A. Y SUBSIDIARIA</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CONSOLIDADO DE CAMBIOS EN EL PATRIMONIO NETO</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0" type="#_x0000_t75" style="width:677.48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tbl>
      <w:tblPr>
        <w:tblW w:w="13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4695"/>
        <w:gridCol w:w="1095"/>
        <w:gridCol w:w="1095"/>
        <w:gridCol w:w="1065"/>
        <w:gridCol w:w="1095"/>
        <w:gridCol w:w="1095"/>
        <w:gridCol w:w="1095"/>
        <w:gridCol w:w="1125"/>
        <w:gridCol w:w="1095"/>
      </w:tblGrid>
      <w:tr>
        <w:tblPrEx>
          <w:tblW w:w="13455" w:type="dxa"/>
          <w:tblInd w:w="0" w:type="dxa"/>
          <w:tblLayout w:type="fixed"/>
        </w:tblPrEx>
        <w:trPr>
          <w:cantSplit/>
          <w:trHeight w:hRule="auto" w:val="0"/>
        </w:trPr>
        <w:tc>
          <w:tcPr>
            <w:tcW w:w="4695" w:type="dxa"/>
            <w:vMerge w:val="restart"/>
            <w:tcBorders>
              <w:top w:val="single" w:sz="2" w:space="0" w:color="000000"/>
              <w:left w:val="single" w:sz="2" w:space="0" w:color="000000"/>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Estado de cambios en el patrimonio </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Capital emitido</w:t>
            </w:r>
          </w:p>
        </w:tc>
        <w:tc>
          <w:tcPr>
            <w:tcW w:w="3255" w:type="dxa"/>
            <w:gridSpan w:val="3"/>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Reservas</w:t>
            </w:r>
          </w:p>
        </w:tc>
        <w:tc>
          <w:tcPr>
            <w:tcW w:w="1095" w:type="dxa"/>
            <w:vMerge w:val="restart"/>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Ganancias (pérdidas) acumuladas</w:t>
            </w:r>
          </w:p>
        </w:tc>
        <w:tc>
          <w:tcPr>
            <w:tcW w:w="3315" w:type="dxa"/>
            <w:gridSpan w:val="3"/>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w:t>
            </w:r>
          </w:p>
        </w:tc>
      </w:tr>
      <w:tr>
        <w:tblPrEx>
          <w:tblW w:w="13455" w:type="dxa"/>
          <w:tblInd w:w="0" w:type="dxa"/>
          <w:tblLayout w:type="fixed"/>
        </w:tblPrEx>
        <w:trPr>
          <w:cantSplit/>
          <w:trHeight w:hRule="auto" w:val="0"/>
        </w:trPr>
        <w:tc>
          <w:tcPr>
            <w:tcW w:w="4695" w:type="dxa"/>
            <w:vMerge/>
            <w:tcBorders>
              <w:top w:val="nil"/>
              <w:left w:val="single" w:sz="2" w:space="0" w:color="000000"/>
              <w:bottom w:val="nil"/>
              <w:right w:val="single" w:sz="4" w:space="0" w:color="FFFFFF"/>
            </w:tcBorders>
          </w:tcPr>
          <w:p>
            <w:pPr>
              <w:keepNext/>
              <w:pageBreakBefore w:val="0"/>
            </w:pP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Reserva de ganancias o pérdidas actuariales en planes de beneficios definidos</w:t>
            </w:r>
          </w:p>
        </w:tc>
        <w:tc>
          <w:tcPr>
            <w:tcW w:w="106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Otras reservas varias</w:t>
            </w:r>
          </w:p>
        </w:tc>
        <w:tc>
          <w:tcPr>
            <w:tcW w:w="1095" w:type="dxa"/>
            <w:tcBorders>
              <w:top w:val="single" w:sz="4" w:space="0" w:color="FFFFFF"/>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 reservas</w:t>
            </w:r>
          </w:p>
        </w:tc>
        <w:tc>
          <w:tcPr>
            <w:tcW w:w="1095" w:type="dxa"/>
            <w:vMerge/>
            <w:tcBorders>
              <w:top w:val="nil"/>
              <w:left w:val="nil"/>
              <w:bottom w:val="nil"/>
              <w:right w:val="nil"/>
            </w:tcBorders>
          </w:tcPr>
          <w:p>
            <w:pPr>
              <w:keepNext/>
              <w:pageBreakBefore w:val="0"/>
            </w:pPr>
          </w:p>
        </w:tc>
        <w:tc>
          <w:tcPr>
            <w:tcW w:w="10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atribuible a los propietarios de la controladora</w:t>
            </w:r>
          </w:p>
        </w:tc>
        <w:tc>
          <w:tcPr>
            <w:tcW w:w="112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Participaciones no controladoras</w:t>
            </w:r>
          </w:p>
        </w:tc>
        <w:tc>
          <w:tcPr>
            <w:tcW w:w="10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Patrimonio total</w:t>
            </w:r>
          </w:p>
        </w:tc>
      </w:tr>
      <w:tr>
        <w:tblPrEx>
          <w:tblW w:w="13455" w:type="dxa"/>
          <w:tblInd w:w="0" w:type="dxa"/>
          <w:tblLayout w:type="fixed"/>
        </w:tblPrEx>
        <w:trPr>
          <w:cantSplit/>
          <w:trHeight w:hRule="auto" w:val="0"/>
        </w:trPr>
        <w:tc>
          <w:tcPr>
            <w:tcW w:w="4695" w:type="dxa"/>
            <w:vMerge/>
            <w:tcBorders>
              <w:top w:val="nil"/>
              <w:left w:val="single" w:sz="2" w:space="0" w:color="000000"/>
              <w:bottom w:val="single" w:sz="2" w:space="0" w:color="000000"/>
              <w:right w:val="nil"/>
            </w:tcBorders>
          </w:tcPr>
          <w:p>
            <w:pPr>
              <w:keepNext/>
              <w:pageBreakBefore w:val="0"/>
            </w:pP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6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12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0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1345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5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Patrimonio al comienzo del período al 1 de enero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11.576.501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(276.827)</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(286.803)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(563.630)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12.239.438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23.252.309</w:t>
            </w:r>
          </w:p>
        </w:tc>
        <w:tc>
          <w:tcPr>
            <w:tcW w:w="1125" w:type="dxa"/>
            <w:tcBorders>
              <w:top w:val="single" w:sz="2" w:space="0" w:color="000000"/>
              <w:left w:val="single" w:sz="8"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18.541.384</w:t>
            </w:r>
          </w:p>
        </w:tc>
        <w:tc>
          <w:tcPr>
            <w:tcW w:w="1095" w:type="dxa"/>
            <w:tcBorders>
              <w:top w:val="single" w:sz="2" w:space="0" w:color="000000"/>
              <w:left w:val="single" w:sz="8"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41.793.693</w:t>
            </w:r>
          </w:p>
        </w:tc>
      </w:tr>
      <w:tr>
        <w:tblPrEx>
          <w:tblW w:w="1345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45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Cambios en patrimonio</w:t>
            </w:r>
          </w:p>
        </w:tc>
        <w:tc>
          <w:tcPr>
            <w:tcW w:w="1095"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6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455" w:type="dxa"/>
          <w:tblInd w:w="0" w:type="dxa"/>
          <w:tblLayout w:type="fixed"/>
        </w:tblPrEx>
        <w:trPr>
          <w:cantSplit/>
          <w:trHeight w:hRule="exact" w:val="6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6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12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1345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Resultado integral</w:t>
            </w:r>
          </w:p>
        </w:tc>
        <w:tc>
          <w:tcPr>
            <w:tcW w:w="1095"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5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Ganancia (pérdida).</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2.652.915</w:t>
            </w:r>
          </w:p>
        </w:tc>
        <w:tc>
          <w:tcPr>
            <w:tcW w:w="1095" w:type="dxa"/>
            <w:tcBorders>
              <w:top w:val="single" w:sz="2" w:space="0" w:color="000000"/>
              <w:left w:val="single" w:sz="2" w:space="0" w:color="000000"/>
              <w:bottom w:val="single" w:sz="4" w:space="0" w:color="FFFFFF"/>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2.652.915</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2.238.497</w:t>
            </w:r>
          </w:p>
        </w:tc>
        <w:tc>
          <w:tcPr>
            <w:tcW w:w="1095" w:type="dxa"/>
            <w:tcBorders>
              <w:top w:val="single" w:sz="2" w:space="0" w:color="000000"/>
              <w:left w:val="single" w:sz="2" w:space="0" w:color="000000"/>
              <w:bottom w:val="single" w:sz="4" w:space="0" w:color="FFFFFF"/>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4.891.412</w:t>
            </w:r>
          </w:p>
        </w:tc>
      </w:tr>
      <w:tr>
        <w:tblPrEx>
          <w:tblW w:w="13455" w:type="dxa"/>
          <w:tblInd w:w="0" w:type="dxa"/>
          <w:tblLayout w:type="fixed"/>
        </w:tblPrEx>
        <w:trPr>
          <w:cantSplit/>
          <w:trHeight w:hRule="exact" w:val="255"/>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 resultado integral.</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109.928</w:t>
            </w: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109.928</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4" w:space="0" w:color="FFFFFF"/>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109.928</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89.529</w:t>
            </w:r>
          </w:p>
        </w:tc>
        <w:tc>
          <w:tcPr>
            <w:tcW w:w="1095" w:type="dxa"/>
            <w:tcBorders>
              <w:top w:val="single" w:sz="4" w:space="0" w:color="FFFFFF"/>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199.457</w:t>
            </w:r>
          </w:p>
        </w:tc>
      </w:tr>
      <w:tr>
        <w:tblPrEx>
          <w:tblW w:w="13455" w:type="dxa"/>
          <w:tblInd w:w="0" w:type="dxa"/>
          <w:tblLayout w:type="fixed"/>
        </w:tblPrEx>
        <w:trPr>
          <w:cantSplit/>
          <w:trHeight w:hRule="auto" w:val="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55" w:type="dxa"/>
          <w:tblInd w:w="0" w:type="dxa"/>
          <w:tblLayout w:type="fixed"/>
        </w:tblPrEx>
        <w:trPr>
          <w:cantSplit/>
          <w:trHeight w:hRule="exact" w:val="255"/>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FFFFFF"/>
                <w:sz w:val="16"/>
                <w:u w:val="none"/>
              </w:rPr>
              <w:t>Total resultado integral</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109.928</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109.928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2.652.915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2.762.843</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2.328.026</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5.090.869</w:t>
            </w:r>
          </w:p>
        </w:tc>
      </w:tr>
      <w:tr>
        <w:tblPrEx>
          <w:tblW w:w="13455" w:type="dxa"/>
          <w:tblInd w:w="0" w:type="dxa"/>
          <w:tblLayout w:type="fixed"/>
        </w:tblPrEx>
        <w:trPr>
          <w:cantSplit/>
          <w:trHeight w:hRule="auto" w:val="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55" w:type="dxa"/>
          <w:tblInd w:w="0" w:type="dxa"/>
          <w:tblLayout w:type="fixed"/>
        </w:tblPrEx>
        <w:trPr>
          <w:cantSplit/>
          <w:trHeight w:hRule="exact" w:val="255"/>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Dividendos.</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6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(2.987.226)</w:t>
            </w:r>
          </w:p>
        </w:tc>
        <w:tc>
          <w:tcPr>
            <w:tcW w:w="10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(2.987.226)</w:t>
            </w:r>
          </w:p>
        </w:tc>
        <w:tc>
          <w:tcPr>
            <w:tcW w:w="112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(1.045.291)</w:t>
            </w:r>
          </w:p>
        </w:tc>
        <w:tc>
          <w:tcPr>
            <w:tcW w:w="10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(4.032.517)</w:t>
            </w:r>
          </w:p>
        </w:tc>
      </w:tr>
      <w:tr>
        <w:tblPrEx>
          <w:tblW w:w="13455" w:type="dxa"/>
          <w:tblInd w:w="0" w:type="dxa"/>
          <w:tblLayout w:type="fixed"/>
        </w:tblPrEx>
        <w:trPr>
          <w:cantSplit/>
          <w:trHeight w:hRule="auto" w:val="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55" w:type="dxa"/>
          <w:tblInd w:w="0" w:type="dxa"/>
          <w:tblLayout w:type="fixed"/>
        </w:tblPrEx>
        <w:trPr>
          <w:cantSplit/>
          <w:trHeight w:hRule="exact" w:val="255"/>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incremento (disminución) en el patrimonio</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109.928</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109.928</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(334.311)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(224.383)</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1.282.735</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1.058.352</w:t>
            </w:r>
          </w:p>
        </w:tc>
      </w:tr>
      <w:tr>
        <w:tblPrEx>
          <w:tblW w:w="13455" w:type="dxa"/>
          <w:tblInd w:w="0" w:type="dxa"/>
          <w:tblLayout w:type="fixed"/>
        </w:tblPrEx>
        <w:trPr>
          <w:cantSplit/>
          <w:trHeight w:hRule="auto" w:val="0"/>
        </w:trPr>
        <w:tc>
          <w:tcPr>
            <w:tcW w:w="46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6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12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095"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13455" w:type="dxa"/>
          <w:tblInd w:w="0" w:type="dxa"/>
          <w:tblLayout w:type="fixed"/>
        </w:tblPrEx>
        <w:trPr>
          <w:cantSplit/>
          <w:trHeight w:hRule="auto" w:val="0"/>
        </w:trPr>
        <w:tc>
          <w:tcPr>
            <w:tcW w:w="46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Patrimonio al final del período al 30 de junio de 2025</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11.576.501</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(166.899)</w:t>
            </w:r>
          </w:p>
        </w:tc>
        <w:tc>
          <w:tcPr>
            <w:tcW w:w="106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(286.803)</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(453.702)</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11.905.127</w:t>
            </w:r>
          </w:p>
        </w:tc>
        <w:tc>
          <w:tcPr>
            <w:tcW w:w="109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23.027.926</w:t>
            </w:r>
          </w:p>
        </w:tc>
        <w:tc>
          <w:tcPr>
            <w:tcW w:w="112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19.824.119</w:t>
            </w:r>
          </w:p>
        </w:tc>
        <w:tc>
          <w:tcPr>
            <w:tcW w:w="109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42.852.045</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sectPr>
          <w:headerReference w:type="default" r:id="rId10"/>
          <w:footerReference w:type="default" r:id="rId11"/>
          <w:type w:val="continuous"/>
          <w:pgSz w:w="15840" w:h="12240" w:orient="landscape"/>
          <w:pgMar w:top="1134" w:right="1134" w:bottom="1134" w:left="1134" w:header="0" w:footer="425"/>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4" w:name="Section5"/>
      <w:bookmarkEnd w:id="4"/>
      <w:r>
        <w:rPr>
          <w:rFonts w:ascii="Calibri" w:eastAsia="Calibri" w:hAnsi="Calibri" w:cs="Calibri"/>
          <w:b/>
          <w:i w:val="0"/>
          <w:color w:val="000000"/>
          <w:sz w:val="20"/>
          <w:u w:val="none"/>
        </w:rPr>
        <w:t>CGE MAGALLANES S.A. Y SUBSIDIARIA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ESTADO RESUMIDO CONSOLIDADO DE FLUJOS DE EFECTIVO DIRECTO</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Por los ejercicios terminados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(Expresados en miles de pesos chilenos (M$))</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1" type="#_x0000_t75" style="width:498.9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94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080"/>
        <w:gridCol w:w="1200"/>
        <w:gridCol w:w="1200"/>
      </w:tblGrid>
      <w:tr>
        <w:tblPrEx>
          <w:tblW w:w="9480" w:type="dxa"/>
          <w:tblInd w:w="0" w:type="dxa"/>
          <w:tblLayout w:type="fixed"/>
        </w:tblPrEx>
        <w:trPr>
          <w:cantSplit/>
          <w:trHeight w:hRule="auto" w:val="0"/>
          <w:tblHeader/>
        </w:trPr>
        <w:tc>
          <w:tcPr>
            <w:tcW w:w="7080"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ESTADO DE FLUJO DE EFECTIVO POR MÉTODO DIRECTO</w:t>
            </w:r>
          </w:p>
        </w:tc>
        <w:tc>
          <w:tcPr>
            <w:tcW w:w="1200" w:type="dxa"/>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01-01-2026</w:t>
            </w:r>
          </w:p>
        </w:tc>
        <w:tc>
          <w:tcPr>
            <w:tcW w:w="1200" w:type="dxa"/>
            <w:tcBorders>
              <w:top w:val="single" w:sz="2" w:space="0" w:color="000000"/>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01-01-2025</w:t>
            </w:r>
          </w:p>
        </w:tc>
      </w:tr>
      <w:tr>
        <w:tblPrEx>
          <w:tblW w:w="9480" w:type="dxa"/>
          <w:tblInd w:w="0" w:type="dxa"/>
          <w:tblLayout w:type="fixed"/>
        </w:tblPrEx>
        <w:trPr>
          <w:cantSplit/>
          <w:trHeight w:hRule="auto" w:val="0"/>
          <w:tblHeader/>
        </w:trPr>
        <w:tc>
          <w:tcPr>
            <w:tcW w:w="7080" w:type="dxa"/>
            <w:vMerge/>
            <w:tcBorders>
              <w:top w:val="nil"/>
              <w:left w:val="single" w:sz="2" w:space="0" w:color="000000"/>
              <w:bottom w:val="nil"/>
              <w:right w:val="nil"/>
            </w:tcBorders>
          </w:tcPr>
          <w:p>
            <w:pPr>
              <w:keepNext/>
              <w:pageBreakBefore w:val="0"/>
            </w:pPr>
          </w:p>
        </w:tc>
        <w:tc>
          <w:tcPr>
            <w:tcW w:w="1200"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1200" w:type="dxa"/>
            <w:tcBorders>
              <w:top w:val="nil"/>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30-06-2025</w:t>
            </w:r>
          </w:p>
        </w:tc>
      </w:tr>
      <w:tr>
        <w:tblPrEx>
          <w:tblW w:w="9480" w:type="dxa"/>
          <w:tblInd w:w="0" w:type="dxa"/>
          <w:tblLayout w:type="fixed"/>
        </w:tblPrEx>
        <w:trPr>
          <w:cantSplit/>
          <w:trHeight w:hRule="auto" w:val="0"/>
          <w:tblHeader/>
        </w:trPr>
        <w:tc>
          <w:tcPr>
            <w:tcW w:w="7080" w:type="dxa"/>
            <w:vMerge/>
            <w:tcBorders>
              <w:top w:val="nil"/>
              <w:left w:val="single" w:sz="2" w:space="0" w:color="000000"/>
              <w:bottom w:val="single" w:sz="2" w:space="0" w:color="000000"/>
              <w:right w:val="nil"/>
            </w:tcBorders>
          </w:tcPr>
          <w:p>
            <w:pPr>
              <w:keepNext/>
              <w:pageBreakBefore w:val="0"/>
            </w:pPr>
          </w:p>
        </w:tc>
        <w:tc>
          <w:tcPr>
            <w:tcW w:w="12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c>
          <w:tcPr>
            <w:tcW w:w="1200"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w:t>
            </w: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operación</w:t>
            </w:r>
          </w:p>
        </w:tc>
        <w:tc>
          <w:tcPr>
            <w:tcW w:w="12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6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cobros por actividades de operación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Cobros procedentes de las ventas de bienes y prestación de servicios.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38.985.937</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cobros por actividades de operación.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65.846</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Clases de pagos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proveedores por el suministro de bienes y servicios.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(25.978.020)</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a y por cuenta de los empleados.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(3.076.032)</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Otros pagos por actividades de operación.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(2.225.721)</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Otros cobros y pagos de operación</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Impuestos a las ganancias reembolsados (pagados).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(62.394)</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(6.574)</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operación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7.703.042</w:t>
            </w:r>
          </w:p>
        </w:tc>
      </w:tr>
      <w:tr>
        <w:tblPrEx>
          <w:tblW w:w="948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inversión</w:t>
            </w:r>
          </w:p>
        </w:tc>
        <w:tc>
          <w:tcPr>
            <w:tcW w:w="1200" w:type="dxa"/>
            <w:tcBorders>
              <w:top w:val="nil"/>
              <w:left w:val="single" w:sz="2" w:space="0" w:color="000000"/>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Préstamos a entidades relacionadas.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Compras de propiedades, planta y equipo.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(2.935.874)</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Compras de activos intangibles.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Importes procedentes de subvenciones del gobierno.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84.355</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Cobros a entidades relacionadas.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1.780.307</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recibidos.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33.090</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inversión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(1.038.122)</w:t>
            </w:r>
          </w:p>
        </w:tc>
      </w:tr>
      <w:tr>
        <w:tblPrEx>
          <w:tblW w:w="948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exact" w:val="255"/>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procedentes de (utilizados en) actividades de financiación</w:t>
            </w:r>
          </w:p>
        </w:tc>
        <w:tc>
          <w:tcPr>
            <w:tcW w:w="1200" w:type="dxa"/>
            <w:tcBorders>
              <w:top w:val="nil"/>
              <w:left w:val="single" w:sz="2" w:space="0" w:color="000000"/>
              <w:bottom w:val="nil"/>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nil"/>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nil"/>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Total importes procedentes de préstamos.</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ind w:firstLine="567"/>
              <w:jc w:val="left"/>
            </w:pPr>
            <w:r>
              <w:rPr>
                <w:rFonts w:ascii="Calibri" w:eastAsia="Calibri" w:hAnsi="Calibri" w:cs="Calibri"/>
                <w:b w:val="0"/>
                <w:i w:val="0"/>
                <w:color w:val="000000"/>
                <w:sz w:val="16"/>
                <w:u w:val="none"/>
              </w:rPr>
              <w:t>- Importes procedentes de préstamos de largo plazo.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ind w:firstLine="567"/>
              <w:jc w:val="left"/>
            </w:pPr>
            <w:r>
              <w:rPr>
                <w:rFonts w:ascii="Calibri" w:eastAsia="Calibri" w:hAnsi="Calibri" w:cs="Calibri"/>
                <w:b w:val="0"/>
                <w:i w:val="0"/>
                <w:color w:val="000000"/>
                <w:sz w:val="16"/>
                <w:u w:val="none"/>
              </w:rPr>
              <w:t>- Importes procedentes de préstamos de corto plazo.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Préstamos de entidades relacionadas.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417.285</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Reembolsos de préstamos.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de pasivos por arrendamientos.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(150.011)</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Pagos de préstamos de entidades relacionadas.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Dividendos pagados.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(5.283.392)</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recibidos.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7.707</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Intereses pagados.</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(1.104.850)</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Otras entradas (salidas) de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(574)</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Flujos de efectivo netos procedentes de (utilizados en) actividades de financiación</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(6.113.835)</w:t>
            </w:r>
          </w:p>
        </w:tc>
      </w:tr>
      <w:tr>
        <w:tblPrEx>
          <w:tblW w:w="9480" w:type="dxa"/>
          <w:tblInd w:w="0" w:type="dxa"/>
          <w:tblLayout w:type="fixed"/>
        </w:tblPrEx>
        <w:trPr>
          <w:cantSplit/>
          <w:trHeight w:hRule="auto" w:val="0"/>
        </w:trPr>
        <w:tc>
          <w:tcPr>
            <w:tcW w:w="708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c>
          <w:tcPr>
            <w:tcW w:w="1200" w:type="dxa"/>
            <w:tcBorders>
              <w:top w:val="single" w:sz="2" w:space="0" w:color="000000"/>
              <w:left w:val="nil"/>
              <w:bottom w:val="single" w:sz="2" w:space="0" w:color="000000"/>
              <w:right w:val="nil"/>
            </w:tcBorders>
            <w:tcMar>
              <w:top w:w="0" w:type="dxa"/>
              <w:left w:w="0" w:type="dxa"/>
              <w:bottom w:w="0" w:type="dxa"/>
              <w:right w:w="0" w:type="dxa"/>
            </w:tcMar>
            <w:vAlign w:val="bottom"/>
          </w:tcPr>
          <w:p>
            <w:pPr>
              <w:keepNext/>
              <w:pageBreakBefore w:val="0"/>
              <w:spacing w:before="0" w:after="0"/>
            </w:pP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 antes del efecto de los cambios en la tasa de cambio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551.085</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Efectos de la variación en la tasa de cambio sobre el efectivo y equivalentes al efectivo.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83.529</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i w:val="0"/>
                <w:color w:val="FFFFFF"/>
                <w:sz w:val="16"/>
                <w:u w:val="none"/>
              </w:rPr>
              <w:t>Incremento (disminución) neto de efectivo y equivalentes al efectivo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i w:val="0"/>
                <w:color w:val="FFFFFF"/>
                <w:sz w:val="16"/>
                <w:u w:val="none"/>
              </w:rPr>
              <w:t>634.614</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6"/>
                <w:u w:val="none"/>
              </w:rPr>
              <w:t>Efectivo y equivalentes al efectivo al principio del período o ejercicio.</w:t>
            </w:r>
          </w:p>
        </w:tc>
        <w:tc>
          <w:tcPr>
            <w:tcW w:w="1200"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12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6"/>
                <w:u w:val="none"/>
              </w:rPr>
              <w:t>664.872</w:t>
            </w:r>
          </w:p>
        </w:tc>
      </w:tr>
      <w:tr>
        <w:tblPrEx>
          <w:tblW w:w="9480" w:type="dxa"/>
          <w:tblInd w:w="0" w:type="dxa"/>
          <w:tblLayout w:type="fixed"/>
        </w:tblPrEx>
        <w:trPr>
          <w:cantSplit/>
          <w:trHeight w:hRule="auto" w:val="0"/>
        </w:trPr>
        <w:tc>
          <w:tcPr>
            <w:tcW w:w="708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6"/>
                <w:u w:val="none"/>
              </w:rPr>
              <w:t>Efectivo y equivalentes al efectivo al final del período o ejercicio</w:t>
            </w:r>
          </w:p>
        </w:tc>
        <w:tc>
          <w:tcPr>
            <w:tcW w:w="1200"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0</w:t>
            </w:r>
          </w:p>
        </w:tc>
        <w:tc>
          <w:tcPr>
            <w:tcW w:w="1200"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6"/>
                <w:u w:val="none"/>
              </w:rPr>
              <w:t>1.299.486</w:t>
            </w:r>
          </w:p>
        </w:tc>
      </w:tr>
    </w:tbl>
    <w:p>
      <w:pPr>
        <w:keepNext w:val="0"/>
        <w:keepLines/>
        <w:pageBreakBefore w:val="0"/>
        <w:widowControl w:val="0"/>
        <w:numPr>
          <w:ilvl w:val="0"/>
          <w:numId w:val="0"/>
        </w:numPr>
        <w:spacing w:before="0" w:after="0" w:line="288" w:lineRule="auto"/>
        <w:ind w:left="709" w:right="0" w:hanging="709"/>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hanging="709"/>
        <w:jc w:val="both"/>
        <w:outlineLvl w:val="9"/>
        <w:rPr>
          <w:rFonts w:ascii="Calibri" w:eastAsia="Calibri" w:hAnsi="Calibri" w:cs="Calibri"/>
          <w:b w:val="0"/>
          <w:i w:val="0"/>
          <w:color w:val="000000"/>
          <w:sz w:val="20"/>
          <w:u w:val="none"/>
        </w:rPr>
        <w:sectPr>
          <w:headerReference w:type="default" r:id="rId12"/>
          <w:footerReference w:type="default" r:id="rId13"/>
          <w:type w:val="continuous"/>
          <w:pgSz w:w="12240" w:h="15840"/>
          <w:pgMar w:top="1134" w:right="1134" w:bottom="1134" w:left="1134" w:header="0" w:footer="425"/>
          <w:cols w:space="708"/>
        </w:sectPr>
      </w:pPr>
    </w:p>
    <w:p>
      <w:pPr>
        <w:pStyle w:val="Normal-wk"/>
        <w:keepNext w:val="0"/>
        <w:keepLines/>
        <w:pageBreakBefore w:val="0"/>
        <w:widowControl w:val="0"/>
        <w:numPr>
          <w:ilvl w:val="0"/>
          <w:numId w:val="0"/>
        </w:numPr>
        <w:spacing w:before="0" w:after="0" w:line="288" w:lineRule="auto"/>
        <w:ind w:left="0" w:right="0" w:firstLine="0"/>
        <w:jc w:val="both"/>
        <w:outlineLvl w:val="0"/>
        <w:rPr>
          <w:rFonts w:ascii="Calibri" w:eastAsia="Calibri" w:hAnsi="Calibri" w:cs="Calibri"/>
          <w:b w:val="0"/>
          <w:i w:val="0"/>
          <w:color w:val="000000"/>
          <w:sz w:val="20"/>
          <w:u w:val="none"/>
        </w:rPr>
      </w:pPr>
      <w:bookmarkStart w:id="5" w:name="Section6"/>
      <w:bookmarkEnd w:id="5"/>
      <w:r>
        <w:rPr>
          <w:rFonts w:ascii="Calibri" w:eastAsia="Calibri" w:hAnsi="Calibri" w:cs="Calibri"/>
          <w:b/>
          <w:i w:val="0"/>
          <w:color w:val="000000"/>
          <w:sz w:val="20"/>
          <w:u w:val="none"/>
        </w:rPr>
        <w:t>CGE MAGALLANES S.A. Y SUBSIDIARIA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INDICE A LAS NOTAS DE LOS ESTADOS FINANCIEROS RESUMIDOS CONSOLIDADOS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2" type="#_x0000_t75" style="width:498.9pt;height:1.98pt">
            <v:imagedata r:id="rId7" o:title=""/>
            <o:lock v:ext="edit" aspectratio="t"/>
          </v:shape>
        </w:pict>
      </w:r>
    </w:p>
    <w:tbl>
      <w:tblPr>
        <w:tblW w:w="9972"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975"/>
        <w:gridCol w:w="997"/>
      </w:tblGrid>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5a1488241124140be78eb7d96401ed9" w:history="1">
              <w:r>
                <w:rPr>
                  <w:rFonts w:ascii="Calibri" w:eastAsia="Calibri" w:hAnsi="Calibri" w:cs="Calibri"/>
                  <w:b w:val="0"/>
                  <w:i w:val="0"/>
                  <w:color w:val="000000"/>
                  <w:sz w:val="20"/>
                  <w:u w:val="none"/>
                  <w:shd w:val="clear" w:color="auto" w:fill="auto"/>
                </w:rPr>
                <w:t>1.-</w:t>
                <w:tab/>
                <w:t>INFORMACIÓN GENERAL.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5a1488241124140be78eb7d96401ed9" w:history="1">
              <w:r>
                <w:rPr>
                  <w:rFonts w:ascii="Calibri" w:eastAsia="Calibri" w:hAnsi="Calibri" w:cs="Calibri"/>
                  <w:b w:val="0"/>
                  <w:i w:val="0"/>
                  <w:color w:val="000000"/>
                  <w:sz w:val="20"/>
                  <w:u w:val="none"/>
                  <w:shd w:val="clear" w:color="auto" w:fill="auto"/>
                </w:rPr>
                <w:t>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3e76b8b24e14a75953eccee3b051804" w:history="1">
              <w:r>
                <w:rPr>
                  <w:rFonts w:ascii="Calibri" w:eastAsia="Calibri" w:hAnsi="Calibri" w:cs="Calibri"/>
                  <w:b w:val="0"/>
                  <w:i w:val="0"/>
                  <w:color w:val="000000"/>
                  <w:sz w:val="20"/>
                  <w:u w:val="none"/>
                  <w:shd w:val="clear" w:color="auto" w:fill="auto"/>
                </w:rPr>
                <w:t>2.-</w:t>
                <w:tab/>
                <w:t>DESCRIPCIÓN DE LOS SECTORES DONDE PARTICIPA CGE MAGALLANES S.A. Y SUBSIDIARIA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3e76b8b24e14a75953eccee3b051804" w:history="1">
              <w:r>
                <w:rPr>
                  <w:rFonts w:ascii="Calibri" w:eastAsia="Calibri" w:hAnsi="Calibri" w:cs="Calibri"/>
                  <w:b w:val="0"/>
                  <w:i w:val="0"/>
                  <w:color w:val="000000"/>
                  <w:sz w:val="20"/>
                  <w:u w:val="none"/>
                  <w:shd w:val="clear" w:color="auto" w:fill="auto"/>
                </w:rPr>
                <w:t>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24fddd42ca645c38565f11260b7bdbb" w:history="1">
              <w:r>
                <w:rPr>
                  <w:rFonts w:ascii="Calibri" w:eastAsia="Calibri" w:hAnsi="Calibri" w:cs="Calibri"/>
                  <w:b w:val="0"/>
                  <w:i w:val="0"/>
                  <w:color w:val="000000"/>
                  <w:sz w:val="20"/>
                  <w:u w:val="none"/>
                  <w:shd w:val="clear" w:color="auto" w:fill="auto"/>
                </w:rPr>
                <w:t>3.-</w:t>
                <w:tab/>
                <w:t>RESUMEN DE LAS PRINCIPALES POLÍTICAS CONTABLES.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24fddd42ca645c38565f11260b7bdbb" w:history="1">
              <w:r>
                <w:rPr>
                  <w:rFonts w:ascii="Calibri" w:eastAsia="Calibri" w:hAnsi="Calibri" w:cs="Calibri"/>
                  <w:b w:val="0"/>
                  <w:i w:val="0"/>
                  <w:color w:val="000000"/>
                  <w:sz w:val="20"/>
                  <w:u w:val="none"/>
                  <w:shd w:val="clear" w:color="auto" w:fill="auto"/>
                </w:rPr>
                <w:t>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bafd77401d144ea8c8adfca53bda314" w:history="1">
              <w:r>
                <w:rPr>
                  <w:rFonts w:ascii="Calibri" w:eastAsia="Calibri" w:hAnsi="Calibri" w:cs="Calibri"/>
                  <w:b w:val="0"/>
                  <w:i w:val="0"/>
                  <w:color w:val="000000"/>
                  <w:sz w:val="20"/>
                  <w:u w:val="none"/>
                  <w:shd w:val="clear" w:color="auto" w:fill="auto"/>
                </w:rPr>
                <w:t>3.1.-</w:t>
                <w:tab/>
                <w:t xml:space="preserve">Bases de preparación de los estados financieros.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bafd77401d144ea8c8adfca53bda314" w:history="1">
              <w:r>
                <w:rPr>
                  <w:rFonts w:ascii="Calibri" w:eastAsia="Calibri" w:hAnsi="Calibri" w:cs="Calibri"/>
                  <w:b w:val="0"/>
                  <w:i w:val="0"/>
                  <w:color w:val="000000"/>
                  <w:sz w:val="20"/>
                  <w:u w:val="none"/>
                  <w:shd w:val="clear" w:color="auto" w:fill="auto"/>
                </w:rPr>
                <w:t>15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a07b74e3e8b4fafba64d8033abafa5f" w:history="1">
              <w:r>
                <w:rPr>
                  <w:rFonts w:ascii="Calibri" w:eastAsia="Calibri" w:hAnsi="Calibri" w:cs="Calibri"/>
                  <w:b w:val="0"/>
                  <w:i w:val="0"/>
                  <w:color w:val="000000"/>
                  <w:sz w:val="20"/>
                  <w:u w:val="none"/>
                  <w:shd w:val="clear" w:color="auto" w:fill="auto"/>
                </w:rPr>
                <w:t>3.2.-</w:t>
                <w:tab/>
                <w:t>Nuevos estándares, interpretaciones y enmiendas adoptadas por la Sociedad.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a07b74e3e8b4fafba64d8033abafa5f" w:history="1">
              <w:r>
                <w:rPr>
                  <w:rFonts w:ascii="Calibri" w:eastAsia="Calibri" w:hAnsi="Calibri" w:cs="Calibri"/>
                  <w:b w:val="0"/>
                  <w:i w:val="0"/>
                  <w:color w:val="000000"/>
                  <w:sz w:val="20"/>
                  <w:u w:val="none"/>
                  <w:shd w:val="clear" w:color="auto" w:fill="auto"/>
                </w:rPr>
                <w:t>16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47b940363d047f6894468ea1a7c3ba8" w:history="1">
              <w:r>
                <w:rPr>
                  <w:rFonts w:ascii="Calibri" w:eastAsia="Calibri" w:hAnsi="Calibri" w:cs="Calibri"/>
                  <w:b w:val="0"/>
                  <w:i w:val="0"/>
                  <w:color w:val="000000"/>
                  <w:sz w:val="20"/>
                  <w:u w:val="none"/>
                  <w:shd w:val="clear" w:color="auto" w:fill="auto"/>
                </w:rPr>
                <w:t>3.3.-</w:t>
                <w:tab/>
                <w:t>Nuevas normas, interpretaciones y enmiendas emitidas, no vigentes para el ejercicio 2025, para las cuales no se ha efectuado adopción anticipada de las mismas.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47b940363d047f6894468ea1a7c3ba8" w:history="1">
              <w:r>
                <w:rPr>
                  <w:rFonts w:ascii="Calibri" w:eastAsia="Calibri" w:hAnsi="Calibri" w:cs="Calibri"/>
                  <w:b w:val="0"/>
                  <w:i w:val="0"/>
                  <w:color w:val="000000"/>
                  <w:sz w:val="20"/>
                  <w:u w:val="none"/>
                  <w:shd w:val="clear" w:color="auto" w:fill="auto"/>
                </w:rPr>
                <w:t>16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8808ec1e1ab4a2ca99f7790d3432efa" w:history="1">
              <w:r>
                <w:rPr>
                  <w:rFonts w:ascii="Calibri" w:eastAsia="Calibri" w:hAnsi="Calibri" w:cs="Calibri"/>
                  <w:b w:val="0"/>
                  <w:i w:val="0"/>
                  <w:color w:val="000000"/>
                  <w:sz w:val="20"/>
                  <w:u w:val="none"/>
                  <w:shd w:val="clear" w:color="auto" w:fill="auto"/>
                </w:rPr>
                <w:t>3.4.-</w:t>
                <w:tab/>
                <w:t>Bases de consolidación.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8808ec1e1ab4a2ca99f7790d3432efa" w:history="1">
              <w:r>
                <w:rPr>
                  <w:rFonts w:ascii="Calibri" w:eastAsia="Calibri" w:hAnsi="Calibri" w:cs="Calibri"/>
                  <w:b w:val="0"/>
                  <w:i w:val="0"/>
                  <w:color w:val="000000"/>
                  <w:sz w:val="20"/>
                  <w:u w:val="none"/>
                  <w:shd w:val="clear" w:color="auto" w:fill="auto"/>
                </w:rPr>
                <w:t>19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74cbf8185214ab2a553516e469d505d" w:history="1">
              <w:r>
                <w:rPr>
                  <w:rFonts w:ascii="Calibri" w:eastAsia="Calibri" w:hAnsi="Calibri" w:cs="Calibri"/>
                  <w:b w:val="0"/>
                  <w:i w:val="0"/>
                  <w:color w:val="000000"/>
                  <w:sz w:val="20"/>
                  <w:u w:val="none"/>
                  <w:shd w:val="clear" w:color="auto" w:fill="auto"/>
                </w:rPr>
                <w:t>3.5.-</w:t>
                <w:tab/>
                <w:t>Entidades subsidiarias.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74cbf8185214ab2a553516e469d505d" w:history="1">
              <w:r>
                <w:rPr>
                  <w:rFonts w:ascii="Calibri" w:eastAsia="Calibri" w:hAnsi="Calibri" w:cs="Calibri"/>
                  <w:b w:val="0"/>
                  <w:i w:val="0"/>
                  <w:color w:val="000000"/>
                  <w:sz w:val="20"/>
                  <w:u w:val="none"/>
                  <w:shd w:val="clear" w:color="auto" w:fill="auto"/>
                </w:rPr>
                <w:t>21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22bde25f18846f99b84fdc559e58ed2" w:history="1">
              <w:r>
                <w:rPr>
                  <w:rFonts w:ascii="Calibri" w:eastAsia="Calibri" w:hAnsi="Calibri" w:cs="Calibri"/>
                  <w:b w:val="0"/>
                  <w:i w:val="0"/>
                  <w:color w:val="000000"/>
                  <w:sz w:val="20"/>
                  <w:u w:val="none"/>
                  <w:shd w:val="clear" w:color="auto" w:fill="auto"/>
                </w:rPr>
                <w:t>3.6.-</w:t>
                <w:tab/>
                <w:t>Transacciones en moneda extranjera y unidades de reajuste.</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22bde25f18846f99b84fdc559e58ed2"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e5af7e51b924e4092809ac9e9cd9eb3" w:history="1">
              <w:r>
                <w:rPr>
                  <w:rFonts w:ascii="Calibri" w:eastAsia="Calibri" w:hAnsi="Calibri" w:cs="Calibri"/>
                  <w:b w:val="0"/>
                  <w:i w:val="0"/>
                  <w:color w:val="000000"/>
                  <w:sz w:val="20"/>
                  <w:u w:val="none"/>
                  <w:shd w:val="clear" w:color="auto" w:fill="auto"/>
                </w:rPr>
                <w:t>3.7.-</w:t>
                <w:tab/>
                <w:t>Información financiera por segmentos operativos.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e5af7e51b924e4092809ac9e9cd9eb3"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c35bd50cc3e41539a156a51fbd84703" w:history="1">
              <w:r>
                <w:rPr>
                  <w:rFonts w:ascii="Calibri" w:eastAsia="Calibri" w:hAnsi="Calibri" w:cs="Calibri"/>
                  <w:b w:val="0"/>
                  <w:i w:val="0"/>
                  <w:color w:val="000000"/>
                  <w:sz w:val="20"/>
                  <w:u w:val="none"/>
                  <w:shd w:val="clear" w:color="auto" w:fill="auto"/>
                </w:rPr>
                <w:t>3.8.-</w:t>
                <w:tab/>
                <w:t>Propiedades, planta y equipo.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c35bd50cc3e41539a156a51fbd84703" w:history="1">
              <w:r>
                <w:rPr>
                  <w:rFonts w:ascii="Calibri" w:eastAsia="Calibri" w:hAnsi="Calibri" w:cs="Calibri"/>
                  <w:b w:val="0"/>
                  <w:i w:val="0"/>
                  <w:color w:val="000000"/>
                  <w:sz w:val="20"/>
                  <w:u w:val="none"/>
                  <w:shd w:val="clear" w:color="auto" w:fill="auto"/>
                </w:rPr>
                <w:t>22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7c8ad8c033ea47cc9209c96fc83108b7" w:history="1">
              <w:r>
                <w:rPr>
                  <w:rFonts w:ascii="Calibri" w:eastAsia="Calibri" w:hAnsi="Calibri" w:cs="Calibri"/>
                  <w:b w:val="0"/>
                  <w:i w:val="0"/>
                  <w:color w:val="000000"/>
                  <w:sz w:val="20"/>
                  <w:u w:val="none"/>
                  <w:shd w:val="clear" w:color="auto" w:fill="auto"/>
                </w:rPr>
                <w:t>3.9.-</w:t>
                <w:tab/>
                <w:t>Propiedades de inversión.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7c8ad8c033ea47cc9209c96fc83108b7" w:history="1">
              <w:r>
                <w:rPr>
                  <w:rFonts w:ascii="Calibri" w:eastAsia="Calibri" w:hAnsi="Calibri" w:cs="Calibri"/>
                  <w:b w:val="0"/>
                  <w:i w:val="0"/>
                  <w:color w:val="000000"/>
                  <w:sz w:val="20"/>
                  <w:u w:val="none"/>
                  <w:shd w:val="clear" w:color="auto" w:fill="auto"/>
                </w:rPr>
                <w:t>23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2c197285c794ac48eb43df2ba726dc7" w:history="1">
              <w:r>
                <w:rPr>
                  <w:rFonts w:ascii="Calibri" w:eastAsia="Calibri" w:hAnsi="Calibri" w:cs="Calibri"/>
                  <w:b w:val="0"/>
                  <w:i w:val="0"/>
                  <w:color w:val="000000"/>
                  <w:sz w:val="20"/>
                  <w:u w:val="none"/>
                  <w:shd w:val="clear" w:color="auto" w:fill="auto"/>
                </w:rPr>
                <w:t>3.10.-</w:t>
                <w:tab/>
                <w:t>Activos intangibles distintos de la plusvalía.</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2c197285c794ac48eb43df2ba726dc7"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ec0400e9f9b4a858ddeb470315e6546" w:history="1">
              <w:r>
                <w:rPr>
                  <w:rFonts w:ascii="Calibri" w:eastAsia="Calibri" w:hAnsi="Calibri" w:cs="Calibri"/>
                  <w:b w:val="0"/>
                  <w:i w:val="0"/>
                  <w:color w:val="000000"/>
                  <w:sz w:val="20"/>
                  <w:u w:val="none"/>
                  <w:shd w:val="clear" w:color="auto" w:fill="auto"/>
                </w:rPr>
                <w:t>3.11.-</w:t>
                <w:tab/>
                <w:t>Costos por intereses.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ec0400e9f9b4a858ddeb470315e6546"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dd940aa6c1b64c02abb95ce31d821b93" w:history="1">
              <w:r>
                <w:rPr>
                  <w:rFonts w:ascii="Calibri" w:eastAsia="Calibri" w:hAnsi="Calibri" w:cs="Calibri"/>
                  <w:b w:val="0"/>
                  <w:i w:val="0"/>
                  <w:color w:val="000000"/>
                  <w:sz w:val="20"/>
                  <w:u w:val="none"/>
                  <w:shd w:val="clear" w:color="auto" w:fill="auto"/>
                </w:rPr>
                <w:t>3.12.-</w:t>
                <w:tab/>
                <w:t>Deterioro de activos no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dd940aa6c1b64c02abb95ce31d821b93" w:history="1">
              <w:r>
                <w:rPr>
                  <w:rFonts w:ascii="Calibri" w:eastAsia="Calibri" w:hAnsi="Calibri" w:cs="Calibri"/>
                  <w:b w:val="0"/>
                  <w:i w:val="0"/>
                  <w:color w:val="000000"/>
                  <w:sz w:val="20"/>
                  <w:u w:val="none"/>
                  <w:shd w:val="clear" w:color="auto" w:fill="auto"/>
                </w:rPr>
                <w:t>24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60ddc1c0ec043709e180c5efdede736" w:history="1">
              <w:r>
                <w:rPr>
                  <w:rFonts w:ascii="Calibri" w:eastAsia="Calibri" w:hAnsi="Calibri" w:cs="Calibri"/>
                  <w:b w:val="0"/>
                  <w:i w:val="0"/>
                  <w:color w:val="000000"/>
                  <w:sz w:val="20"/>
                  <w:u w:val="none"/>
                  <w:shd w:val="clear" w:color="auto" w:fill="auto"/>
                </w:rPr>
                <w:t>3.13.-</w:t>
                <w:tab/>
                <w:t>Activos no corrientes mantenidos para la venta y grupos en disposición.</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60ddc1c0ec043709e180c5efdede736"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931a2003890438b8c7725d2441c4d3f" w:history="1">
              <w:r>
                <w:rPr>
                  <w:rFonts w:ascii="Calibri" w:eastAsia="Calibri" w:hAnsi="Calibri" w:cs="Calibri"/>
                  <w:b w:val="0"/>
                  <w:i w:val="0"/>
                  <w:color w:val="000000"/>
                  <w:sz w:val="20"/>
                  <w:u w:val="none"/>
                  <w:shd w:val="clear" w:color="auto" w:fill="auto"/>
                </w:rPr>
                <w:t>3.14.-</w:t>
                <w:tab/>
                <w:t>Activos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931a2003890438b8c7725d2441c4d3f" w:history="1">
              <w:r>
                <w:rPr>
                  <w:rFonts w:ascii="Calibri" w:eastAsia="Calibri" w:hAnsi="Calibri" w:cs="Calibri"/>
                  <w:b w:val="0"/>
                  <w:i w:val="0"/>
                  <w:color w:val="000000"/>
                  <w:sz w:val="20"/>
                  <w:u w:val="none"/>
                  <w:shd w:val="clear" w:color="auto" w:fill="auto"/>
                </w:rPr>
                <w:t>25</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7c316edde574c999256dd6c1babab08" w:history="1">
              <w:r>
                <w:rPr>
                  <w:rFonts w:ascii="Calibri" w:eastAsia="Calibri" w:hAnsi="Calibri" w:cs="Calibri"/>
                  <w:b w:val="0"/>
                  <w:i w:val="0"/>
                  <w:color w:val="000000"/>
                  <w:sz w:val="20"/>
                  <w:u w:val="none"/>
                  <w:shd w:val="clear" w:color="auto" w:fill="auto"/>
                </w:rPr>
                <w:t>3.15.-</w:t>
                <w:tab/>
                <w:t>Inventarios.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7c316edde574c999256dd6c1babab08" w:history="1">
              <w:r>
                <w:rPr>
                  <w:rFonts w:ascii="Calibri" w:eastAsia="Calibri" w:hAnsi="Calibri" w:cs="Calibri"/>
                  <w:b w:val="0"/>
                  <w:i w:val="0"/>
                  <w:color w:val="000000"/>
                  <w:sz w:val="20"/>
                  <w:u w:val="none"/>
                  <w:shd w:val="clear" w:color="auto" w:fill="auto"/>
                </w:rPr>
                <w:t>26</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a01454041244fa7be48aacc106befdb" w:history="1">
              <w:r>
                <w:rPr>
                  <w:rFonts w:ascii="Calibri" w:eastAsia="Calibri" w:hAnsi="Calibri" w:cs="Calibri"/>
                  <w:b w:val="0"/>
                  <w:i w:val="0"/>
                  <w:color w:val="000000"/>
                  <w:sz w:val="20"/>
                  <w:u w:val="none"/>
                  <w:shd w:val="clear" w:color="auto" w:fill="auto"/>
                </w:rPr>
                <w:t>3.16.-</w:t>
                <w:tab/>
                <w:t>Deudores comerciales y otras cuentas por cobrar.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a01454041244fa7be48aacc106befdb"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185c341a73f4a6b81ec6fd358fc3225" w:history="1">
              <w:r>
                <w:rPr>
                  <w:rFonts w:ascii="Calibri" w:eastAsia="Calibri" w:hAnsi="Calibri" w:cs="Calibri"/>
                  <w:b w:val="0"/>
                  <w:i w:val="0"/>
                  <w:color w:val="000000"/>
                  <w:sz w:val="20"/>
                  <w:u w:val="none"/>
                  <w:shd w:val="clear" w:color="auto" w:fill="auto"/>
                </w:rPr>
                <w:t>3.17.-</w:t>
                <w:tab/>
                <w:t>Efectivo y equivalentes al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185c341a73f4a6b81ec6fd358fc3225"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963224ebbb6b44a5a5b18ccc59df3456" w:history="1">
              <w:r>
                <w:rPr>
                  <w:rFonts w:ascii="Calibri" w:eastAsia="Calibri" w:hAnsi="Calibri" w:cs="Calibri"/>
                  <w:b w:val="0"/>
                  <w:i w:val="0"/>
                  <w:color w:val="000000"/>
                  <w:sz w:val="20"/>
                  <w:u w:val="none"/>
                  <w:shd w:val="clear" w:color="auto" w:fill="auto"/>
                </w:rPr>
                <w:t>3.18.-</w:t>
                <w:tab/>
                <w:t>Capital social.</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963224ebbb6b44a5a5b18ccc59df3456"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6525d0f019e44c5887fac223166c4036" w:history="1">
              <w:r>
                <w:rPr>
                  <w:rFonts w:ascii="Calibri" w:eastAsia="Calibri" w:hAnsi="Calibri" w:cs="Calibri"/>
                  <w:b w:val="0"/>
                  <w:i w:val="0"/>
                  <w:color w:val="000000"/>
                  <w:sz w:val="20"/>
                  <w:u w:val="none"/>
                  <w:shd w:val="clear" w:color="auto" w:fill="auto"/>
                </w:rPr>
                <w:t>3.19.-</w:t>
                <w:tab/>
                <w:t>Cuentas por pagar comerciales y otras cuentas por pagar.</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6525d0f019e44c5887fac223166c4036"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09a95a768a3842a6ba385f109b60d479" w:history="1">
              <w:r>
                <w:rPr>
                  <w:rFonts w:ascii="Calibri" w:eastAsia="Calibri" w:hAnsi="Calibri" w:cs="Calibri"/>
                  <w:b w:val="0"/>
                  <w:i w:val="0"/>
                  <w:color w:val="000000"/>
                  <w:sz w:val="20"/>
                  <w:u w:val="none"/>
                  <w:shd w:val="clear" w:color="auto" w:fill="auto"/>
                </w:rPr>
                <w:t>3.20.-</w:t>
                <w:tab/>
                <w:t>Préstamos y otros pasivos financieros.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09a95a768a3842a6ba385f109b60d479"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1835e931dd794be69ee9767e2a6dd66c" w:history="1">
              <w:r>
                <w:rPr>
                  <w:rFonts w:ascii="Calibri" w:eastAsia="Calibri" w:hAnsi="Calibri" w:cs="Calibri"/>
                  <w:b w:val="0"/>
                  <w:i w:val="0"/>
                  <w:color w:val="000000"/>
                  <w:sz w:val="20"/>
                  <w:u w:val="none"/>
                  <w:shd w:val="clear" w:color="auto" w:fill="auto"/>
                </w:rPr>
                <w:t>3.21.-</w:t>
                <w:tab/>
                <w:t>Impuesto a las ganancias e impuestos diferidos.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1835e931dd794be69ee9767e2a6dd66c" w:history="1">
              <w:r>
                <w:rPr>
                  <w:rFonts w:ascii="Calibri" w:eastAsia="Calibri" w:hAnsi="Calibri" w:cs="Calibri"/>
                  <w:b w:val="0"/>
                  <w:i w:val="0"/>
                  <w:color w:val="000000"/>
                  <w:sz w:val="20"/>
                  <w:u w:val="none"/>
                  <w:shd w:val="clear" w:color="auto" w:fill="auto"/>
                </w:rPr>
                <w:t>27</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09a239896854ad48fc1c25209c38e2a" w:history="1">
              <w:r>
                <w:rPr>
                  <w:rFonts w:ascii="Calibri" w:eastAsia="Calibri" w:hAnsi="Calibri" w:cs="Calibri"/>
                  <w:b w:val="0"/>
                  <w:i w:val="0"/>
                  <w:color w:val="000000"/>
                  <w:sz w:val="20"/>
                  <w:u w:val="none"/>
                  <w:shd w:val="clear" w:color="auto" w:fill="auto"/>
                </w:rPr>
                <w:t>3.22.-</w:t>
                <w:tab/>
                <w:t xml:space="preserve">Obligaciones por beneficios post empleo u otros similares. </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09a239896854ad48fc1c25209c38e2a" w:history="1">
              <w:r>
                <w:rPr>
                  <w:rFonts w:ascii="Calibri" w:eastAsia="Calibri" w:hAnsi="Calibri" w:cs="Calibri"/>
                  <w:b w:val="0"/>
                  <w:i w:val="0"/>
                  <w:color w:val="000000"/>
                  <w:sz w:val="20"/>
                  <w:u w:val="none"/>
                  <w:shd w:val="clear" w:color="auto" w:fill="auto"/>
                </w:rPr>
                <w:t>28</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21a86e422619448e9562811eba07cc39" w:history="1">
              <w:r>
                <w:rPr>
                  <w:rFonts w:ascii="Calibri" w:eastAsia="Calibri" w:hAnsi="Calibri" w:cs="Calibri"/>
                  <w:b w:val="0"/>
                  <w:i w:val="0"/>
                  <w:color w:val="000000"/>
                  <w:sz w:val="20"/>
                  <w:u w:val="none"/>
                  <w:shd w:val="clear" w:color="auto" w:fill="auto"/>
                </w:rPr>
                <w:t>3.23.-</w:t>
                <w:tab/>
                <w:t>Provisiones.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21a86e422619448e9562811eba07cc39" w:history="1">
              <w:r>
                <w:rPr>
                  <w:rFonts w:ascii="Calibri" w:eastAsia="Calibri" w:hAnsi="Calibri" w:cs="Calibri"/>
                  <w:b w:val="0"/>
                  <w:i w:val="0"/>
                  <w:color w:val="000000"/>
                  <w:sz w:val="20"/>
                  <w:u w:val="none"/>
                  <w:shd w:val="clear" w:color="auto" w:fill="auto"/>
                </w:rPr>
                <w:t>29</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605c3feb5024121abe1e994a4ecf6fe" w:history="1">
              <w:r>
                <w:rPr>
                  <w:rFonts w:ascii="Calibri" w:eastAsia="Calibri" w:hAnsi="Calibri" w:cs="Calibri"/>
                  <w:b w:val="0"/>
                  <w:i w:val="0"/>
                  <w:color w:val="000000"/>
                  <w:sz w:val="20"/>
                  <w:u w:val="none"/>
                  <w:shd w:val="clear" w:color="auto" w:fill="auto"/>
                </w:rPr>
                <w:t>3.24.-</w:t>
                <w:tab/>
                <w:t>Subvenciones estatales.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605c3feb5024121abe1e994a4ecf6fe"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1d497574cab452e82f6662e59840734" w:history="1">
              <w:r>
                <w:rPr>
                  <w:rFonts w:ascii="Calibri" w:eastAsia="Calibri" w:hAnsi="Calibri" w:cs="Calibri"/>
                  <w:b w:val="0"/>
                  <w:i w:val="0"/>
                  <w:color w:val="000000"/>
                  <w:sz w:val="20"/>
                  <w:u w:val="none"/>
                  <w:shd w:val="clear" w:color="auto" w:fill="auto"/>
                </w:rPr>
                <w:t>3.25.-</w:t>
                <w:tab/>
                <w:t>Clasificación de saldos en corrientes y no corrientes.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1d497574cab452e82f6662e59840734"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444924b23f1d4b439e2230d5307e55c3" w:history="1">
              <w:r>
                <w:rPr>
                  <w:rFonts w:ascii="Calibri" w:eastAsia="Calibri" w:hAnsi="Calibri" w:cs="Calibri"/>
                  <w:b w:val="0"/>
                  <w:i w:val="0"/>
                  <w:color w:val="000000"/>
                  <w:sz w:val="20"/>
                  <w:u w:val="none"/>
                  <w:shd w:val="clear" w:color="auto" w:fill="auto"/>
                </w:rPr>
                <w:t>3.26.-</w:t>
                <w:tab/>
                <w:t>Reconocimiento de ingresos.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444924b23f1d4b439e2230d5307e55c3" w:history="1">
              <w:r>
                <w:rPr>
                  <w:rFonts w:ascii="Calibri" w:eastAsia="Calibri" w:hAnsi="Calibri" w:cs="Calibri"/>
                  <w:b w:val="0"/>
                  <w:i w:val="0"/>
                  <w:color w:val="000000"/>
                  <w:sz w:val="20"/>
                  <w:u w:val="none"/>
                  <w:shd w:val="clear" w:color="auto" w:fill="auto"/>
                </w:rPr>
                <w:t>30</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cd6b4490951f46aca78855241684e402" w:history="1">
              <w:r>
                <w:rPr>
                  <w:rFonts w:ascii="Calibri" w:eastAsia="Calibri" w:hAnsi="Calibri" w:cs="Calibri"/>
                  <w:b w:val="0"/>
                  <w:i w:val="0"/>
                  <w:color w:val="000000"/>
                  <w:sz w:val="20"/>
                  <w:u w:val="none"/>
                  <w:shd w:val="clear" w:color="auto" w:fill="auto"/>
                </w:rPr>
                <w:t>3.27.-</w:t>
                <w:tab/>
                <w:t>Arrendamientos.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cd6b4490951f46aca78855241684e402" w:history="1">
              <w:r>
                <w:rPr>
                  <w:rFonts w:ascii="Calibri" w:eastAsia="Calibri" w:hAnsi="Calibri" w:cs="Calibri"/>
                  <w:b w:val="0"/>
                  <w:i w:val="0"/>
                  <w:color w:val="000000"/>
                  <w:sz w:val="20"/>
                  <w:u w:val="none"/>
                  <w:shd w:val="clear" w:color="auto" w:fill="auto"/>
                </w:rPr>
                <w:t>31</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c7da816d6f34701a8ffadb37845052b" w:history="1">
              <w:r>
                <w:rPr>
                  <w:rFonts w:ascii="Calibri" w:eastAsia="Calibri" w:hAnsi="Calibri" w:cs="Calibri"/>
                  <w:b w:val="0"/>
                  <w:i w:val="0"/>
                  <w:color w:val="000000"/>
                  <w:sz w:val="20"/>
                  <w:u w:val="none"/>
                  <w:shd w:val="clear" w:color="auto" w:fill="auto"/>
                </w:rPr>
                <w:t>3.28.-</w:t>
                <w:tab/>
                <w:t>Distribución de dividendos.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c7da816d6f34701a8ffadb37845052b" w:history="1">
              <w:r>
                <w:rPr>
                  <w:rFonts w:ascii="Calibri" w:eastAsia="Calibri" w:hAnsi="Calibri" w:cs="Calibri"/>
                  <w:b w:val="0"/>
                  <w:i w:val="0"/>
                  <w:color w:val="000000"/>
                  <w:sz w:val="20"/>
                  <w:u w:val="none"/>
                  <w:shd w:val="clear" w:color="auto" w:fill="auto"/>
                </w:rPr>
                <w:t>32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a416aabd631a4a059f0d4a8f8bbeeb64" w:history="1">
              <w:r>
                <w:rPr>
                  <w:rFonts w:ascii="Calibri" w:eastAsia="Calibri" w:hAnsi="Calibri" w:cs="Calibri"/>
                  <w:b w:val="0"/>
                  <w:i w:val="0"/>
                  <w:color w:val="000000"/>
                  <w:sz w:val="20"/>
                  <w:u w:val="none"/>
                  <w:shd w:val="clear" w:color="auto" w:fill="auto"/>
                </w:rPr>
                <w:t>3.29.-</w:t>
                <w:tab/>
                <w:t>Costo de ventas.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a416aabd631a4a059f0d4a8f8bbeeb64" w:history="1">
              <w:r>
                <w:rPr>
                  <w:rFonts w:ascii="Calibri" w:eastAsia="Calibri" w:hAnsi="Calibri" w:cs="Calibri"/>
                  <w:b w:val="0"/>
                  <w:i w:val="0"/>
                  <w:color w:val="000000"/>
                  <w:sz w:val="20"/>
                  <w:u w:val="none"/>
                  <w:shd w:val="clear" w:color="auto" w:fill="auto"/>
                </w:rPr>
                <w:t>32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ecd2acfbe004b9a98eff374adfad512" w:history="1">
              <w:r>
                <w:rPr>
                  <w:rFonts w:ascii="Calibri" w:eastAsia="Calibri" w:hAnsi="Calibri" w:cs="Calibri"/>
                  <w:b w:val="0"/>
                  <w:i w:val="0"/>
                  <w:color w:val="000000"/>
                  <w:sz w:val="20"/>
                  <w:u w:val="none"/>
                  <w:shd w:val="clear" w:color="auto" w:fill="auto"/>
                </w:rPr>
                <w:t>3.30.-</w:t>
                <w:tab/>
                <w:t>Estado de flujos de efectivo</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ecd2acfbe004b9a98eff374adfad512" w:history="1">
              <w:r>
                <w:rPr>
                  <w:rFonts w:ascii="Calibri" w:eastAsia="Calibri" w:hAnsi="Calibri" w:cs="Calibri"/>
                  <w:b w:val="0"/>
                  <w:i w:val="0"/>
                  <w:color w:val="000000"/>
                  <w:sz w:val="20"/>
                  <w:u w:val="none"/>
                  <w:shd w:val="clear" w:color="auto" w:fill="auto"/>
                </w:rPr>
                <w:t>32</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5b277460e15744beb93c070e34027df9" w:history="1">
              <w:r>
                <w:rPr>
                  <w:rFonts w:ascii="Calibri" w:eastAsia="Calibri" w:hAnsi="Calibri" w:cs="Calibri"/>
                  <w:b w:val="0"/>
                  <w:i w:val="0"/>
                  <w:color w:val="000000"/>
                  <w:sz w:val="20"/>
                  <w:u w:val="none"/>
                  <w:shd w:val="clear" w:color="auto" w:fill="auto"/>
                </w:rPr>
                <w:t>4.-</w:t>
                <w:tab/>
                <w:t>CUENTAS POR COBRAR Y PAGAR A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5b277460e15744beb93c070e34027df9" w:history="1">
              <w:r>
                <w:rPr>
                  <w:rFonts w:ascii="Calibri" w:eastAsia="Calibri" w:hAnsi="Calibri" w:cs="Calibri"/>
                  <w:b w:val="0"/>
                  <w:i w:val="0"/>
                  <w:color w:val="000000"/>
                  <w:sz w:val="20"/>
                  <w:u w:val="none"/>
                  <w:shd w:val="clear" w:color="auto" w:fill="auto"/>
                </w:rPr>
                <w:t>33</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38e797a1c6ff4944bf6526649c7f6d57" w:history="1">
              <w:r>
                <w:rPr>
                  <w:rFonts w:ascii="Calibri" w:eastAsia="Calibri" w:hAnsi="Calibri" w:cs="Calibri"/>
                  <w:b w:val="0"/>
                  <w:i w:val="0"/>
                  <w:color w:val="000000"/>
                  <w:sz w:val="20"/>
                  <w:u w:val="none"/>
                  <w:shd w:val="clear" w:color="auto" w:fill="auto"/>
                </w:rPr>
                <w:t>4.1.-</w:t>
                <w:tab/>
                <w:t>Saldos y transacciones con entidades relacionadas.</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38e797a1c6ff4944bf6526649c7f6d57" w:history="1">
              <w:r>
                <w:rPr>
                  <w:rFonts w:ascii="Calibri" w:eastAsia="Calibri" w:hAnsi="Calibri" w:cs="Calibri"/>
                  <w:b w:val="0"/>
                  <w:i w:val="0"/>
                  <w:color w:val="000000"/>
                  <w:sz w:val="20"/>
                  <w:u w:val="none"/>
                  <w:shd w:val="clear" w:color="auto" w:fill="auto"/>
                </w:rPr>
                <w:t>34</w:t>
              </w:r>
            </w:hyperlink>
          </w:p>
        </w:tc>
      </w:tr>
      <w:tr>
        <w:tblPrEx>
          <w:tblW w:w="9972" w:type="dxa"/>
          <w:tblInd w:w="0" w:type="dxa"/>
          <w:tblLayout w:type="fixed"/>
        </w:tblPrEx>
        <w:trPr>
          <w:cantSplit/>
          <w:trHeight w:hRule="auto" w:val="0"/>
        </w:trPr>
        <w:tc>
          <w:tcPr>
            <w:tcW w:w="8975"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567" w:right="0" w:hanging="567"/>
              <w:jc w:val="left"/>
              <w:outlineLvl w:val="9"/>
              <w:rPr>
                <w:rFonts w:ascii="Calibri" w:eastAsia="Calibri" w:hAnsi="Calibri" w:cs="Calibri"/>
                <w:b w:val="0"/>
                <w:i w:val="0"/>
                <w:color w:val="000000"/>
                <w:sz w:val="20"/>
                <w:u w:val="none"/>
                <w:shd w:val="clear" w:color="auto" w:fill="auto"/>
              </w:rPr>
            </w:pPr>
            <w:hyperlink w:anchor="f6d43485e3a84f338abab6463b16fa5b" w:history="1">
              <w:r>
                <w:rPr>
                  <w:rFonts w:ascii="Calibri" w:eastAsia="Calibri" w:hAnsi="Calibri" w:cs="Calibri"/>
                  <w:b w:val="0"/>
                  <w:i w:val="0"/>
                  <w:color w:val="000000"/>
                  <w:sz w:val="20"/>
                  <w:u w:val="none"/>
                  <w:shd w:val="clear" w:color="auto" w:fill="auto"/>
                </w:rPr>
                <w:t>4.2.-</w:t>
                <w:tab/>
                <w:t>Directorio y gerencia de la sociedad.</w:t>
              </w:r>
            </w:hyperlink>
          </w:p>
        </w:tc>
        <w:tc>
          <w:tcPr>
            <w:tcW w:w="997" w:type="dxa"/>
            <w:tcBorders>
              <w:top w:val="nil"/>
              <w:left w:val="nil"/>
              <w:bottom w:val="nil"/>
              <w:right w:val="nil"/>
            </w:tcBorders>
            <w:tcMar>
              <w:top w:w="0" w:type="dxa"/>
              <w:left w:w="53" w:type="dxa"/>
              <w:bottom w:w="0" w:type="dxa"/>
              <w:right w:w="53" w:type="dxa"/>
            </w:tcMar>
            <w:vAlign w:val="top"/>
          </w:tcPr>
          <w:p>
            <w:pPr>
              <w:pStyle w:val="TOC2-wk"/>
              <w:pageBreakBefore w:val="0"/>
              <w:numPr>
                <w:ilvl w:val="0"/>
                <w:numId w:val="0"/>
              </w:numPr>
              <w:spacing w:before="43" w:after="20" w:line="240" w:lineRule="auto"/>
              <w:ind w:left="0" w:right="0" w:firstLine="0"/>
              <w:jc w:val="right"/>
              <w:outlineLvl w:val="9"/>
              <w:rPr>
                <w:rFonts w:ascii="Calibri" w:eastAsia="Calibri" w:hAnsi="Calibri" w:cs="Calibri"/>
                <w:b w:val="0"/>
                <w:i w:val="0"/>
                <w:color w:val="000000"/>
                <w:sz w:val="20"/>
                <w:u w:val="none"/>
                <w:shd w:val="clear" w:color="auto" w:fill="auto"/>
              </w:rPr>
            </w:pPr>
            <w:hyperlink w:anchor="f6d43485e3a84f338abab6463b16fa5b" w:history="1">
              <w:r>
                <w:rPr>
                  <w:rFonts w:ascii="Calibri" w:eastAsia="Calibri" w:hAnsi="Calibri" w:cs="Calibri"/>
                  <w:b w:val="0"/>
                  <w:i w:val="0"/>
                  <w:color w:val="000000"/>
                  <w:sz w:val="20"/>
                  <w:u w:val="none"/>
                  <w:shd w:val="clear" w:color="auto" w:fill="auto"/>
                </w:rPr>
                <w:t>36</w:t>
              </w:r>
            </w:hyperlink>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14"/>
          <w:footerReference w:type="default" r:id="rId15"/>
          <w:pgSz w:w="12240" w:h="15840"/>
          <w:pgMar w:top="1134" w:right="1134" w:bottom="1134" w:left="1134" w:header="0" w:footer="425"/>
          <w:cols w:space="708"/>
        </w:sectPr>
      </w:pPr>
    </w:p>
    <w:p>
      <w:pPr>
        <w:pStyle w:val="Normal-wk"/>
        <w:keepNext/>
        <w:keepLines/>
        <w:pageBreakBefore w:val="0"/>
        <w:widowControl w:val="0"/>
        <w:numPr>
          <w:ilvl w:val="0"/>
          <w:numId w:val="0"/>
        </w:numPr>
        <w:tabs>
          <w:tab w:val="left" w:pos="700"/>
        </w:tabs>
        <w:spacing w:before="0" w:after="0" w:line="288" w:lineRule="auto"/>
        <w:ind w:left="0" w:right="0" w:firstLine="0"/>
        <w:jc w:val="both"/>
        <w:outlineLvl w:val="0"/>
        <w:rPr>
          <w:rFonts w:ascii="Calibri" w:eastAsia="Calibri" w:hAnsi="Calibri" w:cs="Calibri"/>
          <w:b w:val="0"/>
          <w:i w:val="0"/>
          <w:color w:val="000000"/>
          <w:sz w:val="20"/>
          <w:u w:val="none"/>
        </w:rPr>
      </w:pPr>
      <w:bookmarkStart w:id="6" w:name="Section7"/>
      <w:bookmarkEnd w:id="6"/>
      <w:r>
        <w:rPr>
          <w:rFonts w:ascii="Calibri" w:eastAsia="Calibri" w:hAnsi="Calibri" w:cs="Calibri"/>
          <w:b/>
          <w:i w:val="0"/>
          <w:color w:val="000000"/>
          <w:sz w:val="20"/>
          <w:u w:val="none"/>
        </w:rPr>
        <w:t>CGE MAGALLANES S.A. Y SUBSIDIARIA.</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NOTAS A LOS ESTADOS FINANCIEROS RESUMIDOS CONSOLIDADOS</w:t>
      </w:r>
    </w:p>
    <w:p>
      <w:pPr>
        <w:pStyle w:val="Normal-wk"/>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r>
        <w:rPr>
          <w:rFonts w:ascii="Calibri" w:eastAsia="Calibri" w:hAnsi="Calibri" w:cs="Calibri"/>
          <w:b/>
          <w:i w:val="0"/>
          <w:color w:val="000000"/>
          <w:sz w:val="20"/>
          <w:u w:val="none"/>
        </w:rPr>
        <w:t xml:space="preserve">Correspondientes al </w:t>
      </w:r>
      <w:r>
        <w:rPr>
          <w:rFonts w:ascii="Calibri" w:eastAsia="Calibri" w:hAnsi="Calibri" w:cs="Calibri"/>
          <w:b/>
          <w:i w:val="0"/>
          <w:color w:val="000000"/>
          <w:sz w:val="20"/>
          <w:u w:val="none"/>
        </w:rPr>
        <w:t>30 de junio de 2026 y 2025</w:t>
      </w:r>
      <w:r>
        <w:rPr>
          <w:rFonts w:ascii="Calibri" w:eastAsia="Calibri" w:hAnsi="Calibri" w:cs="Calibri"/>
          <w:b/>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pPr>
      <w:r>
        <w:pict>
          <v:shape id="_x0000_i1033" type="#_x0000_t75" style="width:498.9pt;height:1.98pt">
            <v:imagedata r:id="rId7" o:title=""/>
            <o:lock v:ext="edit" aspectratio="t"/>
          </v:shape>
        </w:pic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Heading1-wk"/>
        <w:keepNext w:val="0"/>
        <w:keepLines/>
        <w:pageBreakBefore w:val="0"/>
        <w:widowControl w:val="0"/>
        <w:numPr>
          <w:ilvl w:val="0"/>
          <w:numId w:val="0"/>
        </w:numPr>
        <w:spacing w:before="0" w:after="0" w:line="240" w:lineRule="exact"/>
        <w:ind w:left="0" w:right="0" w:firstLine="0"/>
        <w:jc w:val="both"/>
        <w:outlineLvl w:val="9"/>
        <w:rPr>
          <w:rFonts w:ascii="Cambria" w:eastAsia="Cambria" w:hAnsi="Cambria" w:cs="Cambria"/>
          <w:b/>
          <w:i w:val="0"/>
          <w:color w:val="365F91"/>
          <w:sz w:val="28"/>
          <w:u w:val="none"/>
        </w:rPr>
      </w:pPr>
      <w:bookmarkStart w:id="7" w:name="05a1488241124140be78eb7d96401ed9"/>
      <w:r>
        <w:rPr>
          <w:rFonts w:ascii="Calibri" w:eastAsia="Calibri" w:hAnsi="Calibri" w:cs="Calibri"/>
          <w:b/>
          <w:i w:val="0"/>
          <w:color w:val="000000"/>
          <w:sz w:val="20"/>
          <w:u w:val="none"/>
        </w:rPr>
        <w:t>1.-</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GENERAL.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Magallanes S.A. Rut 99.548.260-6, es una sociedad anónima cerrada, tiene su domicilio social en Avda. Presidente Riesco N° 5561 piso 17 en la comuna de Las Condes de la ciudad de Santiago, en la República de Chile.</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accionista propietario del 99,89% de las acciones de CGE Magallanes S.A. es Compañía General de Electricidad S.A.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xml:space="preserve">, el accionista propietario del 97,145% de las acciones de la matriz Compañía General de Electricidad S.A. es State Grid Chile Electricity SpA., miembro </w:t>
      </w:r>
      <w:r>
        <w:rPr>
          <w:rFonts w:ascii="Calibri" w:eastAsia="Calibri" w:hAnsi="Calibri" w:cs="Calibri"/>
          <w:b w:val="0"/>
          <w:i w:val="0"/>
          <w:color w:val="000000"/>
          <w:sz w:val="20"/>
          <w:highlight w:val="white"/>
          <w:u w:val="none"/>
        </w:rPr>
        <w:t>del Grupo State Grid Corporation of China, cuya matriz final es dicha sociedad.</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La emisión de estos estados financieros consolidados correspondiente al ejercicio terminado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han sido aprobados en Sesión de Directorio con fecha 3 de marzo de 2026,</w:t>
      </w:r>
      <w:r>
        <w:rPr>
          <w:rFonts w:ascii="Calibri" w:eastAsia="Calibri" w:hAnsi="Calibri" w:cs="Calibri"/>
          <w:b w:val="0"/>
          <w:i w:val="0"/>
          <w:color w:val="000000"/>
          <w:sz w:val="20"/>
          <w:u w:val="none"/>
        </w:rPr>
        <w:t xml:space="preserve"> quien con dicha fecha autorizó además su publicación.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18"/>
          <w:u w:val="none"/>
        </w:rPr>
        <w:sectPr>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highlight w:val="white"/>
          <w:u w:val="none"/>
        </w:rPr>
      </w:pPr>
      <w:bookmarkStart w:id="8" w:name="Section8"/>
      <w:bookmarkEnd w:id="8"/>
      <w:bookmarkStart w:id="9" w:name="d3e76b8b24e14a75953eccee3b051804"/>
      <w:r>
        <w:rPr>
          <w:rFonts w:ascii="Calibri" w:eastAsia="Calibri" w:hAnsi="Calibri" w:cs="Calibri"/>
          <w:b/>
          <w:i w:val="0"/>
          <w:color w:val="000000"/>
          <w:sz w:val="20"/>
          <w:highlight w:val="white"/>
          <w:u w:val="none"/>
        </w:rPr>
        <w:t>2.-</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DESCRIPCIÓN DE LOS SECTORES DONDE PARTICIPA CGE MAGALLANES S.A. Y SUBSIDIARIA</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9"/>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participa en la venta de energía eléctrica a través de su subsidiaria Empresa Eléctrica de Magallanes S.A. (Edelmag S.A.) en la Región de Magallanes y Antártica Chilena.</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características de los mercados donde opera la subsidiaria Edelmag S.A.:</w:t>
      </w:r>
    </w:p>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9" w:right="0" w:firstLine="0"/>
        <w:jc w:val="both"/>
        <w:outlineLvl w:val="9"/>
        <w:sectPr>
          <w:type w:val="continuous"/>
          <w:pgSz w:w="12240" w:h="15840"/>
          <w:pgMar w:top="1134" w:right="1134" w:bottom="1134" w:left="1134" w:header="0" w:footer="425"/>
          <w:cols w:space="708"/>
        </w:sectPr>
      </w:pPr>
    </w:p>
    <w:p>
      <w:pPr>
        <w:pStyle w:val="Normal-wk"/>
        <w:keepNext/>
        <w:keepLines/>
        <w:pageBreakBefore w:val="0"/>
        <w:widowControl w:val="0"/>
        <w:numPr>
          <w:ilvl w:val="0"/>
          <w:numId w:val="0"/>
        </w:numPr>
        <w:tabs>
          <w:tab w:val="left" w:pos="700"/>
        </w:tabs>
        <w:spacing w:before="0" w:after="0" w:line="288" w:lineRule="auto"/>
        <w:ind w:left="709" w:right="0" w:firstLine="0"/>
        <w:jc w:val="both"/>
        <w:outlineLvl w:val="1"/>
        <w:rPr>
          <w:rFonts w:ascii="Calibri" w:eastAsia="Calibri" w:hAnsi="Calibri" w:cs="Calibri"/>
          <w:b w:val="0"/>
          <w:i w:val="0"/>
          <w:color w:val="000000"/>
          <w:sz w:val="20"/>
          <w:u w:val="none"/>
        </w:rPr>
      </w:pPr>
      <w:bookmarkStart w:id="10" w:name="Section9"/>
      <w:bookmarkEnd w:id="10"/>
      <w:r>
        <w:rPr>
          <w:rFonts w:ascii="Calibri" w:eastAsia="Calibri" w:hAnsi="Calibri" w:cs="Calibri"/>
          <w:b/>
          <w:i w:val="0"/>
          <w:color w:val="000000"/>
          <w:sz w:val="20"/>
          <w:u w:val="none"/>
        </w:rPr>
        <w:t>2.1.-</w:t>
      </w:r>
      <w:r>
        <w:rPr>
          <w:rFonts w:ascii="Calibri" w:eastAsia="Calibri" w:hAnsi="Calibri" w:cs="Calibri"/>
          <w:b/>
          <w:i w:val="0"/>
          <w:color w:val="000000"/>
          <w:sz w:val="20"/>
          <w:u w:val="none"/>
        </w:rPr>
        <w:tab/>
      </w:r>
      <w:r>
        <w:rPr>
          <w:rFonts w:ascii="Calibri" w:eastAsia="Calibri" w:hAnsi="Calibri" w:cs="Calibri"/>
          <w:b/>
          <w:i w:val="0"/>
          <w:color w:val="000000"/>
          <w:sz w:val="20"/>
          <w:u w:val="none"/>
        </w:rPr>
        <w:t>Sector electricidad.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Generación, Transmisión y Distribución de electricidad en Magallanes: </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subsidiaria Empresa Eléctrica de Magallanes S.A. participa en los negocios de generación, transporte, distribución y suministro de energía eléctrica en la Región de Magallanes y Antártica Chilena, abasteciendo a 74.462 clientes, con ventas físicas que alcanzaron a 351,07 GWh al 31 de diciembre de 2025. Para la generación de energía eléctrica cuenta con centrales generadoras térmicas en cada uno de los 4 sistemas eléctricos atendidos por la subsidiaria, con una potencia bruta total de 121,3 MW.</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composición de los activos se encuentran 100% radicados en el sector eléctrico, que corresponden a</w:t>
      </w: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inversiones en las actividades de generación, transmisión y distribución de energía eléctrica.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Aspectos regulatorios: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actividad de distribución de electricidad en Chile está sujeta a la normativa contemplada en la Ley General de Servicios Eléctricos (DFL N° 4-2006 del Ministerio de Economía, Fomento y Reconstrucción). Dicha Ley establece un marco regulatorio con criterios objetivos para la fijación de precios, de forma tal que el resultado de su aplicación sea la asignación económicamente eficiente de recursos en el sector eléctrico.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sistema regulatorio, vigente desde 1982, aunque ha sufrido modificaciones importantes en los últimos años, ha permitido un desarrollo satisfactorio del sector eléctrico. Asimismo, contribuyó a un rápido proceso de crecimiento, con altas tasas de inversión durante la última década, a la diversificación de la oferta en generación, e importantes reducciones en los costos de producción, transporte y distribución.</w:t>
      </w:r>
    </w:p>
    <w:p>
      <w:pPr>
        <w:pStyle w:val="Normal-wk"/>
        <w:keepNext w:val="0"/>
        <w:keepLines/>
        <w:pageBreakBefore/>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Ley N° 21.194, publicada el 21 de diciembre de 2019, mediante la cual se rebajó la rentabilidad de las empresas de distribución y perfeccionó el proceso tarifario de distribución eléctrica, modificó el marco normativo que regula el segmento de distribución de electricidad, estableciendo, por un lado, un mecanismo de estabilización de los niveles de precios asociados al valor agregado por concepto de costos de distribución, debiendo ser incorporadas las diferencias originadas por su aplicación a las tarifas resultantes de los siguientes procesos de tarificación de los suministros a clientes regulados, y por otra parte, la obligación para las empresas distribuidoras de constituirse como sociedades de giro exclusivo de distribución de energía eléctrica. Sobre esta materia debe considerarse que la Comisión Nacional de Energía (CNE), en la resolución que definió el alcance de la exclusividad de giro establecida en la Ley         N° 21.194, dispuso que en el caso de las empresas distribuidoras que operen en Sistemas Medianos se da cumplimiento a esta obligación mediante la implementación de un sistema de control y registro de gastos e ingresos que permita establecer de forma diferenciada los resultados de la gestión económica correspondiente a la prestación de los servicios comprendidos dentro del giro exclusivo de distribución.</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particular, el mercado ha sido dividido en dos categorías: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Clientes sujetos a fijación de precios o clientes regulados, que corresponden principalmente a aquellos cuya potencia conectada es igual o inferior a 5.000 kW y;</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842"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b)</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Clientes no sujetos a fijación de precios o clientes libres. Las tarifas aplicables a clientes regulados son fijadas por la autoridad, mientras que los precios de suministro para clientes libres se pactan libremente.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Adicionalmente, los clientes regulados que tienen una potencia conectada mayor a 300 kW se encuentran facultados para optar entre la tarifa regulada y una de precio libre, con un periodo mínimo de cuatro años de permanencia en cada régimen, y comunicado con una antelación de, al menos, 12 meses. Se hace presente que, a partir del 9 </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 diciembre de 2024, mediante la publicación de la Resolución Exenta N° 58-2024 del Ministerio de Energía, dicho límite fue rebajado de 500 kW a 300 kW, previa consulta del Ministerio al Tribunal de la Libre Competencia.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Demanda</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crecimiento de la demanda va a depender del incremento del consumo, el cual se relaciona con el mejoramiento del ingreso y el desarrollo tecnológico asociado a mayor acceso a equipos electrodomésticos y de automatización en la industria. Otro factor influyente es el incremento de la población y las viviendas, lo que está fuertemente asociado a los planes de desarrollo urbano. Lo anterior permite concluir que el crecimiento de este mercado está asociado al crecimiento de la región. Podemos inferir que el consumo per cápita aún es bajo, en comparación a países desarrollados, por lo tanto, las perspectivas de crecimiento del consumo de energía eléctrica son positivas, lo que se traduce en que el riesgo relacionado a la volatilidad y evolución de la demanda es bastante reducido.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Precios Generación – Transmisión:</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segmentos de generación y transmisión de las empresas cuya capacidad instalada sea mayor a 1,5 MW y menor a 200 MW, denominados Sistemas Medianos, están regulados por el Estado. La regulación establece las condiciones de precios y define la expansión de los sistemas en el mediano plazo.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marco regulatorio está definido por la Ley General de Servicios Eléctricos cuyo texto se encuentra contenido en el DFL N° 4-2006 del Ministerio de Economía, Fomento y Reconstrucción, el Reglamento de la Ley General de Servicios Eléctricos (Decreto N° 327- 1997 del Ministerio de Minería), el Reglamento de Valorización y Expansión de los Sistemas Medianos (Decreto N° 229-2005 del Ministerio de Economía, Fomento y Reconstrucción) y los decretos tarifarios y demás normas técnicas y reglamentarias emanadas del referido Ministerio, de la Comisión Nacional de Energía (CNE) y de la Superintendencia de Electricidad y Combustibles (SEC).</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Este segmento no opera bajo concesión de servicio público y por consiguiente existe libertad para que otros actores participen del sistema eléctrico, debiéndose operar en estos casos las instalaciones en forma coordinada.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Al respecto, con fecha 30 de abril de 2020 </w:t>
      </w:r>
      <w:r>
        <w:rPr>
          <w:rFonts w:ascii="Calibri" w:eastAsia="Calibri" w:hAnsi="Calibri" w:cs="Calibri"/>
          <w:b w:val="0"/>
          <w:i w:val="0"/>
          <w:color w:val="000000"/>
          <w:sz w:val="20"/>
          <w:u w:val="none"/>
        </w:rPr>
        <w:t>fue</w:t>
      </w:r>
      <w:r>
        <w:rPr>
          <w:rFonts w:ascii="Calibri" w:eastAsia="Calibri" w:hAnsi="Calibri" w:cs="Calibri"/>
          <w:b w:val="0"/>
          <w:i w:val="0"/>
          <w:sz w:val="20"/>
        </w:rPr>
        <w:t xml:space="preserve"> publicado el Decreto N° 10T-2019 del Ministerio de Energía, </w:t>
      </w:r>
      <w:r>
        <w:rPr>
          <w:rFonts w:ascii="Calibri" w:eastAsia="Calibri" w:hAnsi="Calibri" w:cs="Calibri"/>
          <w:b w:val="0"/>
          <w:i w:val="0"/>
          <w:color w:val="000000"/>
          <w:sz w:val="20"/>
          <w:u w:val="none"/>
        </w:rPr>
        <w:t xml:space="preserve">que </w:t>
      </w:r>
      <w:r>
        <w:rPr>
          <w:rFonts w:ascii="Calibri" w:eastAsia="Calibri" w:hAnsi="Calibri" w:cs="Calibri"/>
          <w:b w:val="0"/>
          <w:i w:val="0"/>
          <w:sz w:val="20"/>
        </w:rPr>
        <w:t>fija precios a nivel generación y transmisión en Sistemas Medianos de Punta Arenas, Puerto Natales, Porvenir y Puerto Williams, y establece planes de expansión en los sistemas señalados para el periodo 2018-2022. Este decreto determinó como parte del Plan de Expansión del sistema Punta Arenas, la entrada en operación de un parque eólico de propiedad de la empresa Vientos Patagónicos S.A. a partir de enero de 2020 con una potencia instalada de 10,35 MW, así como la conexión de una Línea de Transmisión, de propiedad de Pecket Energy S.A., que unirá este nuevo parque con la Central Tres Puentes, siendo dicha empresa también propietaria del parque eólico de 2,55 MW que se encuentra en operación en el mismo sistema desde julio de 2015. De acuerdo a lo informado por su dueño y aprobado por la Comisión Nacional de Energía (CNE) en su Resolución Exenta N° 385-2020, el parque eólico Vientos Patagónicos inició sus operaciones en el mes de octubre de 2020. La capacidad instalada de ambos parques eólicos representa un 13,65% de la potencia instalada total del sistema mediano de Punta Arenas.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sz w:val="20"/>
        </w:rPr>
      </w:pPr>
      <w:r>
        <w:rPr>
          <w:rFonts w:ascii="Calibri" w:eastAsia="Calibri" w:hAnsi="Calibri" w:cs="Calibri"/>
          <w:b w:val="0"/>
          <w:i w:val="0"/>
          <w:sz w:val="20"/>
        </w:rPr>
        <w:t>Con fecha 4 de julio de 2025 fue publicado el Decreto N° 8T-2024 del Ministerio de Energía, que fija precios a nivel generación y transmisión en Sistemas Medianos de Punta Arenas, Puerto Natales, Porvenir y Puerto Williams, y establece planes de expansión en los sistemas señalados para el periodo 2022-2026. Este Decreto reemplazará en Decreto 10T-2019 a contar del 1° de enero de 2026.</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sz w:val="20"/>
        </w:rPr>
      </w:pPr>
      <w:r>
        <w:rPr>
          <w:rFonts w:ascii="Calibri" w:eastAsia="Calibri" w:hAnsi="Calibri" w:cs="Calibri"/>
          <w:b w:val="0"/>
          <w:i w:val="0"/>
          <w:sz w:val="20"/>
        </w:rPr>
        <w:t>Las tarifas de generación y transmisión se fijan por decreto supremo cada 4 años, considerando una metodología basada en la determinación del costo incremental de desarrollo y el costo total de largo plazo de una empresa eficiente. A partir del dimensionamiento de esta empresa eficiente, se fijan las tarifas considerando una tasa de descuento de 10% antes de impuestos. Este estudio considera una capacidad de generación adaptada a la demanda, que permita cumplir con una óptima calidad de servicio.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sz w:val="20"/>
        </w:rPr>
      </w:pPr>
      <w:r>
        <w:rPr>
          <w:rFonts w:ascii="Calibri" w:eastAsia="Calibri" w:hAnsi="Calibri" w:cs="Calibri"/>
          <w:b w:val="0"/>
          <w:i w:val="0"/>
          <w:sz w:val="20"/>
        </w:rPr>
        <w:t>Estas tarifas se indexan semestralmente o cada vez que ocurra una variación superior al 10%, según las fórmulas establecidas en los decretos respectivos. En el caso de las tarifas de generación, las fórmulas de indexación vigentes incorporan como parámetro indexador de los combustibles, el promedio de tres meses del precio del gas natural y de seis meses del precio del petróleo diésel. En este contexto, cuando las condiciones de precio de estos combustibles se modifican, no es posible traspasar inmediatamente a tarifa sus efectos. Al no existir un esquema pass-through perfecto existe un riesgo asociado a las modificaciones de precios de los combustibles, principalmente el precio del gas natural por su mayor incidencia en la generación de Edelmag. El decreto tarifario permite traspasar las diferencias de costos de combustibles cuando existan restricciones de gas que obliguen a generar con diésel, debidamente instruido por la autoridad competente.</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Estabilización de precios de generación: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Mediante la Ley N° 21.185 publicada </w:t>
      </w:r>
      <w:r>
        <w:rPr>
          <w:rFonts w:ascii="Calibri" w:eastAsia="Calibri" w:hAnsi="Calibri" w:cs="Calibri"/>
          <w:b w:val="0"/>
          <w:i w:val="0"/>
          <w:sz w:val="20"/>
        </w:rPr>
        <w:t>el</w:t>
      </w:r>
      <w:r>
        <w:rPr>
          <w:rFonts w:ascii="Calibri" w:eastAsia="Calibri" w:hAnsi="Calibri" w:cs="Calibri"/>
          <w:b w:val="0"/>
          <w:i w:val="0"/>
          <w:color w:val="000000"/>
          <w:sz w:val="20"/>
          <w:u w:val="none"/>
        </w:rPr>
        <w:t xml:space="preserve"> 2 de noviembre de 2019, se estableció un mecanismo transitorio de estabilización de precios de generación de energía eléctrica para clientes sujetos a regulación de tarifas, el cual es aplicable a las empresas que operan en el Sistema Eléctrico Nacional. Posteriormente, mediante la Ley N° 21.194, publicada el 21 de diciembre de 2019 se hizo extensiva la aplicación de dicho mecanismo a los Sistemas Medianos. Dicho mecanismo implica que las tarifas aplicadas no se modifiquen durante un tiempo, no obstante, los ingresos que se generen como diferencial entre la facturación de consumos con la tarifa estabilizada y las tarifas que correspondería aplicar según la normativa vigente conformará un saldo que será retribuido entre el año 2024 y 2027.</w:t>
      </w:r>
    </w:p>
    <w:p>
      <w:pPr>
        <w:pStyle w:val="Normal-wk"/>
        <w:keepNext w:val="0"/>
        <w:keepLines/>
        <w:pageBreakBefore/>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2 de agosto de 2022 fue promulgada la Ley N° 21.472. Esta ley modifica la Ley General de Servicios Eléctricos creando un Fondo de Estabilización de Tarifas (FET), el cual será administrado por la Tesorería General de la República, y cuyo objeto será la estabilización de las tarifas eléctricas para clientes regulados. Establece que, dentro del cargo por servicio público, se considerará un pago adicional máximo, que tendrá por objeto financiar el Fondo de Estabilización de Tarifas, y que será diferenciado por tramos de consumo de acuerdo con los parámetros establecidos en la ley. Además, establece un Mecanismo Transitorio de Protección al Cliente. Su vigencia se extiende hasta el 31 de diciembre de 2032.</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Posteriormente, el 30 de abril de 2024 se publicó en el Diario Oficial la Ley N° 21.667 que “Modifica diversos cuerpos legales en materia de estabilización tarifaria”. cuyo objeto consiste en mitigar el alza en las cuentas de la luz. También, busca implementar un subsidio transitorio para el consumo eléctrico de clientes residenciales vulnerables durante 2024-2026.</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También considera una reformulación del cargo MPC. Aquí se establece un valor fijo para el cargo, con ajustes semestrales según el Indice de Precios al Consumidor (IPC), para extinguir los saldos originados por las leyes anteriores, aplicables a todos los clientes regulados a partir de 2025.</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Por otra parte, se incluye la creación de una mesa técnica de trabajo. Esta permitirá evaluar otras fuentes de financiamiento, a efectos de aumentar el monto anual del subsidio a familias vulnerables. También, favorece el análisis de otras políticas destinadas a disminuir el alza de las tarifas eléctricas para los clientes regulados.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cuanto al subsidio mencionado, en su artículo sexto transitorio la ley establece que durante los años 2024, 2025 y 2026, el subsidio transitorio al pago del consumo de energía eléctrica para usuarios residenciales a que se refiere el artículo 151 de la Ley General de Servicios Eléctricos será dispuesto mediante decreto supremo, fundado, expedido a través del Ministerio de Energía, dictado bajo la fórmula “por orden del Presidente de la República”, el que deberá ser suscrito además, por el Ministro de Hacienda y el Ministro de Desarrollo Social y Familia. Este subsidio favorecerá a usuarios residenciales pertenecientes a los hogares identificados de acuerdo al instrumento del artículo 5° de la Ley N° 20.379, o el instrumento que lo reemplace, que se encuentren al día en el pago de las cuentas por concepto de dicho consumo y según los requisitos que se establezcan en el decreto supremo previamente indicado, en el cual, además, se regulará el procedimiento de concesión, pago y demás normas necesarias para su otorgamiento. Asimismo, este decreto supremo podrá establecer mecanismos alternativos al establecido en los incisos tercero y final del artículo 151 de la Ley General de Servicios Eléctricos.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Durante los años 2024, 2025 y 2026, el Ministerio de Hacienda realizará aportes anuales de 20 millones de dólares de los Estados Unidos de América, o su equivalente en moneda nacional, al Fondo de Estabilización de Tarifas del artículo 1 de la Ley N° 21.472, mediante uno o más decretos expedidos bajo la fórmula “por orden del Presidente de la República”, recursos que serán utilizados para los fines establecidos en el presente artículo. Para el financiamiento de este subsidio se podrá destinar hasta un monto anual máximo de 120 millones de dólares de los Estados Unidos de América o su equivalente en moneda nacional, del Fondo de Estabilización de Tarifas, establecido en el artículo 212-14 de la Ley General de Servicios Eléctricos, así como los demás recursos que disponga la ley.</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Su vigencia se extiende hasta el 31 de diciembre de 2035.</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suministro de gas natural, necesario para la generación de energía eléctrica, se encuentra regulado por la normativa vigente Ley de Servicios de Gas y el Decreto 8T-2019 del Ministerio de Energía, que fija fórmulas tarifarias aplicables a los servicios de gas y servicios afines en la Región de Magallanes y de la Antártica Chilena, la que asegura su disponibilidad y garantiza su tarifa con independencia del nivel de consumo mensual. Por su parte, el Decreto 7T, publicado el 22 de febrero de 2022 actualiza el valor del gas al ingreso de sistema de distribución determinado en el Decreto 8T.</w:t>
      </w:r>
    </w:p>
    <w:p>
      <w:pPr>
        <w:pStyle w:val="Normal-wk"/>
        <w:keepNext w:val="0"/>
        <w:keepLines/>
        <w:pageBreakBefore/>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 lo indicado anteriormente se puede concluir que el negocio de generación–transmisión de los Sistemas Medianos posee un bajo nivel de riesgo desde el punto de vista tarifario, ya que los precios son determinados por la legislación vigente mediante un mecanismo de carácter técnico, el cual permite obtener una rentabilidad razonable para los activos invertidos en este sector.</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Precios Distribución:</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segmento de distribución de electricidad en Chile se encuentra regulado por el Estado debido a que presenta las características propias de monopolio natural. Consecuentemente, se establece un régimen de concesiones para el establecimiento, operación y explotación de redes de distribución de servicio público, donde se delimita territorialmente la zona de operación de las empresas distribuidoras. Asimismo, se regulan las condiciones de explotación de este negocio, los precios que se pueden cobrar a clientes regulados y la calidad de servicio que debe prestar.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marco regulatorio de la industria eléctrica en Chile está definido por la Ley General de Servicios Eléctricos, cuyo texto se encuentra contenido en el DFL N° 4-2006 del Ministerio de Economía, Fomento y Reconstrucción, el Reglamento de la Ley General de Servicios Eléctricos (Decreto N° 327-1997 del Ministerio de Minería), los decretos tarifarios y demás normas técnicas y reglamentarias emanadas del Ministerio de Energía, de la Comisión Nacional de Energía (CNE) y de la Superintendencia de Electricidad y Combustibles (SEC).</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 agregado de distribución (VAD).</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tarifa regulada de distribución, que es fijada por el Ministerio de Energía en un procedimiento que es encabezado por la Comisión Nacional de Energía, resulta de la suma de tres componentes:</w:t>
      </w:r>
    </w:p>
    <w:p>
      <w:pPr>
        <w:keepNext w:val="0"/>
        <w:keepLines/>
        <w:pageBreakBefore w:val="0"/>
        <w:widowControl w:val="0"/>
        <w:numPr>
          <w:ilvl w:val="0"/>
          <w:numId w:val="0"/>
        </w:numPr>
        <w:spacing w:before="0" w:after="0" w:line="288" w:lineRule="auto"/>
        <w:ind w:left="2127" w:right="0" w:hanging="709"/>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Precio de Nudo de Generación-Transmisión: Corresponde al precio aplicable a la compra de energía para consumos regulados. Dicho valor es fijado por la autoridad de acuerdo a lo indicado precedentemente;</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Cargo por Servicio Público y;</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Valor Agregado de Distribución (VAD), que permite cubrir los costos de operación y mantenimiento del sistema de distribución, los correspondientes costos de comercialización y rentar sobre todas sus instalaciones.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Precio de Nudo de Generación-Transmisión y el Cargo por Servicio Público son traspasados a los clientes finales, correspondiendo el Valor Agregado de Distribución (VAD) a la retribución de la empresa distribuidora.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Ley General de Servicios Eléctricos establece que cada 4 años se debe efectuar el cálculo de los costos de los componentes del VAD, basado en el dimensionamiento de empresas modelo de distribución de energía eléctrica, las cuales deben ser eficientes y satisfacer óptimamente la demanda con la calidad de servicio determinada en la normativa vigente.</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40" w:right="0" w:firstLine="72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Agregado de Distribución retribuye:</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Costos fijos por concepto de gastos de administración, facturación y atención del usuario, independiente de su consumo;</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Pérdidas medias de distribución en potencia y energía;</w:t>
      </w:r>
    </w:p>
    <w:p>
      <w:pPr>
        <w:pStyle w:val="Normal-wk"/>
        <w:keepNext w:val="0"/>
        <w:keepLines/>
        <w:pageBreakBefore w:val="0"/>
        <w:widowControl w:val="0"/>
        <w:numPr>
          <w:ilvl w:val="0"/>
          <w:numId w:val="0"/>
        </w:numPr>
        <w:tabs>
          <w:tab w:val="left" w:pos="700"/>
        </w:tabs>
        <w:spacing w:before="0" w:after="0" w:line="240" w:lineRule="exact"/>
        <w:ind w:left="2551" w:right="0" w:hanging="425"/>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Costos estándares de inversión, mantención y operación asociados a la distribución por unidad de potencia suministrada. Los costos anuales de inversión se calculan considerando el Valor Nuevo de Reemplazo, de instalaciones adaptadas a la demanda, su vida útil, y una tasa de actualización determinada en cada proceso tarifario, la que no puede ser inferior al 6% ni superior al 8% real anual después de impuestos.</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la determinación del Valor Agregado de Distribución (VAD), en conformidad con el procedimiento definido en la Ley N° 21.194, el estudio de costos debe ser licitado y adjudicado, siendo ejecutado y supervisado por un comité integrado por representantes de las distribuidoras, dos representantes del Ministerio de Energía y dos representantes de la Comisión Nacional de Energía (CNE).</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Comisión Nacional de Energía (CNE) debe elaborar un informe técnico sobre la base del señalado estudio, respecto del cual se podrán presentar observaciones ante ese mismo organismo y, posteriormente, discrepancias ante el Panel de Expertos.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 el Valor Agregado de Distribución (VAD) definitivo, la Comisión Nacional de Energía (CNE) estructura las fórmulas tarifarias finales y sus fórmulas de indexación, las cuales, de acuerdo con los procedimientos establecidos, son fijadas mediante decreto del Ministerio de Energía. Dichas fórmulas de indexación, que son aplicadas mensualmente, reflejan las variaciones de los precios de los principales insumos que afectan los costos de la actividad de distribución de electricidad.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Dada la existencia de economías de escala en la actividad de distribución de electricidad, las empresas alcanzan anualmente rendimientos crecientes en función del aumento de sus costos y de la demanda en sus zonas de concesión, los cuales son incorporados en las tarifas reguladas y transferidos a los clientes mediante la aplicación de factores de ajuste anuales determinados por la Comisión Nacional de Energía (CNE) e incluidos en el decreto tarifario cuadrienal.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Ley General de Servicios Eléctricos establece que al momento de la fijación de tarifas las concesionarias deben mantener una rentabilidad agregada, esto es considerando a todas las empresas como un conjunto, dentro de una banda comprendida entre -3 puntos porcentuales por debajo y 2 puntos porcentuales por arriba de la tasa de descuento que haya sido determinada. De este modo, el retorno sobre la inversión para una distribuidora dependerá de su desempeño relativo a los estándares determinados para una empresa modelo.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7 de junio de 2024 fue publicado en el Diario Oficial el Decreto N° 5T-2024 del Ministerio de Energía, que fija las fórmulas tarifarias aplicables a clientes finales sujetos a fijación de precios regulados, las cuales tienen vigencia desde el 4 de noviembre de 2020 hasta el 3 de noviembre de 2024. No obstante, la ley establece que, una vez vencido el período de vigencia de las fórmulas tarifarias, éstas continuarán vigentes, incluidas sus cláusulas de indexación, mientras no sean fijadas las nuevas fórmulas.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Actualmente se encuentra en curso el proceso de fijación de tarifas correspondiente al cálculo de las componentes del Valor Agregado de Distribución (VAD), cuadrienio noviembre 2024–2028, cuya aplicación debió iniciarse a partir del 4 de noviembre de 2024. Así, las diferencias que se produzcan entre lo efectivamente facturado y lo que corresponda acorde a las fórmulas tarifarias que en definitiva se establezcan, deberán ser abonadas o cargadas a la cuenta de los clientes finales.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Al respecto, con fecha 10 de octubre de 2025, la CNE, comunica a las empresas concesionarias de distribución, mediante la Resolución Exenta N° 626 que Aprueba Informe Técnico Preliminar del Cálculo de las componentes del Valor Agregado de Distribución, cuadrienio noviembre 2024–noviembre 2028, el que fue observado por las empresas distribuidoras dentro del plazo definido por la regulación.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ii)</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Precios de servicios no consistentes en suministro de energía:</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Por otra parte, en la misma ocasión en que se fija el Valor Agregado de Distribución (VAD), cada cuatro años, se fijan los precios de los servicios no consistentes en suministros de energía, entre los cuales destacan los servicios de apoyo de redes de telecomunicaciones, arriendo de medidores y conexión y desconexión de empalmes.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procedimiento para la fijación de los precios de dichos servicios se encuentra contenido en el Decreto N° 341-2017 del Ministerio de Economía, Fomento y Reconstrucción, publicado en el Diario Oficial del 10 de marzo de 2008.</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dicho reglamento se establece que la revisión y determinación de nuevos precios de servicios no consistentes en suministro de energía, la que debe efectuarse con ocasión del proceso de fijación de tarifas de suministro de distribución, debe hacerse sobre la base de los estudios de costos del valor agregado de distribución y de criterios de eficiencia, debiendo ser plenamente coherentes. Dicha coherencia se funda en el hecho que una misma empresa es la que provee el servicio de distribución, así como los servicios no consistentes en suministro de energía.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dar cumplimiento a lo anterior, la Comisión Nacional de Energía (CNE) debe encargar un estudio de costos que es financiado, licitado y supervisado por ella, en el cual se estiman los costos del valor agregado de distribución y de los servicios no consistentes en suministro de energía. Dicho informe es sometido a la revisión de las empresas de distribución de electricidad y en caso de discrepancias, ellas son sometidas al dictamen del Panel de Expertos.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24 de julio de 2018, fue publicado en el Diario Oficial el Decreto N° 13T-2017 del Ministerio de Energía, que fija los precios de servicios no consistentes en suministros de energía, asociados a la distribución eléctrica, correspondiente al cuadrienio 2016-2020.</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Por otra parte, la Comisión Nacional de Energía (CNE), mediante Resolución Exenta N° 503 del 24 de septiembre de 2024, luego rectificada por la Resolución Exenta N° 539 del 4 de octubre de 2024, comunicó el informe técnico que fija las fórmulas tarifarias de servicios no consistentes en suministro de energía, asociados a la distribución de electricidad, del cuadrienio noviembre 2020-noviembre 2024, respecto del cual, con fecha 12 de noviembre de 2024, la Empresa Eléctrica de Magallanes en conjunto con Compañía General de Electricidad S.A. (CGE) presentaron sus discrepancias al Panel de Expertos y el 31 de marzo de 2025 el Panel evacuó sus respectivos dictámenes.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Posteriormente, la Resolución Exenta N° 395 de fecha 8 de julio de 2025, comunica a las empresas concesionarias de distribución la aprobación del Informe Técnico Definitivo “Fijación de fórmulas tarifarias de servicios no consistentes en suministro de energía, asociados a la distribución de electricidad, cuadrienio noviembre 2020-noviembre 2024”. A esta fecha no se ha emitido el decreto tarifario correspondiente.</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242424"/>
          <w:sz w:val="20"/>
          <w:u w:val="none"/>
        </w:rPr>
      </w:pPr>
    </w:p>
    <w:p>
      <w:pPr>
        <w:keepNext w:val="0"/>
        <w:keepLines/>
        <w:pageBreakBefore w:val="0"/>
        <w:widowControl w:val="0"/>
        <w:numPr>
          <w:ilvl w:val="0"/>
          <w:numId w:val="0"/>
        </w:numPr>
        <w:spacing w:before="0" w:after="0" w:line="288" w:lineRule="auto"/>
        <w:ind w:left="1417"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40" w:lineRule="exact"/>
        <w:ind w:left="0" w:right="0" w:firstLine="0"/>
        <w:jc w:val="both"/>
        <w:outlineLvl w:val="0"/>
        <w:rPr>
          <w:rFonts w:ascii="Cambria" w:eastAsia="Cambria" w:hAnsi="Cambria" w:cs="Cambria"/>
          <w:b/>
          <w:i w:val="0"/>
          <w:color w:val="365F91"/>
          <w:sz w:val="28"/>
          <w:u w:val="none"/>
        </w:rPr>
      </w:pPr>
      <w:bookmarkStart w:id="11" w:name="Section10"/>
      <w:bookmarkEnd w:id="11"/>
      <w:bookmarkStart w:id="12" w:name="d24fddd42ca645c38565f11260b7bdbb"/>
      <w:r>
        <w:rPr>
          <w:rFonts w:ascii="Calibri" w:eastAsia="Calibri" w:hAnsi="Calibri" w:cs="Calibri"/>
          <w:b/>
          <w:i w:val="0"/>
          <w:color w:val="000000"/>
          <w:sz w:val="20"/>
          <w:u w:val="none"/>
        </w:rPr>
        <w:t>3.-</w:t>
      </w:r>
      <w:r>
        <w:rPr>
          <w:rFonts w:ascii="Calibri" w:eastAsia="Calibri" w:hAnsi="Calibri" w:cs="Calibri"/>
          <w:b/>
          <w:i w:val="0"/>
          <w:color w:val="000000"/>
          <w:sz w:val="20"/>
          <w:u w:val="none"/>
        </w:rPr>
        <w:tab/>
      </w:r>
      <w:r>
        <w:rPr>
          <w:rFonts w:ascii="Calibri" w:eastAsia="Calibri" w:hAnsi="Calibri" w:cs="Calibri"/>
          <w:b/>
          <w:i w:val="0"/>
          <w:color w:val="000000"/>
          <w:sz w:val="20"/>
          <w:u w:val="none"/>
        </w:rPr>
        <w:t>RESUMEN DE LAS PRINCIPALES POLÍTICAS CONTABLES.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2"/>
    </w:p>
    <w:p>
      <w:pPr>
        <w:pStyle w:val="Normal-wk"/>
        <w:keepNext w:val="0"/>
        <w:keepLines/>
        <w:pageBreakBefore w:val="0"/>
        <w:widowControl w:val="0"/>
        <w:numPr>
          <w:ilvl w:val="0"/>
          <w:numId w:val="0"/>
        </w:numPr>
        <w:spacing w:before="0" w:after="0" w:line="240" w:lineRule="exact"/>
        <w:ind w:left="70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principales políticas contables aplicadas en la preparación de los estados financieros consolidados se detallan a continuación. Tal como lo requiere la Norma de Carácter General N° 30, Sección II.2.1 párrafo A.4.2, emitida por la Comisión para el Mercado Financiero, se presentan las notas “criterios contables” y “transacciones con partes relacionadas”. Estas políticas han sido aplicadas uniformemente en todos los ejercicios presentados, a menos que se indique lo contrario.</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8"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13" w:name="Section11"/>
      <w:bookmarkEnd w:id="13"/>
      <w:bookmarkStart w:id="14" w:name="5bafd77401d144ea8c8adfca53bda314"/>
      <w:r>
        <w:rPr>
          <w:rFonts w:ascii="Calibri" w:eastAsia="Calibri" w:hAnsi="Calibri" w:cs="Calibri"/>
          <w:b/>
          <w:i w:val="0"/>
          <w:color w:val="000000"/>
          <w:sz w:val="20"/>
          <w:u w:val="none"/>
        </w:rPr>
        <w:t>3.1.-</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Bases de preparación de los estados financieros. </w:t>
      </w:r>
    </w:p>
    <w:p>
      <w:pPr>
        <w:keepNext w:val="0"/>
        <w:keepLines/>
        <w:pageBreakBefore w:val="0"/>
        <w:widowControl w:val="0"/>
        <w:numPr>
          <w:ilvl w:val="0"/>
          <w:numId w:val="0"/>
        </w:numPr>
        <w:spacing w:before="0" w:after="0" w:line="288" w:lineRule="auto"/>
        <w:ind w:left="708" w:right="0" w:firstLine="0"/>
        <w:jc w:val="both"/>
        <w:outlineLvl w:val="9"/>
        <w:rPr>
          <w:rFonts w:ascii="Calibri" w:eastAsia="Calibri" w:hAnsi="Calibri" w:cs="Calibri"/>
          <w:b w:val="0"/>
          <w:i w:val="0"/>
          <w:color w:val="000000"/>
          <w:sz w:val="20"/>
          <w:u w:val="none"/>
        </w:rPr>
      </w:pPr>
      <w:bookmarkEnd w:id="14"/>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presentes estados financieros consolidados de la Sociedad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han sido preparados de acuerdo con Normas de Contabilidad de las Normas Internacionales de Información Financiera (NIIF), emitidas por el International Accounting Standards Board (“IASB”).</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estados financieros consolidados han sido preparados de acuerdo con el principio de costo, modificado por la revaluación de propiedades de inversión.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la preparación de los estados financieros consolidados se han utilizado las políticas emanadas desde State Grid Chile Electricity SpA. para todas las subsidiarias incluidas en la consolidación.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En la preparación de los estados financieros consolidados se han utilizado estimaciones contables críticas para cuantificar algunos activos, pasivos, ingresos y gastos. </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el ejercicio terminado al </w:t>
      </w:r>
      <w:r>
        <w:rPr>
          <w:rFonts w:ascii="Calibri" w:eastAsia="Calibri" w:hAnsi="Calibri" w:cs="Calibri"/>
          <w:b w:val="0"/>
          <w:i w:val="0"/>
          <w:color w:val="000000"/>
          <w:sz w:val="20"/>
          <w:u w:val="none"/>
        </w:rPr>
        <w:t>30 de junio de 2025</w:t>
      </w:r>
      <w:r>
        <w:rPr>
          <w:rFonts w:ascii="Calibri" w:eastAsia="Calibri" w:hAnsi="Calibri" w:cs="Calibri"/>
          <w:b w:val="0"/>
          <w:i w:val="0"/>
          <w:color w:val="000000"/>
          <w:sz w:val="20"/>
          <w:u w:val="none"/>
        </w:rPr>
        <w:t xml:space="preserve">, se han efectuado reclasificaciones menores para facilitar su comparación con el ejercicio terminado al </w:t>
      </w:r>
      <w:r>
        <w:rPr>
          <w:rFonts w:ascii="Calibri" w:eastAsia="Calibri" w:hAnsi="Calibri" w:cs="Calibri"/>
          <w:b w:val="0"/>
          <w:i w:val="0"/>
          <w:color w:val="000000"/>
          <w:sz w:val="20"/>
          <w:u w:val="none"/>
        </w:rPr>
        <w:t>30 de junio de 2026</w:t>
      </w:r>
      <w:r>
        <w:rPr>
          <w:rFonts w:ascii="Calibri" w:eastAsia="Calibri" w:hAnsi="Calibri" w:cs="Calibri"/>
          <w:b w:val="0"/>
          <w:i w:val="0"/>
          <w:color w:val="000000"/>
          <w:sz w:val="20"/>
          <w:u w:val="none"/>
        </w:rPr>
        <w:t>. Estas reclasificaciones no modifican el resultado ni el patrimonio del ejercicio anterior.</w:t>
      </w:r>
    </w:p>
    <w:p>
      <w:pPr>
        <w:keepNext w:val="0"/>
        <w:keepLines/>
        <w:pageBreakBefore w:val="0"/>
        <w:widowControl w:val="0"/>
        <w:numPr>
          <w:ilvl w:val="0"/>
          <w:numId w:val="0"/>
        </w:numPr>
        <w:tabs>
          <w:tab w:val="left" w:pos="700"/>
        </w:tabs>
        <w:spacing w:before="0" w:after="0" w:line="288" w:lineRule="auto"/>
        <w:ind w:left="2124" w:right="0" w:hanging="711"/>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tabs>
          <w:tab w:val="left" w:pos="700"/>
        </w:tabs>
        <w:spacing w:before="0" w:after="0" w:line="288" w:lineRule="auto"/>
        <w:ind w:left="2124" w:right="0" w:hanging="711"/>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5" w:name="Section12"/>
      <w:bookmarkEnd w:id="15"/>
      <w:bookmarkStart w:id="16" w:name="fa07b74e3e8b4fafba64d8033abafa5f"/>
      <w:r>
        <w:rPr>
          <w:rFonts w:ascii="Calibri" w:eastAsia="Calibri" w:hAnsi="Calibri" w:cs="Calibri"/>
          <w:b/>
          <w:i w:val="0"/>
          <w:color w:val="000000"/>
          <w:sz w:val="20"/>
          <w:u w:val="none"/>
        </w:rPr>
        <w:t>3.2.-</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Nuevos estándares, interpretaciones y enmiendas adoptadas por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16"/>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siguientes estándares, interpretaciones y enmiendas son obligatorios por primera vez para el ejercicio 2025.</w:t>
      </w:r>
    </w:p>
    <w:p>
      <w:pPr>
        <w:keepNext w:val="0"/>
        <w:keepLines/>
        <w:pageBreakBefore w:val="0"/>
        <w:widowControl w:val="0"/>
        <w:numPr>
          <w:ilvl w:val="0"/>
          <w:numId w:val="0"/>
        </w:numPr>
        <w:spacing w:before="0" w:after="0" w:line="288" w:lineRule="auto"/>
        <w:ind w:left="1413"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sz w:val="20"/>
        </w:rPr>
      </w:pPr>
      <w:r>
        <w:rPr>
          <w:rFonts w:ascii="Calibri" w:eastAsia="Calibri" w:hAnsi="Calibri" w:cs="Calibri"/>
          <w:b w:val="0"/>
          <w:i w:val="0"/>
          <w:sz w:val="20"/>
        </w:rPr>
        <w:t>3.2.1.-</w:t>
      </w:r>
      <w:r>
        <w:rPr>
          <w:rFonts w:ascii="Calibri" w:eastAsia="Calibri" w:hAnsi="Calibri" w:cs="Calibri"/>
          <w:b w:val="0"/>
          <w:i w:val="0"/>
          <w:sz w:val="20"/>
        </w:rPr>
        <w:tab/>
      </w:r>
      <w:r>
        <w:rPr>
          <w:rFonts w:ascii="Calibri" w:eastAsia="Calibri" w:hAnsi="Calibri" w:cs="Calibri"/>
          <w:b w:val="0"/>
          <w:i w:val="0"/>
          <w:sz w:val="20"/>
        </w:rPr>
        <w:t xml:space="preserve">En agosto de 2023, el IASB emitió </w:t>
      </w:r>
      <w:r>
        <w:rPr>
          <w:rFonts w:ascii="Calibri" w:eastAsia="Calibri" w:hAnsi="Calibri" w:cs="Calibri"/>
          <w:b w:val="0"/>
          <w:i w:val="0"/>
          <w:color w:val="000000"/>
          <w:sz w:val="20"/>
          <w:u w:val="none"/>
        </w:rPr>
        <w:t>enmiendas</w:t>
      </w:r>
      <w:r>
        <w:rPr>
          <w:rFonts w:ascii="Calibri" w:eastAsia="Calibri" w:hAnsi="Calibri" w:cs="Calibri"/>
          <w:b w:val="0"/>
          <w:i w:val="0"/>
          <w:sz w:val="20"/>
        </w:rPr>
        <w:t xml:space="preserve"> a la NIC 21 “Efectos de las Variaciones en las Tasas de Cambio”, ellas es</w:t>
      </w:r>
      <w:r>
        <w:rPr>
          <w:rFonts w:ascii="Calibri" w:eastAsia="Calibri" w:hAnsi="Calibri" w:cs="Calibri"/>
          <w:b w:val="0"/>
          <w:i w:val="0"/>
          <w:color w:val="000000"/>
          <w:sz w:val="20"/>
          <w:u w:val="none"/>
        </w:rPr>
        <w:t>pecifican cómo una entidad debe evaluar si una moneda es convertible y cómo debe determinar un tipo de cambio al contado cuando no existe convertibilidad. Las enmiendas también exigen la revelación de información que permita a los usuarios de sus estados financieros comprender cómo la falta de convertibilidad de una moneda a otra afecta, o se espera que afecte, el rendimiento financiero, la situación financiera y los flujos de efectivo de la entidad.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sz w:val="20"/>
        </w:rPr>
        <w:t xml:space="preserve">Las enmiendas entran en vigencia para </w:t>
      </w:r>
      <w:r>
        <w:rPr>
          <w:rFonts w:ascii="Calibri" w:eastAsia="Calibri" w:hAnsi="Calibri" w:cs="Calibri"/>
          <w:b w:val="0"/>
          <w:i w:val="0"/>
          <w:color w:val="000000"/>
          <w:sz w:val="20"/>
          <w:u w:val="none"/>
        </w:rPr>
        <w:t>los</w:t>
      </w:r>
      <w:r>
        <w:rPr>
          <w:rFonts w:ascii="Calibri" w:eastAsia="Calibri" w:hAnsi="Calibri" w:cs="Calibri"/>
          <w:b w:val="0"/>
          <w:i w:val="0"/>
          <w:sz w:val="20"/>
        </w:rPr>
        <w:t xml:space="preserve"> ejercicios anuales que comiencen a partir del 1 de enero de 2025. Al aplicar las enmiendas, no está permitido reexpresar la información comparativa.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Aptos" w:eastAsia="Aptos" w:hAnsi="Aptos" w:cs="Aptos"/>
          <w:b w:val="0"/>
          <w:i w:val="0"/>
          <w:sz w:val="24"/>
        </w:rPr>
      </w:pPr>
      <w:r>
        <w:rPr>
          <w:rFonts w:ascii="Calibri" w:eastAsia="Calibri" w:hAnsi="Calibri" w:cs="Calibri"/>
          <w:b w:val="0"/>
          <w:i w:val="0"/>
          <w:sz w:val="20"/>
        </w:rPr>
        <w:t xml:space="preserve">La adopción de esta </w:t>
      </w:r>
      <w:r>
        <w:rPr>
          <w:rFonts w:ascii="Calibri" w:eastAsia="Calibri" w:hAnsi="Calibri" w:cs="Calibri"/>
          <w:b w:val="0"/>
          <w:i w:val="0"/>
          <w:color w:val="000000"/>
          <w:sz w:val="20"/>
          <w:u w:val="none"/>
        </w:rPr>
        <w:t>norma</w:t>
      </w:r>
      <w:r>
        <w:rPr>
          <w:rFonts w:ascii="Calibri" w:eastAsia="Calibri" w:hAnsi="Calibri" w:cs="Calibri"/>
          <w:b w:val="0"/>
          <w:i w:val="0"/>
          <w:sz w:val="20"/>
        </w:rPr>
        <w:t xml:space="preserve"> y su enmienda no generó impactos en los estados financieros consolidados de la Sociedad en la fecha de aplicación inicial.</w:t>
      </w:r>
    </w:p>
    <w:p>
      <w:pPr>
        <w:keepNext w:val="0"/>
        <w:keepLines/>
        <w:pageBreakBefore w:val="0"/>
        <w:widowControl w:val="0"/>
        <w:numPr>
          <w:ilvl w:val="0"/>
          <w:numId w:val="0"/>
        </w:numPr>
        <w:tabs>
          <w:tab w:val="left" w:pos="700"/>
        </w:tabs>
        <w:spacing w:before="0" w:after="0" w:line="288" w:lineRule="auto"/>
        <w:ind w:left="2126" w:right="0" w:firstLine="0"/>
        <w:jc w:val="both"/>
        <w:outlineLvl w:val="9"/>
        <w:rPr>
          <w:rFonts w:ascii="Calibri" w:eastAsia="Calibri" w:hAnsi="Calibri" w:cs="Calibri"/>
          <w:b w:val="0"/>
          <w:i w:val="0"/>
          <w:color w:val="000000"/>
          <w:sz w:val="20"/>
          <w:highlight w:val="yellow"/>
          <w:u w:val="none"/>
        </w:rPr>
      </w:pPr>
    </w:p>
    <w:p>
      <w:pPr>
        <w:keepNext w:val="0"/>
        <w:keepLines/>
        <w:pageBreakBefore w:val="0"/>
        <w:widowControl w:val="0"/>
        <w:numPr>
          <w:ilvl w:val="0"/>
          <w:numId w:val="0"/>
        </w:numPr>
        <w:tabs>
          <w:tab w:val="left" w:pos="700"/>
        </w:tabs>
        <w:spacing w:before="0" w:after="0" w:line="288" w:lineRule="auto"/>
        <w:ind w:left="212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1417" w:right="0" w:hanging="709"/>
        <w:jc w:val="both"/>
        <w:outlineLvl w:val="1"/>
        <w:rPr>
          <w:rFonts w:ascii="Times New Roman" w:eastAsia="Times New Roman" w:hAnsi="Times New Roman" w:cs="Times New Roman"/>
          <w:b/>
          <w:i w:val="0"/>
          <w:color w:val="000000"/>
          <w:sz w:val="24"/>
          <w:u w:val="none"/>
        </w:rPr>
      </w:pPr>
      <w:bookmarkStart w:id="17" w:name="Section13"/>
      <w:bookmarkEnd w:id="17"/>
      <w:bookmarkStart w:id="18" w:name="247b940363d047f6894468ea1a7c3ba8"/>
      <w:r>
        <w:rPr>
          <w:rFonts w:ascii="Calibri" w:eastAsia="Calibri" w:hAnsi="Calibri" w:cs="Calibri"/>
          <w:b/>
          <w:i w:val="0"/>
          <w:color w:val="000000"/>
          <w:sz w:val="20"/>
          <w:u w:val="none"/>
        </w:rPr>
        <w:t>3.3.-</w:t>
      </w:r>
      <w:r>
        <w:rPr>
          <w:rFonts w:ascii="Calibri" w:eastAsia="Calibri" w:hAnsi="Calibri" w:cs="Calibri"/>
          <w:b/>
          <w:i w:val="0"/>
          <w:color w:val="000000"/>
          <w:sz w:val="20"/>
          <w:u w:val="none"/>
        </w:rPr>
        <w:tab/>
      </w:r>
      <w:r>
        <w:rPr>
          <w:rFonts w:ascii="Calibri" w:eastAsia="Calibri" w:hAnsi="Calibri" w:cs="Calibri"/>
          <w:b/>
          <w:i w:val="0"/>
          <w:color w:val="000000"/>
          <w:sz w:val="20"/>
          <w:u w:val="none"/>
        </w:rPr>
        <w:t>Nuevas normas, interpretaciones y enmiendas emitidas, no vigentes para el ejercicio 2025, para las cuales no se ha efectuado adopción anticipada de las mismas.</w:t>
      </w:r>
    </w:p>
    <w:p>
      <w:pPr>
        <w:keepNext w:val="0"/>
        <w:keepLines/>
        <w:pageBreakBefore w:val="0"/>
        <w:widowControl w:val="0"/>
        <w:numPr>
          <w:ilvl w:val="0"/>
          <w:numId w:val="0"/>
        </w:numPr>
        <w:spacing w:before="0" w:after="0" w:line="288" w:lineRule="auto"/>
        <w:ind w:left="2124" w:right="0" w:hanging="708"/>
        <w:jc w:val="both"/>
        <w:outlineLvl w:val="9"/>
        <w:rPr>
          <w:rFonts w:ascii="Calibri" w:eastAsia="Calibri" w:hAnsi="Calibri" w:cs="Calibri"/>
          <w:b w:val="0"/>
          <w:i w:val="0"/>
          <w:color w:val="000000"/>
          <w:sz w:val="20"/>
          <w:u w:val="none"/>
        </w:rPr>
      </w:pPr>
      <w:bookmarkEnd w:id="18"/>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3.3.1.-</w:t>
      </w:r>
      <w:r>
        <w:rPr>
          <w:rFonts w:ascii="Calibri" w:eastAsia="Calibri" w:hAnsi="Calibri" w:cs="Calibri"/>
          <w:b w:val="0"/>
          <w:i w:val="0"/>
          <w:color w:val="000000"/>
          <w:sz w:val="20"/>
          <w:u w:val="none"/>
        </w:rPr>
        <w:tab/>
      </w:r>
      <w:r>
        <w:rPr>
          <w:rFonts w:ascii="Calibri" w:eastAsia="Calibri" w:hAnsi="Calibri" w:cs="Calibri"/>
          <w:b w:val="0"/>
          <w:i w:val="0"/>
          <w:sz w:val="20"/>
        </w:rPr>
        <w:t>En mayo de 2024, el IASB emitió enmiendas a la NIIF 9 y NIIF 7 “Clasificación y Medición de los Instrumentos Financieros“, enmiendas que:</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Clarifican que un pasivo financiero se da de baja en cuentas en la “fecha de liquidación”, es decir, cuando la obligación vinculada se cumple, se cancela, expira o el pasivo de otro modo califica para su baja en cuentas. También introduce una opción de política contable para dar de baja en cuentas los pasivos financieros que se liquidan a través de un sistema de pago electrónico antes de la fecha de liquidación si se cumplen ciertas condiciones.</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Clarifican cómo evaluar las características del flujo de efectivo contractual de los activos financieros que incluyen características ambientales, sociales y de gobernanza (ASG) y otras características contingentes similares.</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Clarifican el tratamiento de los activos sin recurso y los instrumentos vinculados contractualmente.</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Requieren revelaciones adicionales en la NIIF 7 para activos y pasivos financieros con términos contractuales que hacen referencia a un evento contingente (incluidos aquellos que están vinculados a ASG) e instrumentos de patrimonio clasificados a valor razonable con cambios en otro resultado integral.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4" w:right="0" w:firstLine="0"/>
        <w:jc w:val="both"/>
        <w:outlineLvl w:val="9"/>
        <w:rPr>
          <w:rFonts w:ascii="Aptos" w:eastAsia="Aptos" w:hAnsi="Aptos" w:cs="Aptos"/>
          <w:b w:val="0"/>
          <w:i w:val="0"/>
          <w:color w:val="000000"/>
          <w:sz w:val="24"/>
          <w:u w:val="none"/>
        </w:rPr>
      </w:pPr>
      <w:r>
        <w:rPr>
          <w:rFonts w:ascii="Calibri" w:eastAsia="Calibri" w:hAnsi="Calibri" w:cs="Calibri"/>
          <w:b w:val="0"/>
          <w:i w:val="0"/>
          <w:sz w:val="20"/>
        </w:rPr>
        <w:t>Las enmiendas serán efectivas para los períodos anuales que comiencen a partir del 1 de enero de 2026. Las entidades pueden adoptar anticipadamente las modificaciones que se relacionan con la clasificación de activos financieros más las revelaciones relacionadas y aplicar las otras modificaciones más adelante.</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4" w:right="0" w:firstLine="0"/>
        <w:jc w:val="both"/>
        <w:outlineLvl w:val="9"/>
        <w:rPr>
          <w:rFonts w:ascii="Aptos" w:eastAsia="Aptos" w:hAnsi="Aptos" w:cs="Aptos"/>
          <w:b w:val="0"/>
          <w:i w:val="0"/>
          <w:sz w:val="24"/>
        </w:rPr>
      </w:pPr>
      <w:r>
        <w:rPr>
          <w:rFonts w:ascii="Calibri" w:eastAsia="Calibri" w:hAnsi="Calibri" w:cs="Calibri"/>
          <w:b w:val="0"/>
          <w:i w:val="0"/>
          <w:sz w:val="20"/>
        </w:rPr>
        <w:t>Los nuevos requisitos se aplicarán retrospectivamente con un ajuste en el saldo de apertura de los resultados acumulados. No es necesario reexpresar períodos anteriores. Además, se requiere que una entidad revele información sobre los activos financieros que cambian su categoría de medición debido a las modificaciones.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3.3.2.-</w:t>
      </w:r>
      <w:r>
        <w:rPr>
          <w:rFonts w:ascii="Calibri" w:eastAsia="Calibri" w:hAnsi="Calibri" w:cs="Calibri"/>
          <w:b w:val="0"/>
          <w:i w:val="0"/>
          <w:color w:val="000000"/>
          <w:sz w:val="20"/>
          <w:u w:val="none"/>
        </w:rPr>
        <w:tab/>
      </w:r>
      <w:r>
        <w:rPr>
          <w:rFonts w:ascii="Calibri" w:eastAsia="Calibri" w:hAnsi="Calibri" w:cs="Calibri"/>
          <w:b w:val="0"/>
          <w:i w:val="0"/>
          <w:sz w:val="20"/>
        </w:rPr>
        <w:t>En julio de 2024 el IASB emitió las mejoras anuales a las NIIF que afectan NIIF 1, NIIF 7, NIIF 9, NIIF 10 y NIC 7. Las mejoras anuales se limitan a cambios que aclaran la redacción de una norma o corrigen consecuencias no deseadas relativamente menores, equivocaciones o conflictos entre los requisitos de las normas NIIF que pueden ser causados por descripciones imprecisas.</w:t>
      </w:r>
    </w:p>
    <w:p>
      <w:pPr>
        <w:keepNext w:val="0"/>
        <w:keepLines/>
        <w:pageBreakBefore w:val="0"/>
        <w:widowControl w:val="0"/>
        <w:numPr>
          <w:ilvl w:val="0"/>
          <w:numId w:val="0"/>
        </w:numPr>
        <w:tabs>
          <w:tab w:val="left" w:pos="700"/>
        </w:tabs>
        <w:spacing w:before="0" w:after="0" w:line="276" w:lineRule="auto"/>
        <w:ind w:left="2124" w:right="0" w:hanging="708"/>
        <w:jc w:val="left"/>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Estas enmiendas aplican para los períodos de presentación de informes anuales que comiencen a partir del 1 de enero de 2026. Se permite su aplicación anticipada.</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3.3.3.-</w:t>
      </w:r>
      <w:r>
        <w:rPr>
          <w:rFonts w:ascii="Calibri" w:eastAsia="Calibri" w:hAnsi="Calibri" w:cs="Calibri"/>
          <w:b w:val="0"/>
          <w:i w:val="0"/>
          <w:color w:val="000000"/>
          <w:sz w:val="20"/>
          <w:u w:val="none"/>
        </w:rPr>
        <w:tab/>
      </w:r>
      <w:r>
        <w:rPr>
          <w:rFonts w:ascii="Calibri" w:eastAsia="Calibri" w:hAnsi="Calibri" w:cs="Calibri"/>
          <w:b w:val="0"/>
          <w:i w:val="0"/>
          <w:sz w:val="20"/>
        </w:rPr>
        <w:t>En diciembre de 2024 el IASB emitió las enmiendas a NIIF 9 “Instrumentos Financieros” y a la NIIF 7 “Instrumentos Financieros: Información a Revelar”, relativos a los contratos referidos a la electricidad dependiente de la naturaleza que:</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Aclaran la aplicación de los requisitos del concepto de “uso propio”.</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Permiten la contabilidad de cobertura si estos contratos se utilizan como instrumentos de cobertura.</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Agregan nuevos requisitos de revelaciones para permitir a los inversores entender el efecto de estos contratos en el desempeño financiero y los flujos de efectivo de una entidad.</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Las enmiendas entrarán en vigencia para los períodos de presentación de informes anuales que comiencen el 1 de enero de 2026 o después. Se permite la adopción anticipada, pero la misma debe ser revelada. Las aclaraciones sobre los requisitos de “uso propio” deben aplicarse retrospectivamente, pero las directrices que permiten la contabilidad de cobertura deben aplicarse prospectivamente a las nuevas relaciones de cobertura designadas en o después de la fecha de aplicación inicial.</w:t>
      </w:r>
    </w:p>
    <w:p>
      <w:pPr>
        <w:keepNext w:val="0"/>
        <w:keepLines/>
        <w:pageBreakBefore w:val="0"/>
        <w:widowControl w:val="0"/>
        <w:numPr>
          <w:ilvl w:val="0"/>
          <w:numId w:val="0"/>
        </w:numPr>
        <w:spacing w:before="0" w:after="0" w:line="288" w:lineRule="auto"/>
        <w:ind w:left="2124" w:right="0" w:firstLine="2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sz w:val="20"/>
        </w:rPr>
      </w:pPr>
      <w:r>
        <w:rPr>
          <w:rFonts w:ascii="Calibri" w:eastAsia="Calibri" w:hAnsi="Calibri" w:cs="Calibri"/>
          <w:b w:val="0"/>
          <w:i w:val="0"/>
          <w:sz w:val="20"/>
        </w:rPr>
        <w:t>3.3.4.-</w:t>
      </w:r>
      <w:r>
        <w:rPr>
          <w:rFonts w:ascii="Calibri" w:eastAsia="Calibri" w:hAnsi="Calibri" w:cs="Calibri"/>
          <w:b w:val="0"/>
          <w:i w:val="0"/>
          <w:sz w:val="20"/>
        </w:rPr>
        <w:tab/>
      </w:r>
      <w:r>
        <w:rPr>
          <w:rFonts w:ascii="Calibri" w:eastAsia="Calibri" w:hAnsi="Calibri" w:cs="Calibri"/>
          <w:b w:val="0"/>
          <w:i w:val="0"/>
          <w:sz w:val="20"/>
        </w:rPr>
        <w:t>En abril de 2024, el IASB emitió la NIIF 18 “Presentación e Información a Revelar en los Estados Financieros”, que sustituye a la NIC 1. Si bien se han incorporado varias secciones de la NIC 1 con cambios limitados, la NIIF 18 introduce nuevos requisitos de presentación en el estado de resultados, incluyendo totales y subtotales específicos. También exige la revelación de las medidas de rendimiento definidas por la administración e incluye nuevos requisitos para la agregación y desagregación de la información financiera con base en las funciones identificadas de los estados financieros principales y las notas.</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Se han realizado modificaciones de alcance limitado a la NIC 7 “Estado de Flujos de Efectivo”, y algunos requisitos previamente incluidos en la NIC 1 se han trasladado a la NIC 8, que ahora se denomina NIC 8 “Bases de Preparación de los Estados Financieros”.</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 xml:space="preserve">La NIIF 18 y todas las modificaciones consiguientes entran en vigor para los ejercicios que comiencen a partir del 1 de enero de 2027, permitiéndose su aplicación anticipada. Se requiere su aplicación retroactiva. </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u w:val="none"/>
        </w:rPr>
        <w:t>3.3.5.-</w:t>
      </w:r>
      <w:r>
        <w:rPr>
          <w:rFonts w:ascii="Calibri" w:eastAsia="Calibri" w:hAnsi="Calibri" w:cs="Calibri"/>
          <w:b w:val="0"/>
          <w:i w:val="0"/>
          <w:color w:val="000000"/>
          <w:sz w:val="20"/>
          <w:u w:val="none"/>
        </w:rPr>
        <w:tab/>
      </w:r>
      <w:r>
        <w:rPr>
          <w:rFonts w:ascii="Calibri" w:eastAsia="Calibri" w:hAnsi="Calibri" w:cs="Calibri"/>
          <w:b w:val="0"/>
          <w:i w:val="0"/>
          <w:sz w:val="20"/>
        </w:rPr>
        <w:t xml:space="preserve">En mayo de 2024, el IASB emitió la NIIF 19 “Subsidiarias sin Obligación Pública de Rendir Cuentas: Información a Revelar” que permite a las entidades elegibles optar por aplicar sus requisitos de revelación reducidos, a la vez que aplican los requisitos de reconocimiento, medición y presentación de otras Normas de Contabilidad de las NIIF. Para ser elegible, al final del período sobre el que se informa, una entidad debe ser una subsidiaria según se define en la NIIF 10, no puede rendir cuentas públicamente y debe tener una matriz (última o intermedia) que prepare estados financieros consolidados, disponibles para uso público, que cumplan con las Normas de Contabilidad de las NIIF. </w:t>
      </w:r>
    </w:p>
    <w:p>
      <w:pPr>
        <w:keepNext w:val="0"/>
        <w:keepLines/>
        <w:pageBreakBefore w:val="0"/>
        <w:widowControl w:val="0"/>
        <w:numPr>
          <w:ilvl w:val="0"/>
          <w:numId w:val="0"/>
        </w:numPr>
        <w:tabs>
          <w:tab w:val="left" w:pos="700"/>
        </w:tabs>
        <w:spacing w:before="0" w:after="0" w:line="288" w:lineRule="auto"/>
        <w:ind w:left="2124"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 xml:space="preserve">La NIIF 19 entrará en vigor para los períodos sobre los que se informa que comiencen a partir del 1 de enero de 2027, permitiéndose su aplicación anticipada. </w:t>
      </w:r>
    </w:p>
    <w:p>
      <w:pPr>
        <w:keepNext w:val="0"/>
        <w:keepLines/>
        <w:pageBreakBefore w:val="0"/>
        <w:widowControl w:val="0"/>
        <w:numPr>
          <w:ilvl w:val="0"/>
          <w:numId w:val="0"/>
        </w:numPr>
        <w:tabs>
          <w:tab w:val="left" w:pos="700"/>
        </w:tabs>
        <w:spacing w:before="0" w:after="0" w:line="288" w:lineRule="auto"/>
        <w:ind w:left="2160" w:right="0" w:hanging="708"/>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tabs>
          <w:tab w:val="left" w:pos="700"/>
        </w:tabs>
        <w:spacing w:before="0" w:after="0" w:line="240" w:lineRule="exact"/>
        <w:ind w:left="2124" w:right="0" w:hanging="708"/>
        <w:jc w:val="both"/>
        <w:outlineLvl w:val="9"/>
        <w:rPr>
          <w:rFonts w:ascii="Calibri" w:eastAsia="Calibri" w:hAnsi="Calibri" w:cs="Calibri"/>
          <w:b w:val="0"/>
          <w:i w:val="0"/>
          <w:color w:val="000000"/>
          <w:sz w:val="20"/>
          <w:highlight w:val="yellow"/>
          <w:u w:val="none"/>
        </w:rPr>
      </w:pPr>
      <w:r>
        <w:rPr>
          <w:rFonts w:ascii="Calibri" w:eastAsia="Calibri" w:hAnsi="Calibri" w:cs="Calibri"/>
          <w:b w:val="0"/>
          <w:i w:val="0"/>
          <w:color w:val="000000"/>
          <w:sz w:val="20"/>
          <w:u w:val="none"/>
        </w:rPr>
        <w:t>3.3.6.-</w:t>
      </w:r>
      <w:r>
        <w:rPr>
          <w:rFonts w:ascii="Calibri" w:eastAsia="Calibri" w:hAnsi="Calibri" w:cs="Calibri"/>
          <w:b w:val="0"/>
          <w:i w:val="0"/>
          <w:color w:val="000000"/>
          <w:sz w:val="20"/>
          <w:u w:val="none"/>
        </w:rPr>
        <w:tab/>
      </w:r>
      <w:r>
        <w:rPr>
          <w:rFonts w:ascii="Calibri" w:eastAsia="Calibri" w:hAnsi="Calibri" w:cs="Calibri"/>
          <w:b w:val="0"/>
          <w:i w:val="0"/>
          <w:sz w:val="20"/>
        </w:rPr>
        <w:t>En noviembre de 2025, el IASB emitió “Conversión a una Moneda de Presentación Hiperinflacionaria - Enmiendas a la NIC 21”. Las enmiendas requieren la conversión desde una moneda funcional no hiperinflacionaria a una moneda de presentación hiperinflacionaria utilizando el tipo de cambio de cierre.</w:t>
      </w:r>
    </w:p>
    <w:p>
      <w:pPr>
        <w:keepNext w:val="0"/>
        <w:keepLines/>
        <w:pageBreakBefore w:val="0"/>
        <w:widowControl w:val="0"/>
        <w:numPr>
          <w:ilvl w:val="0"/>
          <w:numId w:val="0"/>
        </w:numPr>
        <w:tabs>
          <w:tab w:val="left" w:pos="700"/>
        </w:tabs>
        <w:spacing w:before="0" w:after="0" w:line="288" w:lineRule="auto"/>
        <w:ind w:left="2126" w:right="0" w:hanging="708"/>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Si la moneda funcional de una entidad es la moneda de una economía no hiperinflacionaria, pero su moneda de presentación es la moneda de una economía hiperinflacionaria, sus resultados y su situación financiera se traducen a la moneda de presentación convirtiendo todos los importes (es decir, activos, pasivos, partidas del patrimonio, ingresos y gastos) y todas las cifras comparativas al tipo de cambio de cierre de la fecha del estado de situación financiera más reciente. Una entidad cuya moneda funcional y moneda de presentación sea la moneda de una economía hiperinflacionaria, reexpresa los importes comparativos de una operación en el extranjero, cuya moneda funcional es la de una economía no hiperinflacionaria, aplicando el índice general de precios, de acuerdo con el párrafo 34 de la NIC 29, a las cifras comparativas de dicha operación extranjera.</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Las enmiendas aplican para los períodos anuales que comiencen el o después del 1 de enero de 2027, y se permite su aplicación anticipada.</w:t>
      </w:r>
    </w:p>
    <w:p>
      <w:pPr>
        <w:keepNext w:val="0"/>
        <w:keepLines/>
        <w:pageBreakBefore w:val="0"/>
        <w:widowControl w:val="0"/>
        <w:numPr>
          <w:ilvl w:val="0"/>
          <w:numId w:val="0"/>
        </w:numPr>
        <w:spacing w:before="0" w:after="0" w:line="288" w:lineRule="auto"/>
        <w:ind w:left="216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hanging="709"/>
        <w:jc w:val="both"/>
        <w:outlineLvl w:val="9"/>
        <w:rPr>
          <w:rFonts w:ascii="Calibri" w:eastAsia="Calibri" w:hAnsi="Calibri" w:cs="Calibri"/>
          <w:b w:val="0"/>
          <w:i w:val="0"/>
          <w:sz w:val="20"/>
        </w:rPr>
      </w:pPr>
      <w:r>
        <w:rPr>
          <w:rFonts w:ascii="Calibri" w:eastAsia="Calibri" w:hAnsi="Calibri" w:cs="Calibri"/>
          <w:b w:val="0"/>
          <w:i w:val="0"/>
          <w:sz w:val="20"/>
        </w:rPr>
        <w:t>3.3.7.-</w:t>
      </w:r>
      <w:r>
        <w:rPr>
          <w:rFonts w:ascii="Calibri" w:eastAsia="Calibri" w:hAnsi="Calibri" w:cs="Calibri"/>
          <w:b w:val="0"/>
          <w:i w:val="0"/>
          <w:sz w:val="20"/>
        </w:rPr>
        <w:tab/>
      </w:r>
      <w:r>
        <w:rPr>
          <w:rFonts w:ascii="Calibri" w:eastAsia="Calibri" w:hAnsi="Calibri" w:cs="Calibri"/>
          <w:b w:val="0"/>
          <w:i w:val="0"/>
          <w:sz w:val="20"/>
        </w:rPr>
        <w:t>En noviembre de 2025, el IASB emitió las Enmiendas a los Ejemplos Ilustrativos de las NIIF 7, NIIF 18, NIC 1, NIC 8, NIC 36 y NIC 37 – Rev</w:t>
      </w:r>
      <w:r>
        <w:rPr>
          <w:rFonts w:ascii="Calibri" w:eastAsia="Calibri" w:hAnsi="Calibri" w:cs="Calibri"/>
          <w:b w:val="0"/>
          <w:i w:val="0"/>
          <w:sz w:val="20"/>
        </w:rPr>
        <w:t>e</w:t>
      </w:r>
      <w:r>
        <w:rPr>
          <w:rFonts w:ascii="Calibri" w:eastAsia="Calibri" w:hAnsi="Calibri" w:cs="Calibri"/>
          <w:b w:val="0"/>
          <w:i w:val="0"/>
          <w:sz w:val="20"/>
        </w:rPr>
        <w:t>laciones sobre Incertidumbres en los Estados Financieros (“los ejemplos”), que agregaron ejemplos ilustrativos a varias normas contables NIIF.</w:t>
      </w:r>
    </w:p>
    <w:p>
      <w:pPr>
        <w:keepNext w:val="0"/>
        <w:keepLines/>
        <w:pageBreakBefore w:val="0"/>
        <w:widowControl w:val="0"/>
        <w:numPr>
          <w:ilvl w:val="0"/>
          <w:numId w:val="0"/>
        </w:numPr>
        <w:spacing w:before="0" w:after="0" w:line="288" w:lineRule="auto"/>
        <w:ind w:left="2126" w:right="0" w:hanging="709"/>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Los ejemplos tienen como objetivo mejorar la información sobre riesgos climáticos y otras incertidumbres presentadas en los estados financieros, particularmente para atender las preocupaciones de las partes interesadas respecto a la consistencia de la información dentro de los informes financieros de propósito general, y la suficiencia de la información sobre riesgos relacionados con el clima y otras incertidumbres dentro de los estados financieros.</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88" w:lineRule="auto"/>
        <w:ind w:left="2126" w:right="0" w:firstLine="0"/>
        <w:jc w:val="both"/>
        <w:outlineLvl w:val="9"/>
        <w:rPr>
          <w:rFonts w:ascii="Aptos" w:eastAsia="Aptos" w:hAnsi="Aptos" w:cs="Aptos"/>
          <w:b w:val="0"/>
          <w:i w:val="0"/>
          <w:sz w:val="24"/>
        </w:rPr>
      </w:pPr>
      <w:r>
        <w:rPr>
          <w:rFonts w:ascii="Calibri" w:eastAsia="Calibri" w:hAnsi="Calibri" w:cs="Calibri"/>
          <w:b w:val="0"/>
          <w:i w:val="0"/>
          <w:sz w:val="20"/>
        </w:rPr>
        <w:t>Estos ejemplos ilustran requerimientos existentes en las normas contables NIIF. No agregan ni modifican los requerimientos vigentes.</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temas tratados en los ejemplos comprenden los siguientes aspectos:</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Juicios relacionados con la materialidad.</w:t>
      </w: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Supuestos: requisitos específicos aplicables a las pruebas de deterioro.</w:t>
      </w:r>
    </w:p>
    <w:p>
      <w:pPr>
        <w:keepNext w:val="0"/>
        <w:keepLines/>
        <w:pageBreakBefore w:val="0"/>
        <w:widowControl w:val="0"/>
        <w:numPr>
          <w:ilvl w:val="0"/>
          <w:numId w:val="0"/>
        </w:numPr>
        <w:spacing w:before="0" w:after="0" w:line="288" w:lineRule="auto"/>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Supuestos: requisitos generales.</w:t>
      </w: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Riesgo de crédito.</w:t>
      </w: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Provisiones para desmantelamiento y restauración de sitios.</w:t>
      </w: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Revelación de información desagregada en las notas a los estados financieros.</w:t>
      </w:r>
    </w:p>
    <w:p>
      <w:pPr>
        <w:keepNext w:val="0"/>
        <w:keepLines/>
        <w:pageBreakBefore w:val="0"/>
        <w:widowControl w:val="0"/>
        <w:numPr>
          <w:ilvl w:val="0"/>
          <w:numId w:val="0"/>
        </w:numPr>
        <w:spacing w:before="0" w:after="0" w:line="276" w:lineRule="auto"/>
        <w:ind w:left="-11" w:right="0" w:firstLine="77"/>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Los ejemplos no tienen una fecha de vigencia ni requerimientos de transición.</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hanging="709"/>
        <w:jc w:val="both"/>
        <w:outlineLvl w:val="9"/>
        <w:rPr>
          <w:rFonts w:ascii="Aptos" w:eastAsia="Aptos" w:hAnsi="Aptos" w:cs="Aptos"/>
          <w:b w:val="0"/>
          <w:i w:val="0"/>
          <w:sz w:val="24"/>
        </w:rPr>
      </w:pPr>
      <w:r>
        <w:rPr>
          <w:rFonts w:ascii="Calibri" w:eastAsia="Calibri" w:hAnsi="Calibri" w:cs="Calibri"/>
          <w:b w:val="0"/>
          <w:i w:val="0"/>
          <w:sz w:val="20"/>
        </w:rPr>
        <w:t>3.3.8.-</w:t>
      </w:r>
      <w:r>
        <w:rPr>
          <w:rFonts w:ascii="Calibri" w:eastAsia="Calibri" w:hAnsi="Calibri" w:cs="Calibri"/>
          <w:b w:val="0"/>
          <w:i w:val="0"/>
          <w:sz w:val="20"/>
        </w:rPr>
        <w:tab/>
      </w:r>
      <w:r>
        <w:rPr>
          <w:rFonts w:ascii="Calibri" w:eastAsia="Calibri" w:hAnsi="Calibri" w:cs="Calibri"/>
          <w:b w:val="0"/>
          <w:i w:val="0"/>
          <w:sz w:val="20"/>
        </w:rPr>
        <w:t xml:space="preserve">Las enmiendas a NIIF 10 “Estados Financieros Consolidados” y NIC 28 “Inversiones en Asociadas y Negocios Conjuntos (2011)” abordan una inconsistencia reconocida entre los requerimientos de NIIF 10 y los de NIC 28 (2011) en el tratamiento de la venta o la aportación de activos entre un inversor y su asociada o negocio conjunto. </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 xml:space="preserve">Las enmiendas, emitidas en septiembre de 2014, establecen que cuando la transacción involucra un negocio (tanto cuando se encuentra en una filial o no) se reconoce toda la ganancia o pérdida generada. Se reconoce una ganancia o pérdida parcial cuando la transacción involucra activos que no constituyen un negocio, incluso cuando los activos se encuentran en una filial. </w:t>
      </w:r>
    </w:p>
    <w:p>
      <w:pPr>
        <w:keepNext w:val="0"/>
        <w:keepLines/>
        <w:pageBreakBefore w:val="0"/>
        <w:widowControl w:val="0"/>
        <w:numPr>
          <w:ilvl w:val="0"/>
          <w:numId w:val="0"/>
        </w:numPr>
        <w:spacing w:before="0" w:after="0" w:line="276" w:lineRule="auto"/>
        <w:ind w:left="0" w:right="0" w:firstLine="0"/>
        <w:jc w:val="left"/>
        <w:outlineLvl w:val="9"/>
        <w:rPr>
          <w:rFonts w:ascii="Arial" w:eastAsia="Arial" w:hAnsi="Arial" w:cs="Arial"/>
          <w:b w:val="0"/>
          <w:i w:val="0"/>
          <w:sz w:val="24"/>
        </w:rPr>
      </w:pPr>
    </w:p>
    <w:p>
      <w:pPr>
        <w:keepNext w:val="0"/>
        <w:keepLines/>
        <w:pageBreakBefore w:val="0"/>
        <w:widowControl w:val="0"/>
        <w:numPr>
          <w:ilvl w:val="0"/>
          <w:numId w:val="0"/>
        </w:numPr>
        <w:spacing w:before="0" w:after="0" w:line="240" w:lineRule="exact"/>
        <w:ind w:left="2126" w:right="0" w:firstLine="0"/>
        <w:jc w:val="both"/>
        <w:outlineLvl w:val="9"/>
        <w:rPr>
          <w:rFonts w:ascii="Aptos" w:eastAsia="Aptos" w:hAnsi="Aptos" w:cs="Aptos"/>
          <w:b w:val="0"/>
          <w:i w:val="0"/>
          <w:sz w:val="24"/>
        </w:rPr>
      </w:pPr>
      <w:r>
        <w:rPr>
          <w:rFonts w:ascii="Calibri" w:eastAsia="Calibri" w:hAnsi="Calibri" w:cs="Calibri"/>
          <w:b w:val="0"/>
          <w:i w:val="0"/>
          <w:sz w:val="20"/>
        </w:rPr>
        <w:t>La fecha de aplicación obligatoria de estas enmiendas está por determinar debido a que el IASB está a la espera de los resultados de su proyecto de investigación sobre la contabilización según el método de participación. Estas enmiendas deben ser aplicadas en forma retrospectiva y se permite la adopción anticipada, lo cual debe ser revelado.</w:t>
      </w: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Aptos" w:eastAsia="Aptos" w:hAnsi="Aptos" w:cs="Aptos"/>
          <w:b w:val="0"/>
          <w:i w:val="0"/>
          <w:sz w:val="24"/>
        </w:rPr>
      </w:pPr>
      <w:r>
        <w:rPr>
          <w:rFonts w:ascii="Calibri" w:eastAsia="Calibri" w:hAnsi="Calibri" w:cs="Calibri"/>
          <w:b w:val="0"/>
          <w:i w:val="0"/>
          <w:sz w:val="20"/>
        </w:rPr>
        <w:t xml:space="preserve">La </w:t>
      </w:r>
      <w:r>
        <w:rPr>
          <w:rFonts w:ascii="Calibri" w:eastAsia="Calibri" w:hAnsi="Calibri" w:cs="Calibri"/>
          <w:b w:val="0"/>
          <w:i w:val="0"/>
          <w:color w:val="000000"/>
          <w:sz w:val="20"/>
          <w:u w:val="none"/>
        </w:rPr>
        <w:t>Administración</w:t>
      </w:r>
      <w:r>
        <w:rPr>
          <w:rFonts w:ascii="Calibri" w:eastAsia="Calibri" w:hAnsi="Calibri" w:cs="Calibri"/>
          <w:b w:val="0"/>
          <w:i w:val="0"/>
          <w:sz w:val="20"/>
        </w:rPr>
        <w:t xml:space="preserve"> la Sociedad estima qu</w:t>
      </w:r>
      <w:r>
        <w:rPr>
          <w:rFonts w:ascii="Calibri" w:eastAsia="Calibri" w:hAnsi="Calibri" w:cs="Calibri"/>
          <w:b w:val="0"/>
          <w:i w:val="0"/>
          <w:color w:val="000000"/>
          <w:sz w:val="20"/>
          <w:u w:val="none"/>
        </w:rPr>
        <w:t>e la adopción de las Normas, Enmiendas e Interpretaciones y que pudiesen aplicar a la S</w:t>
      </w:r>
      <w:r>
        <w:rPr>
          <w:rFonts w:ascii="Calibri" w:eastAsia="Calibri" w:hAnsi="Calibri" w:cs="Calibri"/>
          <w:b w:val="0"/>
          <w:i w:val="0"/>
          <w:sz w:val="20"/>
        </w:rPr>
        <w:t>ociedad, no tendrán un impacto significativo en los estados financieros consolidados en el ejercicio de su primera aplicación.</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7"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709" w:right="0" w:firstLine="0"/>
        <w:jc w:val="both"/>
        <w:outlineLvl w:val="1"/>
        <w:rPr>
          <w:rFonts w:ascii="Times New Roman" w:eastAsia="Times New Roman" w:hAnsi="Times New Roman" w:cs="Times New Roman"/>
          <w:b/>
          <w:i w:val="0"/>
          <w:color w:val="000000"/>
          <w:sz w:val="24"/>
          <w:u w:val="none"/>
        </w:rPr>
      </w:pPr>
      <w:bookmarkStart w:id="19" w:name="Section14"/>
      <w:bookmarkEnd w:id="19"/>
      <w:bookmarkStart w:id="20" w:name="48808ec1e1ab4a2ca99f7790d3432efa"/>
      <w:r>
        <w:rPr>
          <w:rFonts w:ascii="Calibri" w:eastAsia="Calibri" w:hAnsi="Calibri" w:cs="Calibri"/>
          <w:b/>
          <w:i w:val="0"/>
          <w:color w:val="000000"/>
          <w:sz w:val="20"/>
          <w:u w:val="none"/>
        </w:rPr>
        <w:t>3.4.-</w:t>
      </w:r>
      <w:r>
        <w:rPr>
          <w:rFonts w:ascii="Calibri" w:eastAsia="Calibri" w:hAnsi="Calibri" w:cs="Calibri"/>
          <w:b/>
          <w:i w:val="0"/>
          <w:color w:val="000000"/>
          <w:sz w:val="20"/>
          <w:u w:val="none"/>
        </w:rPr>
        <w:tab/>
      </w:r>
      <w:r>
        <w:rPr>
          <w:rFonts w:ascii="Calibri" w:eastAsia="Calibri" w:hAnsi="Calibri" w:cs="Calibri"/>
          <w:b/>
          <w:i w:val="0"/>
          <w:color w:val="000000"/>
          <w:sz w:val="20"/>
          <w:u w:val="none"/>
        </w:rPr>
        <w:t>Bases de consolidación.</w:t>
      </w:r>
    </w:p>
    <w:p>
      <w:pPr>
        <w:keepNext w:val="0"/>
        <w:keepLines/>
        <w:pageBreakBefore w:val="0"/>
        <w:widowControl w:val="0"/>
        <w:numPr>
          <w:ilvl w:val="0"/>
          <w:numId w:val="0"/>
        </w:numPr>
        <w:spacing w:before="0" w:after="0" w:line="288" w:lineRule="auto"/>
        <w:ind w:left="0" w:right="0" w:firstLine="709"/>
        <w:jc w:val="both"/>
        <w:outlineLvl w:val="9"/>
        <w:rPr>
          <w:rFonts w:ascii="Calibri" w:eastAsia="Calibri" w:hAnsi="Calibri" w:cs="Calibri"/>
          <w:b w:val="0"/>
          <w:i w:val="0"/>
          <w:color w:val="000000"/>
          <w:sz w:val="20"/>
          <w:u w:val="none"/>
        </w:rPr>
      </w:pPr>
      <w:bookmarkEnd w:id="20"/>
    </w:p>
    <w:p>
      <w:pPr>
        <w:pStyle w:val="Normal-wk"/>
        <w:keepNext w:val="0"/>
        <w:keepLines/>
        <w:pageBreakBefore w:val="0"/>
        <w:widowControl w:val="0"/>
        <w:numPr>
          <w:ilvl w:val="0"/>
          <w:numId w:val="0"/>
        </w:numPr>
        <w:tabs>
          <w:tab w:val="left" w:pos="700"/>
        </w:tabs>
        <w:spacing w:before="0" w:after="0" w:line="288" w:lineRule="auto"/>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Subsidiarias o filiales.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Subsidiarias o filiales son todas las entidades (incluidas las entidades de cometido especial) sobre las que CGE Magallanes S.A. tiene el control. Se considera que se mantiene control cuando: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tiene el poder sobre la entidad;</w:t>
      </w: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está expuesto, o tiene derecho, a retornos variables procedentes de su implicación en las sociedades.</w:t>
      </w:r>
    </w:p>
    <w:p>
      <w:pPr>
        <w:pStyle w:val="Normal-wk"/>
        <w:keepNext w:val="0"/>
        <w:keepLines/>
        <w:pageBreakBefore w:val="0"/>
        <w:widowControl w:val="0"/>
        <w:numPr>
          <w:ilvl w:val="0"/>
          <w:numId w:val="14"/>
        </w:numPr>
        <w:spacing w:before="0" w:after="160" w:line="288" w:lineRule="auto"/>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tiene la capacidad de afectar los retornos mediante su poder sobre la entidad. </w:t>
      </w: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considera que CGE Magallanes S.A. tiene poder sobre una entidad, cuando tiene derechos existentes que le otorgan la capacidad presente de dirigir las actividades relevantes, eso es, las actividades que afectan de manera significativa los retornos de la entidad. El poder sobre sus subsidiarias se deriva de la posesión de la mayoría de los derechos de voto otorgados por instrumentos de capital de las subsidiarias.</w:t>
      </w:r>
    </w:p>
    <w:p>
      <w:pPr>
        <w:keepNext w:val="0"/>
        <w:keepLines/>
        <w:pageBreakBefore w:val="0"/>
        <w:widowControl w:val="0"/>
        <w:numPr>
          <w:ilvl w:val="0"/>
          <w:numId w:val="0"/>
        </w:numPr>
        <w:spacing w:before="0" w:after="0" w:line="288" w:lineRule="auto"/>
        <w:ind w:left="2124" w:right="0" w:firstLine="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 la hora de evaluar si la Sociedad controla otra entidad, se considera la existencia y el efecto de los derechos potenciales de voto que sean actualmente ejercibles o convertibles. Las subsidiarias se consolidan a partir de la fecha en que se transfiere el control y se excluyen de la consolidación en la fecha en que cesa el mismo.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Para contabilizar la adquisición de subsidiarias se utiliza el método de adquisición. El costo de adquisición es el valor razonable de los activos entregados, de los instrumentos de patrimonio emitidos y de los pasivos incurridos o asumidos en la </w:t>
      </w:r>
      <w:r>
        <w:rPr>
          <w:rFonts w:ascii="Calibri" w:eastAsia="Calibri" w:hAnsi="Calibri" w:cs="Calibri"/>
          <w:b w:val="0"/>
          <w:i w:val="0"/>
          <w:color w:val="000000"/>
          <w:sz w:val="20"/>
          <w:u w:val="none"/>
        </w:rPr>
        <w:t>fecha</w:t>
      </w:r>
      <w:r>
        <w:rPr>
          <w:rFonts w:ascii="Calibri" w:eastAsia="Calibri" w:hAnsi="Calibri" w:cs="Calibri"/>
          <w:b w:val="0"/>
          <w:i w:val="0"/>
          <w:color w:val="000000"/>
          <w:sz w:val="20"/>
          <w:u w:val="none"/>
        </w:rPr>
        <w:t xml:space="preserve"> de intercambio. El precio pagado determinado incluye el valor justo de activos o pasivos resultantes de cualquier acuerdo contingente de precio. Los costos relacionados con la adquisición son cargados a resultados tan pronto son incurridos. Los activos identificables adquiridos y los pasivos y contingencias identificables asumidos en una combinación de negocios se valoran inicialmente por su valor razonable a la fecha de adquisición, con independencia del alcance de las participaciones no controladoras, el cual incluiría cualquier activo o pasivo contingente a su valor justo. Según cada adquisición, CGE Magallanes S.A. reconoce el interés no controlador a su valor razonable o al valor proporcional del interés no controlante sobre el valor justo de los activos netos adquiridos. El exceso del costo de adquisición sobre el valor razonable de la participación de la Sociedad en los activos netos identificables adquiridos se reconoce como menor valor o plusvalía comprada (goodwill). Si el costo de adquisición es menor que el valor razonable de los activos netos de la subsidiaria adquirida, la diferencia se reconoce directamente en el estado de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eliminan las transacciones </w:t>
      </w:r>
      <w:r>
        <w:rPr>
          <w:rFonts w:ascii="Calibri" w:eastAsia="Calibri" w:hAnsi="Calibri" w:cs="Calibri"/>
          <w:b w:val="0"/>
          <w:i w:val="0"/>
          <w:color w:val="000000"/>
          <w:sz w:val="20"/>
          <w:u w:val="none"/>
        </w:rPr>
        <w:t>intercompañías</w:t>
      </w:r>
      <w:r>
        <w:rPr>
          <w:rFonts w:ascii="Calibri" w:eastAsia="Calibri" w:hAnsi="Calibri" w:cs="Calibri"/>
          <w:b w:val="0"/>
          <w:i w:val="0"/>
          <w:color w:val="000000"/>
          <w:sz w:val="20"/>
          <w:u w:val="none"/>
        </w:rPr>
        <w:t>, los saldos y las ganancias no realizadas por transacciones entre entidades relacionadas. Las pérdidas no realizadas también se eliminan, a menos que la transacción proporcione evidencia de una pérdida por deterioro del activo transferido. Cuando es necesario, para asegurar su uniformidad con las políticas adoptadas por CGE Magallanes S.A., se modifican las políticas contables de la subsidiaria.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3.4.2.-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participaciones no controladoras.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Magallanes S.A. trata las transacciones con las participaciones no controladoras como si fueran transacciones con accionistas del Grupo. En el caso de adquisiciones de participaciones no controladoras, la diferencia entre cualquier retribución pagada y la correspondiente participación en el valor en libros de los activos netos adquiridos de la subsidiaria se reconoce en el patrimonio. Las ganancias y pérdidas por bajas a favor de la participación no controladora, mientras se mantenga el control, también se reconocen en el patrimonio.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CGE Magallanes S.A. deja de tener control o influencia significativa, cualquier interés retenido en la entidad es remedido a valor razonable con impacto en resultados. El valor razonable es el valor inicial para propósitos de su contabilización posterior como asociada, negocio conjunto o activo financiero. Los importes correspondientes previamente reconocidos en Otros Resultados Integrales son reclasificados a resultados.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1" w:name="Section15"/>
      <w:bookmarkEnd w:id="21"/>
      <w:bookmarkStart w:id="22" w:name="174cbf8185214ab2a553516e469d505d"/>
      <w:r>
        <w:rPr>
          <w:rFonts w:ascii="Calibri" w:eastAsia="Calibri" w:hAnsi="Calibri" w:cs="Calibri"/>
          <w:b/>
          <w:i w:val="0"/>
          <w:color w:val="000000"/>
          <w:sz w:val="20"/>
          <w:u w:val="none"/>
        </w:rPr>
        <w:t>3.5.-</w:t>
      </w:r>
      <w:r>
        <w:rPr>
          <w:rFonts w:ascii="Calibri" w:eastAsia="Calibri" w:hAnsi="Calibri" w:cs="Calibri"/>
          <w:b/>
          <w:i w:val="0"/>
          <w:color w:val="000000"/>
          <w:sz w:val="20"/>
          <w:u w:val="none"/>
        </w:rPr>
        <w:tab/>
      </w:r>
      <w:r>
        <w:rPr>
          <w:rFonts w:ascii="Calibri" w:eastAsia="Calibri" w:hAnsi="Calibri" w:cs="Calibri"/>
          <w:b/>
          <w:i w:val="0"/>
          <w:color w:val="000000"/>
          <w:sz w:val="20"/>
          <w:u w:val="none"/>
        </w:rPr>
        <w:t>Entidades subsidiarias.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2"/>
    </w:p>
    <w:p>
      <w:pPr>
        <w:pStyle w:val="Normal-wk"/>
        <w:keepNext w:val="0"/>
        <w:keepLines/>
        <w:pageBreakBefore w:val="0"/>
        <w:widowControl w:val="0"/>
        <w:numPr>
          <w:ilvl w:val="0"/>
          <w:numId w:val="0"/>
        </w:numPr>
        <w:tabs>
          <w:tab w:val="left" w:pos="700"/>
        </w:tabs>
        <w:spacing w:before="0" w:after="0" w:line="240" w:lineRule="exact"/>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Entidades de consolidación directa.</w:t>
      </w:r>
    </w:p>
    <w:p>
      <w:pPr>
        <w:keepNext w:val="0"/>
        <w:keepLines/>
        <w:pageBreakBefore w:val="0"/>
        <w:widowControl w:val="0"/>
        <w:numPr>
          <w:ilvl w:val="0"/>
          <w:numId w:val="0"/>
        </w:numPr>
        <w:spacing w:before="0" w:after="0" w:line="288" w:lineRule="auto"/>
        <w:ind w:left="2124" w:right="0" w:hanging="711"/>
        <w:jc w:val="both"/>
        <w:outlineLvl w:val="9"/>
        <w:rPr>
          <w:rFonts w:ascii="Calibri" w:eastAsia="Calibri" w:hAnsi="Calibri" w:cs="Calibri"/>
          <w:b w:val="0"/>
          <w:i w:val="0"/>
          <w:color w:val="000000"/>
          <w:sz w:val="20"/>
          <w:u w:val="none"/>
        </w:rPr>
      </w:pPr>
    </w:p>
    <w:tbl>
      <w:tblPr>
        <w:tblW w:w="11445" w:type="dxa"/>
        <w:tblInd w:w="2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5"/>
        <w:gridCol w:w="3015"/>
        <w:gridCol w:w="795"/>
        <w:gridCol w:w="2235"/>
        <w:gridCol w:w="795"/>
        <w:gridCol w:w="900"/>
        <w:gridCol w:w="900"/>
        <w:gridCol w:w="900"/>
        <w:gridCol w:w="900"/>
      </w:tblGrid>
      <w:tr>
        <w:tblPrEx>
          <w:tblW w:w="11445" w:type="dxa"/>
          <w:tblInd w:w="2126" w:type="dxa"/>
          <w:tblLayout w:type="fixed"/>
        </w:tblPrEx>
        <w:trPr>
          <w:cantSplit/>
          <w:trHeight w:hRule="auto" w:val="0"/>
        </w:trPr>
        <w:tc>
          <w:tcPr>
            <w:tcW w:w="10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Rut</w:t>
            </w:r>
          </w:p>
        </w:tc>
        <w:tc>
          <w:tcPr>
            <w:tcW w:w="301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Nombre sociedad</w:t>
            </w:r>
          </w:p>
        </w:tc>
        <w:tc>
          <w:tcPr>
            <w:tcW w:w="79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País</w:t>
            </w:r>
          </w:p>
        </w:tc>
        <w:tc>
          <w:tcPr>
            <w:tcW w:w="223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Domicilio subsidiaria</w:t>
            </w:r>
          </w:p>
        </w:tc>
        <w:tc>
          <w:tcPr>
            <w:tcW w:w="79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Moneda funcional</w:t>
            </w:r>
          </w:p>
        </w:tc>
        <w:tc>
          <w:tcPr>
            <w:tcW w:w="3600" w:type="dxa"/>
            <w:gridSpan w:val="4"/>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 xml:space="preserve">Porcentaje de participación en el capital </w:t>
            </w:r>
            <w:r>
              <w:br/>
            </w:r>
            <w:r>
              <w:rPr>
                <w:rFonts w:ascii="Calibri" w:eastAsia="Calibri" w:hAnsi="Calibri" w:cs="Calibri"/>
                <w:b/>
                <w:i w:val="0"/>
                <w:color w:val="FFFFFF"/>
                <w:sz w:val="16"/>
                <w:u w:val="none"/>
              </w:rPr>
              <w:t>y en los votos</w:t>
            </w:r>
          </w:p>
        </w:tc>
      </w:tr>
      <w:tr>
        <w:tblPrEx>
          <w:tblW w:w="11445" w:type="dxa"/>
          <w:tblInd w:w="2126" w:type="dxa"/>
          <w:tblLayout w:type="fixed"/>
        </w:tblPrEx>
        <w:trPr>
          <w:cantSplit/>
          <w:trHeight w:hRule="auto" w:val="0"/>
        </w:trPr>
        <w:tc>
          <w:tcPr>
            <w:tcW w:w="1005" w:type="dxa"/>
            <w:vMerge/>
            <w:tcBorders>
              <w:top w:val="nil"/>
              <w:left w:val="single" w:sz="2" w:space="0" w:color="000000"/>
              <w:bottom w:val="nil"/>
              <w:right w:val="nil"/>
            </w:tcBorders>
          </w:tcPr>
          <w:p>
            <w:pPr>
              <w:keepNext/>
              <w:pageBreakBefore w:val="0"/>
            </w:pPr>
          </w:p>
        </w:tc>
        <w:tc>
          <w:tcPr>
            <w:tcW w:w="3015"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2235"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2700" w:type="dxa"/>
            <w:gridSpan w:val="3"/>
            <w:tcBorders>
              <w:top w:val="nil"/>
              <w:left w:val="nil"/>
              <w:bottom w:val="single" w:sz="4" w:space="0" w:color="FFFFFF"/>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30-06-2026</w:t>
            </w:r>
          </w:p>
        </w:tc>
        <w:tc>
          <w:tcPr>
            <w:tcW w:w="900" w:type="dxa"/>
            <w:tcBorders>
              <w:top w:val="single" w:sz="4" w:space="0" w:color="FFFFFF"/>
              <w:left w:val="single" w:sz="4" w:space="0" w:color="FFFFFF"/>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31-12-2025</w:t>
            </w:r>
          </w:p>
        </w:tc>
      </w:tr>
      <w:tr>
        <w:tblPrEx>
          <w:tblW w:w="11445" w:type="dxa"/>
          <w:tblInd w:w="2126" w:type="dxa"/>
          <w:tblLayout w:type="fixed"/>
        </w:tblPrEx>
        <w:trPr>
          <w:cantSplit/>
          <w:trHeight w:hRule="auto" w:val="0"/>
        </w:trPr>
        <w:tc>
          <w:tcPr>
            <w:tcW w:w="1005" w:type="dxa"/>
            <w:vMerge/>
            <w:tcBorders>
              <w:top w:val="nil"/>
              <w:left w:val="single" w:sz="2" w:space="0" w:color="000000"/>
              <w:bottom w:val="single" w:sz="2" w:space="0" w:color="000000"/>
              <w:right w:val="nil"/>
            </w:tcBorders>
          </w:tcPr>
          <w:p>
            <w:pPr>
              <w:keepNext/>
              <w:pageBreakBefore w:val="0"/>
            </w:pPr>
          </w:p>
        </w:tc>
        <w:tc>
          <w:tcPr>
            <w:tcW w:w="3015" w:type="dxa"/>
            <w:vMerge/>
            <w:tcBorders>
              <w:top w:val="nil"/>
              <w:left w:val="single" w:sz="4" w:space="0" w:color="FFFFFF"/>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2235" w:type="dxa"/>
            <w:vMerge/>
            <w:tcBorders>
              <w:top w:val="nil"/>
              <w:left w:val="single" w:sz="4" w:space="0" w:color="FFFFFF"/>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900"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Directo</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Indirecto</w:t>
            </w:r>
          </w:p>
        </w:tc>
        <w:tc>
          <w:tcPr>
            <w:tcW w:w="900" w:type="dxa"/>
            <w:tcBorders>
              <w:top w:val="single" w:sz="4" w:space="0" w:color="FFFFFF"/>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c>
          <w:tcPr>
            <w:tcW w:w="900" w:type="dxa"/>
            <w:tcBorders>
              <w:top w:val="single" w:sz="4" w:space="0" w:color="FFFFFF"/>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Total</w:t>
            </w:r>
          </w:p>
        </w:tc>
      </w:tr>
      <w:tr>
        <w:tblPrEx>
          <w:tblW w:w="11445" w:type="dxa"/>
          <w:tblInd w:w="2126"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 xml:space="preserve"> 88.221.200-9 </w:t>
            </w:r>
          </w:p>
        </w:tc>
        <w:tc>
          <w:tcPr>
            <w:tcW w:w="301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 xml:space="preserve"> Empresa Eléctrica de Magallanes S.A.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 xml:space="preserve"> Chile </w:t>
            </w:r>
          </w:p>
        </w:tc>
        <w:tc>
          <w:tcPr>
            <w:tcW w:w="223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6"/>
                <w:u w:val="none"/>
              </w:rPr>
              <w:t xml:space="preserve"> Croacia 444 Punta Arenas </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 xml:space="preserve"> CL $ </w:t>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805"/>
              </w:tabs>
              <w:spacing w:before="0" w:after="0" w:line="240" w:lineRule="auto"/>
              <w:jc w:val="right"/>
            </w:pPr>
            <w:r>
              <w:rPr>
                <w:rFonts w:ascii="Calibri" w:eastAsia="Calibri" w:hAnsi="Calibri" w:cs="Calibri"/>
                <w:b w:val="0"/>
                <w:i w:val="0"/>
                <w:color w:val="000000"/>
                <w:sz w:val="16"/>
                <w:u w:val="none"/>
              </w:rPr>
              <w:tab/>
              <w:t>55,10821 %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724"/>
              </w:tabs>
              <w:spacing w:before="0" w:after="0" w:line="240" w:lineRule="auto"/>
              <w:jc w:val="right"/>
            </w:pPr>
            <w:r>
              <w:rPr>
                <w:rFonts w:ascii="Calibri" w:eastAsia="Calibri" w:hAnsi="Calibri" w:cs="Calibri"/>
                <w:b w:val="0"/>
                <w:i w:val="0"/>
                <w:color w:val="000000"/>
                <w:sz w:val="16"/>
                <w:u w:val="none"/>
              </w:rPr>
              <w:tab/>
              <w:t>0,00000 %</w:t>
              <w:tab/>
            </w:r>
          </w:p>
        </w:tc>
        <w:tc>
          <w:tcPr>
            <w:tcW w:w="900" w:type="dxa"/>
            <w:tcBorders>
              <w:top w:val="single" w:sz="2" w:space="0" w:color="000000"/>
              <w:left w:val="single" w:sz="2" w:space="0" w:color="000000"/>
              <w:bottom w:val="single" w:sz="2" w:space="0" w:color="000000"/>
              <w:right w:val="nil"/>
            </w:tcBorders>
            <w:tcMar>
              <w:top w:w="0" w:type="dxa"/>
              <w:left w:w="0" w:type="dxa"/>
              <w:bottom w:w="0" w:type="dxa"/>
              <w:right w:w="15" w:type="dxa"/>
            </w:tcMar>
            <w:vAlign w:val="center"/>
          </w:tcPr>
          <w:p>
            <w:pPr>
              <w:pageBreakBefore w:val="0"/>
              <w:tabs>
                <w:tab w:val="left" w:pos="1"/>
                <w:tab w:val="left" w:pos="805"/>
              </w:tabs>
              <w:spacing w:before="0" w:after="0" w:line="240" w:lineRule="auto"/>
              <w:jc w:val="right"/>
            </w:pPr>
            <w:r>
              <w:rPr>
                <w:rFonts w:ascii="Calibri" w:eastAsia="Calibri" w:hAnsi="Calibri" w:cs="Calibri"/>
                <w:b w:val="0"/>
                <w:i w:val="0"/>
                <w:color w:val="000000"/>
                <w:sz w:val="16"/>
                <w:u w:val="none"/>
              </w:rPr>
              <w:tab/>
              <w:t>55,10821 %</w:t>
              <w:tab/>
            </w:r>
          </w:p>
        </w:tc>
        <w:tc>
          <w:tcPr>
            <w:tcW w:w="90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15" w:type="dxa"/>
            </w:tcMar>
            <w:vAlign w:val="center"/>
          </w:tcPr>
          <w:p>
            <w:pPr>
              <w:pageBreakBefore w:val="0"/>
              <w:tabs>
                <w:tab w:val="left" w:pos="1"/>
                <w:tab w:val="left" w:pos="805"/>
              </w:tabs>
              <w:spacing w:before="0" w:after="0" w:line="240" w:lineRule="auto"/>
              <w:jc w:val="right"/>
            </w:pPr>
            <w:r>
              <w:rPr>
                <w:rFonts w:ascii="Calibri" w:eastAsia="Calibri" w:hAnsi="Calibri" w:cs="Calibri"/>
                <w:b w:val="0"/>
                <w:i w:val="0"/>
                <w:color w:val="000000"/>
                <w:sz w:val="16"/>
                <w:u w:val="none"/>
              </w:rPr>
              <w:tab/>
              <w:t>55,10821 %</w:t>
              <w:tab/>
            </w:r>
          </w:p>
        </w:tc>
      </w:tr>
    </w:tbl>
    <w:p>
      <w:pPr>
        <w:keepNext w:val="0"/>
        <w:keepLines/>
        <w:pageBreakBefore w:val="0"/>
        <w:widowControl w:val="0"/>
        <w:numPr>
          <w:ilvl w:val="0"/>
          <w:numId w:val="0"/>
        </w:numPr>
        <w:spacing w:before="0" w:after="0" w:line="288" w:lineRule="auto"/>
        <w:ind w:left="2124" w:right="0" w:hanging="711"/>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3.5.2.-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Cambios en el perímetro de consolidación.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No se han producido cambios en el perímetro de consolidación directo de la subsidiaria para el ejercicio terminado al 31 de diciembre de 2025 y 2024.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16"/>
          <w:footerReference w:type="default" r:id="rId17"/>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3" w:name="Section16"/>
      <w:bookmarkEnd w:id="23"/>
      <w:bookmarkStart w:id="24" w:name="022bde25f18846f99b84fdc559e58ed2"/>
      <w:r>
        <w:rPr>
          <w:rFonts w:ascii="Calibri" w:eastAsia="Calibri" w:hAnsi="Calibri" w:cs="Calibri"/>
          <w:b/>
          <w:i w:val="0"/>
          <w:color w:val="000000"/>
          <w:sz w:val="20"/>
          <w:u w:val="none"/>
        </w:rPr>
        <w:t>3.6.-</w:t>
      </w:r>
      <w:r>
        <w:rPr>
          <w:rFonts w:ascii="Calibri" w:eastAsia="Calibri" w:hAnsi="Calibri" w:cs="Calibri"/>
          <w:b/>
          <w:i w:val="0"/>
          <w:color w:val="000000"/>
          <w:sz w:val="20"/>
          <w:u w:val="none"/>
        </w:rPr>
        <w:tab/>
      </w:r>
      <w:r>
        <w:rPr>
          <w:rFonts w:ascii="Calibri" w:eastAsia="Calibri" w:hAnsi="Calibri" w:cs="Calibri"/>
          <w:b/>
          <w:i w:val="0"/>
          <w:color w:val="000000"/>
          <w:sz w:val="20"/>
          <w:u w:val="none"/>
        </w:rPr>
        <w:t>Transacciones en moneda extranjera y unidades de reajuste.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4"/>
    </w:p>
    <w:p>
      <w:pPr>
        <w:pStyle w:val="Normal-wk"/>
        <w:keepNext w:val="0"/>
        <w:keepLines/>
        <w:pageBreakBefore w:val="0"/>
        <w:widowControl w:val="0"/>
        <w:numPr>
          <w:ilvl w:val="0"/>
          <w:numId w:val="0"/>
        </w:numPr>
        <w:tabs>
          <w:tab w:val="left" w:pos="700"/>
        </w:tabs>
        <w:spacing w:before="0" w:after="0" w:line="240" w:lineRule="exact"/>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Moneda funcional y de presentación.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partidas incluidas en los estados financieros de cada una de las entidades de la Sociedad se valoran utilizando la moneda del entorno económico principal en que la entidad opera (“moneda funcional”). La moneda funcional de CGE Magallanes S.A. es el Peso chileno, que constituye además la moneda de presentación de los estados financieros consolidados.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2124" w:right="0" w:hanging="71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y saldos.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en moneda extranjera se convierten a la moneda funcional utilizando los tipos de cambio vigentes en las fechas de las transacciones. Las pérdidas y ganancias en moneda extranjera que resultan de la liquidación de estas transacciones y de la conversión a los tipos de cambio de cierre de los activos y pasivos monetarios denominados en moneda extranjera, se reconocen en el estado de resultados, excepto que corresponda su diferimiento en el patrimonio neto, a través de otros resultados integrales, como es el caso de las derivadas de estrategias de coberturas de flujos de efectivo y coberturas de inversiones netas, en caso de existir.</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3.6.3.-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Bases de conversión.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y pasivos en moneda extranjera y aquellos pactados en unidades de fomento, se presentan a los siguientes tipos de cambios y valores de cierre respectivamente: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4680" w:type="dxa"/>
        <w:tblInd w:w="21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560"/>
        <w:gridCol w:w="1560"/>
        <w:gridCol w:w="1560"/>
      </w:tblGrid>
      <w:tr>
        <w:tblPrEx>
          <w:tblW w:w="4680" w:type="dxa"/>
          <w:tblInd w:w="2171"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Fecha</w:t>
            </w:r>
          </w:p>
        </w:tc>
        <w:tc>
          <w:tcPr>
            <w:tcW w:w="1560" w:type="dxa"/>
            <w:tcBorders>
              <w:top w:val="single" w:sz="2" w:space="0" w:color="000000"/>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US $</w:t>
            </w:r>
          </w:p>
        </w:tc>
        <w:tc>
          <w:tcPr>
            <w:tcW w:w="1560" w:type="dxa"/>
            <w:tcBorders>
              <w:top w:val="single" w:sz="2" w:space="0" w:color="000000"/>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6"/>
                <w:u w:val="none"/>
              </w:rPr>
              <w:t>CL $ / UF</w:t>
            </w:r>
          </w:p>
        </w:tc>
      </w:tr>
      <w:tr>
        <w:tblPrEx>
          <w:tblW w:w="4680" w:type="dxa"/>
          <w:tblInd w:w="2171"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keepNext/>
              <w:pageBreakBefore w:val="0"/>
              <w:spacing w:before="38" w:after="20" w:line="240" w:lineRule="auto"/>
              <w:jc w:val="center"/>
            </w:pPr>
            <w:r>
              <w:rPr>
                <w:rFonts w:ascii="Calibri" w:eastAsia="Calibri" w:hAnsi="Calibri" w:cs="Calibri"/>
                <w:b w:val="0"/>
                <w:i w:val="0"/>
                <w:color w:val="000000"/>
                <w:sz w:val="16"/>
                <w:u w:val="none"/>
              </w:rPr>
              <w:t>30-06-2026</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6"/>
                <w:u w:val="none"/>
              </w:rPr>
              <w:t>0,00</w:t>
            </w:r>
          </w:p>
        </w:tc>
      </w:tr>
      <w:tr>
        <w:tblPrEx>
          <w:tblW w:w="4680" w:type="dxa"/>
          <w:tblInd w:w="2171" w:type="dxa"/>
          <w:tblLayout w:type="fixed"/>
        </w:tblPrEx>
        <w:trPr>
          <w:cantSplit/>
          <w:trHeight w:hRule="auto" w:val="0"/>
        </w:trPr>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bottom"/>
          </w:tcPr>
          <w:p>
            <w:pPr>
              <w:pageBreakBefore w:val="0"/>
              <w:spacing w:before="38" w:after="20" w:line="240" w:lineRule="auto"/>
              <w:jc w:val="center"/>
            </w:pPr>
            <w:r>
              <w:rPr>
                <w:rFonts w:ascii="Calibri" w:eastAsia="Calibri" w:hAnsi="Calibri" w:cs="Calibri"/>
                <w:b w:val="0"/>
                <w:i w:val="0"/>
                <w:color w:val="000000"/>
                <w:sz w:val="16"/>
                <w:u w:val="none"/>
              </w:rPr>
              <w:t>31-12-2025</w:t>
            </w:r>
          </w:p>
        </w:tc>
        <w:tc>
          <w:tcPr>
            <w:tcW w:w="156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907,13</w:t>
            </w:r>
          </w:p>
        </w:tc>
        <w:tc>
          <w:tcPr>
            <w:tcW w:w="1560" w:type="dxa"/>
            <w:tcBorders>
              <w:top w:val="single" w:sz="2" w:space="0" w:color="000000"/>
              <w:left w:val="single" w:sz="2" w:space="0" w:color="000000"/>
              <w:bottom w:val="single" w:sz="2" w:space="0" w:color="000000"/>
              <w:right w:val="single" w:sz="2" w:space="0" w:color="000000"/>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6"/>
                <w:u w:val="none"/>
              </w:rPr>
              <w:t>39.727,96</w:t>
            </w:r>
          </w:p>
        </w:tc>
      </w:tr>
    </w:tbl>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u w:val="none"/>
        </w:rPr>
      </w:pPr>
    </w:p>
    <w:tbl>
      <w:tblPr>
        <w:tblW w:w="3420" w:type="dxa"/>
        <w:tblInd w:w="2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720"/>
        <w:gridCol w:w="2700"/>
      </w:tblGrid>
      <w:tr>
        <w:tblPrEx>
          <w:tblW w:w="3420" w:type="dxa"/>
          <w:tblInd w:w="2160"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CL $</w:t>
            </w: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Pesos chilenos</w:t>
            </w:r>
          </w:p>
        </w:tc>
      </w:tr>
      <w:tr>
        <w:tblPrEx>
          <w:tblW w:w="3420" w:type="dxa"/>
          <w:tblInd w:w="2160"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US $</w:t>
            </w: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Dólares estadounidenses</w:t>
            </w:r>
          </w:p>
        </w:tc>
      </w:tr>
      <w:tr>
        <w:tblPrEx>
          <w:tblW w:w="3420" w:type="dxa"/>
          <w:tblInd w:w="2160" w:type="dxa"/>
          <w:tblLayout w:type="fixed"/>
        </w:tblPrEx>
        <w:trPr>
          <w:cantSplit/>
          <w:trHeight w:hRule="auto" w:val="0"/>
        </w:trPr>
        <w:tc>
          <w:tcPr>
            <w:tcW w:w="72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ind w:left="55"/>
              <w:jc w:val="left"/>
            </w:pPr>
            <w:r>
              <w:rPr>
                <w:rFonts w:ascii="Calibri" w:eastAsia="Calibri" w:hAnsi="Calibri" w:cs="Calibri"/>
                <w:b w:val="0"/>
                <w:i w:val="0"/>
                <w:color w:val="000000"/>
                <w:sz w:val="20"/>
                <w:u w:val="none"/>
              </w:rPr>
              <w:t>UF</w:t>
            </w:r>
          </w:p>
        </w:tc>
        <w:tc>
          <w:tcPr>
            <w:tcW w:w="2700" w:type="dxa"/>
            <w:tcBorders>
              <w:top w:val="nil"/>
              <w:left w:val="nil"/>
              <w:bottom w:val="nil"/>
              <w:right w:val="nil"/>
            </w:tcBorders>
            <w:tcMar>
              <w:top w:w="0" w:type="dxa"/>
              <w:left w:w="53" w:type="dxa"/>
              <w:bottom w:w="0" w:type="dxa"/>
              <w:right w:w="53" w:type="dxa"/>
            </w:tcMar>
            <w:vAlign w:val="top"/>
          </w:tcPr>
          <w:p>
            <w:pPr>
              <w:pageBreakBefore w:val="0"/>
              <w:spacing w:before="43" w:after="20" w:line="240" w:lineRule="auto"/>
              <w:jc w:val="left"/>
            </w:pPr>
            <w:r>
              <w:rPr>
                <w:rFonts w:ascii="Calibri" w:eastAsia="Calibri" w:hAnsi="Calibri" w:cs="Calibri"/>
                <w:b w:val="0"/>
                <w:i w:val="0"/>
                <w:color w:val="000000"/>
                <w:sz w:val="20"/>
                <w:u w:val="none"/>
              </w:rPr>
              <w:t>Unidades de fomento</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18"/>
          <w:footerReference w:type="default" r:id="rId19"/>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25" w:name="Section17"/>
      <w:bookmarkEnd w:id="25"/>
      <w:bookmarkStart w:id="26" w:name="ce5af7e51b924e4092809ac9e9cd9eb3"/>
      <w:r>
        <w:rPr>
          <w:rFonts w:ascii="Calibri" w:eastAsia="Calibri" w:hAnsi="Calibri" w:cs="Calibri"/>
          <w:b/>
          <w:i w:val="0"/>
          <w:color w:val="000000"/>
          <w:sz w:val="20"/>
          <w:u w:val="none"/>
        </w:rPr>
        <w:t>3.7.-</w:t>
      </w:r>
      <w:r>
        <w:rPr>
          <w:rFonts w:ascii="Calibri" w:eastAsia="Calibri" w:hAnsi="Calibri" w:cs="Calibri"/>
          <w:b/>
          <w:i w:val="0"/>
          <w:color w:val="000000"/>
          <w:sz w:val="20"/>
          <w:u w:val="none"/>
        </w:rPr>
        <w:tab/>
      </w:r>
      <w:r>
        <w:rPr>
          <w:rFonts w:ascii="Calibri" w:eastAsia="Calibri" w:hAnsi="Calibri" w:cs="Calibri"/>
          <w:b/>
          <w:i w:val="0"/>
          <w:color w:val="000000"/>
          <w:sz w:val="20"/>
          <w:u w:val="none"/>
        </w:rPr>
        <w:t>Información financiera por segmentos operativos.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6"/>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información por segmentos se presenta de manera consistente con los informes internos proporcionados a los responsables de tomar las decisiones operativas relevantes. Dichos ejecutivos son los responsables de asignar los recursos y evaluar el rendimiento de los segmentos operativos, los cuales han sido identificados como: eléctrico, para los que se toman las decisiones estratégicas.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27" w:name="Section18"/>
      <w:bookmarkEnd w:id="27"/>
      <w:bookmarkStart w:id="28" w:name="3c35bd50cc3e41539a156a51fbd84703"/>
      <w:r>
        <w:rPr>
          <w:rFonts w:ascii="Calibri" w:eastAsia="Calibri" w:hAnsi="Calibri" w:cs="Calibri"/>
          <w:b/>
          <w:i w:val="0"/>
          <w:color w:val="000000"/>
          <w:sz w:val="20"/>
          <w:u w:val="none"/>
        </w:rPr>
        <w:t>3.8.-</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planta y equipo.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28"/>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propiedades, planta y equipo de la Sociedad y subsidiaria, tanto en su reconocimiento inicial como en su medición posterior son valorados a su costo menos la correspondiente depreciación y deterioro acumulado de existir.</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posteriores (reemplazo de componentes, mejoras, ampliaciones, crecimientos, etc.) se incluyen en el valor del activo inicial o se reconocen como un activo separado, sólo cuando es probable que los beneficios económicos futuros asociados con los elementos de las propiedades, planta y equipo vayan a fluir a la Sociedad y el costo del elemento pueda determinarse de forma fiable. El valor del componente sustituido se da de baja contablemente. El resto de las reparaciones y mantenciones se cargan en el resultado del período o ejercicio en el que se incurren.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construcciones u obras en curso incluyen los siguientes conceptos devengados únicamente durante el período de construcción: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5"/>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financieros relativos a la financiación externa que sean directamente atribuibles a las construcciones, tanto si es de carácter específica como genérica. En relación con la financiación genérica, los gastos financieros activados se obtienen aplicando el costo promedio ponderado de financiación de largo plazo a la inversión promedio acumulada susceptible de activación no financiada específicamente.</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6"/>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Gastos de personal relacionado en forma directa y otros de naturaleza operativa, atribuibles a la construcción.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construcciones u obras en curso se traspasan a activos en explotación una vez terminado el período de prueba, cuando se encuentran disponibles para su uso, a partir de ese momento comienza su depreciación.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depreciación de las propiedades, planta y equipo se calcula usando el método lineal para asignar sus costos a sus valores residuales sobre sus vidas útiles técnicas estimadas con excepción de las unidades de generación, las cuales se deprecian en base a horas de uso.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residual y la vida útil de los bienes del rubro Propiedades, planta y equipo, se revisan y ajustan si es necesario, en cada cierre de estado de situación financiera, de tal forma de tener una vida útil restante acorde con el valor de dichos bienes.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el valor de un activo es superior a su importe recuperable estimado, su valor se reduce de forma inmediata hasta su importe recuperable, mediante la aplicación de pruebas de 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pérdidas y ganancias por la venta de una propiedad, planta y equipo se calculan comparando los ingresos obtenidos con el valor en libros y se incluyen en el estado de resultados.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val="0"/>
        <w:keepLines/>
        <w:pageBreakBefore w:val="0"/>
        <w:widowControl w:val="0"/>
        <w:numPr>
          <w:ilvl w:val="0"/>
          <w:numId w:val="0"/>
        </w:numPr>
        <w:spacing w:before="0" w:after="0" w:line="240" w:lineRule="exact"/>
        <w:ind w:left="0" w:right="0" w:firstLine="709"/>
        <w:jc w:val="both"/>
        <w:outlineLvl w:val="1"/>
        <w:rPr>
          <w:rFonts w:ascii="Calibri" w:eastAsia="Calibri" w:hAnsi="Calibri" w:cs="Calibri"/>
          <w:b/>
          <w:i w:val="0"/>
          <w:color w:val="000000"/>
          <w:sz w:val="20"/>
          <w:u w:val="none"/>
        </w:rPr>
      </w:pPr>
      <w:bookmarkStart w:id="29" w:name="Section19"/>
      <w:bookmarkEnd w:id="29"/>
      <w:bookmarkStart w:id="30" w:name="7c8ad8c033ea47cc9209c96fc83108b7"/>
      <w:r>
        <w:rPr>
          <w:rFonts w:ascii="Calibri" w:eastAsia="Calibri" w:hAnsi="Calibri" w:cs="Calibri"/>
          <w:b/>
          <w:i w:val="0"/>
          <w:color w:val="000000"/>
          <w:sz w:val="20"/>
          <w:u w:val="none"/>
        </w:rPr>
        <w:t>3.9.-</w:t>
      </w:r>
      <w:r>
        <w:rPr>
          <w:rFonts w:ascii="Calibri" w:eastAsia="Calibri" w:hAnsi="Calibri" w:cs="Calibri"/>
          <w:b/>
          <w:i w:val="0"/>
          <w:color w:val="000000"/>
          <w:sz w:val="20"/>
          <w:u w:val="none"/>
        </w:rPr>
        <w:tab/>
      </w:r>
      <w:r>
        <w:rPr>
          <w:rFonts w:ascii="Calibri" w:eastAsia="Calibri" w:hAnsi="Calibri" w:cs="Calibri"/>
          <w:b/>
          <w:i w:val="0"/>
          <w:color w:val="000000"/>
          <w:sz w:val="20"/>
          <w:u w:val="none"/>
        </w:rPr>
        <w:t>Propiedades de inversión.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incluyen principalmente los terrenos y construcciones que se mantienen con el propósito de obtener ganancias en futuras ventas (fuera del curso ordinario de los negocios), plusvalías, o bien explotarlos bajo un régimen de arrendamientos, y no son ocupados por CGE Magallanes S.A. y subsidiaria. El criterio de valorización inicial de las propiedades de inversión es al costo y la medición posterior es a su valor razonable, por medio de retasaciones independientes que reflejan su valor de mercado.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o ganancias derivadas de un cambio en el valor razonable de las propiedades de inversión se incluyen en el resultado del ejercicio en que se generan, y se presentan en el rubro otras ganancias (pérdidas) del estado de resultados por función.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da de baja cuando se enajene o disponga de la misma por otra vía, o cuando no se espere obtener beneficios económicos futuros por su utilización, enajenación o disposición por otra vía.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ganancias o pérdidas que surgen en la venta o retiro de propiedades de inversión se reconocen en los resultados del ejercicio y se determina como la diferencia entre el valor de venta y el valor neto contable del activo.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por alquileres de propiedades de inversión se reconocen como otros ingresos durante el plazo del arrendamiento. Los incentivos de arrendamiento otorgados, en caso de existir, se reconocen como parte integral de los ingresos totales por arrendamiento, durante el plazo del arrendamiento.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31" w:name="Section20"/>
      <w:bookmarkEnd w:id="31"/>
      <w:bookmarkStart w:id="32" w:name="f2c197285c794ac48eb43df2ba726dc7"/>
      <w:r>
        <w:rPr>
          <w:rFonts w:ascii="Calibri" w:eastAsia="Calibri" w:hAnsi="Calibri" w:cs="Calibri"/>
          <w:b/>
          <w:i w:val="0"/>
          <w:color w:val="000000"/>
          <w:sz w:val="20"/>
          <w:u w:val="none"/>
        </w:rPr>
        <w:t>3.10.-</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intangibles distintos de la plusvalía.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2"/>
    </w:p>
    <w:p>
      <w:pPr>
        <w:keepNext w:val="0"/>
        <w:keepLines/>
        <w:pageBreakBefore w:val="0"/>
        <w:widowControl w:val="0"/>
        <w:numPr>
          <w:ilvl w:val="0"/>
          <w:numId w:val="0"/>
        </w:numPr>
        <w:tabs>
          <w:tab w:val="left" w:pos="700"/>
        </w:tabs>
        <w:spacing w:before="0" w:after="0" w:line="288" w:lineRule="auto"/>
        <w:ind w:left="709" w:right="0" w:firstLine="709"/>
        <w:jc w:val="both"/>
        <w:outlineLvl w:val="9"/>
        <w:rPr>
          <w:rFonts w:ascii="Calibri" w:eastAsia="Calibri" w:hAnsi="Calibri" w:cs="Calibri"/>
          <w:b w:val="0"/>
          <w:i w:val="0"/>
          <w:sz w:val="20"/>
        </w:rPr>
      </w:pPr>
      <w:r>
        <w:rPr>
          <w:rFonts w:ascii="Calibri" w:eastAsia="Calibri" w:hAnsi="Calibri" w:cs="Calibri"/>
          <w:b w:val="0"/>
          <w:i w:val="0"/>
          <w:sz w:val="20"/>
        </w:rPr>
        <w:t xml:space="preserve">3.10.1.- </w:t>
      </w:r>
      <w:r>
        <w:rPr>
          <w:rFonts w:ascii="Calibri" w:eastAsia="Calibri" w:hAnsi="Calibri" w:cs="Calibri"/>
          <w:b w:val="0"/>
          <w:i w:val="0"/>
          <w:sz w:val="20"/>
        </w:rPr>
        <w:tab/>
      </w:r>
      <w:r>
        <w:rPr>
          <w:rFonts w:ascii="Calibri" w:eastAsia="Calibri" w:hAnsi="Calibri" w:cs="Calibri"/>
          <w:b w:val="0"/>
          <w:i w:val="0"/>
          <w:sz w:val="20"/>
        </w:rPr>
        <w:t>Servidumbres.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derechos de servidumbre se presentan a costo o al valor asignado en una combinación de negocios. La explotación de dichos derechos en general no tiene una vida útil definida, por lo cual no estarán afectos a amortización. Sin embargo, la vida útil indefinida es objeto de revisión en cada ejercicio para el que se presente información, para determinar si la consideración de vida útil indefinida sigue siendo aplicable. Estos activos se someten a pruebas por deterioro de valor anualmente.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3.10.2.-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Programas informáticos.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licencias para programas informáticos adquiridas, se capitalizan sobre la base de los costos en que se ha incurrido para adquirirlas y prepararlas para usar el programa específico. Estos costos se amortizan durante sus vidas útiles estimadas.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gastos relacionados con el desarrollo o mantenimiento de programas informáticos se reconocen como gasto cuando se incurre en ellos. Los costos directamente relacionados con la producción de programas informáticos únicos e identificables controlados por la Sociedad, y que es probable que vayan a generar beneficios económicos superiores a los costos durante más de un año, se reconocen como activos intangibles. Los costos directos incluyen los gastos del personal que desarrolla los programas informáticos.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Después del reconocimiento inicial, los gastos de desarrollo se miden al costo menos la amortización acumulada y cualquier pérdida por deterioro acumulada.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programas informáticos reconocidos como activos, se amortizan linealmente durante sus vidas útiles estimadas.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métodos de amortización, las vidas útiles y los valores residuales de se revisan en cada fecha de presentación y se ajustan si corresponde.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3" w:name="Section21"/>
      <w:bookmarkEnd w:id="33"/>
      <w:bookmarkStart w:id="34" w:name="2ec0400e9f9b4a858ddeb470315e6546"/>
      <w:r>
        <w:rPr>
          <w:rFonts w:ascii="Calibri" w:eastAsia="Calibri" w:hAnsi="Calibri" w:cs="Calibri"/>
          <w:b/>
          <w:i w:val="0"/>
          <w:color w:val="000000"/>
          <w:sz w:val="20"/>
          <w:u w:val="none"/>
        </w:rPr>
        <w:t>3.11.-</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Costos por intereses.</w:t>
      </w:r>
    </w:p>
    <w:p>
      <w:pPr>
        <w:keepNext w:val="0"/>
        <w:keepLines/>
        <w:pageBreakBefore w:val="0"/>
        <w:widowControl w:val="0"/>
        <w:numPr>
          <w:ilvl w:val="0"/>
          <w:numId w:val="0"/>
        </w:numPr>
        <w:tabs>
          <w:tab w:val="left" w:pos="620"/>
        </w:tabs>
        <w:spacing w:before="0" w:after="0" w:line="288" w:lineRule="auto"/>
        <w:ind w:left="0" w:right="0" w:firstLine="0"/>
        <w:jc w:val="both"/>
        <w:outlineLvl w:val="9"/>
        <w:rPr>
          <w:rFonts w:ascii="Calibri" w:eastAsia="Calibri" w:hAnsi="Calibri" w:cs="Calibri"/>
          <w:b w:val="0"/>
          <w:i w:val="0"/>
          <w:color w:val="000000"/>
          <w:sz w:val="20"/>
          <w:u w:val="none"/>
        </w:rPr>
      </w:pPr>
      <w:bookmarkEnd w:id="34"/>
    </w:p>
    <w:p>
      <w:pPr>
        <w:pStyle w:val="Normal-wk"/>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por intereses incurridos para la construcción de cualquier activo apto se capitalizan durante el período de tiempo que es necesario para completar y preparar el activo para el uso que se pretende. Otros costos por intereses se registran en resultados (costos financieros). Se entiende por activo apto aquel que requiere de un período sustancial antes de estar listo para el uso a que está destinado o para la venta.</w:t>
      </w: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tabs>
          <w:tab w:val="left" w:pos="1400"/>
          <w:tab w:val="left" w:pos="2120"/>
          <w:tab w:val="left" w:pos="2820"/>
          <w:tab w:val="left" w:pos="3520"/>
          <w:tab w:val="left" w:pos="4240"/>
          <w:tab w:val="left" w:pos="4940"/>
          <w:tab w:val="left" w:pos="5660"/>
          <w:tab w:val="left" w:pos="6360"/>
          <w:tab w:val="left" w:pos="7060"/>
          <w:tab w:val="left" w:pos="7780"/>
          <w:tab w:val="left" w:pos="8480"/>
        </w:tabs>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5" w:name="Section22"/>
      <w:bookmarkEnd w:id="35"/>
      <w:bookmarkStart w:id="36" w:name="dd940aa6c1b64c02abb95ce31d821b93"/>
      <w:r>
        <w:rPr>
          <w:rFonts w:ascii="Calibri" w:eastAsia="Calibri" w:hAnsi="Calibri" w:cs="Calibri"/>
          <w:b/>
          <w:i w:val="0"/>
          <w:color w:val="000000"/>
          <w:sz w:val="20"/>
          <w:u w:val="none"/>
        </w:rPr>
        <w:t>3.12.-</w:t>
      </w:r>
      <w:r>
        <w:rPr>
          <w:rFonts w:ascii="Calibri" w:eastAsia="Calibri" w:hAnsi="Calibri" w:cs="Calibri"/>
          <w:b/>
          <w:i w:val="0"/>
          <w:color w:val="000000"/>
          <w:sz w:val="20"/>
          <w:u w:val="none"/>
        </w:rPr>
        <w:tab/>
      </w:r>
      <w:r>
        <w:rPr>
          <w:rFonts w:ascii="Calibri" w:eastAsia="Calibri" w:hAnsi="Calibri" w:cs="Calibri"/>
          <w:b/>
          <w:i w:val="0"/>
          <w:color w:val="000000"/>
          <w:sz w:val="20"/>
          <w:u w:val="none"/>
        </w:rPr>
        <w:t>Deterioro de activos no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36"/>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activos que tienen una vida útil indefinida no están sujetos a amortización y se someten anualmente a pruebas de pérdidas por deterioro del valor. Los activos sujetos a depreciación o amortización se someten a pruebas de pérdidas por deterioro siempre que algún suceso o cambio en las circunstancias indique que el importe en libros puede no ser recuperable. Se reconoce una pérdida por deterioro por el exceso del importe en libros del activo sobre su importe recuperable.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importe recuperable es el valor razonable de un activo menos los costos para la venta o el valor de uso, el mayor de los dos. A efectos de evaluar las pérdidas por deterioro del valor, los activos se agrupan al nivel más bajo para el que hay flujos de efectivo identificables por separado (unidades generadoras de efectivo). La plusvalía que surge de una combinación de negocios se asigna a la unidad generadora de efectivo que se espera se beneficien de las sinergias de la combinación.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no financieros, distintos de la plusvalía, que hubieran sufrido una pérdida por deterioro se someten a revisiones a cada fecha de cierre por si se hubieran producido reversiones de la pérdida.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reconoce una pérdida por deterioro si el valor en libros de un activo o Unidad generadora de efectivo excede su monto recuperable.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pérdidas por deterioro se reconocen en resultados del ejercicio. Se asignan primero para reducir el valor en libros de cualquier plusvalía asignada a la Unidad generadora de efectivo y luego para reducir los valores en libros de los otros activos en forma proporcional.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37" w:name="Section23"/>
      <w:bookmarkEnd w:id="37"/>
      <w:bookmarkStart w:id="38" w:name="060ddc1c0ec043709e180c5efdede736"/>
      <w:r>
        <w:rPr>
          <w:rFonts w:ascii="Calibri" w:eastAsia="Calibri" w:hAnsi="Calibri" w:cs="Calibri"/>
          <w:b/>
          <w:i w:val="0"/>
          <w:color w:val="000000"/>
          <w:sz w:val="20"/>
          <w:u w:val="none"/>
        </w:rPr>
        <w:t>3.13.-</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no corrientes mantenidos para la venta y grupos en disposición.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38"/>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activos no corrientes (y grupos en disposición) son clasificados como disponibles para la venta cuando su valor de libros será recuperado principalmente a través de una transacción de venta y la venta es considerada altamente probable dentro de los siguientes 12 meses. Estos activos se registran al valor de libros o al valor razonable menos costos necesarios para efectuar su venta, el que fuera menor. Se reconoce una pérdida o ganancia por disposición de activos no corrientes mantenidos para la venta en el rubro Otras ganancias (pérdidas) en el ejercicio de su realización.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pérdidas por deterioro en la clasificación inicial como mantenido para la venta o grupo en disposición y las ganancias y pérdidas subsiguientes por la nueva medición se reconocen en resultados del ejercicio.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Una vez clasificados como mantenidos para la venta, los activos intangibles y las propiedades, planta y equipo no se amortizarán o depreciarán, y cualquier inversión contabilizada por el método de la participación no se le aplicará dicho método.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39" w:name="Section24"/>
      <w:bookmarkEnd w:id="39"/>
      <w:bookmarkStart w:id="40" w:name="4931a2003890438b8c7725d2441c4d3f"/>
      <w:r>
        <w:rPr>
          <w:rFonts w:ascii="Calibri" w:eastAsia="Calibri" w:hAnsi="Calibri" w:cs="Calibri"/>
          <w:b/>
          <w:i w:val="0"/>
          <w:color w:val="000000"/>
          <w:sz w:val="20"/>
          <w:u w:val="none"/>
        </w:rPr>
        <w:t>3.14.-</w:t>
      </w:r>
      <w:r>
        <w:rPr>
          <w:rFonts w:ascii="Calibri" w:eastAsia="Calibri" w:hAnsi="Calibri" w:cs="Calibri"/>
          <w:b/>
          <w:i w:val="0"/>
          <w:color w:val="000000"/>
          <w:sz w:val="20"/>
          <w:u w:val="none"/>
        </w:rPr>
        <w:tab/>
      </w:r>
      <w:r>
        <w:rPr>
          <w:rFonts w:ascii="Calibri" w:eastAsia="Calibri" w:hAnsi="Calibri" w:cs="Calibri"/>
          <w:b/>
          <w:i w:val="0"/>
          <w:color w:val="000000"/>
          <w:sz w:val="20"/>
          <w:u w:val="none"/>
        </w:rPr>
        <w:t>Activos financieros.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bookmarkEnd w:id="40"/>
    </w:p>
    <w:p>
      <w:pPr>
        <w:pStyle w:val="CarCar3"/>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reúne los tres aspectos de la contabilidad de los instrumentos financieros: clasificación y medición; deterioro y contabilidad de cobertura.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3.14.1.-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Clasificación y medición.</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CGE Magallanes S.A. y subsidiaria miden inicialmente un activo financiero a su valor razonable más, en el caso de un activo financiero que no se encuentra al valor razonable con cambios en resultados, los costos de transacción.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instrumentos financieros de deuda se miden posteriormente al valor razonable con cambios en resultados, el costo amortizado o el valor razonable a través de otro resultado integral. La clasificación se basa en dos criterios: el modelo de negocio del Grupo para administrar los activos; y si los flujos de efectivo contractuales de los instrumentos representan únicamente pagos de capital e intereses sobre el monto principal pendiente (criterio SPPI).</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clasificación y medición de los activos financieros de deuda de CGE Magallanes S.A. y subsidiaria son los siguientes: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7"/>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deuda a costo amortizado para activos financieros que se mantienen dentro de un modelo de negocio con el objetivo de mantener los activos financieros a fin de recolectar flujos de efectivo contractuales que cumplan con el criterio SPPI. Esta categoría incluye las cuentas por cobrar comerciales y otras cuentas por cobrar, y los préstamos incluidos en Otros activos financieros no corrientes.</w:t>
      </w:r>
    </w:p>
    <w:p>
      <w:pPr>
        <w:keepNext w:val="0"/>
        <w:keepLines/>
        <w:pageBreakBefore w:val="0"/>
        <w:widowControl w:val="0"/>
        <w:numPr>
          <w:ilvl w:val="0"/>
          <w:numId w:val="0"/>
        </w:numPr>
        <w:spacing w:before="0" w:after="0" w:line="288" w:lineRule="auto"/>
        <w:ind w:left="248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16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Instrumentos de deuda en otro resultado integral, con ganancias o pérdidas recicladas a resultados en el momento de su realización. Los activos financieros en esta categoría son los instrumentos de deuda cotizados del Grupo que cumplen con el criterio SPPI y se mantienen dentro de un modelo comercial tanto para cobrar los flujos de efectivo como para vender.</w:t>
      </w:r>
    </w:p>
    <w:p>
      <w:pPr>
        <w:pStyle w:val="Normal-wk"/>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Otros activos financieros se clasifican y, posteriormente, se miden de la siguiente manera:</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Instrumentos de capital en otro resultado integral, sin reciclaje de ganancias o pérdidas a resultados en el momento de su realización. Esta categoría solo incluye los instrumentos de capital, que el Grupo tiene la intención de mantener en el futuro previsible y que CGE Magallanes S.A. y subsidiaria han elegido irrevocablemente para clasificarlos en el reconocimiento inicial o la transición. CGE Magallanes S.A. y subsidiaria clasificaron sus instrumentos de patrimonio en otro resultado integral. </w:t>
      </w:r>
    </w:p>
    <w:p>
      <w:pPr>
        <w:keepNext w:val="0"/>
        <w:keepLines/>
        <w:pageBreakBefore w:val="0"/>
        <w:widowControl w:val="0"/>
        <w:numPr>
          <w:ilvl w:val="0"/>
          <w:numId w:val="0"/>
        </w:numPr>
        <w:spacing w:before="0" w:after="0" w:line="288" w:lineRule="auto"/>
        <w:ind w:left="2835"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835"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financieros a valor razonable con cambios en resultados comprenden instrumentos derivados e instrumentos de capital cotizados que CGE Magallanes S.A. y subsidiaria no han elegido irrevocablemente, en el reconocimiento inicial o transición, para clasificar en otros resultados integrales. Esta categoría también incluye instrumentos de deuda cuyas características de flujo de caja no cumplan con el criterio SPPI o que no se encuentren dentro de un modelo de negocios cuyo objetivo sea recolectar flujos de efectivo contractuales o acumular flujos de efectivo contractuales y vender.</w:t>
      </w:r>
    </w:p>
    <w:p>
      <w:pPr>
        <w:keepNext w:val="0"/>
        <w:keepLines/>
        <w:pageBreakBefore w:val="0"/>
        <w:widowControl w:val="0"/>
        <w:numPr>
          <w:ilvl w:val="0"/>
          <w:numId w:val="0"/>
        </w:numPr>
        <w:spacing w:before="0" w:after="0" w:line="288" w:lineRule="auto"/>
        <w:ind w:left="2115"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NIIF 9 requiere que los pasivos con contraprestación contingente se traten como instrumentos financieros medidos a valor razonable, con los cambios en el valor razonable reconocidos en el estado de ganancias o pérdidas.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Conforme a la NIIF 9, los derivados implícitos ya no están separados de un activo financiero principal. En cambio, los activos financieros se clasifican según sus términos contractuales y el modelo de negocio del Grupo.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3.14.2.-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Deterioro.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NIIF 9 requiere que CGE Magallanes S.A. y subsidiaria registren las pérdidas crediticias esperadas de todos sus títulos de deuda, préstamos y deudores comerciales, ya sea sobre una base de 12 meses o de por vida.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Magallanes S.A. y subsidiaria han establecido una matriz de provisiones que se basa en la experiencia histórica de pérdidas crediticias del Grupo, ajustada por factores prospectivos específicos para los deudores y el entorno económico.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Para otros activos financieros de deuda, la pérdida esperada se basa en la pérdida esperada de 12 meses. La pérdida crediticia esperada de 12 meses es la porción de pérdida esperada de por vida que resulta de eventos predeterminados en un instrumento financiero que son posibles dentro de los 12 meses posteriores a la fecha de presentación. Sin embargo, cuando ha habido un aumento significativo en el riesgo de crédito desde el origen, la asignación se basará en la pérdida esperada de por vida.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4"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1" w:name="Section25"/>
      <w:bookmarkEnd w:id="41"/>
      <w:bookmarkStart w:id="42" w:name="c7c316edde574c999256dd6c1babab08"/>
      <w:r>
        <w:rPr>
          <w:rFonts w:ascii="Calibri" w:eastAsia="Calibri" w:hAnsi="Calibri" w:cs="Calibri"/>
          <w:b/>
          <w:i w:val="0"/>
          <w:color w:val="000000"/>
          <w:sz w:val="20"/>
          <w:u w:val="none"/>
        </w:rPr>
        <w:t>3.15.-</w:t>
      </w:r>
      <w:r>
        <w:rPr>
          <w:rFonts w:ascii="Calibri" w:eastAsia="Calibri" w:hAnsi="Calibri" w:cs="Calibri"/>
          <w:b/>
          <w:i w:val="0"/>
          <w:color w:val="000000"/>
          <w:sz w:val="20"/>
          <w:u w:val="none"/>
        </w:rPr>
        <w:tab/>
      </w:r>
      <w:r>
        <w:rPr>
          <w:rFonts w:ascii="Calibri" w:eastAsia="Calibri" w:hAnsi="Calibri" w:cs="Calibri"/>
          <w:b/>
          <w:i w:val="0"/>
          <w:color w:val="000000"/>
          <w:sz w:val="20"/>
          <w:u w:val="none"/>
        </w:rPr>
        <w:t>Inventarios.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existencias se valorizan a su costo o a su valor neto realizable, el menor de los dos. El costo se determina de acuerdo al método de precio medio ponderado (PMP).</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construcción de obras eléctricas para terceros incluyen los costos de diseño, los materiales eléctricos, la mano de obra directa propia y de terceros y otros costos directos e indirectos de existir, los cuales no incluyen costos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valor neto realizable es el precio estimado de venta de un activo en el curso normal de la operación menos los costos estimados para terminar su producción y los necesarios para llevar a cabo las ventas.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3" w:name="Section26"/>
      <w:bookmarkEnd w:id="43"/>
      <w:bookmarkStart w:id="44" w:name="3a01454041244fa7be48aacc106befdb"/>
      <w:r>
        <w:rPr>
          <w:rFonts w:ascii="Calibri" w:eastAsia="Calibri" w:hAnsi="Calibri" w:cs="Calibri"/>
          <w:b/>
          <w:i w:val="0"/>
          <w:color w:val="000000"/>
          <w:sz w:val="20"/>
          <w:u w:val="none"/>
        </w:rPr>
        <w:t>3.16.-</w:t>
      </w:r>
      <w:r>
        <w:rPr>
          <w:rFonts w:ascii="Calibri" w:eastAsia="Calibri" w:hAnsi="Calibri" w:cs="Calibri"/>
          <w:b/>
          <w:i w:val="0"/>
          <w:color w:val="000000"/>
          <w:sz w:val="20"/>
          <w:u w:val="none"/>
        </w:rPr>
        <w:tab/>
      </w:r>
      <w:r>
        <w:rPr>
          <w:rFonts w:ascii="Calibri" w:eastAsia="Calibri" w:hAnsi="Calibri" w:cs="Calibri"/>
          <w:b/>
          <w:i w:val="0"/>
          <w:color w:val="000000"/>
          <w:sz w:val="20"/>
          <w:u w:val="none"/>
        </w:rPr>
        <w:t>Deudores comerciales y otras cuentas por cobrar.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4"/>
    </w:p>
    <w:p>
      <w:pPr>
        <w:pStyle w:val="Normal-wk"/>
        <w:keepNext w:val="0"/>
        <w:keepLines/>
        <w:pageBreakBefore w:val="0"/>
        <w:widowControl w:val="0"/>
        <w:numPr>
          <w:ilvl w:val="0"/>
          <w:numId w:val="0"/>
        </w:numPr>
        <w:spacing w:before="0" w:after="0" w:line="240" w:lineRule="exact"/>
        <w:ind w:left="1416"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cuentas comerciales a cobrar corrientes se reconocen a su valor nominal, ya que los plazos medios de vencimientos no superan los 20 días desde su facturación y los retrasos respecto de dicho plazo generan intereses explícitos. Las cuentas comerciales a cobrar no corrientes se reconocen a su costo amortizado.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5" w:name="Section27"/>
      <w:bookmarkEnd w:id="45"/>
      <w:bookmarkStart w:id="46" w:name="a185c341a73f4a6b81ec6fd358fc3225"/>
      <w:r>
        <w:rPr>
          <w:rFonts w:ascii="Calibri" w:eastAsia="Calibri" w:hAnsi="Calibri" w:cs="Calibri"/>
          <w:b/>
          <w:i w:val="0"/>
          <w:color w:val="000000"/>
          <w:sz w:val="20"/>
          <w:u w:val="none"/>
        </w:rPr>
        <w:t>3.17.-</w:t>
      </w:r>
      <w:r>
        <w:rPr>
          <w:rFonts w:ascii="Calibri" w:eastAsia="Calibri" w:hAnsi="Calibri" w:cs="Calibri"/>
          <w:b/>
          <w:i w:val="0"/>
          <w:color w:val="000000"/>
          <w:sz w:val="20"/>
          <w:u w:val="none"/>
        </w:rPr>
        <w:tab/>
      </w:r>
      <w:r>
        <w:rPr>
          <w:rFonts w:ascii="Calibri" w:eastAsia="Calibri" w:hAnsi="Calibri" w:cs="Calibri"/>
          <w:b/>
          <w:i w:val="0"/>
          <w:color w:val="000000"/>
          <w:sz w:val="20"/>
          <w:u w:val="none"/>
        </w:rPr>
        <w:t>Efectivo y equivalentes al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6"/>
    </w:p>
    <w:p>
      <w:pPr>
        <w:pStyle w:val="Normal-wk"/>
        <w:keepNext w:val="0"/>
        <w:keepLines/>
        <w:pageBreakBefore w:val="0"/>
        <w:widowControl w:val="0"/>
        <w:numPr>
          <w:ilvl w:val="0"/>
          <w:numId w:val="0"/>
        </w:numPr>
        <w:spacing w:before="0" w:after="0" w:line="240" w:lineRule="exact"/>
        <w:ind w:left="1416"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efectivo y equivalentes al efectivo incluyen el efectivo en caja, los depósitos a plazo en entidades de crédito, otras inversiones a corto plazo de gran liquidez con un vencimiento original de tres meses o menos, con un riesgo poco significativo de cambio de valor. En el estado de situación financiera, los sobregiros, de existir, se clasifican como Otros Pasivos Financieros en el Pasivo Corriente.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47" w:name="Section28"/>
      <w:bookmarkEnd w:id="47"/>
      <w:bookmarkStart w:id="48" w:name="963224ebbb6b44a5a5b18ccc59df3456"/>
      <w:r>
        <w:rPr>
          <w:rFonts w:ascii="Calibri" w:eastAsia="Calibri" w:hAnsi="Calibri" w:cs="Calibri"/>
          <w:b/>
          <w:i w:val="0"/>
          <w:color w:val="000000"/>
          <w:sz w:val="20"/>
          <w:u w:val="none"/>
        </w:rPr>
        <w:t>3.18.-</w:t>
      </w:r>
      <w:r>
        <w:rPr>
          <w:rFonts w:ascii="Calibri" w:eastAsia="Calibri" w:hAnsi="Calibri" w:cs="Calibri"/>
          <w:b/>
          <w:i w:val="0"/>
          <w:color w:val="000000"/>
          <w:sz w:val="20"/>
          <w:u w:val="none"/>
        </w:rPr>
        <w:tab/>
      </w:r>
      <w:r>
        <w:rPr>
          <w:rFonts w:ascii="Calibri" w:eastAsia="Calibri" w:hAnsi="Calibri" w:cs="Calibri"/>
          <w:b/>
          <w:i w:val="0"/>
          <w:color w:val="000000"/>
          <w:sz w:val="20"/>
          <w:u w:val="none"/>
        </w:rPr>
        <w:t>Capital social.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48"/>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El capital social está representado por acciones ordinarias de una sola clase y un voto por acción.</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costos incrementales directamente atribuibles a la emisión de nuevas acciones se presentan en el patrimonio neto como una deducción, neta de impuestos, de los ingresos obtenidos.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Si la Sociedad adquiere acciones de propia emisión, producto del ejercicio de derecho a retiro de accionistas, el importe de las acciones propias en cartera se deducirá del patrimonio. No se reconocerá ninguna pérdida o ganancia en el resultado del ejercicio derivada de la compra, venta, emisión o amortización de los instrumentos de patrimonio propios de la entidad.</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6"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1417" w:right="0" w:hanging="709"/>
        <w:jc w:val="both"/>
        <w:outlineLvl w:val="1"/>
        <w:rPr>
          <w:rFonts w:ascii="Times New Roman" w:eastAsia="Times New Roman" w:hAnsi="Times New Roman" w:cs="Times New Roman"/>
          <w:b/>
          <w:i w:val="0"/>
          <w:color w:val="000000"/>
          <w:sz w:val="24"/>
          <w:u w:val="none"/>
        </w:rPr>
      </w:pPr>
      <w:bookmarkStart w:id="49" w:name="Section29"/>
      <w:bookmarkEnd w:id="49"/>
      <w:bookmarkStart w:id="50" w:name="6525d0f019e44c5887fac223166c4036"/>
      <w:r>
        <w:rPr>
          <w:rFonts w:ascii="Calibri" w:eastAsia="Calibri" w:hAnsi="Calibri" w:cs="Calibri"/>
          <w:b/>
          <w:i w:val="0"/>
          <w:color w:val="000000"/>
          <w:sz w:val="20"/>
          <w:u w:val="none"/>
        </w:rPr>
        <w:t>3.19.-</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0"/>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Las cuentas por pagar comerciales y otras cuentas por pagar corrientes y no corrientes se reconocen inicialmente a su valor razonable, posteriormente se valoran a costo amortizado utilizando el método de la tasa de interés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51" w:name="Section30"/>
      <w:bookmarkEnd w:id="51"/>
      <w:bookmarkStart w:id="52" w:name="09a95a768a3842a6ba385f109b60d479"/>
      <w:r>
        <w:rPr>
          <w:rFonts w:ascii="Calibri" w:eastAsia="Calibri" w:hAnsi="Calibri" w:cs="Calibri"/>
          <w:b/>
          <w:i w:val="0"/>
          <w:color w:val="000000"/>
          <w:sz w:val="20"/>
          <w:u w:val="none"/>
        </w:rPr>
        <w:t>3.20.-</w:t>
      </w:r>
      <w:r>
        <w:rPr>
          <w:rFonts w:ascii="Calibri" w:eastAsia="Calibri" w:hAnsi="Calibri" w:cs="Calibri"/>
          <w:b/>
          <w:i w:val="0"/>
          <w:color w:val="000000"/>
          <w:sz w:val="20"/>
          <w:u w:val="none"/>
        </w:rPr>
        <w:tab/>
      </w:r>
      <w:r>
        <w:rPr>
          <w:rFonts w:ascii="Calibri" w:eastAsia="Calibri" w:hAnsi="Calibri" w:cs="Calibri"/>
          <w:b/>
          <w:i w:val="0"/>
          <w:color w:val="000000"/>
          <w:sz w:val="20"/>
          <w:u w:val="none"/>
        </w:rPr>
        <w:t>Préstamos y otros pasivos financieros.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2"/>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préstamos y pasivos financieros de naturaleza similar se reconocen inicialmente a su valor razonable, neto de los costos en que se haya incurrido en la transacción. Posteriormente, se valorizan a su costo amortizado y cualquier diferencia entre los fondos obtenidos (netos de los costos necesarios para su obtención) y el valor de reembolso, se reconoce en el estado de resultados durante el plazo de la deuda de acuerdo con el método de la tasa de interés efectiva.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Las obligaciones financieras se clasifican como pasivos corrientes a menos que la Sociedad tenga un derecho incondicional a diferir su liquidación durante al menos 12 meses después de la fecha de los estados de situación financiera.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3" w:name="Section31"/>
      <w:bookmarkEnd w:id="53"/>
      <w:bookmarkStart w:id="54" w:name="1835e931dd794be69ee9767e2a6dd66c"/>
      <w:r>
        <w:rPr>
          <w:rFonts w:ascii="Calibri" w:eastAsia="Calibri" w:hAnsi="Calibri" w:cs="Calibri"/>
          <w:b/>
          <w:i w:val="0"/>
          <w:color w:val="000000"/>
          <w:sz w:val="20"/>
          <w:u w:val="none"/>
        </w:rPr>
        <w:t>3.21.-</w:t>
      </w:r>
      <w:r>
        <w:rPr>
          <w:rFonts w:ascii="Calibri" w:eastAsia="Calibri" w:hAnsi="Calibri" w:cs="Calibri"/>
          <w:b/>
          <w:i w:val="0"/>
          <w:color w:val="000000"/>
          <w:sz w:val="20"/>
          <w:u w:val="none"/>
        </w:rPr>
        <w:tab/>
      </w:r>
      <w:r>
        <w:rPr>
          <w:rFonts w:ascii="Calibri" w:eastAsia="Calibri" w:hAnsi="Calibri" w:cs="Calibri"/>
          <w:b/>
          <w:i w:val="0"/>
          <w:color w:val="000000"/>
          <w:sz w:val="20"/>
          <w:u w:val="none"/>
        </w:rPr>
        <w:t>Impuesto a las ganancias e impuestos diferidos.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54"/>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El gasto por impuesto a las ganancias del ejercicio comprende al impuesto a la renta corriente y al impuesto diferido. El impuesto se reconoce en el estado de resultados, excepto cuando se trata de partidas que se reconocen directamente en el patrimonio, en otro resultado integral o provienen de una combinación de negocios. </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impuesto a la renta corriente comprende el impuesto esperado por pagar o por cobrar sobre la ganancia o pérdida imponible del año y cualquier ajuste al impuesto por pagar o por cobrar con respecto a años anteriores. El monto del impuesto a la renta corriente por pagar o cobrar es la mejor estimación del monto del impuesto que se espera pagar o recibir. El cargo por impuesto a la renta corriente se calcula sobre la base de las leyes tributarias vigentes a la fecha del estado de situación financiera y las tasas vigentes que establecen dichos cuerpos legales.</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impuestos diferidos se calculan a partir de las diferencias que surgen entre las bases tributarias de los activos y pasivos, y sus importes en libros en los estados financieros. Sin embargo, si los impuestos diferidos surgen del reconocimiento inicial de un pasivo o un activo en una transacción distinta de una combinación de negocios que en el momento de la transacción no afecta ni al resultado contable ni a la ganancia o pérdida fiscal, no se contabiliza. El impuesto diferido se determina usando tasas impositivas (y leyes) aprobadas o a punto de aprobarse en la fecha de los estados de situación financiera y que se espera aplicar cuando el correspondiente activo por impuesto diferido se realice o el pasivo por impuesto diferido se liquide.</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Los activos por impuestos diferidos se reconocen por las pérdidas fiscales no utilizadas, los créditos fiscales no utilizados y las diferencias temporarias deducibles en la medida en que sea probable que se disponga de ganancias fiscales futuras contra las cuales puedan utilizarse. Las ganancias fiscales futuras se determinan con base en la reversión de las diferencias temporarias imponibles relevantes. Si el monto de las diferencias temporarias imponibles es insuficiente para reconocer un activo por impuestos diferidos en su totalidad, entonces se consideran las ganancias imponibles futuras, ajustadas por las reversiones de las diferencias temporarias existentes, con base en los planes de negocios de la sociedad y subsidiaria. Los activos por impuestos diferidos se revisan en cada fecha de presentación y se reducen en la medida en que ya no es probable que se realice el beneficio fiscal relacionado; dichas reducciones se revierten cuando mejora la probabilidad de ganancias imponibles futuras.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impuesto a la renta diferido se reconoce por las diferencias temporales que surgen de las inversiones en subsidiarias y en asociadas, excepto cuando la oportunidad en que se revertirán las diferencias temporales es controlada por la Sociedad y es probable que la diferencia temporal no se revertirá en un momento previsible en el futuro.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5" w:name="Section32"/>
      <w:bookmarkEnd w:id="55"/>
      <w:bookmarkStart w:id="56" w:name="209a239896854ad48fc1c25209c38e2a"/>
      <w:r>
        <w:rPr>
          <w:rFonts w:ascii="Calibri" w:eastAsia="Calibri" w:hAnsi="Calibri" w:cs="Calibri"/>
          <w:b/>
          <w:i w:val="0"/>
          <w:color w:val="000000"/>
          <w:sz w:val="20"/>
          <w:u w:val="none"/>
        </w:rPr>
        <w:t>3.22.-</w:t>
      </w:r>
      <w:r>
        <w:rPr>
          <w:rFonts w:ascii="Calibri" w:eastAsia="Calibri" w:hAnsi="Calibri" w:cs="Calibri"/>
          <w:b/>
          <w:i w:val="0"/>
          <w:color w:val="000000"/>
          <w:sz w:val="20"/>
          <w:u w:val="none"/>
        </w:rPr>
        <w:tab/>
      </w:r>
      <w:r>
        <w:rPr>
          <w:rFonts w:ascii="Calibri" w:eastAsia="Calibri" w:hAnsi="Calibri" w:cs="Calibri"/>
          <w:b/>
          <w:i w:val="0"/>
          <w:color w:val="000000"/>
          <w:sz w:val="20"/>
          <w:u w:val="none"/>
        </w:rPr>
        <w:t xml:space="preserve">Obligaciones por beneficios post empleo u otros similares.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6"/>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3.22.1.-</w:t>
      </w:r>
      <w:r>
        <w:rPr>
          <w:rFonts w:ascii="Calibri" w:eastAsia="Calibri" w:hAnsi="Calibri" w:cs="Calibri"/>
          <w:b w:val="0"/>
          <w:i w:val="0"/>
          <w:sz w:val="20"/>
        </w:rPr>
        <w:tab/>
      </w:r>
      <w:r>
        <w:rPr>
          <w:rFonts w:ascii="Calibri" w:eastAsia="Calibri" w:hAnsi="Calibri" w:cs="Calibri"/>
          <w:b w:val="0"/>
          <w:i w:val="0"/>
          <w:sz w:val="20"/>
        </w:rPr>
        <w:t>Vacaciones del personal.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CGE Magallanes S.A. y subsidiaria reconocen el gasto por vacaciones del personal mediante el método del devengo. Este beneficio corresponde a todo el personal y equivale a un importe fijo según los contratos particulares de cada trabajador. Este beneficio es registrado a su valor nominal y presentado bajo el rubro Cuentas por pagar comerciales y otras cuentas por pagar.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3.22.2.- Indemnizaciones por años de servicio (PIAS).</w:t>
      </w:r>
    </w:p>
    <w:p>
      <w:pPr>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CGE Magallanes S.A. y subsidiaria constituyen pasivos por obligaciones por indemnizaciones por cese de servicios, en base a lo estipulado en los contratos colectivos e individuales del personal de su subsidiaria. Si este beneficio se encuentra pactado, la obligación se trata de acuerdo con NIC 19 (r), de la misma manera que los planes de beneficios definidos y es registrada mediante el método de la unidad de crédito proyectada. El resto de los beneficios por cese de servicios se tratan según el apartado siguiente.</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planes de beneficios definidos establecen el monto de retribución que recibirá un empleado al momento estimado de goce del beneficio, el que usualmente, depende de uno o más factores, tales como, edad del empleado, rotación, años de servicio y compensación.</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pasivo reconocido en el estado de situación financiera es el valor presente de la obligación del beneficio definido. El valor presente de la obligación de beneficio definido se determina descontando los flujos de salida de efectivo estimados, usando rendimientos de mercado de bonos denominados en la misma moneda en la que los beneficios serán pagados y que tienen términos que se aproximan a los términos de la obligación por PIAS hasta su vencimiento.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1"/>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costos de servicios pasados se reconocen inmediatamente en resultados. Las ganancias y pérdidas actuariales se reconocen inmediatamente en el balance, con un cargo o abono a otro resultado integral en los períodos en los cuales ocurren. No son reciclados posteriormente.</w:t>
      </w:r>
    </w:p>
    <w:p>
      <w:pPr>
        <w:keepNext w:val="0"/>
        <w:keepLines/>
        <w:pageBreakBefore w:val="0"/>
        <w:widowControl w:val="0"/>
        <w:numPr>
          <w:ilvl w:val="0"/>
          <w:numId w:val="0"/>
        </w:numPr>
        <w:spacing w:before="0" w:after="0" w:line="288" w:lineRule="auto"/>
        <w:ind w:left="2124" w:right="0" w:firstLine="1"/>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3.22.3.- Otros beneficios por cese de la relación laboral.</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beneficios por cese que no califican con lo descrito en el punto 3.22.2.- se pagan cuando la relación laboral se interrumpe antes de la fecha normal de retiro o cuando un empleado acepta voluntariamente el cese a cambio de estos beneficios. La Sociedad reconoce los beneficios por cese cuando está demostrablemente comprometido, ya sea: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A poner fin a la relación laboral de empleados de acuerdo a un plan formal detallado sin posibilidad de renuncia; o</w:t>
      </w:r>
    </w:p>
    <w:p>
      <w:pPr>
        <w:keepNext w:val="0"/>
        <w:keepLines/>
        <w:pageBreakBefore w:val="0"/>
        <w:widowControl w:val="0"/>
        <w:numPr>
          <w:ilvl w:val="0"/>
          <w:numId w:val="0"/>
        </w:numPr>
        <w:spacing w:before="0" w:after="0" w:line="288" w:lineRule="auto"/>
        <w:ind w:left="216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551" w:right="0" w:hanging="425"/>
        <w:jc w:val="both"/>
        <w:outlineLvl w:val="9"/>
        <w:rPr>
          <w:rFonts w:ascii="Calibri" w:eastAsia="Calibri" w:hAnsi="Calibri" w:cs="Calibri"/>
          <w:b w:val="0"/>
          <w:i w:val="0"/>
          <w:sz w:val="20"/>
        </w:rPr>
      </w:pPr>
      <w:r>
        <w:rPr>
          <w:rFonts w:ascii="Calibri" w:eastAsia="Calibri" w:hAnsi="Calibri" w:cs="Calibri"/>
          <w:b w:val="0"/>
          <w:i w:val="0"/>
          <w:sz w:val="20"/>
        </w:rPr>
        <w:t>-</w:t>
      </w:r>
      <w:r>
        <w:rPr>
          <w:rFonts w:ascii="Calibri" w:eastAsia="Calibri" w:hAnsi="Calibri" w:cs="Calibri"/>
          <w:b w:val="0"/>
          <w:i w:val="0"/>
          <w:sz w:val="20"/>
        </w:rPr>
        <w:tab/>
      </w:r>
      <w:r>
        <w:rPr>
          <w:rFonts w:ascii="Calibri" w:eastAsia="Calibri" w:hAnsi="Calibri" w:cs="Calibri"/>
          <w:b w:val="0"/>
          <w:i w:val="0"/>
          <w:sz w:val="20"/>
        </w:rPr>
        <w:t>De proporcionar beneficios por cese como resultado de una oferta hecha para inc</w:t>
      </w:r>
      <w:r>
        <w:rPr>
          <w:rFonts w:ascii="Calibri" w:eastAsia="Calibri" w:hAnsi="Calibri" w:cs="Calibri"/>
          <w:b w:val="0"/>
          <w:i w:val="0"/>
          <w:color w:val="000000"/>
          <w:sz w:val="20"/>
          <w:u w:val="none"/>
        </w:rPr>
        <w:t xml:space="preserve">entivar el retiro voluntario. Los beneficios que vencen en más de 12 meses después de la fecha del estado de situación financiera, de existir, se descuentan a su valor presente.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3.22.4.-</w:t>
      </w:r>
      <w:r>
        <w:rPr>
          <w:rFonts w:ascii="Calibri" w:eastAsia="Calibri" w:hAnsi="Calibri" w:cs="Calibri"/>
          <w:b w:val="0"/>
          <w:i w:val="0"/>
          <w:sz w:val="20"/>
        </w:rPr>
        <w:tab/>
      </w:r>
      <w:r>
        <w:rPr>
          <w:rFonts w:ascii="Calibri" w:eastAsia="Calibri" w:hAnsi="Calibri" w:cs="Calibri"/>
          <w:b w:val="0"/>
          <w:i w:val="0"/>
          <w:sz w:val="20"/>
        </w:rPr>
        <w:t>Premios de antigüedad.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subsidiaria tiene pactado premios pagaderos a los empleados, toda vez que éstos cumplan cierto número de años de servicio en la Sociedad. Este beneficio se reconoce en base a estimaciones actuariales. Los costos de servicio e intereses se reconocen inmediatamente en resultados. Las ganancias y pérdidas actuariales se reconocen inmediatamente en el balance, con un cargo o abono a otro resultado integral en los ejercicios en los cuales ocurren. No son reciclados posteriormente.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3.22.5.-</w:t>
      </w:r>
      <w:r>
        <w:rPr>
          <w:rFonts w:ascii="Calibri" w:eastAsia="Calibri" w:hAnsi="Calibri" w:cs="Calibri"/>
          <w:b w:val="0"/>
          <w:i w:val="0"/>
          <w:sz w:val="20"/>
        </w:rPr>
        <w:tab/>
      </w:r>
      <w:r>
        <w:rPr>
          <w:rFonts w:ascii="Calibri" w:eastAsia="Calibri" w:hAnsi="Calibri" w:cs="Calibri"/>
          <w:b w:val="0"/>
          <w:i w:val="0"/>
          <w:sz w:val="20"/>
        </w:rPr>
        <w:t>Participación en las utilidades.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reconoce un pasivo y un gasto por participación en las utilidades en base a contratos colectivos e individuales de sus trabajadores, sobre la base de una fórmula que toma en cuenta la utilidad atribuible a los accionistas de las Sociedades.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720" w:right="0" w:firstLine="0"/>
        <w:jc w:val="both"/>
        <w:outlineLvl w:val="1"/>
        <w:rPr>
          <w:rFonts w:ascii="Times New Roman" w:eastAsia="Times New Roman" w:hAnsi="Times New Roman" w:cs="Times New Roman"/>
          <w:b/>
          <w:i w:val="0"/>
          <w:color w:val="000000"/>
          <w:sz w:val="24"/>
          <w:u w:val="none"/>
        </w:rPr>
      </w:pPr>
      <w:bookmarkStart w:id="57" w:name="Section33"/>
      <w:bookmarkEnd w:id="57"/>
      <w:bookmarkStart w:id="58" w:name="21a86e422619448e9562811eba07cc39"/>
      <w:r>
        <w:rPr>
          <w:rFonts w:ascii="Calibri" w:eastAsia="Calibri" w:hAnsi="Calibri" w:cs="Calibri"/>
          <w:b/>
          <w:i w:val="0"/>
          <w:color w:val="000000"/>
          <w:sz w:val="20"/>
          <w:u w:val="none"/>
        </w:rPr>
        <w:t>3.23.-</w:t>
      </w:r>
      <w:r>
        <w:rPr>
          <w:rFonts w:ascii="Calibri" w:eastAsia="Calibri" w:hAnsi="Calibri" w:cs="Calibri"/>
          <w:b/>
          <w:i w:val="0"/>
          <w:color w:val="000000"/>
          <w:sz w:val="20"/>
          <w:u w:val="none"/>
        </w:rPr>
        <w:tab/>
      </w:r>
      <w:r>
        <w:rPr>
          <w:rFonts w:ascii="Calibri" w:eastAsia="Calibri" w:hAnsi="Calibri" w:cs="Calibri"/>
          <w:b/>
          <w:i w:val="0"/>
          <w:color w:val="000000"/>
          <w:sz w:val="20"/>
          <w:u w:val="none"/>
        </w:rPr>
        <w:t>Provisiones.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58"/>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CGE Magallanes S.A. y subsidiaria reconocen una provisión cuando está obligado contractualmente o cuando existe una práctica del pasado que ha creado una obligación asumida.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Las provisiones para contratos onerosos, litigios y otras contingencias se reconocen cuando: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8"/>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 Sociedad tiene una obligación presente, ya sea legal o constructiva, como resultado de sucesos pasados;</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9"/>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Es probable que vaya a ser necesaria una salida de recursos para liquidar la obligación;</w:t>
      </w:r>
    </w:p>
    <w:p>
      <w:pPr>
        <w:keepNext w:val="0"/>
        <w:keepLines/>
        <w:pageBreakBefore w:val="0"/>
        <w:widowControl w:val="0"/>
        <w:numPr>
          <w:ilvl w:val="0"/>
          <w:numId w:val="0"/>
        </w:numPr>
        <w:spacing w:before="0" w:after="0" w:line="288" w:lineRule="auto"/>
        <w:ind w:left="2126" w:right="0" w:hanging="34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20"/>
        </w:numPr>
        <w:spacing w:before="0" w:after="0" w:line="288" w:lineRule="auto"/>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El importe puede ser estimado de forma fiable. </w:t>
      </w:r>
    </w:p>
    <w:p>
      <w:pPr>
        <w:keepNext w:val="0"/>
        <w:keepLines/>
        <w:pageBreakBefore w:val="0"/>
        <w:widowControl w:val="0"/>
        <w:numPr>
          <w:ilvl w:val="0"/>
          <w:numId w:val="0"/>
        </w:numPr>
        <w:spacing w:before="0" w:after="40" w:line="288" w:lineRule="auto"/>
        <w:ind w:left="1123"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provisiones se valoran por el valor actual de los desembolsos que se espera que sean necesarios para liquidar la obligación usando la mejor estimación de CGE Magallanes S.A. y subsidiaria. La tasa de descuento utilizada para determinar el valor actual refleja las evaluaciones actuales del mercado, en la fecha de cierre de los estados financieros, del valor temporal del dinero, así como el riesgo específico relacionado con el pasivo en particular, de corresponder. El incremento en la provisión por el paso del tiempo se reconoce en el rubro gasto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59" w:name="Section34"/>
      <w:bookmarkEnd w:id="59"/>
      <w:bookmarkStart w:id="60" w:name="4605c3feb5024121abe1e994a4ecf6fe"/>
      <w:r>
        <w:rPr>
          <w:rFonts w:ascii="Calibri" w:eastAsia="Calibri" w:hAnsi="Calibri" w:cs="Calibri"/>
          <w:b/>
          <w:i w:val="0"/>
          <w:color w:val="000000"/>
          <w:sz w:val="20"/>
          <w:u w:val="none"/>
        </w:rPr>
        <w:t>3.24.-</w:t>
      </w:r>
      <w:r>
        <w:rPr>
          <w:rFonts w:ascii="Calibri" w:eastAsia="Calibri" w:hAnsi="Calibri" w:cs="Calibri"/>
          <w:b/>
          <w:i w:val="0"/>
          <w:color w:val="000000"/>
          <w:sz w:val="20"/>
          <w:u w:val="none"/>
        </w:rPr>
        <w:tab/>
      </w:r>
      <w:r>
        <w:rPr>
          <w:rFonts w:ascii="Calibri" w:eastAsia="Calibri" w:hAnsi="Calibri" w:cs="Calibri"/>
          <w:b/>
          <w:i w:val="0"/>
          <w:color w:val="000000"/>
          <w:sz w:val="20"/>
          <w:u w:val="none"/>
        </w:rPr>
        <w:t>Subvenciones estatales.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0"/>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subvenciones estatales se reconocen por su valor razonable, cuando hay una seguridad razonable de que la subvención se cobrará, y CGE Magallanes S.A. y subsidiaria cumplirán con todas las condiciones establecidas.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subvenciones estatales relacionadas con costos se difieren como pasivo y se reconocen en el estado de resultados durante el período necesario para correlacionarlas con los costos que pretenden compensar. Las subvenciones estatales relacionadas con la adquisición de propiedades, planta y equipo se presentan netas del valor del activo correspondiente y se abonan en el estado de resultados sobre una base lineal durante las vidas esperadas de los activos (Ley Austral y Fondo Nacional de Desarrollo Regional).</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subvenciones estatales relacionadas con bonificación a la mano de obra se abonan directamente a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61" w:name="Section35"/>
      <w:bookmarkEnd w:id="61"/>
      <w:bookmarkStart w:id="62" w:name="51d497574cab452e82f6662e59840734"/>
      <w:r>
        <w:rPr>
          <w:rFonts w:ascii="Calibri" w:eastAsia="Calibri" w:hAnsi="Calibri" w:cs="Calibri"/>
          <w:b/>
          <w:i w:val="0"/>
          <w:color w:val="000000"/>
          <w:sz w:val="20"/>
          <w:u w:val="none"/>
        </w:rPr>
        <w:t>3.25.-</w:t>
      </w:r>
      <w:r>
        <w:rPr>
          <w:rFonts w:ascii="Calibri" w:eastAsia="Calibri" w:hAnsi="Calibri" w:cs="Calibri"/>
          <w:b/>
          <w:i w:val="0"/>
          <w:color w:val="000000"/>
          <w:sz w:val="20"/>
          <w:u w:val="none"/>
        </w:rPr>
        <w:tab/>
      </w:r>
      <w:r>
        <w:rPr>
          <w:rFonts w:ascii="Calibri" w:eastAsia="Calibri" w:hAnsi="Calibri" w:cs="Calibri"/>
          <w:b/>
          <w:i w:val="0"/>
          <w:color w:val="000000"/>
          <w:sz w:val="20"/>
          <w:u w:val="none"/>
        </w:rPr>
        <w:t>Clasificación de saldos en corrientes y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2"/>
    </w:p>
    <w:p>
      <w:pPr>
        <w:pStyle w:val="Normal-wk"/>
        <w:keepNext w:val="0"/>
        <w:keepLines/>
        <w:pageBreakBefore w:val="0"/>
        <w:widowControl w:val="0"/>
        <w:numPr>
          <w:ilvl w:val="0"/>
          <w:numId w:val="0"/>
        </w:numPr>
        <w:spacing w:before="0" w:after="0" w:line="240" w:lineRule="exact"/>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estado de situación financiera, los saldos se clasifican en función de sus vencimientos o plazos estimados de realización, como corrientes los con vencimiento igual o inferior a doce meses contados desde la fecha de corte de los estados financieros y como no corrientes, los mayores a ese periodo.</w:t>
      </w:r>
    </w:p>
    <w:p>
      <w:pPr>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que existan obligaciones cuyo vencimiento es inferior a doce meses, pero cuyo refinanciamiento a largo plazo se encuentre asegurado, se reclasifican como no corrientes.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3" w:name="Section36"/>
      <w:bookmarkEnd w:id="63"/>
      <w:bookmarkStart w:id="64" w:name="444924b23f1d4b439e2230d5307e55c3"/>
      <w:r>
        <w:rPr>
          <w:rFonts w:ascii="Calibri" w:eastAsia="Calibri" w:hAnsi="Calibri" w:cs="Calibri"/>
          <w:b/>
          <w:i w:val="0"/>
          <w:color w:val="000000"/>
          <w:sz w:val="20"/>
          <w:u w:val="none"/>
        </w:rPr>
        <w:t>3.26.-</w:t>
      </w:r>
      <w:r>
        <w:rPr>
          <w:rFonts w:ascii="Calibri" w:eastAsia="Calibri" w:hAnsi="Calibri" w:cs="Calibri"/>
          <w:b/>
          <w:i w:val="0"/>
          <w:color w:val="000000"/>
          <w:sz w:val="20"/>
          <w:u w:val="none"/>
        </w:rPr>
        <w:tab/>
      </w:r>
      <w:r>
        <w:rPr>
          <w:rFonts w:ascii="Calibri" w:eastAsia="Calibri" w:hAnsi="Calibri" w:cs="Calibri"/>
          <w:b/>
          <w:i w:val="0"/>
          <w:color w:val="000000"/>
          <w:sz w:val="20"/>
          <w:u w:val="none"/>
        </w:rPr>
        <w:t>Reconocimiento de ingresos.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4"/>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ordinarios se reconocen por un monto que refleja la contraprestación recibida o a recibir que la entidad tiene derecho a cambio de transferir bienes o servicios a un cliente. La entidad ha analizado y tomado en consideración todos los hechos y circunstancias relevantes al aplicar cada paso del modelo establecido por NIIF 15 a los contratos con sus clientes (identificación del contrato, identificar obligaciones de desempeño, determinar el precio de la transacción, asignar el precio, reconocer el ingreso). También ha evaluado la existencia de costos incrementales de la obtención de un contrato y los costos directamente relacionados con el cumplimiento de un contrato.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CGE Magallanes S.A. y subsidiaria reconocen los ingresos cuando se han cumplido satisfactoriamente los pasos establecidos en la norma y es probable que los beneficios económicos futuros vayan a fluir a la entidad y se cumplen las condiciones específicas para cada una de las actividades de CGE Magallanes S.A. y Subsidiaria, tal y como se describe a continuación: </w:t>
      </w:r>
    </w:p>
    <w:p>
      <w:pPr>
        <w:keepNext w:val="0"/>
        <w:keepLines/>
        <w:pageBreakBefore w:val="0"/>
        <w:widowControl w:val="0"/>
        <w:numPr>
          <w:ilvl w:val="0"/>
          <w:numId w:val="0"/>
        </w:numPr>
        <w:spacing w:before="0" w:after="0" w:line="288" w:lineRule="auto"/>
        <w:ind w:left="708" w:right="0" w:firstLine="708"/>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8" w:right="0" w:firstLine="70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3.26.1.-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Ventas de electricidad y servicios y recargos regulados.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 xml:space="preserve">Los contratos de la subsidiaria con clientes para la venta de energía y servicios y recargos regulados incluyen una obligación de desempeño, por lo que el ingreso por ventas de electricidad se registra en base a la facturación efectiva del período de consumo, además de incluir una estimación de energía por facturar que ha sido suministrado hasta la fecha de cierre del periodo o ejercicio. </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3.26.2.-</w:t>
      </w:r>
      <w:r>
        <w:rPr>
          <w:rFonts w:ascii="Calibri" w:eastAsia="Calibri" w:hAnsi="Calibri" w:cs="Calibri"/>
          <w:b w:val="0"/>
          <w:i w:val="0"/>
          <w:sz w:val="20"/>
        </w:rPr>
        <w:tab/>
      </w:r>
      <w:r>
        <w:rPr>
          <w:rFonts w:ascii="Calibri" w:eastAsia="Calibri" w:hAnsi="Calibri" w:cs="Calibri"/>
          <w:b w:val="0"/>
          <w:i w:val="0"/>
          <w:sz w:val="20"/>
        </w:rPr>
        <w:t>Ventas de bienes.</w:t>
      </w:r>
    </w:p>
    <w:p>
      <w:pPr>
        <w:keepNext/>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Las ventas de bienes incluyen por lo general una obligación de desempeño, por lo que el ingreso por ventas de bienes se registra con base en la facturación efectiva.</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3.26.3.-</w:t>
      </w:r>
      <w:r>
        <w:rPr>
          <w:rFonts w:ascii="Calibri" w:eastAsia="Calibri" w:hAnsi="Calibri" w:cs="Calibri"/>
          <w:b w:val="0"/>
          <w:i w:val="0"/>
          <w:sz w:val="20"/>
        </w:rPr>
        <w:tab/>
      </w:r>
      <w:r>
        <w:rPr>
          <w:rFonts w:ascii="Calibri" w:eastAsia="Calibri" w:hAnsi="Calibri" w:cs="Calibri"/>
          <w:b w:val="0"/>
          <w:i w:val="0"/>
          <w:sz w:val="20"/>
        </w:rPr>
        <w:t>Ingresos por construcción de obras.</w:t>
      </w:r>
    </w:p>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y costos del contrato de construcción se reconocen en resultados de acuerdo con el método del producto (grado de avance físico). Cuando el resultado de un contrato de construcción no puede estimarse de forma fiable, los ingresos del contrato se reconocen sólo hasta el límite de los costos del contrato incurridos que sea probable que se recuperarán. Cuando el resultado de un contrato de construcción puede estimarse de forma fiable y es probable que el contrato vaya a ser rentable, los ingresos del contrato se reconocen durante el período del contrato.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3.26.4.-</w:t>
      </w:r>
      <w:r>
        <w:rPr>
          <w:rFonts w:ascii="Calibri" w:eastAsia="Calibri" w:hAnsi="Calibri" w:cs="Calibri"/>
          <w:b w:val="0"/>
          <w:i w:val="0"/>
          <w:sz w:val="20"/>
        </w:rPr>
        <w:tab/>
      </w:r>
      <w:r>
        <w:rPr>
          <w:rFonts w:ascii="Calibri" w:eastAsia="Calibri" w:hAnsi="Calibri" w:cs="Calibri"/>
          <w:b w:val="0"/>
          <w:i w:val="0"/>
          <w:sz w:val="20"/>
        </w:rPr>
        <w:t>Ingresos por intereses.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Los ingresos por intereses se reconocen usando el método de la tasa de interés efectiva.</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5" w:name="Section37"/>
      <w:bookmarkEnd w:id="65"/>
      <w:bookmarkStart w:id="66" w:name="cd6b4490951f46aca78855241684e402"/>
      <w:r>
        <w:rPr>
          <w:rFonts w:ascii="Calibri" w:eastAsia="Calibri" w:hAnsi="Calibri" w:cs="Calibri"/>
          <w:b/>
          <w:i w:val="0"/>
          <w:color w:val="000000"/>
          <w:sz w:val="20"/>
          <w:u w:val="none"/>
        </w:rPr>
        <w:t>3.27.-</w:t>
      </w:r>
      <w:r>
        <w:rPr>
          <w:rFonts w:ascii="Calibri" w:eastAsia="Calibri" w:hAnsi="Calibri" w:cs="Calibri"/>
          <w:b/>
          <w:i w:val="0"/>
          <w:color w:val="000000"/>
          <w:sz w:val="20"/>
          <w:u w:val="none"/>
        </w:rPr>
        <w:tab/>
      </w:r>
      <w:r>
        <w:rPr>
          <w:rFonts w:ascii="Calibri" w:eastAsia="Calibri" w:hAnsi="Calibri" w:cs="Calibri"/>
          <w:b/>
          <w:i w:val="0"/>
          <w:color w:val="000000"/>
          <w:sz w:val="20"/>
          <w:u w:val="none"/>
        </w:rPr>
        <w:t>Arrendamientos.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66"/>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3.27.1.-</w:t>
      </w:r>
      <w:r>
        <w:rPr>
          <w:rFonts w:ascii="Calibri" w:eastAsia="Calibri" w:hAnsi="Calibri" w:cs="Calibri"/>
          <w:b w:val="0"/>
          <w:i w:val="0"/>
          <w:sz w:val="20"/>
        </w:rPr>
        <w:tab/>
      </w:r>
      <w:r>
        <w:rPr>
          <w:rFonts w:ascii="Calibri" w:eastAsia="Calibri" w:hAnsi="Calibri" w:cs="Calibri"/>
          <w:b w:val="0"/>
          <w:i w:val="0"/>
          <w:sz w:val="20"/>
        </w:rPr>
        <w:t>Cuando la Sociedad es el arrendatario.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o su subsidiaria arriendan determinadas propiedades, planta y equipo. Para los arrendamientos donde la Sociedad tiene sustancialmente todos los riesgos y beneficios inherentes a la propiedad, la Sociedad o subsidiaria reconocen los activos y pasivos derivados del contrato de arrendamiento con duración superior a 12 meses y de valor subyacente significativo en base a NIIF 16. Como arrendatario reconocerá los activos por derecho de uso y un pasivo por arrendamiento que representa la obligación de los pagos mínimos por este concepto.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Cada pago por arrendamiento se distribuye entre el pasivo y las cargas financieras para obtener una tasa de interés constante sobre el saldo pendiente de la deuda. Las correspondientes obligaciones por arrendamiento, netas de cargas financieras, se incluyen en el rubro pasivos por arrendamientos. El elemento de interés del costo financiero se carga en el estado de resultados durante el periodo de arrendamiento de forma que se obtenga una tasa periódica constante de interés sobre el saldo restante del pasivo para cada periodo o ejercicio. El activo adquirido en régimen de arrendamiento financiero se deprecia durante su vida útil o la duración del contrato, el menor de los 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3.27.2.-</w:t>
      </w:r>
      <w:r>
        <w:rPr>
          <w:rFonts w:ascii="Calibri" w:eastAsia="Calibri" w:hAnsi="Calibri" w:cs="Calibri"/>
          <w:b w:val="0"/>
          <w:i w:val="0"/>
          <w:sz w:val="20"/>
        </w:rPr>
        <w:tab/>
      </w:r>
      <w:r>
        <w:rPr>
          <w:rFonts w:ascii="Calibri" w:eastAsia="Calibri" w:hAnsi="Calibri" w:cs="Calibri"/>
          <w:b w:val="0"/>
          <w:i w:val="0"/>
          <w:sz w:val="20"/>
        </w:rPr>
        <w:t>Cuando la Sociedad es el arrendador.</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Cuando l</w:t>
      </w:r>
      <w:r>
        <w:rPr>
          <w:rFonts w:ascii="Calibri" w:eastAsia="Calibri" w:hAnsi="Calibri" w:cs="Calibri"/>
          <w:b w:val="0"/>
          <w:i w:val="0"/>
          <w:color w:val="000000"/>
          <w:sz w:val="20"/>
          <w:u w:val="none"/>
        </w:rPr>
        <w:t>a Sociedad o su subsidiaria</w:t>
      </w:r>
      <w:r>
        <w:rPr>
          <w:rFonts w:ascii="Calibri" w:eastAsia="Calibri" w:hAnsi="Calibri" w:cs="Calibri"/>
          <w:b w:val="0"/>
          <w:i w:val="0"/>
          <w:color w:val="000000"/>
          <w:sz w:val="20"/>
          <w:u w:val="none"/>
        </w:rPr>
        <w:t xml:space="preserve"> actúan como arrendador, clasifica al inicio del acuerdo si el arrendamiento es operativo o financiero, en base a la esencia de la transacción. Los arrendamientos en los que se transfieren sustancialmente todos los riesgos y beneficios inherentes a la propiedad del activo subyacente se clasifican como arrendamientos financieros. El resto de los arrendamientos son clasificados como arrendamientos operativos.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6"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arrendamientos financieros, en la fecha de comienzo, la compañía reconoce en el estado de situación financiera los activos mantenidos en arrendamiento financiero y los presenta en el rubro de cuentas por cobrar comerciales y otras cuentas por cobrar, por un valor igual al de la inversión neta en el arrendamiento, calculado como la suma del valor actual de las cuotas de arrendamiento descontadas a la tasa de interés implícita en el arrendamiento. Posteriormente, se reconocen los ingresos financieros a lo largo del plazo del arrendamiento, en función de una tasa de rendimiento constante sobre la inversión financiera neta realizada en el arrendamiento.</w:t>
      </w: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En el caso de los arrendamientos operativos, los pagos por arrendamiento se reconocen como ingreso de forma lineal durante el plazo del mismo.</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2126" w:right="0" w:firstLine="0"/>
        <w:jc w:val="both"/>
        <w:outlineLvl w:val="9"/>
        <w:rPr>
          <w:rFonts w:ascii="Calibri" w:eastAsia="Calibri" w:hAnsi="Calibri" w:cs="Calibri"/>
          <w:b w:val="0"/>
          <w:i w:val="0"/>
          <w:sz w:val="20"/>
        </w:rPr>
      </w:pPr>
      <w:r>
        <w:rPr>
          <w:rFonts w:ascii="Calibri" w:eastAsia="Calibri" w:hAnsi="Calibri" w:cs="Calibri"/>
          <w:b w:val="0"/>
          <w:i w:val="0"/>
          <w:sz w:val="20"/>
        </w:rPr>
        <w:t>La Sociedad o su subsidiaria arriendan ciertos elementos de propiedad, planta y equipo a sus clientes, los cuales se clasifican como operativos, desde la perspectiva del arrendador. Un arrendamiento se clasifica como arrendamiento operativo si no transfiere sustancialmente todos los riesgos y ventajas inherentes a la propiedad del activo. Los ingresos por arrendamiento comprenden montos de arrendamiento fijos y variables.</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activos arrendados a terceros bajo contratos de arrendamiento operativo se incluyen dentro del rubro de propiedades, planta y equipos o en propiedades de inversión según corresponda.</w:t>
      </w:r>
    </w:p>
    <w:p>
      <w:pPr>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2124"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ingresos derivados del arrendamiento operativo se reconocen de forma lineal durante el plazo del arrendamiento.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40" w:lineRule="exact"/>
        <w:ind w:left="0" w:right="0" w:firstLine="708"/>
        <w:jc w:val="both"/>
        <w:outlineLvl w:val="1"/>
        <w:rPr>
          <w:rFonts w:ascii="Times New Roman" w:eastAsia="Times New Roman" w:hAnsi="Times New Roman" w:cs="Times New Roman"/>
          <w:b/>
          <w:i w:val="0"/>
          <w:color w:val="000000"/>
          <w:sz w:val="24"/>
          <w:u w:val="none"/>
        </w:rPr>
      </w:pPr>
      <w:bookmarkStart w:id="67" w:name="Section38"/>
      <w:bookmarkEnd w:id="67"/>
      <w:bookmarkStart w:id="68" w:name="ac7da816d6f34701a8ffadb37845052b"/>
      <w:r>
        <w:rPr>
          <w:rFonts w:ascii="Calibri" w:eastAsia="Calibri" w:hAnsi="Calibri" w:cs="Calibri"/>
          <w:b/>
          <w:i w:val="0"/>
          <w:color w:val="000000"/>
          <w:sz w:val="20"/>
          <w:u w:val="none"/>
        </w:rPr>
        <w:t>3.28.-</w:t>
      </w:r>
      <w:r>
        <w:rPr>
          <w:rFonts w:ascii="Calibri" w:eastAsia="Calibri" w:hAnsi="Calibri" w:cs="Calibri"/>
          <w:b/>
          <w:i w:val="0"/>
          <w:color w:val="000000"/>
          <w:sz w:val="20"/>
          <w:u w:val="none"/>
        </w:rPr>
        <w:tab/>
      </w:r>
      <w:r>
        <w:rPr>
          <w:rFonts w:ascii="Calibri" w:eastAsia="Calibri" w:hAnsi="Calibri" w:cs="Calibri"/>
          <w:b/>
          <w:i w:val="0"/>
          <w:color w:val="000000"/>
          <w:sz w:val="20"/>
          <w:u w:val="none"/>
        </w:rPr>
        <w:t>Distribución de dividendos.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68"/>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dividendos a pagar a los accionistas de CGE Magallanes S.A. y subsidiaria se reconocen como un pasivo en los estados financieros en el ejercicio en que son declarados y aprobados por los accionistas o cuando se configura la obligación correspondiente en función de las disposiciones legales vigentes o las políticas de distribución establecidas por la Junta de Accionistas.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69" w:name="Section39"/>
      <w:bookmarkEnd w:id="69"/>
      <w:bookmarkStart w:id="70" w:name="a416aabd631a4a059f0d4a8f8bbeeb64"/>
      <w:r>
        <w:rPr>
          <w:rFonts w:ascii="Calibri" w:eastAsia="Calibri" w:hAnsi="Calibri" w:cs="Calibri"/>
          <w:b/>
          <w:i w:val="0"/>
          <w:color w:val="000000"/>
          <w:sz w:val="20"/>
          <w:u w:val="none"/>
        </w:rPr>
        <w:t>3.29.-</w:t>
      </w:r>
      <w:r>
        <w:rPr>
          <w:rFonts w:ascii="Calibri" w:eastAsia="Calibri" w:hAnsi="Calibri" w:cs="Calibri"/>
          <w:b/>
          <w:i w:val="0"/>
          <w:color w:val="000000"/>
          <w:sz w:val="20"/>
          <w:u w:val="none"/>
        </w:rPr>
        <w:tab/>
      </w:r>
      <w:r>
        <w:rPr>
          <w:rFonts w:ascii="Calibri" w:eastAsia="Calibri" w:hAnsi="Calibri" w:cs="Calibri"/>
          <w:b/>
          <w:i w:val="0"/>
          <w:color w:val="000000"/>
          <w:sz w:val="20"/>
          <w:u w:val="none"/>
        </w:rPr>
        <w:t>Costo de ventas.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70"/>
    </w:p>
    <w:p>
      <w:pPr>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sz w:val="20"/>
        </w:rPr>
      </w:pPr>
      <w:r>
        <w:rPr>
          <w:rFonts w:ascii="Calibri" w:eastAsia="Calibri" w:hAnsi="Calibri" w:cs="Calibri"/>
          <w:b w:val="0"/>
          <w:i w:val="0"/>
          <w:sz w:val="20"/>
        </w:rPr>
        <w:t>Los costos de ventas incluyen el costo de adquisición de las materias primas e insumos necesarios para el desarrollo de los negocios de generación, distribución de energía eléctrica, depreciaciones de instalaciones y mano de obra directa a servicios prestados. Estos costos incluyen principalmente los costos de adquisición netos de descuentos obtenidos, los gastos e impuestos no recuperables.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p>
      <w:pPr>
        <w:keepNext w:val="0"/>
        <w:keepLines/>
        <w:pageBreakBefore w:val="0"/>
        <w:widowControl w:val="0"/>
        <w:numPr>
          <w:ilvl w:val="0"/>
          <w:numId w:val="0"/>
        </w:numPr>
        <w:spacing w:before="0" w:after="0" w:line="288" w:lineRule="auto"/>
        <w:ind w:left="0" w:right="0" w:firstLine="0"/>
        <w:jc w:val="both"/>
        <w:outlineLvl w:val="9"/>
        <w:sectPr>
          <w:type w:val="continuous"/>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71" w:name="Section40"/>
      <w:bookmarkEnd w:id="71"/>
      <w:bookmarkStart w:id="72" w:name="3ecd2acfbe004b9a98eff374adfad512"/>
      <w:r>
        <w:rPr>
          <w:rFonts w:ascii="Calibri" w:eastAsia="Calibri" w:hAnsi="Calibri" w:cs="Calibri"/>
          <w:b/>
          <w:i w:val="0"/>
          <w:color w:val="000000"/>
          <w:sz w:val="20"/>
          <w:u w:val="none"/>
        </w:rPr>
        <w:t>3.30.-</w:t>
      </w:r>
      <w:r>
        <w:rPr>
          <w:rFonts w:ascii="Calibri" w:eastAsia="Calibri" w:hAnsi="Calibri" w:cs="Calibri"/>
          <w:b/>
          <w:i w:val="0"/>
          <w:color w:val="000000"/>
          <w:sz w:val="20"/>
          <w:u w:val="none"/>
        </w:rPr>
        <w:tab/>
      </w:r>
      <w:r>
        <w:rPr>
          <w:rFonts w:ascii="Calibri" w:eastAsia="Calibri" w:hAnsi="Calibri" w:cs="Calibri"/>
          <w:b/>
          <w:i w:val="0"/>
          <w:color w:val="000000"/>
          <w:sz w:val="20"/>
          <w:u w:val="none"/>
        </w:rPr>
        <w:t>Estado de flujos de efectivo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bookmarkEnd w:id="72"/>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El Estado de Flujos de Efectivo Consolidado ha sido elaborado utilizando el método directo, y en el mismo se utilizan las siguientes expresiones con el significado que a continuación se indica:</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operación: Actividades que constituyen los ingresos ordinarios del grupo, así como otras actividades que no pueden ser calificadas como de inversión o financiación.</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inversión: Actividades de adquisición, enajenación o disposición por otros medios de activos no corrientes y otras inversiones no incluidas en el efectivo y sus equivalentes.</w:t>
      </w:r>
    </w:p>
    <w:p>
      <w:pPr>
        <w:keepNext w:val="0"/>
        <w:keepLines/>
        <w:pageBreakBefore w:val="0"/>
        <w:widowControl w:val="0"/>
        <w:numPr>
          <w:ilvl w:val="0"/>
          <w:numId w:val="0"/>
        </w:numPr>
        <w:spacing w:before="0" w:after="0" w:line="288" w:lineRule="auto"/>
        <w:ind w:left="1406" w:right="0" w:firstLine="2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14"/>
        </w:numPr>
        <w:spacing w:before="0" w:after="0" w:line="240" w:lineRule="exact"/>
        <w:ind w:left="2126" w:right="0" w:hanging="34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Actividades de financiación: Actividades que producen cambios en el tamaño y composición del patrimonio neto y de los pasivos que no forman parte de las actividades de operación.</w:t>
      </w:r>
    </w:p>
    <w:p>
      <w:pPr>
        <w:keepNext w:val="0"/>
        <w:keepLines/>
        <w:pageBreakBefore w:val="0"/>
        <w:widowControl w:val="0"/>
        <w:numPr>
          <w:ilvl w:val="0"/>
          <w:numId w:val="0"/>
        </w:numPr>
        <w:spacing w:before="0" w:after="0" w:line="288" w:lineRule="auto"/>
        <w:ind w:left="1122" w:right="0" w:firstLine="3"/>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418"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CGE Magallanes S.A. y subsidiaria no han registrado transacciones que no representan movimientos de efectivo relacionadas con inversión o financiamiento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A la fecha no existen restricciones sobre el efectivo y equivalentes al efectivo.</w:t>
      </w:r>
    </w:p>
    <w:p>
      <w:pPr>
        <w:keepNext w:val="0"/>
        <w:keepLines/>
        <w:pageBreakBefore w:val="0"/>
        <w:widowControl w:val="0"/>
        <w:numPr>
          <w:ilvl w:val="0"/>
          <w:numId w:val="0"/>
        </w:numPr>
        <w:spacing w:before="0" w:after="0" w:line="288" w:lineRule="auto"/>
        <w:ind w:left="1418"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1418" w:right="0" w:firstLine="0"/>
        <w:jc w:val="both"/>
        <w:outlineLvl w:val="9"/>
        <w:sectPr>
          <w:type w:val="continuous"/>
          <w:pgSz w:w="12240" w:h="15840"/>
          <w:pgMar w:top="1134" w:right="1134" w:bottom="1134" w:left="1134" w:header="0" w:footer="425"/>
          <w:cols w:space="708"/>
        </w:sectPr>
      </w:pPr>
    </w:p>
    <w:p>
      <w:pPr>
        <w:pStyle w:val="Heading1-wk"/>
        <w:keepNext/>
        <w:keepLines/>
        <w:pageBreakBefore w:val="0"/>
        <w:widowControl w:val="0"/>
        <w:numPr>
          <w:ilvl w:val="0"/>
          <w:numId w:val="0"/>
        </w:numPr>
        <w:tabs>
          <w:tab w:val="left" w:pos="700"/>
        </w:tabs>
        <w:spacing w:before="0" w:after="0" w:line="288" w:lineRule="auto"/>
        <w:ind w:left="0" w:right="0" w:firstLine="0"/>
        <w:jc w:val="both"/>
        <w:outlineLvl w:val="0"/>
        <w:rPr>
          <w:rFonts w:ascii="Cambria" w:eastAsia="Cambria" w:hAnsi="Cambria" w:cs="Cambria"/>
          <w:b/>
          <w:i w:val="0"/>
          <w:color w:val="365F91"/>
          <w:sz w:val="28"/>
          <w:u w:val="none"/>
        </w:rPr>
      </w:pPr>
      <w:bookmarkStart w:id="73" w:name="Section41"/>
      <w:bookmarkEnd w:id="73"/>
      <w:bookmarkStart w:id="74" w:name="5b277460e15744beb93c070e34027df9"/>
      <w:r>
        <w:rPr>
          <w:rFonts w:ascii="Calibri" w:eastAsia="Calibri" w:hAnsi="Calibri" w:cs="Calibri"/>
          <w:b/>
          <w:i w:val="0"/>
          <w:color w:val="000000"/>
          <w:sz w:val="20"/>
          <w:u w:val="none"/>
        </w:rPr>
        <w:t>4.-</w:t>
      </w:r>
      <w:r>
        <w:rPr>
          <w:rFonts w:ascii="Calibri" w:eastAsia="Calibri" w:hAnsi="Calibri" w:cs="Calibri"/>
          <w:b/>
          <w:i w:val="0"/>
          <w:color w:val="000000"/>
          <w:sz w:val="20"/>
          <w:u w:val="none"/>
        </w:rPr>
        <w:tab/>
      </w:r>
      <w:r>
        <w:rPr>
          <w:rFonts w:ascii="Calibri" w:eastAsia="Calibri" w:hAnsi="Calibri" w:cs="Calibri"/>
          <w:b/>
          <w:i w:val="0"/>
          <w:color w:val="000000"/>
          <w:sz w:val="20"/>
          <w:u w:val="none"/>
        </w:rPr>
        <w:t>CUENTAS POR COBRAR Y PAGAR A ENTIDADES RELACIONADAS.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bookmarkEnd w:id="74"/>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transacciones con empresas relacionadas son por lo general de pago/cobro inmediato o hasta 90 días, y no están sujetas a condiciones especiales. Estas operaciones se ajustan a lo establecido en el Título XVI de la Ley       N° 18.046, sobre Sociedades Anónimas.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Los traspasos de fondos de corto plazo desde y hacia la matriz, que no correspondan a cobro o pago de servicios, se estructuran bajo un sistema de tesorería centralizada, estableciéndose para el saldo mensual una tasa de interés variable, de acuerdo a las condiciones del mercado.</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CGE Magallanes S.A. y subsidiaria, tienen como política informar todas las transacciones que efectúa con partes relacionadas durante el periodo o ejercicio, con excepción de los dividendos pagados, aportes de capital recibidos, los cuales no se entienden como transacciones. </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709"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no existen garantías otorgadas o recibidas en dichas operaciones.</w:t>
      </w:r>
    </w:p>
    <w:p>
      <w:pPr>
        <w:keepNext w:val="0"/>
        <w:keepLines/>
        <w:pageBreakBefore w:val="0"/>
        <w:widowControl w:val="0"/>
        <w:numPr>
          <w:ilvl w:val="0"/>
          <w:numId w:val="0"/>
        </w:numPr>
        <w:spacing w:before="0" w:after="0" w:line="288" w:lineRule="auto"/>
        <w:ind w:left="705"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705" w:right="0" w:firstLine="0"/>
        <w:jc w:val="both"/>
        <w:outlineLvl w:val="9"/>
        <w:sectPr>
          <w:pgSz w:w="12240" w:h="15840"/>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u w:val="none"/>
        </w:rPr>
      </w:pPr>
      <w:bookmarkStart w:id="75" w:name="Section42"/>
      <w:bookmarkEnd w:id="75"/>
      <w:bookmarkStart w:id="76" w:name="38e797a1c6ff4944bf6526649c7f6d57"/>
      <w:r>
        <w:rPr>
          <w:rFonts w:ascii="Calibri" w:eastAsia="Calibri" w:hAnsi="Calibri" w:cs="Calibri"/>
          <w:b/>
          <w:i w:val="0"/>
          <w:color w:val="000000"/>
          <w:sz w:val="20"/>
          <w:u w:val="none"/>
        </w:rPr>
        <w:t>4.1.-</w:t>
      </w:r>
      <w:r>
        <w:rPr>
          <w:rFonts w:ascii="Calibri" w:eastAsia="Calibri" w:hAnsi="Calibri" w:cs="Calibri"/>
          <w:b/>
          <w:i w:val="0"/>
          <w:color w:val="000000"/>
          <w:sz w:val="20"/>
          <w:u w:val="none"/>
        </w:rPr>
        <w:tab/>
      </w:r>
      <w:r>
        <w:rPr>
          <w:rFonts w:ascii="Calibri" w:eastAsia="Calibri" w:hAnsi="Calibri" w:cs="Calibri"/>
          <w:b/>
          <w:i w:val="0"/>
          <w:color w:val="000000"/>
          <w:sz w:val="20"/>
          <w:u w:val="none"/>
        </w:rPr>
        <w:t>Saldos y transacciones con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bookmarkEnd w:id="76"/>
    </w:p>
    <w:p>
      <w:pPr>
        <w:pStyle w:val="Normal-wk"/>
        <w:keepNext w:val="0"/>
        <w:keepLines/>
        <w:pageBreakBefore w:val="0"/>
        <w:widowControl w:val="0"/>
        <w:numPr>
          <w:ilvl w:val="0"/>
          <w:numId w:val="0"/>
        </w:numPr>
        <w:tabs>
          <w:tab w:val="left" w:pos="700"/>
        </w:tabs>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4.1.1.-</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cobrar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776" w:right="0" w:firstLine="34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655"/>
        <w:gridCol w:w="645"/>
        <w:gridCol w:w="1845"/>
        <w:gridCol w:w="1005"/>
        <w:gridCol w:w="975"/>
        <w:gridCol w:w="600"/>
        <w:gridCol w:w="885"/>
        <w:gridCol w:w="885"/>
        <w:gridCol w:w="885"/>
        <w:gridCol w:w="885"/>
      </w:tblGrid>
      <w:tr>
        <w:tblPrEx>
          <w:tblW w:w="12150" w:type="dxa"/>
          <w:tblInd w:w="1417" w:type="dxa"/>
          <w:tblLayout w:type="fixed"/>
        </w:tblPrEx>
        <w:trPr>
          <w:cantSplit/>
          <w:trHeight w:hRule="auto" w:val="0"/>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65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6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18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97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6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77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77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150" w:type="dxa"/>
          <w:tblInd w:w="1417" w:type="dxa"/>
          <w:tblLayout w:type="fixed"/>
        </w:tblPrEx>
        <w:trPr>
          <w:cantSplit/>
          <w:trHeight w:hRule="auto" w:val="0"/>
        </w:trPr>
        <w:tc>
          <w:tcPr>
            <w:tcW w:w="885" w:type="dxa"/>
            <w:vMerge/>
            <w:tcBorders>
              <w:top w:val="nil"/>
              <w:left w:val="single" w:sz="2" w:space="0" w:color="000000"/>
              <w:bottom w:val="nil"/>
              <w:right w:val="nil"/>
            </w:tcBorders>
          </w:tcPr>
          <w:p>
            <w:pPr>
              <w:keepNext/>
              <w:pageBreakBefore w:val="0"/>
            </w:pPr>
          </w:p>
        </w:tc>
        <w:tc>
          <w:tcPr>
            <w:tcW w:w="265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184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97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88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150" w:type="dxa"/>
          <w:tblInd w:w="1417"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keepNext/>
              <w:pageBreakBefore w:val="0"/>
            </w:pPr>
          </w:p>
        </w:tc>
        <w:tc>
          <w:tcPr>
            <w:tcW w:w="2655" w:type="dxa"/>
            <w:vMerge/>
            <w:tcBorders>
              <w:top w:val="nil"/>
              <w:left w:val="single" w:sz="4" w:space="0" w:color="FFFFFF"/>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184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975"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Recaudación interempresas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Subsidiaria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115.994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Subsidiaria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1.333.609</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150" w:type="dxa"/>
          <w:tblInd w:w="1417" w:type="dxa"/>
          <w:tblLayout w:type="fixed"/>
        </w:tblPrEx>
        <w:trPr>
          <w:cantSplit/>
          <w:trHeight w:hRule="auto" w:val="0"/>
        </w:trPr>
        <w:tc>
          <w:tcPr>
            <w:tcW w:w="8610"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1.449.603</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r>
    </w:tb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tabs>
          <w:tab w:val="left" w:pos="700"/>
        </w:tabs>
        <w:spacing w:before="0" w:after="0" w:line="288" w:lineRule="auto"/>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4.1.2.-</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Cuentas por pagar a entidades relacionadas.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1776" w:right="0" w:firstLine="348"/>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composición del rubro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 xml:space="preserve"> es la siguiente:</w:t>
      </w: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 </w:t>
      </w:r>
    </w:p>
    <w:tbl>
      <w:tblPr>
        <w:tblW w:w="121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885"/>
        <w:gridCol w:w="2655"/>
        <w:gridCol w:w="645"/>
        <w:gridCol w:w="1845"/>
        <w:gridCol w:w="1005"/>
        <w:gridCol w:w="975"/>
        <w:gridCol w:w="600"/>
        <w:gridCol w:w="885"/>
        <w:gridCol w:w="885"/>
        <w:gridCol w:w="885"/>
        <w:gridCol w:w="885"/>
      </w:tblGrid>
      <w:tr>
        <w:tblPrEx>
          <w:tblW w:w="12150" w:type="dxa"/>
          <w:tblInd w:w="1417" w:type="dxa"/>
          <w:tblLayout w:type="fixed"/>
        </w:tblPrEx>
        <w:trPr>
          <w:cantSplit/>
          <w:trHeight w:hRule="auto" w:val="0"/>
        </w:trPr>
        <w:tc>
          <w:tcPr>
            <w:tcW w:w="88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R.U.T</w:t>
            </w:r>
          </w:p>
        </w:tc>
        <w:tc>
          <w:tcPr>
            <w:tcW w:w="265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Sociedad</w:t>
            </w:r>
          </w:p>
        </w:tc>
        <w:tc>
          <w:tcPr>
            <w:tcW w:w="6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País de origen</w:t>
            </w:r>
          </w:p>
        </w:tc>
        <w:tc>
          <w:tcPr>
            <w:tcW w:w="184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Descripción de la transacción</w:t>
            </w:r>
          </w:p>
        </w:tc>
        <w:tc>
          <w:tcPr>
            <w:tcW w:w="10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Plazo de la transacción</w:t>
            </w:r>
          </w:p>
        </w:tc>
        <w:tc>
          <w:tcPr>
            <w:tcW w:w="97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Naturaleza de la relación</w:t>
            </w:r>
          </w:p>
        </w:tc>
        <w:tc>
          <w:tcPr>
            <w:tcW w:w="600"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Moneda</w:t>
            </w:r>
          </w:p>
        </w:tc>
        <w:tc>
          <w:tcPr>
            <w:tcW w:w="1770" w:type="dxa"/>
            <w:gridSpan w:val="2"/>
            <w:tcBorders>
              <w:top w:val="single" w:sz="2" w:space="0" w:color="000000"/>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Corrientes</w:t>
            </w:r>
          </w:p>
        </w:tc>
        <w:tc>
          <w:tcPr>
            <w:tcW w:w="1770" w:type="dxa"/>
            <w:gridSpan w:val="2"/>
            <w:tcBorders>
              <w:top w:val="single" w:sz="2" w:space="0" w:color="000000"/>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No corrientes</w:t>
            </w:r>
          </w:p>
        </w:tc>
      </w:tr>
      <w:tr>
        <w:tblPrEx>
          <w:tblW w:w="12150" w:type="dxa"/>
          <w:tblInd w:w="1417" w:type="dxa"/>
          <w:tblLayout w:type="fixed"/>
        </w:tblPrEx>
        <w:trPr>
          <w:cantSplit/>
          <w:trHeight w:hRule="auto" w:val="0"/>
        </w:trPr>
        <w:tc>
          <w:tcPr>
            <w:tcW w:w="885" w:type="dxa"/>
            <w:vMerge/>
            <w:tcBorders>
              <w:top w:val="nil"/>
              <w:left w:val="single" w:sz="2" w:space="0" w:color="000000"/>
              <w:bottom w:val="nil"/>
              <w:right w:val="nil"/>
            </w:tcBorders>
          </w:tcPr>
          <w:p>
            <w:pPr>
              <w:keepNext/>
              <w:pageBreakBefore w:val="0"/>
            </w:pPr>
          </w:p>
        </w:tc>
        <w:tc>
          <w:tcPr>
            <w:tcW w:w="2655" w:type="dxa"/>
            <w:vMerge/>
            <w:tcBorders>
              <w:top w:val="nil"/>
              <w:left w:val="single" w:sz="4" w:space="0" w:color="FFFFFF"/>
              <w:bottom w:val="nil"/>
              <w:right w:val="nil"/>
            </w:tcBorders>
          </w:tcPr>
          <w:p>
            <w:pPr>
              <w:keepNext/>
              <w:pageBreakBefore w:val="0"/>
            </w:pPr>
          </w:p>
        </w:tc>
        <w:tc>
          <w:tcPr>
            <w:tcW w:w="645" w:type="dxa"/>
            <w:vMerge/>
            <w:tcBorders>
              <w:top w:val="nil"/>
              <w:left w:val="single" w:sz="4" w:space="0" w:color="FFFFFF"/>
              <w:bottom w:val="nil"/>
              <w:right w:val="nil"/>
            </w:tcBorders>
          </w:tcPr>
          <w:p>
            <w:pPr>
              <w:keepNext/>
              <w:pageBreakBefore w:val="0"/>
            </w:pPr>
          </w:p>
        </w:tc>
        <w:tc>
          <w:tcPr>
            <w:tcW w:w="1845" w:type="dxa"/>
            <w:vMerge/>
            <w:tcBorders>
              <w:top w:val="nil"/>
              <w:left w:val="single" w:sz="4" w:space="0" w:color="FFFFFF"/>
              <w:bottom w:val="nil"/>
              <w:right w:val="nil"/>
            </w:tcBorders>
          </w:tcPr>
          <w:p>
            <w:pPr>
              <w:keepNext/>
              <w:pageBreakBefore w:val="0"/>
            </w:pPr>
          </w:p>
        </w:tc>
        <w:tc>
          <w:tcPr>
            <w:tcW w:w="1005" w:type="dxa"/>
            <w:vMerge/>
            <w:tcBorders>
              <w:top w:val="nil"/>
              <w:left w:val="single" w:sz="4" w:space="0" w:color="FFFFFF"/>
              <w:bottom w:val="nil"/>
              <w:right w:val="nil"/>
            </w:tcBorders>
          </w:tcPr>
          <w:p>
            <w:pPr>
              <w:keepNext/>
              <w:pageBreakBefore w:val="0"/>
            </w:pPr>
          </w:p>
        </w:tc>
        <w:tc>
          <w:tcPr>
            <w:tcW w:w="975" w:type="dxa"/>
            <w:vMerge/>
            <w:tcBorders>
              <w:top w:val="nil"/>
              <w:left w:val="single" w:sz="4" w:space="0" w:color="FFFFFF"/>
              <w:bottom w:val="nil"/>
              <w:right w:val="nil"/>
            </w:tcBorders>
          </w:tcPr>
          <w:p>
            <w:pPr>
              <w:keepNext/>
              <w:pageBreakBefore w:val="0"/>
            </w:pPr>
          </w:p>
        </w:tc>
        <w:tc>
          <w:tcPr>
            <w:tcW w:w="600" w:type="dxa"/>
            <w:vMerge/>
            <w:tcBorders>
              <w:top w:val="nil"/>
              <w:left w:val="single" w:sz="4" w:space="0" w:color="FFFFFF"/>
              <w:bottom w:val="nil"/>
              <w:right w:val="nil"/>
            </w:tcBorders>
          </w:tcPr>
          <w:p>
            <w:pPr>
              <w:keepNext/>
              <w:pageBreakBefore w:val="0"/>
            </w:pP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88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c>
          <w:tcPr>
            <w:tcW w:w="88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30-06-2026</w:t>
            </w:r>
          </w:p>
        </w:tc>
        <w:tc>
          <w:tcPr>
            <w:tcW w:w="88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31-12-2025</w:t>
            </w:r>
          </w:p>
        </w:tc>
      </w:tr>
      <w:tr>
        <w:tblPrEx>
          <w:tblW w:w="12150" w:type="dxa"/>
          <w:tblInd w:w="1417" w:type="dxa"/>
          <w:tblLayout w:type="fixed"/>
        </w:tblPrEx>
        <w:trPr>
          <w:cantSplit/>
          <w:trHeight w:hRule="auto" w:val="0"/>
        </w:trPr>
        <w:tc>
          <w:tcPr>
            <w:tcW w:w="885" w:type="dxa"/>
            <w:vMerge/>
            <w:tcBorders>
              <w:top w:val="nil"/>
              <w:left w:val="single" w:sz="2" w:space="0" w:color="000000"/>
              <w:bottom w:val="single" w:sz="2" w:space="0" w:color="000000"/>
              <w:right w:val="nil"/>
            </w:tcBorders>
          </w:tcPr>
          <w:p>
            <w:pPr>
              <w:keepNext/>
              <w:pageBreakBefore w:val="0"/>
            </w:pPr>
          </w:p>
        </w:tc>
        <w:tc>
          <w:tcPr>
            <w:tcW w:w="2655" w:type="dxa"/>
            <w:vMerge/>
            <w:tcBorders>
              <w:top w:val="nil"/>
              <w:left w:val="single" w:sz="4" w:space="0" w:color="FFFFFF"/>
              <w:bottom w:val="single" w:sz="2" w:space="0" w:color="000000"/>
              <w:right w:val="nil"/>
            </w:tcBorders>
          </w:tcPr>
          <w:p>
            <w:pPr>
              <w:keepNext/>
              <w:pageBreakBefore w:val="0"/>
            </w:pPr>
          </w:p>
        </w:tc>
        <w:tc>
          <w:tcPr>
            <w:tcW w:w="645" w:type="dxa"/>
            <w:vMerge/>
            <w:tcBorders>
              <w:top w:val="nil"/>
              <w:left w:val="single" w:sz="4" w:space="0" w:color="FFFFFF"/>
              <w:bottom w:val="single" w:sz="2" w:space="0" w:color="000000"/>
              <w:right w:val="nil"/>
            </w:tcBorders>
          </w:tcPr>
          <w:p>
            <w:pPr>
              <w:keepNext/>
              <w:pageBreakBefore w:val="0"/>
            </w:pPr>
          </w:p>
        </w:tc>
        <w:tc>
          <w:tcPr>
            <w:tcW w:w="1845" w:type="dxa"/>
            <w:vMerge/>
            <w:tcBorders>
              <w:top w:val="nil"/>
              <w:left w:val="single" w:sz="4" w:space="0" w:color="FFFFFF"/>
              <w:bottom w:val="single" w:sz="2" w:space="0" w:color="000000"/>
              <w:right w:val="nil"/>
            </w:tcBorders>
          </w:tcPr>
          <w:p>
            <w:pPr>
              <w:keepNext/>
              <w:pageBreakBefore w:val="0"/>
            </w:pPr>
          </w:p>
        </w:tc>
        <w:tc>
          <w:tcPr>
            <w:tcW w:w="1005" w:type="dxa"/>
            <w:vMerge/>
            <w:tcBorders>
              <w:top w:val="nil"/>
              <w:left w:val="single" w:sz="4" w:space="0" w:color="FFFFFF"/>
              <w:bottom w:val="single" w:sz="2" w:space="0" w:color="000000"/>
              <w:right w:val="nil"/>
            </w:tcBorders>
          </w:tcPr>
          <w:p>
            <w:pPr>
              <w:keepNext/>
              <w:pageBreakBefore w:val="0"/>
            </w:pPr>
          </w:p>
        </w:tc>
        <w:tc>
          <w:tcPr>
            <w:tcW w:w="975" w:type="dxa"/>
            <w:vMerge/>
            <w:tcBorders>
              <w:top w:val="nil"/>
              <w:left w:val="single" w:sz="4" w:space="0" w:color="FFFFFF"/>
              <w:bottom w:val="single" w:sz="2" w:space="0" w:color="000000"/>
              <w:right w:val="nil"/>
            </w:tcBorders>
          </w:tcPr>
          <w:p>
            <w:pPr>
              <w:keepNext/>
              <w:pageBreakBefore w:val="0"/>
            </w:pPr>
          </w:p>
        </w:tc>
        <w:tc>
          <w:tcPr>
            <w:tcW w:w="600" w:type="dxa"/>
            <w:vMerge/>
            <w:tcBorders>
              <w:top w:val="nil"/>
              <w:left w:val="single" w:sz="4" w:space="0" w:color="FFFFFF"/>
              <w:bottom w:val="single" w:sz="2" w:space="0" w:color="000000"/>
              <w:right w:val="nil"/>
            </w:tcBorders>
          </w:tcPr>
          <w:p>
            <w:pPr>
              <w:keepNext/>
              <w:pageBreakBefore w:val="0"/>
            </w:pP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c>
          <w:tcPr>
            <w:tcW w:w="88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4"/>
                <w:u w:val="none"/>
              </w:rPr>
              <w:t>M$</w:t>
            </w: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Dividendos por pagar</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Subsidiaria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1.822.814</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Recaudación Interempresas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Subsidiaria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r>
              <w:rPr>
                <w:rFonts w:ascii="Calibri" w:eastAsia="Calibri" w:hAnsi="Calibri" w:cs="Calibri"/>
                <w:b w:val="0"/>
                <w:i w:val="0"/>
                <w:color w:val="000000"/>
                <w:sz w:val="14"/>
                <w:u w:val="none"/>
              </w:rPr>
              <w:t>6.211</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150" w:type="dxa"/>
          <w:tblInd w:w="1417" w:type="dxa"/>
          <w:tblLayout w:type="fixed"/>
        </w:tblPrEx>
        <w:trPr>
          <w:cantSplit/>
          <w:trHeight w:hRule="exact" w:val="225"/>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76.411.321-7</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Compañía General de Electricidad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Tesorería centralizada</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Subsidiaria</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48" w:after="3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48" w:after="3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77.402.186-8</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Servicios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14.927</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77.402.186-8</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Chilquinta Servicios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Arriendos intangibles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UF</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107.095</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519.187</w:t>
            </w:r>
          </w:p>
        </w:tc>
      </w:tr>
      <w:tr>
        <w:tblPrEx>
          <w:tblW w:w="12150" w:type="dxa"/>
          <w:tblInd w:w="1417" w:type="dxa"/>
          <w:tblLayout w:type="fixed"/>
        </w:tblPrEx>
        <w:trPr>
          <w:cantSplit/>
          <w:trHeight w:hRule="auto" w:val="0"/>
        </w:trPr>
        <w:tc>
          <w:tcPr>
            <w:tcW w:w="88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86.386.700-2</w:t>
            </w:r>
          </w:p>
        </w:tc>
        <w:tc>
          <w:tcPr>
            <w:tcW w:w="265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Transformadores Tusan S.A.</w:t>
            </w:r>
          </w:p>
        </w:tc>
        <w:tc>
          <w:tcPr>
            <w:tcW w:w="6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Chile</w:t>
            </w:r>
          </w:p>
        </w:tc>
        <w:tc>
          <w:tcPr>
            <w:tcW w:w="184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4"/>
                <w:u w:val="none"/>
              </w:rPr>
              <w:t>Servicios recibidos</w:t>
            </w:r>
          </w:p>
        </w:tc>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Hasta 90 días</w:t>
            </w:r>
          </w:p>
        </w:tc>
        <w:tc>
          <w:tcPr>
            <w:tcW w:w="97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Matriz común</w:t>
            </w:r>
          </w:p>
        </w:tc>
        <w:tc>
          <w:tcPr>
            <w:tcW w:w="6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4"/>
                <w:u w:val="none"/>
              </w:rPr>
              <w:t>CL $</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4"/>
                <w:u w:val="none"/>
              </w:rPr>
              <w:t>60.613</w:t>
            </w:r>
          </w:p>
        </w:tc>
        <w:tc>
          <w:tcPr>
            <w:tcW w:w="88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bottom"/>
          </w:tcPr>
          <w:p>
            <w:pPr>
              <w:keepNext/>
              <w:pageBreakBefore w:val="0"/>
              <w:spacing w:before="38" w:after="20" w:line="240" w:lineRule="auto"/>
              <w:jc w:val="right"/>
            </w:pPr>
          </w:p>
        </w:tc>
        <w:tc>
          <w:tcPr>
            <w:tcW w:w="88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p>
        </w:tc>
      </w:tr>
      <w:tr>
        <w:tblPrEx>
          <w:tblW w:w="12150" w:type="dxa"/>
          <w:tblInd w:w="1417" w:type="dxa"/>
          <w:tblLayout w:type="fixed"/>
        </w:tblPrEx>
        <w:trPr>
          <w:cantSplit/>
          <w:trHeight w:hRule="auto" w:val="0"/>
        </w:trPr>
        <w:tc>
          <w:tcPr>
            <w:tcW w:w="8610" w:type="dxa"/>
            <w:gridSpan w:val="7"/>
            <w:tcBorders>
              <w:top w:val="nil"/>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i w:val="0"/>
                <w:color w:val="FFFFFF"/>
                <w:sz w:val="14"/>
                <w:u w:val="none"/>
              </w:rPr>
              <w:t>TOTALES</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2.011.660</w:t>
            </w:r>
          </w:p>
        </w:tc>
        <w:tc>
          <w:tcPr>
            <w:tcW w:w="885" w:type="dxa"/>
            <w:tcBorders>
              <w:top w:val="single" w:sz="2" w:space="0" w:color="000000"/>
              <w:left w:val="single" w:sz="4" w:space="0" w:color="FFFFFF"/>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0</w:t>
            </w:r>
          </w:p>
        </w:tc>
        <w:tc>
          <w:tcPr>
            <w:tcW w:w="885" w:type="dxa"/>
            <w:tcBorders>
              <w:top w:val="single" w:sz="2" w:space="0" w:color="000000"/>
              <w:left w:val="single" w:sz="4" w:space="0" w:color="FFFFFF"/>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r>
              <w:rPr>
                <w:rFonts w:ascii="Calibri" w:eastAsia="Calibri" w:hAnsi="Calibri" w:cs="Calibri"/>
                <w:b/>
                <w:i w:val="0"/>
                <w:color w:val="FFFFFF"/>
                <w:sz w:val="14"/>
                <w:u w:val="none"/>
              </w:rPr>
              <w:t>519.187</w:t>
            </w: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widowControl w:val="0"/>
        <w:numPr>
          <w:ilvl w:val="0"/>
          <w:numId w:val="0"/>
        </w:numPr>
        <w:tabs>
          <w:tab w:val="left" w:pos="700"/>
        </w:tabs>
        <w:spacing w:before="0" w:after="0" w:line="288" w:lineRule="auto"/>
        <w:ind w:left="709" w:right="0" w:firstLine="709"/>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4.1.3.-</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Transacciones con relacionadas y sus efectos en resultados.</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8" w:right="0" w:firstLine="706"/>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Se presentan las operaciones y sus efectos en resultados por los ejercicios terminados al </w:t>
      </w:r>
      <w:r>
        <w:rPr>
          <w:rFonts w:ascii="Calibri" w:eastAsia="Calibri" w:hAnsi="Calibri" w:cs="Calibri"/>
          <w:b w:val="0"/>
          <w:i w:val="0"/>
          <w:color w:val="000000"/>
          <w:sz w:val="20"/>
          <w:u w:val="none"/>
        </w:rPr>
        <w:t>30 de junio de 2026 y 2025</w:t>
      </w:r>
      <w:r>
        <w:rPr>
          <w:rFonts w:ascii="Calibri" w:eastAsia="Calibri" w:hAnsi="Calibri" w:cs="Calibri"/>
          <w:b w:val="0"/>
          <w:i w:val="0"/>
          <w:color w:val="000000"/>
          <w:sz w:val="20"/>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tbl>
      <w:tblPr>
        <w:tblW w:w="11850"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1005"/>
        <w:gridCol w:w="2205"/>
        <w:gridCol w:w="900"/>
        <w:gridCol w:w="900"/>
        <w:gridCol w:w="2865"/>
        <w:gridCol w:w="795"/>
        <w:gridCol w:w="795"/>
        <w:gridCol w:w="795"/>
        <w:gridCol w:w="795"/>
        <w:gridCol w:w="795"/>
      </w:tblGrid>
      <w:tr>
        <w:tblPrEx>
          <w:tblW w:w="11850" w:type="dxa"/>
          <w:tblInd w:w="1417" w:type="dxa"/>
          <w:tblLayout w:type="fixed"/>
        </w:tblPrEx>
        <w:trPr>
          <w:cantSplit/>
          <w:trHeight w:hRule="auto" w:val="0"/>
          <w:tblHeader/>
        </w:trPr>
        <w:tc>
          <w:tcPr>
            <w:tcW w:w="1005" w:type="dxa"/>
            <w:vMerge w:val="restart"/>
            <w:tcBorders>
              <w:top w:val="single" w:sz="2" w:space="0" w:color="000000"/>
              <w:left w:val="single" w:sz="2" w:space="0" w:color="000000"/>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R.U.T.</w:t>
            </w:r>
          </w:p>
        </w:tc>
        <w:tc>
          <w:tcPr>
            <w:tcW w:w="220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Sociedad</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País de origen</w:t>
            </w:r>
          </w:p>
        </w:tc>
        <w:tc>
          <w:tcPr>
            <w:tcW w:w="900"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Naturaleza de la relación</w:t>
            </w:r>
          </w:p>
        </w:tc>
        <w:tc>
          <w:tcPr>
            <w:tcW w:w="2865" w:type="dxa"/>
            <w:vMerge w:val="restart"/>
            <w:tcBorders>
              <w:top w:val="single" w:sz="2" w:space="0" w:color="000000"/>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Descripción de la transacción</w:t>
            </w:r>
          </w:p>
        </w:tc>
        <w:tc>
          <w:tcPr>
            <w:tcW w:w="795" w:type="dxa"/>
            <w:vMerge w:val="restart"/>
            <w:tcBorders>
              <w:top w:val="single" w:sz="2" w:space="0" w:color="000000"/>
              <w:left w:val="single" w:sz="4" w:space="0" w:color="FFFFFF"/>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Moneda</w:t>
            </w:r>
          </w:p>
        </w:tc>
        <w:tc>
          <w:tcPr>
            <w:tcW w:w="1590" w:type="dxa"/>
            <w:gridSpan w:val="2"/>
            <w:tcBorders>
              <w:top w:val="single" w:sz="2" w:space="0" w:color="000000"/>
              <w:left w:val="nil"/>
              <w:bottom w:val="nil"/>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01-01-2026</w:t>
            </w:r>
          </w:p>
        </w:tc>
        <w:tc>
          <w:tcPr>
            <w:tcW w:w="1590" w:type="dxa"/>
            <w:gridSpan w:val="2"/>
            <w:tcBorders>
              <w:top w:val="single" w:sz="2" w:space="0" w:color="000000"/>
              <w:left w:val="nil"/>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01-01-2025</w:t>
            </w:r>
          </w:p>
        </w:tc>
      </w:tr>
      <w:tr>
        <w:tblPrEx>
          <w:tblW w:w="11850" w:type="dxa"/>
          <w:tblInd w:w="1417" w:type="dxa"/>
          <w:tblLayout w:type="fixed"/>
        </w:tblPrEx>
        <w:trPr>
          <w:cantSplit/>
          <w:trHeight w:hRule="auto" w:val="0"/>
          <w:tblHeader/>
        </w:trPr>
        <w:tc>
          <w:tcPr>
            <w:tcW w:w="1005" w:type="dxa"/>
            <w:vMerge/>
            <w:tcBorders>
              <w:top w:val="nil"/>
              <w:left w:val="single" w:sz="2" w:space="0" w:color="000000"/>
              <w:bottom w:val="nil"/>
              <w:right w:val="nil"/>
            </w:tcBorders>
          </w:tcPr>
          <w:p>
            <w:pPr>
              <w:keepNext/>
              <w:pageBreakBefore w:val="0"/>
            </w:pPr>
          </w:p>
        </w:tc>
        <w:tc>
          <w:tcPr>
            <w:tcW w:w="2205"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2865"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single" w:sz="4" w:space="0" w:color="FFFFFF"/>
            </w:tcBorders>
          </w:tcPr>
          <w:p>
            <w:pPr>
              <w:keepNext/>
              <w:pageBreakBefore w:val="0"/>
            </w:pPr>
          </w:p>
        </w:tc>
        <w:tc>
          <w:tcPr>
            <w:tcW w:w="1590" w:type="dxa"/>
            <w:gridSpan w:val="2"/>
            <w:tcBorders>
              <w:top w:val="nil"/>
              <w:left w:val="nil"/>
              <w:bottom w:val="single" w:sz="4" w:space="0" w:color="FFFFFF"/>
              <w:right w:val="single" w:sz="4" w:space="0" w:color="FFFFFF"/>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30-06-2026</w:t>
            </w:r>
          </w:p>
        </w:tc>
        <w:tc>
          <w:tcPr>
            <w:tcW w:w="1590" w:type="dxa"/>
            <w:gridSpan w:val="2"/>
            <w:tcBorders>
              <w:top w:val="nil"/>
              <w:left w:val="nil"/>
              <w:bottom w:val="single" w:sz="4" w:space="0" w:color="FFFFFF"/>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30-06-2025</w:t>
            </w:r>
          </w:p>
        </w:tc>
      </w:tr>
      <w:tr>
        <w:tblPrEx>
          <w:tblW w:w="11850" w:type="dxa"/>
          <w:tblInd w:w="1417" w:type="dxa"/>
          <w:tblLayout w:type="fixed"/>
        </w:tblPrEx>
        <w:trPr>
          <w:cantSplit/>
          <w:trHeight w:hRule="auto" w:val="0"/>
          <w:tblHeader/>
        </w:trPr>
        <w:tc>
          <w:tcPr>
            <w:tcW w:w="1005" w:type="dxa"/>
            <w:vMerge/>
            <w:tcBorders>
              <w:top w:val="nil"/>
              <w:left w:val="single" w:sz="2" w:space="0" w:color="000000"/>
              <w:bottom w:val="nil"/>
              <w:right w:val="nil"/>
            </w:tcBorders>
          </w:tcPr>
          <w:p>
            <w:pPr>
              <w:keepNext/>
              <w:pageBreakBefore w:val="0"/>
            </w:pPr>
          </w:p>
        </w:tc>
        <w:tc>
          <w:tcPr>
            <w:tcW w:w="2205"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900" w:type="dxa"/>
            <w:vMerge/>
            <w:tcBorders>
              <w:top w:val="nil"/>
              <w:left w:val="single" w:sz="4" w:space="0" w:color="FFFFFF"/>
              <w:bottom w:val="nil"/>
              <w:right w:val="nil"/>
            </w:tcBorders>
          </w:tcPr>
          <w:p>
            <w:pPr>
              <w:keepNext/>
              <w:pageBreakBefore w:val="0"/>
            </w:pPr>
          </w:p>
        </w:tc>
        <w:tc>
          <w:tcPr>
            <w:tcW w:w="2865" w:type="dxa"/>
            <w:vMerge/>
            <w:tcBorders>
              <w:top w:val="nil"/>
              <w:left w:val="single" w:sz="4" w:space="0" w:color="FFFFFF"/>
              <w:bottom w:val="nil"/>
              <w:right w:val="nil"/>
            </w:tcBorders>
          </w:tcPr>
          <w:p>
            <w:pPr>
              <w:keepNext/>
              <w:pageBreakBefore w:val="0"/>
            </w:pPr>
          </w:p>
        </w:tc>
        <w:tc>
          <w:tcPr>
            <w:tcW w:w="795" w:type="dxa"/>
            <w:vMerge/>
            <w:tcBorders>
              <w:top w:val="nil"/>
              <w:left w:val="single" w:sz="4" w:space="0" w:color="FFFFFF"/>
              <w:bottom w:val="nil"/>
              <w:right w:val="nil"/>
            </w:tcBorders>
          </w:tcPr>
          <w:p>
            <w:pPr>
              <w:keepNext/>
              <w:pageBreakBefore w:val="0"/>
            </w:pP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795" w:type="dxa"/>
            <w:tcBorders>
              <w:top w:val="single" w:sz="4" w:space="0" w:color="FFFFFF"/>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c>
          <w:tcPr>
            <w:tcW w:w="795" w:type="dxa"/>
            <w:tcBorders>
              <w:top w:val="nil"/>
              <w:left w:val="single" w:sz="4" w:space="0" w:color="FFFFFF"/>
              <w:bottom w:val="nil"/>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Operación</w:t>
            </w:r>
          </w:p>
        </w:tc>
        <w:tc>
          <w:tcPr>
            <w:tcW w:w="795" w:type="dxa"/>
            <w:tcBorders>
              <w:top w:val="single" w:sz="4" w:space="0" w:color="FFFFFF"/>
              <w:left w:val="single" w:sz="4" w:space="0" w:color="FFFFFF"/>
              <w:bottom w:val="nil"/>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Efecto en resultados (cargo) / abono</w:t>
            </w:r>
          </w:p>
        </w:tc>
      </w:tr>
      <w:tr>
        <w:tblPrEx>
          <w:tblW w:w="11850" w:type="dxa"/>
          <w:tblInd w:w="1417" w:type="dxa"/>
          <w:tblLayout w:type="fixed"/>
        </w:tblPrEx>
        <w:trPr>
          <w:cantSplit/>
          <w:trHeight w:hRule="auto" w:val="0"/>
          <w:tblHeader/>
        </w:trPr>
        <w:tc>
          <w:tcPr>
            <w:tcW w:w="1005" w:type="dxa"/>
            <w:vMerge/>
            <w:tcBorders>
              <w:top w:val="nil"/>
              <w:left w:val="single" w:sz="2" w:space="0" w:color="000000"/>
              <w:bottom w:val="single" w:sz="2" w:space="0" w:color="000000"/>
              <w:right w:val="nil"/>
            </w:tcBorders>
          </w:tcPr>
          <w:p>
            <w:pPr>
              <w:keepNext/>
              <w:pageBreakBefore w:val="0"/>
            </w:pPr>
          </w:p>
        </w:tc>
        <w:tc>
          <w:tcPr>
            <w:tcW w:w="2205"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900" w:type="dxa"/>
            <w:vMerge/>
            <w:tcBorders>
              <w:top w:val="nil"/>
              <w:left w:val="single" w:sz="4" w:space="0" w:color="FFFFFF"/>
              <w:bottom w:val="single" w:sz="2" w:space="0" w:color="000000"/>
              <w:right w:val="nil"/>
            </w:tcBorders>
          </w:tcPr>
          <w:p>
            <w:pPr>
              <w:keepNext/>
              <w:pageBreakBefore w:val="0"/>
            </w:pPr>
          </w:p>
        </w:tc>
        <w:tc>
          <w:tcPr>
            <w:tcW w:w="2865" w:type="dxa"/>
            <w:vMerge/>
            <w:tcBorders>
              <w:top w:val="nil"/>
              <w:left w:val="single" w:sz="4" w:space="0" w:color="FFFFFF"/>
              <w:bottom w:val="single" w:sz="2" w:space="0" w:color="000000"/>
              <w:right w:val="nil"/>
            </w:tcBorders>
          </w:tcPr>
          <w:p>
            <w:pPr>
              <w:keepNext/>
              <w:pageBreakBefore w:val="0"/>
            </w:pPr>
          </w:p>
        </w:tc>
        <w:tc>
          <w:tcPr>
            <w:tcW w:w="795" w:type="dxa"/>
            <w:vMerge/>
            <w:tcBorders>
              <w:top w:val="nil"/>
              <w:left w:val="single" w:sz="4" w:space="0" w:color="FFFFFF"/>
              <w:bottom w:val="single" w:sz="2" w:space="0" w:color="000000"/>
              <w:right w:val="nil"/>
            </w:tcBorders>
          </w:tcPr>
          <w:p>
            <w:pPr>
              <w:keepNext/>
              <w:pageBreakBefore w:val="0"/>
            </w:pP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795" w:type="dxa"/>
            <w:tcBorders>
              <w:top w:val="nil"/>
              <w:left w:val="single" w:sz="4" w:space="0" w:color="FFFFFF"/>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c>
          <w:tcPr>
            <w:tcW w:w="795" w:type="dxa"/>
            <w:tcBorders>
              <w:top w:val="nil"/>
              <w:left w:val="single" w:sz="4" w:space="0" w:color="FFFFFF"/>
              <w:bottom w:val="single" w:sz="2" w:space="0" w:color="000000"/>
              <w:right w:val="single" w:sz="2" w:space="0" w:color="000000"/>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i w:val="0"/>
                <w:color w:val="FFFFFF"/>
                <w:sz w:val="13"/>
                <w:u w:val="none"/>
              </w:rPr>
              <w:t>M$</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Subsidiaria</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Tesorería centralizada (cargos)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Subsidiaria</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Tesorería centralizada (abonos)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2.197.592</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Subsidiaria</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Ingreso por intereses tesorería centralizada</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40.796</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40.796</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Subsidiaria</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Gasto por intereses tesorería centralizada</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20.061</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(20.061)</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Subsidiaria</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Servicios comerciales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39.039</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(39.039)</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Subsidiaria</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Servicios informáticos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773.349</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(773.349)</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Subsidiaria</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Compra de materiales y equipos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76.411.321-7</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Compañía General de Electricidad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Subsidiaria</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Equidad tarifaria residencial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1.659</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bottom"/>
          </w:tcPr>
          <w:p>
            <w:pPr>
              <w:keepNext/>
              <w:pageBreakBefore w:val="0"/>
              <w:spacing w:before="38" w:after="20" w:line="240" w:lineRule="auto"/>
              <w:jc w:val="right"/>
            </w:pPr>
            <w:r>
              <w:rPr>
                <w:rFonts w:ascii="Calibri" w:eastAsia="Calibri" w:hAnsi="Calibri" w:cs="Calibri"/>
                <w:b w:val="0"/>
                <w:i w:val="0"/>
                <w:color w:val="000000"/>
                <w:sz w:val="12"/>
                <w:u w:val="none"/>
              </w:rPr>
              <w:t>-1659</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76.412.700-5</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CGE Servicios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Servicios administrativos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549.390</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(549.390)</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76.412.700-5</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CGE Servicios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Servicios operativos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93.544</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(93.544)</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77.402.186-8</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Chilquinta Servicios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Arriendo de intangibles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UF</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73.826</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(73.826)</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77.402.186-8</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Chilquinta Servicios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Intereses arriendos de intangibles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UF</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26.152</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(26.152)</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77.402.186-8</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Chilquinta Servicios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Tipo de cambio arriendo de intangibles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UF</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18.183</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(18.183)</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77.465.741-K</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CGE Transmisión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Compra de materiales y equipos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86.386.700-2</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Transformadores Tusan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Operación y mantenimiento de líneas y redes</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899</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(899)</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86.386.700-2</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Transformadores Tusan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Compra de activo fijo</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96.766.110-4</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Energía de Casablanca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Equidad tarifaria residencial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(21)</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96.813.520-1</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Chilquinta Distribución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Equidad tarifaria residencial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334</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(334)</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96.866.680-0</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Luz Parral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Equidad tarifaria residencial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27.245</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(27.245)</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96.884.450-4</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left"/>
            </w:pPr>
            <w:r>
              <w:rPr>
                <w:rFonts w:ascii="Calibri" w:eastAsia="Calibri" w:hAnsi="Calibri" w:cs="Calibri"/>
                <w:b w:val="0"/>
                <w:i w:val="0"/>
                <w:color w:val="000000"/>
                <w:sz w:val="13"/>
                <w:u w:val="none"/>
              </w:rPr>
              <w:t>Luz Linares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Equidad tarifaria residencial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keepNext/>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32.675</w:t>
            </w: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keepNext/>
              <w:pageBreakBefore w:val="0"/>
              <w:spacing w:before="0" w:after="0" w:line="240" w:lineRule="auto"/>
              <w:jc w:val="right"/>
            </w:pPr>
            <w:r>
              <w:rPr>
                <w:rFonts w:ascii="Calibri" w:eastAsia="Calibri" w:hAnsi="Calibri" w:cs="Calibri"/>
                <w:b w:val="0"/>
                <w:i w:val="0"/>
                <w:color w:val="000000"/>
                <w:sz w:val="12"/>
                <w:u w:val="none"/>
              </w:rPr>
              <w:t>(32.675)</w:t>
            </w:r>
          </w:p>
        </w:tc>
      </w:tr>
      <w:tr>
        <w:tblPrEx>
          <w:tblW w:w="11850" w:type="dxa"/>
          <w:tblInd w:w="1417" w:type="dxa"/>
          <w:tblLayout w:type="fixed"/>
        </w:tblPrEx>
        <w:trPr>
          <w:cantSplit/>
          <w:trHeight w:hRule="auto" w:val="0"/>
        </w:trPr>
        <w:tc>
          <w:tcPr>
            <w:tcW w:w="10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91.344.000-5</w:t>
            </w:r>
          </w:p>
        </w:tc>
        <w:tc>
          <w:tcPr>
            <w:tcW w:w="220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left"/>
            </w:pPr>
            <w:r>
              <w:rPr>
                <w:rFonts w:ascii="Calibri" w:eastAsia="Calibri" w:hAnsi="Calibri" w:cs="Calibri"/>
                <w:b w:val="0"/>
                <w:i w:val="0"/>
                <w:color w:val="000000"/>
                <w:sz w:val="13"/>
                <w:u w:val="none"/>
              </w:rPr>
              <w:t>Compañía Eléctrica del Litoral S.A.</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Chile</w:t>
            </w:r>
          </w:p>
        </w:tc>
        <w:tc>
          <w:tcPr>
            <w:tcW w:w="900"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Matriz común</w:t>
            </w:r>
          </w:p>
        </w:tc>
        <w:tc>
          <w:tcPr>
            <w:tcW w:w="286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Equidad tarifaria residencial</w:t>
            </w:r>
          </w:p>
        </w:tc>
        <w:tc>
          <w:tcPr>
            <w:tcW w:w="795" w:type="dxa"/>
            <w:tcBorders>
              <w:top w:val="single" w:sz="2" w:space="0" w:color="000000"/>
              <w:left w:val="single" w:sz="2" w:space="0" w:color="000000"/>
              <w:bottom w:val="single" w:sz="2" w:space="0" w:color="000000"/>
              <w:right w:val="nil"/>
            </w:tcBorders>
            <w:tcMar>
              <w:top w:w="0" w:type="dxa"/>
              <w:left w:w="53" w:type="dxa"/>
              <w:bottom w:w="0" w:type="dxa"/>
              <w:right w:w="53" w:type="dxa"/>
            </w:tcMar>
            <w:vAlign w:val="center"/>
          </w:tcPr>
          <w:p>
            <w:pPr>
              <w:pageBreakBefore w:val="0"/>
              <w:spacing w:before="0" w:after="0" w:line="240" w:lineRule="auto"/>
              <w:jc w:val="center"/>
            </w:pPr>
            <w:r>
              <w:rPr>
                <w:rFonts w:ascii="Calibri" w:eastAsia="Calibri" w:hAnsi="Calibri" w:cs="Calibri"/>
                <w:b w:val="0"/>
                <w:i w:val="0"/>
                <w:color w:val="000000"/>
                <w:sz w:val="13"/>
                <w:u w:val="none"/>
              </w:rPr>
              <w:t>CL $</w:t>
            </w: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nil"/>
            </w:tcBorders>
            <w:tcMar>
              <w:top w:w="0" w:type="dxa"/>
              <w:left w:w="0" w:type="dxa"/>
              <w:bottom w:w="0" w:type="dxa"/>
              <w:right w:w="53" w:type="dxa"/>
            </w:tcMar>
            <w:vAlign w:val="center"/>
          </w:tcPr>
          <w:p>
            <w:pPr>
              <w:pageBreakBefore w:val="0"/>
              <w:spacing w:before="0" w:after="0" w:line="240" w:lineRule="auto"/>
              <w:jc w:val="right"/>
            </w:pPr>
          </w:p>
        </w:tc>
        <w:tc>
          <w:tcPr>
            <w:tcW w:w="795"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53" w:type="dxa"/>
            </w:tcMar>
            <w:vAlign w:val="center"/>
          </w:tcPr>
          <w:p>
            <w:pPr>
              <w:pageBreakBefore w:val="0"/>
              <w:spacing w:before="0" w:after="0" w:line="240" w:lineRule="auto"/>
              <w:jc w:val="right"/>
            </w:pPr>
          </w:p>
        </w:tc>
      </w:tr>
    </w:tbl>
    <w:p>
      <w:pPr>
        <w:keepNext w:val="0"/>
        <w:keepLines/>
        <w:pageBreakBefore w:val="0"/>
        <w:widowControl w:val="0"/>
        <w:numPr>
          <w:ilvl w:val="0"/>
          <w:numId w:val="0"/>
        </w:numPr>
        <w:spacing w:before="0" w:after="0" w:line="288" w:lineRule="auto"/>
        <w:ind w:left="709"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88" w:lineRule="auto"/>
        <w:ind w:left="141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Se considera a State Grid Corporation of China como matriz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sectPr>
          <w:headerReference w:type="default" r:id="rId20"/>
          <w:footerReference w:type="default" r:id="rId21"/>
          <w:type w:val="continuous"/>
          <w:pgSz w:w="15840" w:h="12240" w:orient="landscape"/>
          <w:pgMar w:top="1134" w:right="1134" w:bottom="1134" w:left="1134" w:header="0" w:footer="425"/>
          <w:cols w:space="708"/>
        </w:sectPr>
      </w:pPr>
    </w:p>
    <w:p>
      <w:pPr>
        <w:pStyle w:val="Heading2-wk"/>
        <w:keepNext/>
        <w:keepLines/>
        <w:pageBreakBefore w:val="0"/>
        <w:widowControl w:val="0"/>
        <w:numPr>
          <w:ilvl w:val="0"/>
          <w:numId w:val="0"/>
        </w:numPr>
        <w:tabs>
          <w:tab w:val="left" w:pos="700"/>
        </w:tabs>
        <w:spacing w:before="0" w:after="0" w:line="288" w:lineRule="auto"/>
        <w:ind w:left="0" w:right="0" w:firstLine="708"/>
        <w:jc w:val="both"/>
        <w:outlineLvl w:val="1"/>
        <w:rPr>
          <w:rFonts w:ascii="Times New Roman" w:eastAsia="Times New Roman" w:hAnsi="Times New Roman" w:cs="Times New Roman"/>
          <w:b/>
          <w:i w:val="0"/>
          <w:color w:val="000000"/>
          <w:sz w:val="24"/>
          <w:highlight w:val="yellow"/>
          <w:u w:val="none"/>
        </w:rPr>
      </w:pPr>
      <w:bookmarkStart w:id="77" w:name="Section43"/>
      <w:bookmarkEnd w:id="77"/>
      <w:bookmarkStart w:id="78" w:name="f6d43485e3a84f338abab6463b16fa5b"/>
      <w:r>
        <w:rPr>
          <w:rFonts w:ascii="Calibri" w:eastAsia="Calibri" w:hAnsi="Calibri" w:cs="Calibri"/>
          <w:b/>
          <w:i w:val="0"/>
          <w:color w:val="000000"/>
          <w:sz w:val="20"/>
          <w:highlight w:val="white"/>
          <w:u w:val="none"/>
        </w:rPr>
        <w:t>4.2.-</w:t>
      </w:r>
      <w:r>
        <w:rPr>
          <w:rFonts w:ascii="Calibri" w:eastAsia="Calibri" w:hAnsi="Calibri" w:cs="Calibri"/>
          <w:b/>
          <w:i w:val="0"/>
          <w:color w:val="000000"/>
          <w:sz w:val="20"/>
          <w:highlight w:val="white"/>
          <w:u w:val="none"/>
        </w:rPr>
        <w:tab/>
      </w:r>
      <w:r>
        <w:rPr>
          <w:rFonts w:ascii="Calibri" w:eastAsia="Calibri" w:hAnsi="Calibri" w:cs="Calibri"/>
          <w:b/>
          <w:i w:val="0"/>
          <w:color w:val="000000"/>
          <w:sz w:val="20"/>
          <w:highlight w:val="white"/>
          <w:u w:val="none"/>
        </w:rPr>
        <w:t>Directorio y gerencia de la sociedad.</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bookmarkEnd w:id="78"/>
    </w:p>
    <w:p>
      <w:pPr>
        <w:pStyle w:val="Normal-wk"/>
        <w:keepNext w:val="0"/>
        <w:keepLines/>
        <w:pageBreakBefore w:val="0"/>
        <w:widowControl w:val="0"/>
        <w:numPr>
          <w:ilvl w:val="0"/>
          <w:numId w:val="0"/>
        </w:numPr>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El Directorio de la Sociedad al </w:t>
      </w:r>
      <w:r>
        <w:rPr>
          <w:rFonts w:ascii="Calibri" w:eastAsia="Calibri" w:hAnsi="Calibri" w:cs="Calibri"/>
          <w:b w:val="0"/>
          <w:i w:val="0"/>
          <w:color w:val="000000"/>
          <w:sz w:val="20"/>
          <w:highlight w:val="white"/>
          <w:u w:val="none"/>
        </w:rPr>
        <w:t>30 de junio de 2026 y 2025</w:t>
      </w:r>
      <w:r>
        <w:rPr>
          <w:rFonts w:ascii="Calibri" w:eastAsia="Calibri" w:hAnsi="Calibri" w:cs="Calibri"/>
          <w:b w:val="0"/>
          <w:i w:val="0"/>
          <w:color w:val="000000"/>
          <w:sz w:val="20"/>
          <w:highlight w:val="white"/>
          <w:u w:val="none"/>
        </w:rPr>
        <w:t xml:space="preserve"> está compuesto por las siguientes personas:</w:t>
      </w:r>
    </w:p>
    <w:p>
      <w:pPr>
        <w:keepNext w:val="0"/>
        <w:keepLines/>
        <w:pageBreakBefore w:val="0"/>
        <w:widowControl w:val="0"/>
        <w:numPr>
          <w:ilvl w:val="0"/>
          <w:numId w:val="0"/>
        </w:numPr>
        <w:spacing w:before="0" w:after="0" w:line="288" w:lineRule="auto"/>
        <w:ind w:left="1418" w:right="0" w:firstLine="709"/>
        <w:jc w:val="both"/>
        <w:outlineLvl w:val="9"/>
        <w:rPr>
          <w:rFonts w:ascii="Calibri" w:eastAsia="Calibri" w:hAnsi="Calibri" w:cs="Calibri"/>
          <w:b w:val="0"/>
          <w:i w:val="0"/>
          <w:color w:val="000000"/>
          <w:sz w:val="20"/>
          <w:highlight w:val="yellow"/>
          <w:u w:val="none"/>
        </w:rPr>
      </w:pPr>
    </w:p>
    <w:p>
      <w:pPr>
        <w:pStyle w:val="Normal-wk"/>
        <w:keepNext w:val="0"/>
        <w:keepLines/>
        <w:pageBreakBefore w:val="0"/>
        <w:widowControl w:val="0"/>
        <w:numPr>
          <w:ilvl w:val="0"/>
          <w:numId w:val="0"/>
        </w:numPr>
        <w:tabs>
          <w:tab w:val="left" w:pos="700"/>
        </w:tabs>
        <w:spacing w:before="0" w:after="0" w:line="240" w:lineRule="exact"/>
        <w:ind w:left="1418"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Ernesto Peñafiel Morgan</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Presidente</w:t>
      </w:r>
    </w:p>
    <w:p>
      <w:pPr>
        <w:pStyle w:val="Normal-wk"/>
        <w:keepNext w:val="0"/>
        <w:keepLines/>
        <w:pageBreakBefore w:val="0"/>
        <w:widowControl w:val="0"/>
        <w:numPr>
          <w:ilvl w:val="0"/>
          <w:numId w:val="0"/>
        </w:numPr>
        <w:tabs>
          <w:tab w:val="left" w:pos="700"/>
        </w:tabs>
        <w:spacing w:before="0" w:after="0" w:line="240" w:lineRule="exact"/>
        <w:ind w:left="1418"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Gladys Cárcamo Alarcón</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Director</w:t>
      </w:r>
    </w:p>
    <w:p>
      <w:pPr>
        <w:pStyle w:val="Normal-wk"/>
        <w:keepNext w:val="0"/>
        <w:keepLines/>
        <w:pageBreakBefore w:val="0"/>
        <w:widowControl w:val="0"/>
        <w:numPr>
          <w:ilvl w:val="0"/>
          <w:numId w:val="0"/>
        </w:numPr>
        <w:tabs>
          <w:tab w:val="left" w:pos="700"/>
        </w:tabs>
        <w:spacing w:before="0" w:after="0" w:line="240" w:lineRule="exact"/>
        <w:ind w:left="1418"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Tomás Morales Jaureguiberry</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Director</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tabs>
          <w:tab w:val="left" w:pos="700"/>
        </w:tabs>
        <w:spacing w:before="0" w:after="0" w:line="240" w:lineRule="exact"/>
        <w:ind w:left="141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4.2.1.-</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Remuneración del Directorio.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2119"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De acuerdo a los estatutos sociales, los directores no perciben remuneración por el ejercicio de su cargo en los años 2025 y 2024.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Las remuneraciones correspondientes a Remuneraciones del Directorio y Comité de Directores de su subsidiaria ascendió a M$ 99.431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y M$ 81.840 al </w:t>
      </w:r>
      <w:r>
        <w:rPr>
          <w:rFonts w:ascii="Calibri" w:eastAsia="Calibri" w:hAnsi="Calibri" w:cs="Calibri"/>
          <w:b w:val="0"/>
          <w:i w:val="0"/>
          <w:color w:val="000000"/>
          <w:sz w:val="20"/>
          <w:highlight w:val="white"/>
          <w:u w:val="none"/>
        </w:rPr>
        <w:t>30 de junio de 2025</w:t>
      </w:r>
      <w:r>
        <w:rPr>
          <w:rFonts w:ascii="Calibri" w:eastAsia="Calibri" w:hAnsi="Calibri" w:cs="Calibri"/>
          <w:b w:val="0"/>
          <w:i w:val="0"/>
          <w:color w:val="000000"/>
          <w:sz w:val="20"/>
          <w:highlight w:val="white"/>
          <w:u w:val="none"/>
        </w:rPr>
        <w:t>.</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tabs>
          <w:tab w:val="left" w:pos="700"/>
        </w:tabs>
        <w:spacing w:before="0" w:after="0" w:line="240" w:lineRule="exact"/>
        <w:ind w:left="701" w:right="0" w:firstLine="709"/>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4.2.2.-</w:t>
      </w:r>
      <w:r>
        <w:rPr>
          <w:rFonts w:ascii="Calibri" w:eastAsia="Calibri" w:hAnsi="Calibri" w:cs="Calibri"/>
          <w:b w:val="0"/>
          <w:i w:val="0"/>
          <w:color w:val="000000"/>
          <w:sz w:val="20"/>
          <w:highlight w:val="white"/>
          <w:u w:val="none"/>
        </w:rPr>
        <w:tab/>
      </w:r>
      <w:r>
        <w:rPr>
          <w:rFonts w:ascii="Calibri" w:eastAsia="Calibri" w:hAnsi="Calibri" w:cs="Calibri"/>
          <w:b w:val="0"/>
          <w:i w:val="0"/>
          <w:color w:val="000000"/>
          <w:sz w:val="20"/>
          <w:highlight w:val="white"/>
          <w:u w:val="none"/>
        </w:rPr>
        <w:t xml:space="preserve">Remuneración del equipo gerencial. </w:t>
      </w:r>
    </w:p>
    <w:p>
      <w:pPr>
        <w:keepNext w:val="0"/>
        <w:keepLines/>
        <w:pageBreakBefore w:val="0"/>
        <w:widowControl w:val="0"/>
        <w:numPr>
          <w:ilvl w:val="0"/>
          <w:numId w:val="0"/>
        </w:numPr>
        <w:spacing w:before="0" w:after="0" w:line="288" w:lineRule="auto"/>
        <w:ind w:left="1410"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Durante los ejercicios terminados al </w:t>
      </w:r>
      <w:r>
        <w:rPr>
          <w:rFonts w:ascii="Calibri" w:eastAsia="Calibri" w:hAnsi="Calibri" w:cs="Calibri"/>
          <w:b w:val="0"/>
          <w:i w:val="0"/>
          <w:color w:val="000000"/>
          <w:sz w:val="20"/>
          <w:highlight w:val="white"/>
          <w:u w:val="none"/>
        </w:rPr>
        <w:t>30 de junio de 2026 y 2025</w:t>
      </w:r>
      <w:r>
        <w:rPr>
          <w:rFonts w:ascii="Calibri" w:eastAsia="Calibri" w:hAnsi="Calibri" w:cs="Calibri"/>
          <w:b w:val="0"/>
          <w:i w:val="0"/>
          <w:color w:val="000000"/>
          <w:sz w:val="20"/>
          <w:highlight w:val="white"/>
          <w:u w:val="none"/>
        </w:rPr>
        <w:t>, el equipo gerencial de la Sociedad no ha percibido remuneraciones.</w:t>
      </w:r>
    </w:p>
    <w:p>
      <w:pPr>
        <w:keepNext w:val="0"/>
        <w:keepLines/>
        <w:pageBreakBefore w:val="0"/>
        <w:widowControl w:val="0"/>
        <w:numPr>
          <w:ilvl w:val="0"/>
          <w:numId w:val="0"/>
        </w:numPr>
        <w:spacing w:before="0" w:after="0" w:line="288" w:lineRule="auto"/>
        <w:ind w:left="2127" w:right="0" w:firstLine="0"/>
        <w:jc w:val="both"/>
        <w:outlineLvl w:val="9"/>
        <w:rPr>
          <w:rFonts w:ascii="Calibri" w:eastAsia="Calibri" w:hAnsi="Calibri" w:cs="Calibri"/>
          <w:b w:val="0"/>
          <w:i w:val="0"/>
          <w:color w:val="000000"/>
          <w:sz w:val="20"/>
          <w:highlight w:val="white"/>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highlight w:val="white"/>
          <w:u w:val="none"/>
        </w:rPr>
      </w:pPr>
      <w:r>
        <w:rPr>
          <w:rFonts w:ascii="Calibri" w:eastAsia="Calibri" w:hAnsi="Calibri" w:cs="Calibri"/>
          <w:b w:val="0"/>
          <w:i w:val="0"/>
          <w:color w:val="000000"/>
          <w:sz w:val="20"/>
          <w:highlight w:val="white"/>
          <w:u w:val="none"/>
        </w:rPr>
        <w:t xml:space="preserve">Las remuneraciones con cargo a resultado del equipo gerencial de la subsidiaria asciende a M$ 343.183 al </w:t>
      </w:r>
      <w:r>
        <w:rPr>
          <w:rFonts w:ascii="Calibri" w:eastAsia="Calibri" w:hAnsi="Calibri" w:cs="Calibri"/>
          <w:b w:val="0"/>
          <w:i w:val="0"/>
          <w:color w:val="000000"/>
          <w:sz w:val="20"/>
          <w:highlight w:val="white"/>
          <w:u w:val="none"/>
        </w:rPr>
        <w:t>30 de junio de 2026</w:t>
      </w:r>
      <w:r>
        <w:rPr>
          <w:rFonts w:ascii="Calibri" w:eastAsia="Calibri" w:hAnsi="Calibri" w:cs="Calibri"/>
          <w:b w:val="0"/>
          <w:i w:val="0"/>
          <w:color w:val="000000"/>
          <w:sz w:val="20"/>
          <w:highlight w:val="white"/>
          <w:u w:val="none"/>
        </w:rPr>
        <w:t xml:space="preserve"> (M$ 343.399 en el mismo ejercicio del año 2024).</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color w:val="000000"/>
          <w:sz w:val="20"/>
          <w:u w:val="none"/>
        </w:rPr>
      </w:pPr>
    </w:p>
    <w:p>
      <w:pPr>
        <w:pStyle w:val="Normal-wk"/>
        <w:keepNext w:val="0"/>
        <w:keepLines/>
        <w:pageBreakBefore w:val="0"/>
        <w:widowControl w:val="0"/>
        <w:numPr>
          <w:ilvl w:val="0"/>
          <w:numId w:val="0"/>
        </w:numPr>
        <w:spacing w:before="0" w:after="0" w:line="240" w:lineRule="exact"/>
        <w:ind w:left="2127" w:right="0" w:firstLine="0"/>
        <w:jc w:val="both"/>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 xml:space="preserve">La Subsidiaria tiene establecido, para sus ejecutivos, un plan de incentivo por cumplimiento </w:t>
      </w:r>
      <w:r>
        <w:rPr>
          <w:rFonts w:ascii="Calibri" w:eastAsia="Calibri" w:hAnsi="Calibri" w:cs="Calibri"/>
          <w:b w:val="0"/>
          <w:i w:val="0"/>
          <w:color w:val="000000"/>
          <w:sz w:val="20"/>
          <w:highlight w:val="white"/>
          <w:u w:val="none"/>
        </w:rPr>
        <w:t xml:space="preserve">de </w:t>
      </w:r>
      <w:r>
        <w:rPr>
          <w:rFonts w:ascii="Calibri" w:eastAsia="Calibri" w:hAnsi="Calibri" w:cs="Calibri"/>
          <w:b w:val="0"/>
          <w:i w:val="0"/>
          <w:color w:val="000000"/>
          <w:sz w:val="20"/>
          <w:u w:val="none"/>
        </w:rPr>
        <w:t>objetivos individuales de aportación a los resultados de las sociedades, estos incentivos están estructurados en un mínimo y máximo de remuneraciones brutas y son canceladas una vez al año.</w:t>
      </w:r>
    </w:p>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sectPr>
      <w:headerReference w:type="default" r:id="rId22"/>
      <w:footerReference w:type="default" r:id="rId23"/>
      <w:pgSz w:w="12240" w:h="15840"/>
      <w:pgMar w:top="1411" w:right="1134" w:bottom="1157" w:left="1134" w:header="0" w:footer="425"/>
      <w:cols w:space="708"/>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spacing w:before="0" w:after="0" w:line="288" w:lineRule="auto"/>
      <w:ind w:left="0" w:right="0" w:firstLine="0"/>
      <w:jc w:val="both"/>
      <w:outlineLvl w:val="9"/>
      <w:rPr>
        <w:rFonts w:ascii="Calibri" w:eastAsia="Calibri" w:hAnsi="Calibri" w:cs="Calibri"/>
        <w:b w:val="0"/>
        <w:i w:val="0"/>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0" type="#_x0000_t75" style="width:498.9pt;height:1.98pt">
          <v:imagedata r:id="rId1" o:title=""/>
          <o:lock v:ext="edit" aspectratio="t"/>
        </v:shape>
      </w:pict>
    </w:r>
  </w:p>
  <w:p>
    <w:pPr>
      <w:pStyle w:val="Estndar"/>
      <w:keepNext w:val="0"/>
      <w:keepLines/>
      <w:pageBreakBefore w:val="0"/>
      <w:widowControl w:val="0"/>
      <w:numPr>
        <w:ilvl w:val="0"/>
        <w:numId w:val="0"/>
      </w:numPr>
      <w:tabs>
        <w:tab w:val="right" w:pos="9400"/>
      </w:tabs>
      <w:spacing w:before="0" w:after="0" w:line="240" w:lineRule="exact"/>
      <w:ind w:left="0" w:right="0" w:firstLine="0"/>
      <w:jc w:val="left"/>
      <w:outlineLvl w:val="0"/>
      <w:rPr>
        <w:rFonts w:ascii="Times New Roman" w:eastAsia="Times New Roman" w:hAnsi="Times New Roman" w:cs="Times New Roman"/>
        <w:b w:val="0"/>
        <w:i w:val="0"/>
        <w:color w:val="000000"/>
        <w:sz w:val="24"/>
        <w:u w:val="none"/>
      </w:rPr>
    </w:pPr>
    <w:r>
      <w:rPr>
        <w:rFonts w:ascii="Calibri" w:eastAsia="Calibri" w:hAnsi="Calibri" w:cs="Calibri"/>
        <w:b w:val="0"/>
        <w:i w:val="0"/>
        <w:color w:val="000000"/>
        <w:sz w:val="20"/>
        <w:u w:val="none"/>
      </w:rPr>
      <w:t xml:space="preserve">Las notas adjuntas forman parte integral de estos estados financieros resumidos consolidados.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4</w:t>
    </w:r>
    <w:r>
      <w:rPr>
        <w:rFonts w:ascii="Calibri" w:eastAsia="Calibri" w:hAnsi="Calibri" w:cs="Calibri"/>
        <w:b w:val="0"/>
        <w:i w:val="0"/>
        <w:color w:val="000000"/>
        <w:sz w:val="20"/>
        <w:u w:val="none"/>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0" w:right="0" w:firstLine="0"/>
      <w:jc w:val="both"/>
      <w:outlineLvl w:val="0"/>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1" type="#_x0000_t75" style="width:677.48pt;height:1.98pt">
          <v:imagedata r:id="rId1" o:title=""/>
          <o:lock v:ext="edit" aspectratio="t"/>
        </v:shape>
      </w:pict>
    </w:r>
    <w:r>
      <w:rPr>
        <w:rFonts w:ascii="Calibri" w:eastAsia="Calibri" w:hAnsi="Calibri" w:cs="Calibri"/>
        <w:b w:val="0"/>
        <w:i w:val="0"/>
        <w:color w:val="000000"/>
        <w:sz w:val="20"/>
        <w:u w:val="none"/>
      </w:rPr>
      <w:t>Las notas adjuntas forman parte integral de estos estados financieros resumidos consolidados.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6</w:t>
    </w:r>
    <w:r>
      <w:rPr>
        <w:rFonts w:ascii="Calibri" w:eastAsia="Calibri" w:hAnsi="Calibri" w:cs="Calibri"/>
        <w:b w:val="0"/>
        <w:i w:val="0"/>
        <w:color w:val="000000"/>
        <w:sz w:val="20"/>
        <w:u w:val="none"/>
      </w:rP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0"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2" type="#_x0000_t75" style="width:498.9pt;height:1.98pt">
          <v:imagedata r:id="rId1" o:title=""/>
          <o:lock v:ext="edit" aspectratio="t"/>
        </v:shape>
      </w:pict>
    </w:r>
  </w:p>
  <w:p>
    <w:pPr>
      <w:pStyle w:val="Normal-wk"/>
      <w:keepNext w:val="0"/>
      <w:keepLines/>
      <w:pageBreakBefore w:val="0"/>
      <w:widowControl w:val="0"/>
      <w:numPr>
        <w:ilvl w:val="0"/>
        <w:numId w:val="0"/>
      </w:numPr>
      <w:tabs>
        <w:tab w:val="left" w:pos="700"/>
      </w:tabs>
      <w:spacing w:before="0" w:after="0" w:line="240" w:lineRule="exact"/>
      <w:ind w:left="0" w:right="0" w:firstLine="0"/>
      <w:jc w:val="both"/>
      <w:outlineLvl w:val="0"/>
      <w:rPr>
        <w:rFonts w:ascii="Calibri" w:eastAsia="Calibri" w:hAnsi="Calibri" w:cs="Calibri"/>
        <w:b w:val="0"/>
        <w:i w:val="0"/>
        <w:color w:val="000000"/>
        <w:sz w:val="20"/>
        <w:u w:val="none"/>
      </w:rPr>
    </w:pPr>
    <w:r>
      <w:rPr>
        <w:rFonts w:ascii="Calibri" w:eastAsia="Calibri" w:hAnsi="Calibri" w:cs="Calibri"/>
        <w:b w:val="0"/>
        <w:i w:val="0"/>
        <w:color w:val="000000"/>
        <w:sz w:val="20"/>
        <w:u w:val="none"/>
      </w:rPr>
      <w:t>Las notas adjuntas forman parte integral de estos estados financieros resumidos consolidados.</w:t>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 xml:space="preserve">              Página </w:t>
    </w:r>
    <w:r>
      <w:rPr>
        <w:rFonts w:ascii="Calibri" w:eastAsia="Calibri" w:hAnsi="Calibri" w:cs="Calibri"/>
        <w:b w:val="0"/>
        <w:i w:val="0"/>
        <w:color w:val="000000"/>
        <w:sz w:val="20"/>
        <w:u w:val="none"/>
      </w:rPr>
      <w:fldChar w:fldCharType="begin"/>
    </w:r>
    <w:r>
      <w:rPr>
        <w:rFonts w:ascii="Calibri" w:eastAsia="Calibri" w:hAnsi="Calibri" w:cs="Calibri"/>
        <w:b w:val="0"/>
        <w:i w:val="0"/>
        <w:color w:val="000000"/>
        <w:sz w:val="20"/>
        <w:u w:val="none"/>
      </w:rPr>
      <w:instrText xml:space="preserve"> PAGE </w:instrText>
    </w:r>
    <w:r>
      <w:rPr>
        <w:rFonts w:ascii="Calibri" w:eastAsia="Calibri" w:hAnsi="Calibri" w:cs="Calibri"/>
        <w:b w:val="0"/>
        <w:i w:val="0"/>
        <w:color w:val="000000"/>
        <w:sz w:val="20"/>
        <w:u w:val="none"/>
      </w:rPr>
      <w:fldChar w:fldCharType="separate"/>
    </w:r>
    <w:r>
      <w:rPr>
        <w:rFonts w:ascii="Calibri" w:eastAsia="Calibri" w:hAnsi="Calibri" w:cs="Calibri"/>
        <w:b w:val="0"/>
        <w:i w:val="0"/>
        <w:color w:val="000000"/>
        <w:sz w:val="20"/>
        <w:u w:val="none"/>
      </w:rPr>
      <w:t>8</w:t>
    </w:r>
    <w:r>
      <w:rPr>
        <w:rFonts w:ascii="Calibri" w:eastAsia="Calibri" w:hAnsi="Calibri" w:cs="Calibri"/>
        <w:b w:val="0"/>
        <w:i w:val="0"/>
        <w:color w:val="000000"/>
        <w:sz w:val="20"/>
        <w:u w:val="none"/>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3" type="#_x0000_t75" style="width:498.9pt;height:1.98pt">
          <v:imagedata r:id="rId1" o:title=""/>
          <o:lock v:ext="edit" aspectratio="t"/>
        </v:shape>
      </w:pict>
    </w:r>
  </w:p>
  <w:p>
    <w:pPr>
      <w:keepNext w:val="0"/>
      <w:keepLines/>
      <w:pageBreakBefore w:val="0"/>
      <w:widowControl w:val="0"/>
      <w:numPr>
        <w:ilvl w:val="0"/>
        <w:numId w:val="0"/>
      </w:numPr>
      <w:tabs>
        <w:tab w:val="left" w:pos="700"/>
        <w:tab w:val="right" w:pos="13600"/>
      </w:tabs>
      <w:spacing w:before="0" w:after="0" w:line="24" w:lineRule="exact"/>
      <w:ind w:left="0" w:right="0" w:firstLine="0"/>
      <w:jc w:val="right"/>
      <w:outlineLvl w:val="0"/>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21</w:t>
    </w:r>
    <w:r>
      <w:rPr>
        <w:rFonts w:ascii="Calibri" w:eastAsia="Calibri" w:hAnsi="Calibri" w:cs="Calibri"/>
        <w:b w:val="0"/>
        <w:i w:val="0"/>
        <w:sz w:val="20"/>
      </w:rP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277" w:right="-198"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4"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277" w:right="-198"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22</w:t>
    </w:r>
    <w:r>
      <w:rPr>
        <w:rFonts w:ascii="Calibri" w:eastAsia="Calibri" w:hAnsi="Calibri" w:cs="Calibri"/>
        <w:b w:val="0"/>
        <w:i w:val="0"/>
        <w:sz w:val="20"/>
      </w:rP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 w:val="right" w:pos="13600"/>
      </w:tabs>
      <w:spacing w:before="0" w:after="0" w:line="288" w:lineRule="auto"/>
      <w:ind w:left="0" w:right="0" w:firstLine="0"/>
      <w:jc w:val="right"/>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5" type="#_x0000_t75" style="width:498.9pt;height:1.98pt">
          <v:imagedata r:id="rId1" o:title=""/>
          <o:lock v:ext="edit" aspectratio="t"/>
        </v:shape>
      </w:pict>
    </w:r>
  </w:p>
  <w:p>
    <w:pPr>
      <w:keepNext w:val="0"/>
      <w:keepLines/>
      <w:pageBreakBefore w:val="0"/>
      <w:widowControl w:val="0"/>
      <w:numPr>
        <w:ilvl w:val="0"/>
        <w:numId w:val="0"/>
      </w:numPr>
      <w:tabs>
        <w:tab w:val="left" w:pos="700"/>
        <w:tab w:val="right" w:pos="13600"/>
      </w:tabs>
      <w:spacing w:before="0" w:after="0" w:line="24"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34</w:t>
    </w:r>
    <w:r>
      <w:rPr>
        <w:rFonts w:ascii="Calibri" w:eastAsia="Calibri" w:hAnsi="Calibri" w:cs="Calibri"/>
        <w:b w:val="0"/>
        <w:i w:val="0"/>
        <w:sz w:val="20"/>
      </w:rP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right" w:pos="13600"/>
      </w:tabs>
      <w:spacing w:before="0" w:after="0" w:line="288" w:lineRule="auto"/>
      <w:ind w:left="278" w:right="-198"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6" type="#_x0000_t75" style="width:677.48pt;height:1.98pt">
          <v:imagedata r:id="rId1" o:title=""/>
          <o:lock v:ext="edit" aspectratio="t"/>
        </v:shape>
      </w:pict>
    </w:r>
  </w:p>
  <w:p>
    <w:pPr>
      <w:keepNext w:val="0"/>
      <w:keepLines/>
      <w:pageBreakBefore w:val="0"/>
      <w:widowControl w:val="0"/>
      <w:numPr>
        <w:ilvl w:val="0"/>
        <w:numId w:val="0"/>
      </w:numPr>
      <w:tabs>
        <w:tab w:val="right" w:pos="13600"/>
      </w:tabs>
      <w:spacing w:before="0" w:after="0" w:line="240" w:lineRule="exact"/>
      <w:ind w:left="278" w:right="-198"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  </w:t>
    </w:r>
    <w:r>
      <w:rPr>
        <w:rFonts w:ascii="Calibri" w:eastAsia="Calibri" w:hAnsi="Calibri" w:cs="Calibri"/>
        <w:b w:val="0"/>
        <w:i w:val="0"/>
        <w:sz w:val="20"/>
      </w:rPr>
      <w:tab/>
    </w: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36</w:t>
    </w:r>
    <w:r>
      <w:rPr>
        <w:rFonts w:ascii="Calibri" w:eastAsia="Calibri" w:hAnsi="Calibri" w:cs="Calibri"/>
        <w:b w:val="0"/>
        <w:i w:val="0"/>
        <w:sz w:val="20"/>
      </w:rPr>
      <w:fldChar w:fldCharType="end"/>
    </w: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left" w:pos="700"/>
      </w:tabs>
      <w:spacing w:before="0" w:after="0" w:line="288" w:lineRule="auto"/>
      <w:ind w:left="0" w:right="0" w:firstLine="0"/>
      <w:jc w:val="both"/>
      <w:outlineLvl w:val="9"/>
      <w:rPr>
        <w:rFonts w:ascii="Calibri" w:eastAsia="Calibri" w:hAnsi="Calibri" w:cs="Calibri"/>
        <w:b w:val="0"/>
        <w:i w:val="0"/>
        <w:color w:val="000000"/>
        <w:sz w:val="20"/>
        <w:u w:val="none"/>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57" type="#_x0000_t75" style="width:498.9pt;height:1.98pt">
          <v:imagedata r:id="rId1" o:title=""/>
          <o:lock v:ext="edit" aspectratio="t"/>
        </v:shape>
      </w:pict>
    </w:r>
  </w:p>
  <w:p>
    <w:pPr>
      <w:keepNext w:val="0"/>
      <w:keepLines/>
      <w:pageBreakBefore w:val="0"/>
      <w:widowControl w:val="0"/>
      <w:numPr>
        <w:ilvl w:val="0"/>
        <w:numId w:val="0"/>
      </w:numPr>
      <w:tabs>
        <w:tab w:val="left" w:pos="700"/>
      </w:tabs>
      <w:spacing w:before="0" w:after="0" w:line="240" w:lineRule="exact"/>
      <w:ind w:left="0" w:right="0" w:firstLine="0"/>
      <w:jc w:val="right"/>
      <w:outlineLvl w:val="1"/>
      <w:rPr>
        <w:rFonts w:ascii="Calibri" w:eastAsia="Calibri" w:hAnsi="Calibri" w:cs="Calibri"/>
        <w:b w:val="0"/>
        <w:i w:val="0"/>
        <w:color w:val="000000"/>
        <w:sz w:val="20"/>
        <w:u w:val="none"/>
      </w:rPr>
    </w:pPr>
    <w:r>
      <w:rPr>
        <w:rFonts w:ascii="Calibri" w:eastAsia="Calibri" w:hAnsi="Calibri" w:cs="Calibri"/>
        <w:b w:val="0"/>
        <w:i w:val="0"/>
        <w:sz w:val="20"/>
      </w:rPr>
      <w:t xml:space="preserve">Página </w:t>
    </w:r>
    <w:r>
      <w:rPr>
        <w:rFonts w:ascii="Calibri" w:eastAsia="Calibri" w:hAnsi="Calibri" w:cs="Calibri"/>
        <w:b w:val="0"/>
        <w:i w:val="0"/>
        <w:sz w:val="20"/>
      </w:rPr>
      <w:fldChar w:fldCharType="begin"/>
    </w:r>
    <w:r>
      <w:rPr>
        <w:rFonts w:ascii="Calibri" w:eastAsia="Calibri" w:hAnsi="Calibri" w:cs="Calibri"/>
        <w:b w:val="0"/>
        <w:i w:val="0"/>
        <w:sz w:val="20"/>
      </w:rPr>
      <w:instrText xml:space="preserve"> PAGE </w:instrText>
    </w:r>
    <w:r>
      <w:rPr>
        <w:rFonts w:ascii="Calibri" w:eastAsia="Calibri" w:hAnsi="Calibri" w:cs="Calibri"/>
        <w:b w:val="0"/>
        <w:i w:val="0"/>
        <w:sz w:val="20"/>
      </w:rPr>
      <w:fldChar w:fldCharType="separate"/>
    </w:r>
    <w:r>
      <w:rPr>
        <w:rFonts w:ascii="Calibri" w:eastAsia="Calibri" w:hAnsi="Calibri" w:cs="Calibri"/>
        <w:b w:val="0"/>
        <w:i w:val="0"/>
        <w:sz w:val="20"/>
      </w:rPr>
      <w:t>37</w:t>
    </w:r>
    <w:r>
      <w:rPr>
        <w:rFonts w:ascii="Calibri" w:eastAsia="Calibri" w:hAnsi="Calibri" w:cs="Calibri"/>
        <w:b w:val="0"/>
        <w:i w:val="0"/>
        <w:sz w:val="20"/>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wk"/>
      <w:keepNext w:val="0"/>
      <w:keepLines/>
      <w:pageBreakBefore w:val="0"/>
      <w:widowControl w:val="0"/>
      <w:numPr>
        <w:ilvl w:val="0"/>
        <w:numId w:val="0"/>
      </w:numPr>
      <w:tabs>
        <w:tab w:val="center" w:pos="4240"/>
        <w:tab w:val="right" w:pos="8500"/>
      </w:tabs>
      <w:spacing w:before="0" w:after="0" w:line="288" w:lineRule="auto"/>
      <w:ind w:left="0" w:right="0" w:firstLine="0"/>
      <w:jc w:val="center"/>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wk"/>
      <w:keepNext w:val="0"/>
      <w:keepLines/>
      <w:pageBreakBefore w:val="0"/>
      <w:widowControl w:val="0"/>
      <w:numPr>
        <w:ilvl w:val="0"/>
        <w:numId w:val="0"/>
      </w:numPr>
      <w:tabs>
        <w:tab w:val="center" w:pos="4240"/>
        <w:tab w:val="right" w:pos="8500"/>
      </w:tabs>
      <w:spacing w:before="0" w:after="0" w:line="288" w:lineRule="auto"/>
      <w:ind w:left="0" w:right="0" w:firstLine="0"/>
      <w:jc w:val="center"/>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124.72pt;height:69.35pt">
          <v:imagedata r:id="rId1" o:title=""/>
          <o:lock v:ext="edit" aspectratio="t"/>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wk"/>
      <w:keepNext w:val="0"/>
      <w:keepLines/>
      <w:pageBreakBefore w:val="0"/>
      <w:widowControl w:val="0"/>
      <w:numPr>
        <w:ilvl w:val="0"/>
        <w:numId w:val="0"/>
      </w:numPr>
      <w:tabs>
        <w:tab w:val="center" w:pos="4240"/>
        <w:tab w:val="right" w:pos="8500"/>
      </w:tabs>
      <w:spacing w:before="0" w:after="0" w:line="288" w:lineRule="auto"/>
      <w:ind w:left="0" w:right="0" w:firstLine="0"/>
      <w:jc w:val="righ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wk"/>
      <w:keepNext w:val="0"/>
      <w:keepLines/>
      <w:pageBreakBefore w:val="0"/>
      <w:widowControl w:val="0"/>
      <w:numPr>
        <w:ilvl w:val="0"/>
        <w:numId w:val="0"/>
      </w:numPr>
      <w:tabs>
        <w:tab w:val="center" w:pos="4240"/>
        <w:tab w:val="left" w:pos="5340"/>
        <w:tab w:val="right" w:pos="850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wk"/>
      <w:keepNext w:val="0"/>
      <w:keepLines/>
      <w:pageBreakBefore w:val="0"/>
      <w:widowControl w:val="0"/>
      <w:numPr>
        <w:ilvl w:val="0"/>
        <w:numId w:val="0"/>
      </w:numPr>
      <w:tabs>
        <w:tab w:val="center" w:pos="4240"/>
        <w:tab w:val="left" w:pos="5340"/>
        <w:tab w:val="right" w:pos="8500"/>
        <w:tab w:val="right" w:pos="9400"/>
      </w:tabs>
      <w:spacing w:before="0" w:after="0" w:line="288" w:lineRule="auto"/>
      <w:ind w:left="0" w:right="0" w:firstLine="0"/>
      <w:jc w:val="right"/>
      <w:outlineLvl w:val="9"/>
      <w:rPr>
        <w:rFonts w:ascii="Calibri" w:eastAsia="Calibri" w:hAnsi="Calibri" w:cs="Calibri"/>
        <w:b w:val="0"/>
        <w:i w:val="0"/>
        <w:color w:val="000000"/>
        <w:sz w:val="20"/>
        <w:u w:val="none"/>
      </w:rPr>
    </w:pP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r>
      <w:rPr>
        <w:rFonts w:ascii="Calibri" w:eastAsia="Calibri" w:hAnsi="Calibri" w:cs="Calibri"/>
        <w:b w:val="0"/>
        <w:i w:val="0"/>
        <w:color w:val="000000"/>
        <w:sz w:val="20"/>
        <w:u w:val="none"/>
      </w:rPr>
      <w:tab/>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keepLines/>
      <w:pageBreakBefore w:val="0"/>
      <w:widowControl w:val="0"/>
      <w:numPr>
        <w:ilvl w:val="0"/>
        <w:numId w:val="0"/>
      </w:numPr>
      <w:tabs>
        <w:tab w:val="center" w:pos="4240"/>
        <w:tab w:val="right" w:pos="8500"/>
      </w:tabs>
      <w:spacing w:before="0" w:after="0" w:line="288" w:lineRule="auto"/>
      <w:ind w:left="0" w:right="0" w:firstLine="0"/>
      <w:jc w:val="right"/>
      <w:outlineLvl w:val="9"/>
      <w:rPr>
        <w:rFonts w:ascii="Calibri" w:eastAsia="Calibri" w:hAnsi="Calibri" w:cs="Calibri"/>
        <w:b w:val="0"/>
        <w:i w:val="0"/>
        <w:color w:val="000000"/>
        <w:sz w:val="20"/>
        <w:u w:val="none"/>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styleLink w:val="bulletround"/>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
    <w:nsid w:val="00000002"/>
    <w:multiLevelType w:val="multilevel"/>
    <w:tmpl w:val="00000002"/>
    <w:styleLink w:val="listarabi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styleLink w:val="ol2"/>
    <w:lvl w:ilvl="0">
      <w:start w:val="1"/>
      <w:numFmt w:val="lowerRoman"/>
      <w:lvlText w:val="%1)"/>
      <w:lvlJc w:val="left"/>
      <w:pPr>
        <w:tabs>
          <w:tab w:val="num" w:pos="720"/>
        </w:tabs>
        <w:ind w:left="720" w:hanging="360"/>
      </w:pPr>
    </w:lvl>
    <w:lvl w:ilvl="1">
      <w:start w:val="1"/>
      <w:numFmt w:val="lowerRoman"/>
      <w:lvlText w:val="%2)"/>
      <w:lvlJc w:val="left"/>
      <w:pPr>
        <w:tabs>
          <w:tab w:val="num" w:pos="1440"/>
        </w:tabs>
        <w:ind w:left="1440" w:hanging="360"/>
      </w:pPr>
    </w:lvl>
    <w:lvl w:ilvl="2">
      <w:start w:val="1"/>
      <w:numFmt w:val="lowerRoman"/>
      <w:lvlText w:val="%3)"/>
      <w:lvlJc w:val="left"/>
      <w:pPr>
        <w:tabs>
          <w:tab w:val="num" w:pos="2160"/>
        </w:tabs>
        <w:ind w:left="2160" w:hanging="180"/>
      </w:pPr>
    </w:lvl>
    <w:lvl w:ilvl="3">
      <w:start w:val="1"/>
      <w:numFmt w:val="lowerRoman"/>
      <w:lvlText w:val="%4)"/>
      <w:lvlJc w:val="left"/>
      <w:pPr>
        <w:tabs>
          <w:tab w:val="num" w:pos="2880"/>
        </w:tabs>
        <w:ind w:left="2880" w:hanging="360"/>
      </w:pPr>
    </w:lvl>
    <w:lvl w:ilvl="4">
      <w:start w:val="1"/>
      <w:numFmt w:val="lowerRoman"/>
      <w:lvlText w:val="%5)"/>
      <w:lvlJc w:val="left"/>
      <w:pPr>
        <w:tabs>
          <w:tab w:val="num" w:pos="3600"/>
        </w:tabs>
        <w:ind w:left="3600" w:hanging="360"/>
      </w:pPr>
    </w:lvl>
    <w:lvl w:ilvl="5">
      <w:start w:val="1"/>
      <w:numFmt w:val="lowerRoman"/>
      <w:lvlText w:val="%6)"/>
      <w:lvlJc w:val="left"/>
      <w:pPr>
        <w:tabs>
          <w:tab w:val="num" w:pos="4320"/>
        </w:tabs>
        <w:ind w:left="4320" w:hanging="180"/>
      </w:pPr>
    </w:lvl>
    <w:lvl w:ilvl="6">
      <w:start w:val="1"/>
      <w:numFmt w:val="lowerRoman"/>
      <w:lvlText w:val="%7)"/>
      <w:lvlJc w:val="left"/>
      <w:pPr>
        <w:tabs>
          <w:tab w:val="num" w:pos="5040"/>
        </w:tabs>
        <w:ind w:left="5040" w:hanging="360"/>
      </w:pPr>
    </w:lvl>
    <w:lvl w:ilvl="7">
      <w:start w:val="1"/>
      <w:numFmt w:val="lowerRoman"/>
      <w:lvlText w:val="%8)"/>
      <w:lvlJc w:val="left"/>
      <w:pPr>
        <w:tabs>
          <w:tab w:val="num" w:pos="5760"/>
        </w:tabs>
        <w:ind w:left="5760" w:hanging="360"/>
      </w:pPr>
    </w:lvl>
    <w:lvl w:ilvl="8">
      <w:start w:val="1"/>
      <w:numFmt w:val="lowerRoman"/>
      <w:lvlText w:val="%9)"/>
      <w:lvlJc w:val="left"/>
      <w:pPr>
        <w:tabs>
          <w:tab w:val="num" w:pos="6480"/>
        </w:tabs>
        <w:ind w:left="6480" w:hanging="180"/>
      </w:pPr>
    </w:lvl>
  </w:abstractNum>
  <w:abstractNum w:abstractNumId="3">
    <w:nsid w:val="00000004"/>
    <w:multiLevelType w:val="multilevel"/>
    <w:tmpl w:val="00000004"/>
    <w:styleLink w:val="ol3"/>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4">
    <w:nsid w:val="00000005"/>
    <w:multiLevelType w:val="multilevel"/>
    <w:tmpl w:val="00000005"/>
    <w:styleLink w:val="ol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18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18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180"/>
      </w:pPr>
    </w:lvl>
  </w:abstractNum>
  <w:abstractNum w:abstractNumId="5">
    <w:nsid w:val="00000006"/>
    <w:multiLevelType w:val="multilevel"/>
    <w:tmpl w:val="00000006"/>
    <w:styleLink w:val="ol5"/>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18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18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180"/>
      </w:pPr>
    </w:lvl>
  </w:abstractNum>
  <w:abstractNum w:abstractNumId="6">
    <w:nsid w:val="00000007"/>
    <w:multiLevelType w:val="multilevel"/>
    <w:tmpl w:val="00000007"/>
    <w:styleLink w:val="oul1"/>
    <w:lvl w:ilvl="0">
      <w:start w:val="1"/>
      <w:numFmt w:val="upperRoman"/>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7">
    <w:nsid w:val="00000008"/>
    <w:multiLevelType w:val="multilevel"/>
    <w:tmpl w:val="00000008"/>
    <w:styleLink w:val="outlinearabic"/>
    <w:lvl w:ilvl="0">
      <w:start w:val="1"/>
      <w:numFmt w:val="decimal"/>
      <w:lvlText w:val="%1."/>
      <w:lvlJc w:val="left"/>
      <w:pPr>
        <w:tabs>
          <w:tab w:val="num" w:pos="720"/>
        </w:tabs>
        <w:ind w:left="720" w:hanging="360"/>
      </w:p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8">
    <w:nsid w:val="00000009"/>
    <w:multiLevelType w:val="multilevel"/>
    <w:tmpl w:val="00000009"/>
    <w:styleLink w:val="ul1"/>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9">
    <w:nsid w:val="0000000A"/>
    <w:multiLevelType w:val="multilevel"/>
    <w:tmpl w:val="0000000A"/>
    <w:styleLink w:val="ul2"/>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0">
    <w:nsid w:val="0000000B"/>
    <w:multiLevelType w:val="multilevel"/>
    <w:tmpl w:val="0000000B"/>
    <w:styleLink w:val="ul3"/>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1">
    <w:nsid w:val="0000000C"/>
    <w:multiLevelType w:val="multilevel"/>
    <w:tmpl w:val="0000000C"/>
    <w:styleLink w:val="ul4"/>
    <w:lvl w:ilvl="0">
      <w:start w:val="1"/>
      <w:numFmt w:val="bullet"/>
      <w:lvlText w:val="-"/>
      <w:lvlJc w:val="left"/>
      <w:pPr>
        <w:tabs>
          <w:tab w:val="num" w:pos="720"/>
        </w:tabs>
        <w:ind w:left="720" w:hanging="360"/>
      </w:pPr>
    </w:lvl>
    <w:lvl w:ilvl="1">
      <w:start w:val="1"/>
      <w:numFmt w:val="bullet"/>
      <w:lvlText w:val="-"/>
      <w:lvlJc w:val="left"/>
      <w:pPr>
        <w:tabs>
          <w:tab w:val="num" w:pos="1440"/>
        </w:tabs>
        <w:ind w:left="1440" w:hanging="360"/>
      </w:pPr>
    </w:lvl>
    <w:lvl w:ilvl="2">
      <w:start w:val="1"/>
      <w:numFmt w:val="bullet"/>
      <w:lvlText w:val="-"/>
      <w:lvlJc w:val="left"/>
      <w:pPr>
        <w:tabs>
          <w:tab w:val="num" w:pos="2160"/>
        </w:tabs>
        <w:ind w:left="2160" w:hanging="180"/>
      </w:pPr>
    </w:lvl>
    <w:lvl w:ilvl="3">
      <w:start w:val="1"/>
      <w:numFmt w:val="bullet"/>
      <w:lvlText w:val="-"/>
      <w:lvlJc w:val="left"/>
      <w:pPr>
        <w:tabs>
          <w:tab w:val="num" w:pos="2880"/>
        </w:tabs>
        <w:ind w:left="2880" w:hanging="360"/>
      </w:pPr>
    </w:lvl>
    <w:lvl w:ilvl="4">
      <w:start w:val="1"/>
      <w:numFmt w:val="bullet"/>
      <w:lvlText w:val="-"/>
      <w:lvlJc w:val="left"/>
      <w:pPr>
        <w:tabs>
          <w:tab w:val="num" w:pos="3600"/>
        </w:tabs>
        <w:ind w:left="3600" w:hanging="360"/>
      </w:pPr>
    </w:lvl>
    <w:lvl w:ilvl="5">
      <w:start w:val="1"/>
      <w:numFmt w:val="bullet"/>
      <w:lvlText w:val="-"/>
      <w:lvlJc w:val="left"/>
      <w:pPr>
        <w:tabs>
          <w:tab w:val="num" w:pos="4320"/>
        </w:tabs>
        <w:ind w:left="4320" w:hanging="180"/>
      </w:pPr>
    </w:lvl>
    <w:lvl w:ilvl="6">
      <w:start w:val="1"/>
      <w:numFmt w:val="bullet"/>
      <w:lvlText w:val="-"/>
      <w:lvlJc w:val="left"/>
      <w:pPr>
        <w:tabs>
          <w:tab w:val="num" w:pos="5040"/>
        </w:tabs>
        <w:ind w:left="5040" w:hanging="360"/>
      </w:pPr>
    </w:lvl>
    <w:lvl w:ilvl="7">
      <w:start w:val="1"/>
      <w:numFmt w:val="bullet"/>
      <w:lvlText w:val="-"/>
      <w:lvlJc w:val="left"/>
      <w:pPr>
        <w:tabs>
          <w:tab w:val="num" w:pos="5760"/>
        </w:tabs>
        <w:ind w:left="5760" w:hanging="360"/>
      </w:pPr>
    </w:lvl>
    <w:lvl w:ilvl="8">
      <w:start w:val="1"/>
      <w:numFmt w:val="bullet"/>
      <w:lvlText w:val="-"/>
      <w:lvlJc w:val="left"/>
      <w:pPr>
        <w:tabs>
          <w:tab w:val="num" w:pos="6480"/>
        </w:tabs>
        <w:ind w:left="6480" w:hanging="180"/>
      </w:pPr>
    </w:lvl>
  </w:abstractNum>
  <w:abstractNum w:abstractNumId="12">
    <w:nsid w:val="0000000D"/>
    <w:multiLevelType w:val="multilevel"/>
    <w:tmpl w:val="00000007"/>
    <w:lvl w:ilvl="0">
      <w:start w:val="1"/>
      <w:numFmt w:val="upperRoman"/>
      <w:lvlText w:val="%1."/>
      <w:lvlJc w:val="left"/>
      <w:pPr>
        <w:tabs>
          <w:tab w:val="num" w:pos="567"/>
        </w:tabs>
        <w:ind w:left="720" w:hanging="360"/>
      </w:pPr>
      <w:rPr>
        <w:rFonts w:ascii="Calibri" w:eastAsia="Calibri" w:hAnsi="Calibri" w:cs="Calibri"/>
        <w:b/>
        <w:i w:val="0"/>
        <w:strike w:val="0"/>
        <w:color w:val="000000"/>
        <w:sz w:val="20"/>
        <w:u w:val="none"/>
      </w:rPr>
    </w:lvl>
    <w:lvl w:ilvl="1">
      <w:start w:val="1"/>
      <w:numFmt w:val="decimal"/>
      <w:lvlText w:val="%1.%2."/>
      <w:lvlJc w:val="left"/>
      <w:pPr>
        <w:tabs>
          <w:tab w:val="num" w:pos="1440"/>
        </w:tabs>
        <w:ind w:left="1440" w:hanging="360"/>
      </w:pPr>
    </w:lvl>
    <w:lvl w:ilvl="2">
      <w:start w:val="1"/>
      <w:numFmt w:val="decimal"/>
      <w:lvlText w:val="%1.%2.%3."/>
      <w:lvlJc w:val="left"/>
      <w:pPr>
        <w:tabs>
          <w:tab w:val="num" w:pos="2160"/>
        </w:tabs>
        <w:ind w:left="2160" w:hanging="180"/>
      </w:pPr>
    </w:lvl>
    <w:lvl w:ilvl="3">
      <w:start w:val="1"/>
      <w:numFmt w:val="decimal"/>
      <w:lvlText w:val="%1.%2.%3.%4."/>
      <w:lvlJc w:val="left"/>
      <w:pPr>
        <w:tabs>
          <w:tab w:val="num" w:pos="2880"/>
        </w:tabs>
        <w:ind w:left="2880" w:hanging="360"/>
      </w:pPr>
    </w:lvl>
    <w:lvl w:ilvl="4">
      <w:start w:val="1"/>
      <w:numFmt w:val="decimal"/>
      <w:lvlText w:val="%1.%2.%3.%4.%5."/>
      <w:lvlJc w:val="left"/>
      <w:pPr>
        <w:tabs>
          <w:tab w:val="num" w:pos="3600"/>
        </w:tabs>
        <w:ind w:left="3600" w:hanging="360"/>
      </w:pPr>
    </w:lvl>
    <w:lvl w:ilvl="5">
      <w:start w:val="1"/>
      <w:numFmt w:val="decimal"/>
      <w:lvlText w:val="%1.%2.%3.%4.%5.%6."/>
      <w:lvlJc w:val="left"/>
      <w:pPr>
        <w:tabs>
          <w:tab w:val="num" w:pos="4320"/>
        </w:tabs>
        <w:ind w:left="4320" w:hanging="180"/>
      </w:pPr>
    </w:lvl>
    <w:lvl w:ilvl="6">
      <w:start w:val="1"/>
      <w:numFmt w:val="decimal"/>
      <w:lvlText w:val="%1.%2.%3.%4.%5.%6.%7."/>
      <w:lvlJc w:val="left"/>
      <w:pPr>
        <w:tabs>
          <w:tab w:val="num" w:pos="5040"/>
        </w:tabs>
        <w:ind w:left="5040" w:hanging="360"/>
      </w:pPr>
    </w:lvl>
    <w:lvl w:ilvl="7">
      <w:start w:val="1"/>
      <w:numFmt w:val="decimal"/>
      <w:lvlText w:val="%1.%2.%3.%4.%5.%6.%7.%8."/>
      <w:lvlJc w:val="left"/>
      <w:pPr>
        <w:tabs>
          <w:tab w:val="num" w:pos="5760"/>
        </w:tabs>
        <w:ind w:left="5760" w:hanging="360"/>
      </w:pPr>
    </w:lvl>
    <w:lvl w:ilvl="8">
      <w:start w:val="1"/>
      <w:numFmt w:val="decimal"/>
      <w:lvlText w:val="%1.%2.%3.%4.%5.%6.%7.%8.%9."/>
      <w:lvlJc w:val="left"/>
      <w:pPr>
        <w:tabs>
          <w:tab w:val="num" w:pos="6480"/>
        </w:tabs>
        <w:ind w:left="6480" w:hanging="180"/>
      </w:pPr>
    </w:lvl>
  </w:abstractNum>
  <w:abstractNum w:abstractNumId="13">
    <w:nsid w:val="0000000E"/>
    <w:multiLevelType w:val="hybridMultilevel"/>
    <w:tmpl w:val="0000000E"/>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tabs>
          <w:tab w:val="num" w:pos="2835"/>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hybridMultilevel"/>
    <w:tmpl w:val="00000014"/>
    <w:lvl w:ilvl="0">
      <w:start w:val="1"/>
      <w:numFmt w:val="bullet"/>
      <w:lvlText w:val="-"/>
      <w:lvlJc w:val="left"/>
      <w:pPr>
        <w:tabs>
          <w:tab w:val="num" w:pos="2126"/>
        </w:tabs>
        <w:ind w:left="720" w:hanging="360"/>
      </w:pPr>
      <w:rPr>
        <w:rFonts w:ascii="Calibri" w:eastAsia="Calibri" w:hAnsi="Calibri" w:cs="Calibri"/>
        <w:b w:val="0"/>
        <w:i w:val="0"/>
        <w:strike w:val="0"/>
        <w:color w:val="000000"/>
        <w:sz w:val="20"/>
        <w:u w:val="none"/>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noLeading/>
    <w:suppressTopSpacingWP/>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kern w:val="16"/>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Calibri Light" w:eastAsia="Times New Roman" w:hAnsi="Calibri Light" w:cs="Times New Roman"/>
      <w:color w:val="2F5496" w:themeShade="BF"/>
      <w:sz w:val="32"/>
      <w:szCs w:val="32"/>
    </w:rPr>
  </w:style>
  <w:style w:type="paragraph" w:styleId="Heading2">
    <w:name w:val="heading 2"/>
    <w:basedOn w:val="Normal"/>
    <w:next w:val="Normal"/>
    <w:link w:val="Heading2Char"/>
    <w:uiPriority w:val="9"/>
    <w:qFormat/>
    <w:rsid w:val="00506D7A"/>
    <w:pPr>
      <w:keepNext/>
      <w:keepLines/>
      <w:spacing w:before="40" w:after="0"/>
      <w:outlineLvl w:val="1"/>
    </w:pPr>
    <w:rPr>
      <w:rFonts w:ascii="Calibri Light" w:eastAsia="Times New Roman" w:hAnsi="Calibri Light" w:cs="Times New Roman"/>
      <w:color w:val="2F5496" w:themeShade="BF"/>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numbering" w:customStyle="1" w:styleId="bulletround">
    <w:name w:val="bullet.round"/>
    <w:pPr>
      <w:numPr>
        <w:numId w:val="1"/>
      </w:numPr>
    </w:pPr>
  </w:style>
  <w:style w:type="numbering" w:customStyle="1" w:styleId="listarabic">
    <w:name w:val="list.arabic"/>
    <w:pPr>
      <w:numPr>
        <w:numId w:val="2"/>
      </w:numPr>
    </w:pPr>
  </w:style>
  <w:style w:type="numbering" w:customStyle="1" w:styleId="ol2">
    <w:name w:val="ol2"/>
    <w:pPr>
      <w:numPr>
        <w:numId w:val="3"/>
      </w:numPr>
    </w:pPr>
  </w:style>
  <w:style w:type="numbering" w:customStyle="1" w:styleId="ol3">
    <w:name w:val="ol3"/>
    <w:pPr>
      <w:numPr>
        <w:numId w:val="4"/>
      </w:numPr>
    </w:pPr>
  </w:style>
  <w:style w:type="numbering" w:customStyle="1" w:styleId="ol4">
    <w:name w:val="ol4"/>
    <w:pPr>
      <w:numPr>
        <w:numId w:val="5"/>
      </w:numPr>
    </w:pPr>
  </w:style>
  <w:style w:type="numbering" w:customStyle="1" w:styleId="ol5">
    <w:name w:val="ol5"/>
    <w:pPr>
      <w:numPr>
        <w:numId w:val="6"/>
      </w:numPr>
    </w:pPr>
  </w:style>
  <w:style w:type="numbering" w:customStyle="1" w:styleId="oul1">
    <w:name w:val="oul1"/>
    <w:pPr>
      <w:numPr>
        <w:numId w:val="7"/>
      </w:numPr>
    </w:pPr>
  </w:style>
  <w:style w:type="numbering" w:customStyle="1" w:styleId="outlinearabic">
    <w:name w:val="outline.arabic"/>
    <w:pPr>
      <w:numPr>
        <w:numId w:val="8"/>
      </w:numPr>
    </w:pPr>
  </w:style>
  <w:style w:type="numbering" w:customStyle="1" w:styleId="ul1">
    <w:name w:val="ul1"/>
    <w:pPr>
      <w:numPr>
        <w:numId w:val="9"/>
      </w:numPr>
    </w:pPr>
  </w:style>
  <w:style w:type="numbering" w:customStyle="1" w:styleId="ul2">
    <w:name w:val="ul2"/>
    <w:pPr>
      <w:numPr>
        <w:numId w:val="10"/>
      </w:numPr>
    </w:pPr>
  </w:style>
  <w:style w:type="numbering" w:customStyle="1" w:styleId="ul3">
    <w:name w:val="ul3"/>
    <w:pPr>
      <w:numPr>
        <w:numId w:val="11"/>
      </w:numPr>
    </w:pPr>
  </w:style>
  <w:style w:type="numbering" w:customStyle="1" w:styleId="ul4">
    <w:name w:val="ul4"/>
    <w:pPr>
      <w:numPr>
        <w:numId w:val="12"/>
      </w:numPr>
    </w:pPr>
  </w:style>
  <w:style w:type="paragraph" w:customStyle="1" w:styleId="Normal-wk">
    <w:name w:val="Normal-wk"/>
    <w:qFormat/>
    <w:pPr>
      <w:keepNext w:val="0"/>
      <w:keepLines/>
      <w:spacing w:before="0" w:after="0" w:line="288" w:lineRule="auto"/>
      <w:ind w:left="0" w:firstLine="0"/>
      <w:jc w:val="both"/>
    </w:pPr>
    <w:rPr>
      <w:rFonts w:ascii="Calibri" w:eastAsia="Calibri" w:hAnsi="Calibri" w:cs="Calibri"/>
      <w:b w:val="0"/>
      <w:i w:val="0"/>
      <w:color w:val="000000"/>
      <w:spacing w:val="0"/>
      <w:sz w:val="20"/>
    </w:rPr>
  </w:style>
  <w:style w:type="paragraph" w:customStyle="1" w:styleId="CarCar3">
    <w:name w:val="Car Car3"/>
    <w:qFormat/>
    <w:pPr>
      <w:keepNext w:val="0"/>
      <w:spacing w:before="0" w:after="0" w:line="288" w:lineRule="auto"/>
      <w:ind w:left="0" w:firstLine="0"/>
      <w:jc w:val="both"/>
    </w:pPr>
    <w:rPr>
      <w:rFonts w:ascii="Calibri" w:eastAsia="Calibri" w:hAnsi="Calibri" w:cs="Calibri"/>
      <w:b w:val="0"/>
      <w:i w:val="0"/>
      <w:color w:val="000000"/>
      <w:spacing w:val="0"/>
      <w:sz w:val="20"/>
    </w:rPr>
  </w:style>
  <w:style w:type="paragraph" w:customStyle="1" w:styleId="Estndar">
    <w:name w:val="Estándar"/>
    <w:qFormat/>
    <w:pPr>
      <w:keepNext w:val="0"/>
      <w:spacing w:before="0" w:after="0" w:line="240" w:lineRule="auto"/>
      <w:ind w:left="0" w:firstLine="0"/>
      <w:jc w:val="left"/>
    </w:pPr>
    <w:rPr>
      <w:rFonts w:ascii="Times New Roman" w:eastAsia="Times New Roman" w:hAnsi="Times New Roman" w:cs="Times New Roman"/>
      <w:b w:val="0"/>
      <w:i w:val="0"/>
      <w:color w:val="000000"/>
      <w:spacing w:val="0"/>
      <w:sz w:val="24"/>
    </w:rPr>
  </w:style>
  <w:style w:type="paragraph" w:styleId="FootnoteText">
    <w:name w:val="footnote text"/>
    <w:basedOn w:val="Normal"/>
    <w:link w:val="FootnoteTextChar"/>
    <w:uiPriority w:val="99"/>
    <w:rsid w:val="000F3DF7"/>
    <w:pPr>
      <w:spacing w:after="0" w:line="240" w:lineRule="auto"/>
    </w:pPr>
    <w:rPr>
      <w:sz w:val="20"/>
      <w:szCs w:val="20"/>
    </w:rPr>
  </w:style>
  <w:style w:type="character" w:customStyle="1" w:styleId="FootnoteTextChar">
    <w:name w:val="Footnote Text Char"/>
    <w:basedOn w:val="DefaultParagraphFont"/>
    <w:link w:val="FootnoteText"/>
    <w:uiPriority w:val="99"/>
    <w:rsid w:val="000F3DF7"/>
    <w:rPr>
      <w:sz w:val="20"/>
      <w:szCs w:val="20"/>
    </w:rPr>
  </w:style>
  <w:style w:type="paragraph" w:customStyle="1" w:styleId="FootnoteText-wk">
    <w:name w:val="Footnote Text-wk"/>
    <w:qFormat/>
    <w:pPr>
      <w:keepNext w:val="0"/>
      <w:spacing w:before="0" w:after="0" w:line="240" w:lineRule="auto"/>
      <w:ind w:left="0" w:firstLine="0"/>
      <w:jc w:val="left"/>
    </w:pPr>
    <w:rPr>
      <w:rFonts w:ascii="Arial" w:eastAsia="Arial" w:hAnsi="Arial" w:cs="Arial"/>
      <w:b w:val="0"/>
      <w:i w:val="0"/>
      <w:color w:val="000000"/>
      <w:spacing w:val="0"/>
      <w:sz w:val="20"/>
    </w:r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paragraph" w:customStyle="1" w:styleId="Heading1-wk">
    <w:name w:val="Heading 1-wk"/>
    <w:qFormat/>
    <w:pPr>
      <w:keepNext w:val="0"/>
      <w:spacing w:before="480" w:after="0" w:line="240" w:lineRule="auto"/>
      <w:ind w:left="0" w:firstLine="0"/>
      <w:jc w:val="left"/>
    </w:pPr>
    <w:rPr>
      <w:rFonts w:ascii="Cambria" w:eastAsia="Cambria" w:hAnsi="Cambria" w:cs="Cambria"/>
      <w:b/>
      <w:i w:val="0"/>
      <w:color w:val="365F91"/>
      <w:spacing w:val="0"/>
      <w:sz w:val="28"/>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paragraph" w:customStyle="1" w:styleId="Heading2-wk">
    <w:name w:val="Heading 2-wk"/>
    <w:qFormat/>
    <w:pPr>
      <w:keepNext w:val="0"/>
      <w:spacing w:before="0" w:after="0" w:line="240" w:lineRule="auto"/>
      <w:ind w:left="0" w:firstLine="0"/>
      <w:jc w:val="both"/>
    </w:pPr>
    <w:rPr>
      <w:rFonts w:ascii="Times New Roman" w:eastAsia="Times New Roman" w:hAnsi="Times New Roman" w:cs="Times New Roman"/>
      <w:b/>
      <w:i w:val="0"/>
      <w:color w:val="000000"/>
      <w:spacing w:val="0"/>
      <w:sz w:val="24"/>
    </w:rPr>
  </w:style>
  <w:style w:type="paragraph" w:styleId="ListParagraph">
    <w:name w:val="List Paragraph"/>
    <w:basedOn w:val="Normal"/>
    <w:uiPriority w:val="34"/>
    <w:qFormat/>
    <w:rsid w:val="00506D7A"/>
    <w:pPr>
      <w:ind w:left="720"/>
      <w:contextualSpacing/>
    </w:pPr>
  </w:style>
  <w:style w:type="paragraph" w:customStyle="1" w:styleId="ListParagraph-wk">
    <w:name w:val="List Paragraph-wk"/>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Prrafodelista1">
    <w:name w:val="Párrafo de lista1"/>
    <w:qFormat/>
    <w:pPr>
      <w:keepNext w:val="0"/>
      <w:spacing w:before="0" w:after="0" w:line="240" w:lineRule="auto"/>
      <w:ind w:left="720" w:firstLine="0"/>
      <w:jc w:val="left"/>
    </w:pPr>
    <w:rPr>
      <w:rFonts w:ascii="Arial" w:eastAsia="Arial" w:hAnsi="Arial" w:cs="Arial"/>
      <w:b w:val="0"/>
      <w:i w:val="0"/>
      <w:color w:val="000000"/>
      <w:spacing w:val="0"/>
      <w:sz w:val="22"/>
    </w:rPr>
  </w:style>
  <w:style w:type="paragraph" w:customStyle="1" w:styleId="TextePrinc">
    <w:name w:val="TextePrinc"/>
    <w:qFormat/>
    <w:pPr>
      <w:keepNext w:val="0"/>
      <w:spacing w:before="0" w:after="0" w:line="240" w:lineRule="auto"/>
      <w:ind w:left="0" w:firstLine="0"/>
      <w:jc w:val="left"/>
    </w:pPr>
    <w:rPr>
      <w:rFonts w:ascii="Arial" w:eastAsia="Arial" w:hAnsi="Arial" w:cs="Arial"/>
      <w:b w:val="0"/>
      <w:i w:val="0"/>
      <w:color w:val="000000"/>
      <w:spacing w:val="0"/>
      <w:sz w:val="18"/>
    </w:rPr>
  </w:style>
  <w:style w:type="paragraph" w:customStyle="1" w:styleId="pf0">
    <w:name w:val="pf0"/>
    <w:qFormat/>
    <w:pPr>
      <w:keepNext w:val="0"/>
      <w:spacing w:before="100" w:after="100" w:line="240" w:lineRule="auto"/>
      <w:ind w:left="0" w:firstLine="0"/>
      <w:jc w:val="left"/>
    </w:pPr>
    <w:rPr>
      <w:rFonts w:ascii="Times New Roman" w:eastAsia="Times New Roman" w:hAnsi="Times New Roman" w:cs="Times New Roman"/>
      <w:b w:val="0"/>
      <w:i w:val="0"/>
      <w:color w:val="000000"/>
      <w:spacing w:val="0"/>
      <w:sz w:val="24"/>
    </w:rPr>
  </w:style>
  <w:style w:type="paragraph" w:styleId="TOC1">
    <w:name w:val="toc 1"/>
    <w:basedOn w:val="Normal"/>
    <w:next w:val="Normal"/>
    <w:autoRedefine/>
    <w:uiPriority w:val="39"/>
    <w:rsid w:val="000F3DF7"/>
    <w:pPr>
      <w:spacing w:after="100"/>
    </w:pPr>
  </w:style>
  <w:style w:type="paragraph" w:customStyle="1" w:styleId="TOC1-wk">
    <w:name w:val="TOC 1-wk"/>
    <w:qFormat/>
    <w:pPr>
      <w:spacing w:line="288" w:lineRule="auto"/>
      <w:ind w:left="426" w:hanging="426"/>
      <w:jc w:val="left"/>
    </w:pPr>
    <w:rPr>
      <w:rFonts w:ascii="Calibri" w:eastAsia="Calibri" w:hAnsi="Calibri" w:cs="Calibri"/>
      <w:b w:val="0"/>
      <w:i w:val="0"/>
      <w:color w:val="000000"/>
      <w:spacing w:val="0"/>
      <w:sz w:val="20"/>
    </w:rPr>
  </w:style>
  <w:style w:type="paragraph" w:styleId="TOC2">
    <w:name w:val="toc 2"/>
    <w:basedOn w:val="Normal"/>
    <w:next w:val="Normal"/>
    <w:autoRedefine/>
    <w:uiPriority w:val="39"/>
    <w:rsid w:val="000F3DF7"/>
    <w:pPr>
      <w:spacing w:after="100"/>
      <w:ind w:left="220"/>
    </w:pPr>
  </w:style>
  <w:style w:type="paragraph" w:customStyle="1" w:styleId="TOC2-wk">
    <w:name w:val="TOC 2-wk"/>
    <w:qFormat/>
    <w:pPr>
      <w:ind w:left="567" w:hanging="567"/>
      <w:jc w:val="left"/>
    </w:pPr>
    <w:rPr>
      <w:rFonts w:ascii="Calibri" w:eastAsia="Calibri" w:hAnsi="Calibri" w:cs="Calibri"/>
      <w:b w:val="0"/>
      <w:i w:val="0"/>
      <w:color w:val="000000"/>
      <w:spacing w:val="0"/>
      <w:sz w:val="20"/>
    </w:rPr>
  </w:style>
  <w:style w:type="paragraph" w:customStyle="1" w:styleId="TOC1-wk-1">
    <w:name w:val="TOC 1-wk-1"/>
    <w:qFormat/>
    <w:pPr>
      <w:spacing w:line="288" w:lineRule="auto"/>
      <w:ind w:left="426" w:hanging="426"/>
      <w:jc w:val="left"/>
    </w:pPr>
    <w:rPr>
      <w:rFonts w:ascii="Calibri" w:eastAsia="Calibri" w:hAnsi="Calibri" w:cs="Calibri"/>
      <w:b w:val="0"/>
      <w:i w:val="0"/>
      <w:color w:val="000000"/>
      <w:spacing w:val="0"/>
      <w:sz w:val="20"/>
    </w:rPr>
  </w:style>
  <w:style w:type="paragraph" w:styleId="TOC6">
    <w:name w:val="toc 6"/>
    <w:basedOn w:val="Normal"/>
    <w:next w:val="Normal"/>
    <w:autoRedefine/>
    <w:uiPriority w:val="39"/>
    <w:rsid w:val="000F3DF7"/>
    <w:pPr>
      <w:spacing w:after="100"/>
      <w:ind w:left="1100"/>
    </w:pPr>
  </w:style>
  <w:style w:type="paragraph" w:customStyle="1" w:styleId="TOC6-wk">
    <w:name w:val="TOC 6-wk"/>
    <w:qFormat/>
    <w:pPr>
      <w:ind w:left="1100" w:firstLine="0"/>
      <w:jc w:val="left"/>
    </w:pPr>
    <w:rPr>
      <w:rFonts w:ascii="Calibri" w:eastAsia="Calibri" w:hAnsi="Calibri" w:cs="Calibri"/>
      <w:b w:val="0"/>
      <w:i w:val="0"/>
      <w:color w:val="000000"/>
      <w:spacing w:val="0"/>
      <w:sz w:val="20"/>
    </w:rPr>
  </w:style>
  <w:style w:type="paragraph" w:styleId="TOC4">
    <w:name w:val="toc 4"/>
    <w:basedOn w:val="Normal"/>
    <w:next w:val="Normal"/>
    <w:autoRedefine/>
    <w:uiPriority w:val="39"/>
    <w:rsid w:val="000F3DF7"/>
    <w:pPr>
      <w:spacing w:after="100"/>
      <w:ind w:left="660"/>
    </w:pPr>
  </w:style>
  <w:style w:type="paragraph" w:customStyle="1" w:styleId="TOC4-wk">
    <w:name w:val="TOC 4-wk"/>
    <w:qFormat/>
    <w:pPr>
      <w:ind w:left="660" w:firstLine="0"/>
      <w:jc w:val="left"/>
    </w:pPr>
    <w:rPr>
      <w:rFonts w:ascii="Calibri" w:eastAsia="Calibri" w:hAnsi="Calibri" w:cs="Calibri"/>
      <w:b w:val="0"/>
      <w:i w:val="0"/>
      <w:color w:val="000000"/>
      <w:spacing w:val="0"/>
      <w:sz w:val="20"/>
    </w:rPr>
  </w:style>
  <w:style w:type="paragraph" w:styleId="TOC8">
    <w:name w:val="toc 8"/>
    <w:basedOn w:val="Normal"/>
    <w:next w:val="Normal"/>
    <w:autoRedefine/>
    <w:uiPriority w:val="39"/>
    <w:rsid w:val="000F3DF7"/>
    <w:pPr>
      <w:spacing w:after="100"/>
      <w:ind w:left="1540"/>
    </w:pPr>
  </w:style>
  <w:style w:type="paragraph" w:customStyle="1" w:styleId="TOC8-wk">
    <w:name w:val="TOC 8-wk"/>
    <w:qFormat/>
    <w:pPr>
      <w:ind w:left="1540" w:firstLine="0"/>
      <w:jc w:val="left"/>
    </w:pPr>
    <w:rPr>
      <w:rFonts w:ascii="Calibri" w:eastAsia="Calibri" w:hAnsi="Calibri" w:cs="Calibri"/>
      <w:b w:val="0"/>
      <w:i w:val="0"/>
      <w:color w:val="000000"/>
      <w:spacing w:val="0"/>
      <w:sz w:val="20"/>
    </w:rPr>
  </w:style>
  <w:style w:type="paragraph" w:styleId="TOC7">
    <w:name w:val="toc 7"/>
    <w:basedOn w:val="Normal"/>
    <w:next w:val="Normal"/>
    <w:autoRedefine/>
    <w:uiPriority w:val="39"/>
    <w:rsid w:val="000F3DF7"/>
    <w:pPr>
      <w:spacing w:after="100"/>
      <w:ind w:left="1320"/>
    </w:pPr>
  </w:style>
  <w:style w:type="paragraph" w:customStyle="1" w:styleId="TOC7-wk">
    <w:name w:val="TOC 7-wk"/>
    <w:qFormat/>
    <w:pPr>
      <w:ind w:left="1320" w:firstLine="0"/>
      <w:jc w:val="left"/>
    </w:pPr>
    <w:rPr>
      <w:rFonts w:ascii="Calibri" w:eastAsia="Calibri" w:hAnsi="Calibri" w:cs="Calibri"/>
      <w:b w:val="0"/>
      <w:i w:val="0"/>
      <w:color w:val="000000"/>
      <w:spacing w:val="0"/>
      <w:sz w:val="20"/>
    </w:rPr>
  </w:style>
  <w:style w:type="paragraph" w:styleId="TOC5">
    <w:name w:val="toc 5"/>
    <w:basedOn w:val="Normal"/>
    <w:next w:val="Normal"/>
    <w:autoRedefine/>
    <w:uiPriority w:val="39"/>
    <w:rsid w:val="000F3DF7"/>
    <w:pPr>
      <w:spacing w:after="100"/>
      <w:ind w:left="880"/>
    </w:pPr>
  </w:style>
  <w:style w:type="paragraph" w:customStyle="1" w:styleId="TOC5-wk">
    <w:name w:val="TOC 5-wk"/>
    <w:qFormat/>
    <w:pPr>
      <w:ind w:left="880" w:firstLine="0"/>
      <w:jc w:val="left"/>
    </w:pPr>
    <w:rPr>
      <w:rFonts w:ascii="Calibri" w:eastAsia="Calibri" w:hAnsi="Calibri" w:cs="Calibri"/>
      <w:b w:val="0"/>
      <w:i w:val="0"/>
      <w:color w:val="000000"/>
      <w:spacing w:val="0"/>
      <w:sz w:val="20"/>
    </w:rPr>
  </w:style>
  <w:style w:type="paragraph" w:styleId="TOC9">
    <w:name w:val="toc 9"/>
    <w:basedOn w:val="Normal"/>
    <w:next w:val="Normal"/>
    <w:autoRedefine/>
    <w:uiPriority w:val="39"/>
    <w:rsid w:val="000F3DF7"/>
    <w:pPr>
      <w:spacing w:after="100"/>
      <w:ind w:left="1760"/>
    </w:pPr>
  </w:style>
  <w:style w:type="paragraph" w:customStyle="1" w:styleId="TOC9-wk">
    <w:name w:val="TOC 9-wk"/>
    <w:qFormat/>
    <w:pPr>
      <w:ind w:left="1760" w:firstLine="0"/>
      <w:jc w:val="left"/>
    </w:pPr>
    <w:rPr>
      <w:rFonts w:ascii="Calibri" w:eastAsia="Calibri" w:hAnsi="Calibri" w:cs="Calibri"/>
      <w:b w:val="0"/>
      <w:i w:val="0"/>
      <w:color w:val="000000"/>
      <w:spacing w:val="0"/>
      <w:sz w:val="20"/>
    </w:rPr>
  </w:style>
  <w:style w:type="paragraph" w:styleId="TOC3">
    <w:name w:val="toc 3"/>
    <w:basedOn w:val="Normal"/>
    <w:next w:val="Normal"/>
    <w:autoRedefine/>
    <w:uiPriority w:val="39"/>
    <w:rsid w:val="000F3DF7"/>
    <w:pPr>
      <w:spacing w:after="100"/>
      <w:ind w:left="440"/>
    </w:pPr>
  </w:style>
  <w:style w:type="paragraph" w:customStyle="1" w:styleId="TOC3-wk">
    <w:name w:val="TOC 3-wk"/>
    <w:qFormat/>
    <w:pPr>
      <w:ind w:left="0" w:firstLine="0"/>
      <w:jc w:val="both"/>
    </w:pPr>
    <w:rPr>
      <w:rFonts w:ascii="Calibri" w:eastAsia="Calibri" w:hAnsi="Calibri" w:cs="Calibri"/>
      <w:b w:val="0"/>
      <w:i w:val="0"/>
      <w:color w:val="000000"/>
      <w:spacing w:val="0"/>
      <w:sz w:val="20"/>
    </w:rPr>
  </w:style>
  <w:style w:type="table" w:customStyle="1" w:styleId="TableNormal-W">
    <w:name w:val="Table Normal-W"/>
    <w:pPr>
      <w:spacing w:before="0" w:after="0"/>
      <w:ind w:left="0" w:firstLine="0"/>
      <w:jc w:val="left"/>
    </w:pPr>
    <w:rPr>
      <w:rFonts w:ascii="Calibri" w:eastAsia="Calibri" w:hAnsi="Calibri" w:cs="Calibri"/>
      <w:b w:val="0"/>
      <w:i w:val="0"/>
      <w:color w:val="000000"/>
      <w:spacing w:val="0"/>
      <w:sz w:val="20"/>
    </w:rPr>
    <w:tblPr/>
  </w:style>
  <w:style w:type="character" w:styleId="LineNumber">
    <w:name w:val="line number"/>
    <w:basedOn w:val="DefaultParagraphFont"/>
    <w:uiPriority w:val="99"/>
    <w:rsid w:val="0041372D"/>
    <w:rPr>
      <w:rFonts w:ascii="Calibri" w:eastAsia="Calibri" w:hAnsi="Calibri" w:cs="Calibri"/>
      <w:sz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3.xml" /><Relationship Id="rId12" Type="http://schemas.openxmlformats.org/officeDocument/2006/relationships/header" Target="header5.xml" /><Relationship Id="rId13" Type="http://schemas.openxmlformats.org/officeDocument/2006/relationships/footer" Target="footer4.xml" /><Relationship Id="rId14" Type="http://schemas.openxmlformats.org/officeDocument/2006/relationships/header" Target="header6.xml" /><Relationship Id="rId15" Type="http://schemas.openxmlformats.org/officeDocument/2006/relationships/footer" Target="footer5.xml" /><Relationship Id="rId16" Type="http://schemas.openxmlformats.org/officeDocument/2006/relationships/header" Target="header7.xml" /><Relationship Id="rId17" Type="http://schemas.openxmlformats.org/officeDocument/2006/relationships/footer" Target="footer6.xml" /><Relationship Id="rId18" Type="http://schemas.openxmlformats.org/officeDocument/2006/relationships/header" Target="header8.xml" /><Relationship Id="rId19" Type="http://schemas.openxmlformats.org/officeDocument/2006/relationships/footer" Target="footer7.xml" /><Relationship Id="rId2" Type="http://schemas.openxmlformats.org/officeDocument/2006/relationships/webSettings" Target="webSettings.xml" /><Relationship Id="rId20" Type="http://schemas.openxmlformats.org/officeDocument/2006/relationships/header" Target="header9.xml" /><Relationship Id="rId21" Type="http://schemas.openxmlformats.org/officeDocument/2006/relationships/footer" Target="footer8.xml" /><Relationship Id="rId22" Type="http://schemas.openxmlformats.org/officeDocument/2006/relationships/header" Target="header10.xml" /><Relationship Id="rId23" Type="http://schemas.openxmlformats.org/officeDocument/2006/relationships/footer" Target="footer9.xml" /><Relationship Id="rId24" Type="http://schemas.openxmlformats.org/officeDocument/2006/relationships/theme" Target="theme/theme1.xml" /><Relationship Id="rId25" Type="http://schemas.openxmlformats.org/officeDocument/2006/relationships/numbering" Target="numbering.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image" Target="media/image2.png" /><Relationship Id="rId8" Type="http://schemas.openxmlformats.org/officeDocument/2006/relationships/header" Target="header3.xml" /><Relationship Id="rId9" Type="http://schemas.openxmlformats.org/officeDocument/2006/relationships/footer" Target="footer2.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s>
</file>

<file path=word/_rels/footer3.xml.rels><?xml version="1.0" encoding="utf-8" standalone="yes"?><Relationships xmlns="http://schemas.openxmlformats.org/package/2006/relationships"><Relationship Id="rId1" Type="http://schemas.openxmlformats.org/officeDocument/2006/relationships/image" Target="media/image2.png" /></Relationships>
</file>

<file path=word/_rels/footer4.xml.rels><?xml version="1.0" encoding="utf-8" standalone="yes"?><Relationships xmlns="http://schemas.openxmlformats.org/package/2006/relationships"><Relationship Id="rId1" Type="http://schemas.openxmlformats.org/officeDocument/2006/relationships/image" Target="media/image2.png" /></Relationships>
</file>

<file path=word/_rels/footer5.xml.rels><?xml version="1.0" encoding="utf-8" standalone="yes"?><Relationships xmlns="http://schemas.openxmlformats.org/package/2006/relationships"><Relationship Id="rId1" Type="http://schemas.openxmlformats.org/officeDocument/2006/relationships/image" Target="media/image2.png" /></Relationships>
</file>

<file path=word/_rels/footer6.xml.rels><?xml version="1.0" encoding="utf-8" standalone="yes"?><Relationships xmlns="http://schemas.openxmlformats.org/package/2006/relationships"><Relationship Id="rId1" Type="http://schemas.openxmlformats.org/officeDocument/2006/relationships/image" Target="media/image2.png" /></Relationships>
</file>

<file path=word/_rels/footer7.xml.rels><?xml version="1.0" encoding="utf-8" standalone="yes"?><Relationships xmlns="http://schemas.openxmlformats.org/package/2006/relationships"><Relationship Id="rId1" Type="http://schemas.openxmlformats.org/officeDocument/2006/relationships/image" Target="media/image2.png" /></Relationships>
</file>

<file path=word/_rels/footer8.xml.rels><?xml version="1.0" encoding="utf-8" standalone="yes"?><Relationships xmlns="http://schemas.openxmlformats.org/package/2006/relationships"><Relationship Id="rId1" Type="http://schemas.openxmlformats.org/officeDocument/2006/relationships/image" Target="media/image2.png" /></Relationships>
</file>

<file path=word/_rels/footer9.xml.rels><?xml version="1.0" encoding="utf-8" standalone="yes"?><Relationships xmlns="http://schemas.openxmlformats.org/package/2006/relationships"><Relationship Id="rId1" Type="http://schemas.openxmlformats.org/officeDocument/2006/relationships/image" Target="media/image2.png" /></Relationships>
</file>

<file path=word/_rels/header2.xml.rels><?xml version="1.0" encoding="utf-8" standalone="yes"?><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39</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E110 (ESP) - EE.FF 06-2026 - CGE Magallanes S.A. Resumido</dc:title>
  <cp:revision>1</cp:revision>
</cp:coreProperties>
</file>