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bookmarkStart w:id="0" w:name="Section1"/>
      <w:bookmarkEnd w:id="0"/>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Normal-wk"/>
        <w:keepNext w:val="0"/>
        <w:keepLines/>
        <w:pageBreakBefore w:val="0"/>
        <w:widowControl w:val="0"/>
        <w:numPr>
          <w:ilvl w:val="0"/>
          <w:numId w:val="13"/>
        </w:numPr>
        <w:spacing w:before="0" w:after="0" w:line="288" w:lineRule="auto"/>
        <w:ind w:left="567"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ESTADOS FINANCIEROS CONSOLIDADOS.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40" w:lineRule="exact"/>
        <w:ind w:left="567" w:right="0" w:firstLine="0"/>
        <w:jc w:val="both"/>
        <w:outlineLvl w:val="9"/>
        <w:rPr>
          <w:rFonts w:ascii="Calibri" w:eastAsia="Calibri" w:hAnsi="Calibri" w:cs="Calibri"/>
          <w:b w:val="0"/>
          <w:i w:val="0"/>
          <w:sz w:val="20"/>
        </w:rPr>
      </w:pPr>
      <w:r>
        <w:rPr>
          <w:rFonts w:ascii="Calibri" w:eastAsia="Calibri" w:hAnsi="Calibri" w:cs="Calibri"/>
          <w:b w:val="0"/>
          <w:i w:val="0"/>
          <w:sz w:val="20"/>
        </w:rPr>
        <w:t>ESTADO CONSOLIDADO DE SITUACIÓN FINANCIERA CLASIFICADO.</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Activos</w:t>
      </w:r>
      <w:r>
        <w:rPr>
          <w:rFonts w:ascii="Calibri" w:eastAsia="Calibri" w:hAnsi="Calibri" w:cs="Calibri"/>
          <w:b w:val="0"/>
          <w:i w:val="0"/>
          <w:color w:val="000000"/>
          <w:sz w:val="20"/>
          <w:u w:val="none"/>
        </w:rPr>
        <w:t>.</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Patrimonio</w:t>
      </w:r>
      <w:r>
        <w:rPr>
          <w:rFonts w:ascii="Calibri" w:eastAsia="Calibri" w:hAnsi="Calibri" w:cs="Calibri"/>
          <w:b w:val="0"/>
          <w:i w:val="0"/>
          <w:color w:val="000000"/>
          <w:sz w:val="20"/>
          <w:u w:val="none"/>
        </w:rPr>
        <w:t xml:space="preserve"> y pasivos.</w:t>
      </w:r>
    </w:p>
    <w:p w:rsidR="00A77B3E">
      <w:pPr>
        <w:pStyle w:val="Normal-wk"/>
        <w:keepNext w:val="0"/>
        <w:keepLines/>
        <w:pageBreakBefore w:val="0"/>
        <w:widowControl w:val="0"/>
        <w:numPr>
          <w:ilvl w:val="0"/>
          <w:numId w:val="0"/>
        </w:numPr>
        <w:spacing w:before="0" w:after="0" w:line="240" w:lineRule="exact"/>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RESULTADOS POR FUNCIÓN.</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ESTADO</w:t>
      </w:r>
      <w:r>
        <w:rPr>
          <w:rFonts w:ascii="Calibri" w:eastAsia="Calibri" w:hAnsi="Calibri" w:cs="Calibri"/>
          <w:b w:val="0"/>
          <w:i w:val="0"/>
          <w:color w:val="000000"/>
          <w:sz w:val="20"/>
          <w:u w:val="none"/>
        </w:rPr>
        <w:t xml:space="preserve"> CONSOLIDADO DE RESULTADO INTEGRAL.</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ESTADO</w:t>
      </w:r>
      <w:r>
        <w:rPr>
          <w:rFonts w:ascii="Calibri" w:eastAsia="Calibri" w:hAnsi="Calibri" w:cs="Calibri"/>
          <w:b w:val="0"/>
          <w:i w:val="0"/>
          <w:color w:val="000000"/>
          <w:sz w:val="20"/>
          <w:u w:val="none"/>
        </w:rPr>
        <w:t xml:space="preserve"> CONSOLIDADO DE CAMBIOS EN EL PATRIMONIO NETO.</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ESTADO</w:t>
      </w:r>
      <w:r>
        <w:rPr>
          <w:rFonts w:ascii="Calibri" w:eastAsia="Calibri" w:hAnsi="Calibri" w:cs="Calibri"/>
          <w:b w:val="0"/>
          <w:i w:val="0"/>
          <w:color w:val="000000"/>
          <w:sz w:val="20"/>
          <w:u w:val="none"/>
        </w:rPr>
        <w:t xml:space="preserve"> CONSOLIDADO DE FLUJO DE EFECTIVO DIRECTO.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3"/>
        </w:numPr>
        <w:spacing w:before="0" w:after="0" w:line="288" w:lineRule="auto"/>
        <w:ind w:left="567"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NOTAS A LOS ESTADOS FINANCIEROS CONSOLIDADOS.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M</w:t>
      </w: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CL</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keepNext w:val="0"/>
        <w:keepLines/>
        <w:pageBreakBefore w:val="0"/>
        <w:widowControl w:val="0"/>
        <w:numPr>
          <w:ilvl w:val="0"/>
          <w:numId w:val="0"/>
        </w:numPr>
        <w:spacing w:before="0" w:after="0" w:line="240" w:lineRule="exact"/>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US</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sectPr>
          <w:headerReference w:type="default" r:id="rId4"/>
          <w:footerReference w:type="default" r:id="rId5"/>
          <w:type w:val="continuous"/>
          <w:pgSz w:w="12240" w:h="15840"/>
          <w:pgMar w:top="1134" w:right="1134" w:bottom="1134" w:left="1134" w:header="0" w:footer="0" w:gutter="0"/>
          <w:cols w:space="708"/>
          <w:docGrid w:linePitch="360"/>
        </w:sect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0"/>
        <w:rPr>
          <w:rFonts w:ascii="Calibri" w:eastAsia="Calibri" w:hAnsi="Calibri" w:cs="Calibri"/>
          <w:b w:val="0"/>
          <w:i w:val="0"/>
          <w:color w:val="000000"/>
          <w:sz w:val="40"/>
          <w:u w:val="none"/>
        </w:rPr>
      </w:pPr>
      <w:r>
        <w:rPr>
          <w:rFonts w:ascii="Calibri" w:eastAsia="Calibri" w:hAnsi="Calibri" w:cs="Calibri"/>
          <w:b/>
          <w:i w:val="0"/>
          <w:color w:val="000000"/>
          <w:sz w:val="40"/>
          <w:u w:val="none"/>
        </w:rPr>
        <w:t>CGE MAGALLANES S.A. Y SUBSIDIARIA</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36"/>
          <w:u w:val="none"/>
        </w:rPr>
      </w:pPr>
      <w:r>
        <w:rPr>
          <w:rFonts w:ascii="Calibri" w:eastAsia="Calibri" w:hAnsi="Calibri" w:cs="Calibri"/>
          <w:b/>
          <w:i w:val="0"/>
          <w:color w:val="000000"/>
          <w:sz w:val="36"/>
          <w:u w:val="none"/>
        </w:rPr>
        <w:t>Estados Financieros Consolidados</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Arial" w:eastAsia="Arial" w:hAnsi="Arial" w:cs="Arial"/>
          <w:b w:val="0"/>
          <w:i w:val="0"/>
          <w:color w:val="000000"/>
          <w:sz w:val="22"/>
          <w:u w:val="none"/>
        </w:rPr>
      </w:pPr>
      <w:r>
        <w:rPr>
          <w:rFonts w:ascii="Calibri" w:eastAsia="Calibri" w:hAnsi="Calibri" w:cs="Calibri"/>
          <w:b/>
          <w:i w:val="0"/>
          <w:sz w:val="24"/>
        </w:rPr>
        <w:t>(Expresados en miles de pesos chilenos)</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Arial" w:eastAsia="Arial" w:hAnsi="Arial" w:cs="Arial"/>
          <w:b w:val="0"/>
          <w:i w:val="0"/>
          <w:color w:val="000000"/>
          <w:sz w:val="22"/>
          <w:u w:val="none"/>
        </w:rPr>
      </w:pPr>
      <w:r>
        <w:rPr>
          <w:rFonts w:ascii="Calibri" w:eastAsia="Calibri" w:hAnsi="Calibri" w:cs="Calibri"/>
          <w:b/>
          <w:i w:val="0"/>
          <w:sz w:val="24"/>
        </w:rPr>
        <w:t>Correspondientes a los ejercicios terminados al</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sectPr>
          <w:headerReference w:type="default" r:id="rId6"/>
          <w:pgSz w:w="12240" w:h="15840"/>
          <w:pgMar w:top="1134" w:right="1134" w:bottom="1134" w:left="1134" w:header="700" w:footer="0"/>
          <w:cols w:space="708"/>
        </w:sectPr>
      </w:pPr>
    </w:p>
    <w:p>
      <w:pPr>
        <w:pStyle w:val="Normal-wk"/>
        <w:keepNext/>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477.266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162.525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15.737.335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1.449.603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4.452.597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700.362</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22.979.688</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30.041.470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168.045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59.998.078</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 de inversión.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1.666.385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707.140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92.581.118</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115.560.806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7"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30.721.327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148.149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13.717.231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2.011.660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284.749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347.339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47.230.455</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2.200.000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71.333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4.160.660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519.187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largo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13.425.610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2.336.335</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22.713.261</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69.943.716</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11.576.501</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13.509.923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(551.278)</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atribuible a los propietarios de la controladora.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24.535.146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21.081.944</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45.617.090</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115.560.806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RESULTADOS POR FUNCIÓN</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7"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55"/>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exact" w:val="255"/>
        </w:trPr>
        <w:tc>
          <w:tcPr>
            <w:tcW w:w="70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55"/>
        </w:trPr>
        <w:tc>
          <w:tcPr>
            <w:tcW w:w="70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29.902.611</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(18.896.629)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11.005.982</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45.634</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(3.752.998)</w:t>
            </w:r>
          </w:p>
        </w:tc>
      </w:tr>
      <w:tr>
        <w:tblPrEx>
          <w:tblW w:w="996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(40.736)</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(162.598)</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7.095.284</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207.529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(1.185.328)</w:t>
            </w:r>
          </w:p>
        </w:tc>
      </w:tr>
      <w:tr>
        <w:tblPrEx>
          <w:tblW w:w="996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ganancia (pérdida) de asociadas y negocios conjuntos que se contabilicen utilizando el método de la participación.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460.449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8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(7.476)</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6.570.597</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(1.679.185)</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4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2.652.915</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atribuible a 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2.238.497</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por acción</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16,77</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16,77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RESULTADO INTEGRAL</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7"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auto" w:val="0"/>
          <w:tblHeader/>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1.083.188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273.230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que no se reclasificarán al resultado del período, antes de impuestos.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1.083.188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273.230</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 a las ganancias relacionado con componentes de otro resultado integral que no se reclasificarán a resultado del período.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(496.156)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(73.773)</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(496.156)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(73.773)</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587.032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199.457</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587.032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5.090.869</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4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(203.145)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2.762.843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1.285.502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2.328.026</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resultado integral.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1.082.357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5.090.869</w:t>
            </w:r>
          </w:p>
        </w:tc>
      </w:tr>
    </w:tbl>
    <w:p>
      <w:pPr>
        <w:keepNext w:val="0"/>
        <w:keepLines/>
        <w:pageBreakBefore w:val="0"/>
        <w:widowControl w:val="0"/>
        <w:numPr>
          <w:ilvl w:val="0"/>
          <w:numId w:val="0"/>
        </w:numPr>
        <w:spacing w:before="0" w:after="0" w:line="288" w:lineRule="auto"/>
        <w:ind w:left="709" w:right="0" w:hanging="709"/>
        <w:jc w:val="center"/>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709" w:right="0" w:hanging="709"/>
        <w:jc w:val="center"/>
        <w:outlineLvl w:val="9"/>
        <w:rPr>
          <w:rFonts w:ascii="Calibri" w:eastAsia="Calibri" w:hAnsi="Calibri" w:cs="Calibri"/>
          <w:b w:val="0"/>
          <w:i w:val="0"/>
          <w:color w:val="000000"/>
          <w:sz w:val="18"/>
          <w:u w:val="none"/>
        </w:rPr>
        <w:sectPr>
          <w:headerReference w:type="default" r:id="rId8"/>
          <w:footerReference w:type="default" r:id="rId9"/>
          <w:type w:val="continuous"/>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 xml:space="preserve">CGE MAGALLANES S.A. Y SUBSIDIARIA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18"/>
          <w:u w:val="none"/>
        </w:rPr>
      </w:pPr>
    </w:p>
    <w:tbl>
      <w:tblPr>
        <w:tblW w:w="13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95"/>
        <w:gridCol w:w="1095"/>
        <w:gridCol w:w="1095"/>
        <w:gridCol w:w="1095"/>
        <w:gridCol w:w="1095"/>
        <w:gridCol w:w="1095"/>
        <w:gridCol w:w="1095"/>
        <w:gridCol w:w="1125"/>
        <w:gridCol w:w="1095"/>
      </w:tblGrid>
      <w:tr>
        <w:tblPrEx>
          <w:tblW w:w="13485" w:type="dxa"/>
          <w:tblInd w:w="0" w:type="dxa"/>
          <w:tblLayout w:type="fixed"/>
        </w:tblPrEx>
        <w:trPr>
          <w:cantSplit/>
          <w:trHeight w:hRule="auto" w:val="0"/>
        </w:trPr>
        <w:tc>
          <w:tcPr>
            <w:tcW w:w="46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33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485" w:type="dxa"/>
          <w:tblInd w:w="0" w:type="dxa"/>
          <w:tblLayout w:type="fixed"/>
        </w:tblPrEx>
        <w:trPr>
          <w:cantSplit/>
          <w:trHeight w:hRule="auto" w:val="0"/>
        </w:trPr>
        <w:tc>
          <w:tcPr>
            <w:tcW w:w="469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atribuible a los propietarios de la controladora</w:t>
            </w:r>
          </w:p>
        </w:tc>
        <w:tc>
          <w:tcPr>
            <w:tcW w:w="112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485" w:type="dxa"/>
          <w:tblInd w:w="0" w:type="dxa"/>
          <w:tblLayout w:type="fixed"/>
        </w:tblPrEx>
        <w:trPr>
          <w:cantSplit/>
          <w:trHeight w:hRule="auto" w:val="0"/>
        </w:trPr>
        <w:tc>
          <w:tcPr>
            <w:tcW w:w="469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(264.476)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(286.802)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(551.278)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13.509.923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24.535.146</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21.081.944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45.617.090</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(15.514)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1.285.502</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1.269.988</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1.285.502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1.269.988</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1.285.502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1.269.988</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(279.990)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(286.802)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(566.792)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13.509.923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24.519.632</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22.367.446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46.887.078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CAMBIOS EN EL PATRIMONIO NETO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95"/>
        <w:gridCol w:w="1095"/>
        <w:gridCol w:w="1095"/>
        <w:gridCol w:w="1065"/>
        <w:gridCol w:w="1095"/>
        <w:gridCol w:w="1095"/>
        <w:gridCol w:w="1095"/>
        <w:gridCol w:w="1125"/>
        <w:gridCol w:w="1095"/>
      </w:tblGrid>
      <w:tr>
        <w:tblPrEx>
          <w:tblW w:w="13455" w:type="dxa"/>
          <w:tblInd w:w="0" w:type="dxa"/>
          <w:tblLayout w:type="fixed"/>
        </w:tblPrEx>
        <w:trPr>
          <w:cantSplit/>
          <w:trHeight w:hRule="auto" w:val="0"/>
        </w:trPr>
        <w:tc>
          <w:tcPr>
            <w:tcW w:w="46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325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33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455" w:type="dxa"/>
          <w:tblInd w:w="0" w:type="dxa"/>
          <w:tblLayout w:type="fixed"/>
        </w:tblPrEx>
        <w:trPr>
          <w:cantSplit/>
          <w:trHeight w:hRule="auto" w:val="0"/>
        </w:trPr>
        <w:tc>
          <w:tcPr>
            <w:tcW w:w="469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atribuible a los propietarios de la controladora</w:t>
            </w:r>
          </w:p>
        </w:tc>
        <w:tc>
          <w:tcPr>
            <w:tcW w:w="112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455" w:type="dxa"/>
          <w:tblInd w:w="0" w:type="dxa"/>
          <w:tblLayout w:type="fixed"/>
        </w:tblPrEx>
        <w:trPr>
          <w:cantSplit/>
          <w:trHeight w:hRule="auto" w:val="0"/>
        </w:trPr>
        <w:tc>
          <w:tcPr>
            <w:tcW w:w="469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45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(276.827)</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(286.803)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(563.630)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12.239.438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23.252.309</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18.541.384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41.793.693</w:t>
            </w:r>
          </w:p>
        </w:tc>
      </w:tr>
      <w:tr>
        <w:tblPrEx>
          <w:tblW w:w="1345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2.652.915</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2.652.915</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2.238.497</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109.928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89.529</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199.457</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2.652.915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2.762.843</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2.328.026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5.090.869</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(2.987.226)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(2.987.226)</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(1.045.291)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(4.032.517)</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(334.311)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(224.383)</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1.282.735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1.058.352</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(166.899)</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(286.803)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(453.702)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11.905.127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23.027.926</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19.824.119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42.852.045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headerReference w:type="default" r:id="rId10"/>
          <w:footerReference w:type="default" r:id="rId11"/>
          <w:type w:val="continuous"/>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FLUJOS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auto" w:val="0"/>
          <w:tblHeader/>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38.985.937</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65.846</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(25.978.020)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(3.076.032)</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(2.225.721)</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(62.394)</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(6.574)</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7.703.042</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(2.935.874)</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activos intangibles.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Importes procedentes de subvenciones del gobierno.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84.355</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1.780.307</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33.090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(1.038.122)</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importes procedentes de préstamos.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ind w:firstLine="567"/>
              <w:jc w:val="left"/>
            </w:pPr>
            <w:r>
              <w:rPr>
                <w:rFonts w:ascii="Calibri" w:eastAsia="Calibri" w:hAnsi="Calibri" w:cs="Calibri"/>
                <w:b w:val="0"/>
                <w:i w:val="0"/>
                <w:color w:val="000000"/>
                <w:sz w:val="16"/>
                <w:u w:val="none"/>
              </w:rPr>
              <w:t>- Importes procedentes de préstamos de largo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ind w:firstLine="567"/>
              <w:jc w:val="left"/>
            </w:pPr>
            <w:r>
              <w:rPr>
                <w:rFonts w:ascii="Calibri" w:eastAsia="Calibri" w:hAnsi="Calibri" w:cs="Calibri"/>
                <w:b w:val="0"/>
                <w:i w:val="0"/>
                <w:color w:val="000000"/>
                <w:sz w:val="16"/>
                <w:u w:val="none"/>
              </w:rPr>
              <w:t>- Importes procedentes de préstamos de corto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417.285</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Reembolsos de préstamos.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(150.011)</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préstamos de entidades relacionadas.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(5.283.392)</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7.707</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(1.104.850)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(574)</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(6.113.835)</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551.085</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83.529</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634.614</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664.872</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1.299.486</w:t>
            </w:r>
          </w:p>
        </w:tc>
      </w:tr>
    </w:tbl>
    <w:p>
      <w:pPr>
        <w:keepNext w:val="0"/>
        <w:keepLines/>
        <w:pageBreakBefore w:val="0"/>
        <w:widowControl w:val="0"/>
        <w:numPr>
          <w:ilvl w:val="0"/>
          <w:numId w:val="0"/>
        </w:numPr>
        <w:spacing w:before="0" w:after="0" w:line="288" w:lineRule="auto"/>
        <w:ind w:left="709"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hanging="709"/>
        <w:jc w:val="both"/>
        <w:outlineLvl w:val="9"/>
        <w:rPr>
          <w:rFonts w:ascii="Calibri" w:eastAsia="Calibri" w:hAnsi="Calibri" w:cs="Calibri"/>
          <w:b w:val="0"/>
          <w:i w:val="0"/>
          <w:color w:val="000000"/>
          <w:sz w:val="20"/>
          <w:u w:val="none"/>
        </w:rPr>
        <w:sectPr>
          <w:headerReference w:type="default" r:id="rId12"/>
          <w:footerReference w:type="default" r:id="rId13"/>
          <w:type w:val="continuous"/>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INDICE A LAS NOTAS DE LOS ESTADOS FINANCIEROS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7"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8005ac4d42e4e23ae233993dd89c999"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8005ac4d42e4e23ae233993dd89c999"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4d3fb25d51a44019c75a23f1d88a562" w:history="1">
              <w:r>
                <w:rPr>
                  <w:rFonts w:ascii="Calibri" w:eastAsia="Calibri" w:hAnsi="Calibri" w:cs="Calibri"/>
                  <w:b w:val="0"/>
                  <w:i w:val="0"/>
                  <w:color w:val="000000"/>
                  <w:sz w:val="20"/>
                  <w:u w:val="none"/>
                  <w:shd w:val="clear" w:color="auto" w:fill="auto"/>
                </w:rPr>
                <w:t>2.-</w:t>
                <w:tab/>
                <w:t>DESCRIPCIÓN DE LOS SECTORES DONDE PARTICIPA CGE MAGALLANES S.A. Y SUBSIDIARIA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4d3fb25d51a44019c75a23f1d88a562"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00e28317fad41b7a9a3f6f96f2b12e7"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00e28317fad41b7a9a3f6f96f2b12e7"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ef94050b3ee431bb0b9126d591cb6d0" w:history="1">
              <w:r>
                <w:rPr>
                  <w:rFonts w:ascii="Calibri" w:eastAsia="Calibri" w:hAnsi="Calibri" w:cs="Calibri"/>
                  <w:b w:val="0"/>
                  <w:i w:val="0"/>
                  <w:color w:val="000000"/>
                  <w:sz w:val="20"/>
                  <w:u w:val="none"/>
                  <w:shd w:val="clear" w:color="auto" w:fill="auto"/>
                </w:rPr>
                <w:t>3.1.-</w:t>
                <w:tab/>
                <w:t xml:space="preserve">Bases de preparación de los estados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ef94050b3ee431bb0b9126d591cb6d0"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82e7d1daff045b2bf14be9af2cf4700" w:history="1">
              <w:r>
                <w:rPr>
                  <w:rFonts w:ascii="Calibri" w:eastAsia="Calibri" w:hAnsi="Calibri" w:cs="Calibri"/>
                  <w:b w:val="0"/>
                  <w:i w:val="0"/>
                  <w:color w:val="000000"/>
                  <w:sz w:val="20"/>
                  <w:u w:val="none"/>
                  <w:shd w:val="clear" w:color="auto" w:fill="auto"/>
                </w:rPr>
                <w:t>3.2.-</w:t>
                <w:tab/>
                <w:t>Nuevos estándares, interpretaciones y enmiendas adoptadas por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82e7d1daff045b2bf14be9af2cf4700"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97432bcd36b4ba88e4e070855bad56b"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97432bcd36b4ba88e4e070855bad56b"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2e6ee4ecb7540118bb06abfafd8e5ca" w:history="1">
              <w:r>
                <w:rPr>
                  <w:rFonts w:ascii="Calibri" w:eastAsia="Calibri" w:hAnsi="Calibri" w:cs="Calibri"/>
                  <w:b w:val="0"/>
                  <w:i w:val="0"/>
                  <w:color w:val="000000"/>
                  <w:sz w:val="20"/>
                  <w:u w:val="none"/>
                  <w:shd w:val="clear" w:color="auto" w:fill="auto"/>
                </w:rPr>
                <w:t>3.4.-</w:t>
                <w:tab/>
                <w:t>Bases de consolidación.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2e6ee4ecb7540118bb06abfafd8e5ca"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765e01c3a224db1ae3f6b5c5bcb46b7" w:history="1">
              <w:r>
                <w:rPr>
                  <w:rFonts w:ascii="Calibri" w:eastAsia="Calibri" w:hAnsi="Calibri" w:cs="Calibri"/>
                  <w:b w:val="0"/>
                  <w:i w:val="0"/>
                  <w:color w:val="000000"/>
                  <w:sz w:val="20"/>
                  <w:u w:val="none"/>
                  <w:shd w:val="clear" w:color="auto" w:fill="auto"/>
                </w:rPr>
                <w:t>3.5.-</w:t>
                <w:tab/>
                <w:t>Entidades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765e01c3a224db1ae3f6b5c5bcb46b7"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4b6ab3e579480abb3cadaf0972f18a" w:history="1">
              <w:r>
                <w:rPr>
                  <w:rFonts w:ascii="Calibri" w:eastAsia="Calibri" w:hAnsi="Calibri" w:cs="Calibri"/>
                  <w:b w:val="0"/>
                  <w:i w:val="0"/>
                  <w:color w:val="000000"/>
                  <w:sz w:val="20"/>
                  <w:u w:val="none"/>
                  <w:shd w:val="clear" w:color="auto" w:fill="auto"/>
                </w:rPr>
                <w:t>3.6.-</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4b6ab3e579480abb3cadaf0972f18a"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66d235ca7bd4794a560fc9d3b1b254b" w:history="1">
              <w:r>
                <w:rPr>
                  <w:rFonts w:ascii="Calibri" w:eastAsia="Calibri" w:hAnsi="Calibri" w:cs="Calibri"/>
                  <w:b w:val="0"/>
                  <w:i w:val="0"/>
                  <w:color w:val="000000"/>
                  <w:sz w:val="20"/>
                  <w:u w:val="none"/>
                  <w:shd w:val="clear" w:color="auto" w:fill="auto"/>
                </w:rPr>
                <w:t>3.7.-</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66d235ca7bd4794a560fc9d3b1b254b"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b36766e62db40f09cb6417bee140d0e" w:history="1">
              <w:r>
                <w:rPr>
                  <w:rFonts w:ascii="Calibri" w:eastAsia="Calibri" w:hAnsi="Calibri" w:cs="Calibri"/>
                  <w:b w:val="0"/>
                  <w:i w:val="0"/>
                  <w:color w:val="000000"/>
                  <w:sz w:val="20"/>
                  <w:u w:val="none"/>
                  <w:shd w:val="clear" w:color="auto" w:fill="auto"/>
                </w:rPr>
                <w:t>3.8.-</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b36766e62db40f09cb6417bee140d0e"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f75530253b2494f8a2253896a591220" w:history="1">
              <w:r>
                <w:rPr>
                  <w:rFonts w:ascii="Calibri" w:eastAsia="Calibri" w:hAnsi="Calibri" w:cs="Calibri"/>
                  <w:b w:val="0"/>
                  <w:i w:val="0"/>
                  <w:color w:val="000000"/>
                  <w:sz w:val="20"/>
                  <w:u w:val="none"/>
                  <w:shd w:val="clear" w:color="auto" w:fill="auto"/>
                </w:rPr>
                <w:t>3.9.-</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f75530253b2494f8a2253896a591220"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8952d3c46504256bae6ff830d8e4782" w:history="1">
              <w:r>
                <w:rPr>
                  <w:rFonts w:ascii="Calibri" w:eastAsia="Calibri" w:hAnsi="Calibri" w:cs="Calibri"/>
                  <w:b w:val="0"/>
                  <w:i w:val="0"/>
                  <w:color w:val="000000"/>
                  <w:sz w:val="20"/>
                  <w:u w:val="none"/>
                  <w:shd w:val="clear" w:color="auto" w:fill="auto"/>
                </w:rPr>
                <w:t>3.10.-</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8952d3c46504256bae6ff830d8e4782"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5719daceae046788f27a99d3d2138d9" w:history="1">
              <w:r>
                <w:rPr>
                  <w:rFonts w:ascii="Calibri" w:eastAsia="Calibri" w:hAnsi="Calibri" w:cs="Calibri"/>
                  <w:b w:val="0"/>
                  <w:i w:val="0"/>
                  <w:color w:val="000000"/>
                  <w:sz w:val="20"/>
                  <w:u w:val="none"/>
                  <w:shd w:val="clear" w:color="auto" w:fill="auto"/>
                </w:rPr>
                <w:t>3.11.-</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5719daceae046788f27a99d3d2138d9"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07369294b94f4886ad37cc9b98f4e0" w:history="1">
              <w:r>
                <w:rPr>
                  <w:rFonts w:ascii="Calibri" w:eastAsia="Calibri" w:hAnsi="Calibri" w:cs="Calibri"/>
                  <w:b w:val="0"/>
                  <w:i w:val="0"/>
                  <w:color w:val="000000"/>
                  <w:sz w:val="20"/>
                  <w:u w:val="none"/>
                  <w:shd w:val="clear" w:color="auto" w:fill="auto"/>
                </w:rPr>
                <w:t>3.12.-</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07369294b94f4886ad37cc9b98f4e0"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bc3c47ad85454982f96088c681d857" w:history="1">
              <w:r>
                <w:rPr>
                  <w:rFonts w:ascii="Calibri" w:eastAsia="Calibri" w:hAnsi="Calibri" w:cs="Calibri"/>
                  <w:b w:val="0"/>
                  <w:i w:val="0"/>
                  <w:color w:val="000000"/>
                  <w:sz w:val="20"/>
                  <w:u w:val="none"/>
                  <w:shd w:val="clear" w:color="auto" w:fill="auto"/>
                </w:rPr>
                <w:t>3.13.-</w:t>
                <w:tab/>
                <w:t>Activos no corrientes mantenidos para la venta y grupos en disposición.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bc3c47ad85454982f96088c681d857"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643ca3d77294092a5058fc37ec2005c" w:history="1">
              <w:r>
                <w:rPr>
                  <w:rFonts w:ascii="Calibri" w:eastAsia="Calibri" w:hAnsi="Calibri" w:cs="Calibri"/>
                  <w:b w:val="0"/>
                  <w:i w:val="0"/>
                  <w:color w:val="000000"/>
                  <w:sz w:val="20"/>
                  <w:u w:val="none"/>
                  <w:shd w:val="clear" w:color="auto" w:fill="auto"/>
                </w:rPr>
                <w:t>3.14.-</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643ca3d77294092a5058fc37ec2005c"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1de706722c84e8ca21455f05aa92260" w:history="1">
              <w:r>
                <w:rPr>
                  <w:rFonts w:ascii="Calibri" w:eastAsia="Calibri" w:hAnsi="Calibri" w:cs="Calibri"/>
                  <w:b w:val="0"/>
                  <w:i w:val="0"/>
                  <w:color w:val="000000"/>
                  <w:sz w:val="20"/>
                  <w:u w:val="none"/>
                  <w:shd w:val="clear" w:color="auto" w:fill="auto"/>
                </w:rPr>
                <w:t>3.15.-</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1de706722c84e8ca21455f05aa92260"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6eb8d9797764f7b983eb930fdffa331" w:history="1">
              <w:r>
                <w:rPr>
                  <w:rFonts w:ascii="Calibri" w:eastAsia="Calibri" w:hAnsi="Calibri" w:cs="Calibri"/>
                  <w:b w:val="0"/>
                  <w:i w:val="0"/>
                  <w:color w:val="000000"/>
                  <w:sz w:val="20"/>
                  <w:u w:val="none"/>
                  <w:shd w:val="clear" w:color="auto" w:fill="auto"/>
                </w:rPr>
                <w:t>3.16.-</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6eb8d9797764f7b983eb930fdffa331"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cf1b06d8e60456c91ffbdcaff10e508" w:history="1">
              <w:r>
                <w:rPr>
                  <w:rFonts w:ascii="Calibri" w:eastAsia="Calibri" w:hAnsi="Calibri" w:cs="Calibri"/>
                  <w:b w:val="0"/>
                  <w:i w:val="0"/>
                  <w:color w:val="000000"/>
                  <w:sz w:val="20"/>
                  <w:u w:val="none"/>
                  <w:shd w:val="clear" w:color="auto" w:fill="auto"/>
                </w:rPr>
                <w:t>3.17.-</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cf1b06d8e60456c91ffbdcaff10e508"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8fa234903ad45bdaec0ac860a5500ad" w:history="1">
              <w:r>
                <w:rPr>
                  <w:rFonts w:ascii="Calibri" w:eastAsia="Calibri" w:hAnsi="Calibri" w:cs="Calibri"/>
                  <w:b w:val="0"/>
                  <w:i w:val="0"/>
                  <w:color w:val="000000"/>
                  <w:sz w:val="20"/>
                  <w:u w:val="none"/>
                  <w:shd w:val="clear" w:color="auto" w:fill="auto"/>
                </w:rPr>
                <w:t>3.18.-</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8fa234903ad45bdaec0ac860a5500ad"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bf3e46f778142acb74e5fead02d2230" w:history="1">
              <w:r>
                <w:rPr>
                  <w:rFonts w:ascii="Calibri" w:eastAsia="Calibri" w:hAnsi="Calibri" w:cs="Calibri"/>
                  <w:b w:val="0"/>
                  <w:i w:val="0"/>
                  <w:color w:val="000000"/>
                  <w:sz w:val="20"/>
                  <w:u w:val="none"/>
                  <w:shd w:val="clear" w:color="auto" w:fill="auto"/>
                </w:rPr>
                <w:t>3.19.-</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bf3e46f778142acb74e5fead02d2230"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e7d86472f2e4c4b932237b6ab66e211" w:history="1">
              <w:r>
                <w:rPr>
                  <w:rFonts w:ascii="Calibri" w:eastAsia="Calibri" w:hAnsi="Calibri" w:cs="Calibri"/>
                  <w:b w:val="0"/>
                  <w:i w:val="0"/>
                  <w:color w:val="000000"/>
                  <w:sz w:val="20"/>
                  <w:u w:val="none"/>
                  <w:shd w:val="clear" w:color="auto" w:fill="auto"/>
                </w:rPr>
                <w:t>3.20.-</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e7d86472f2e4c4b932237b6ab66e211"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225b49c29254e36868cb8bdd842c5ce" w:history="1">
              <w:r>
                <w:rPr>
                  <w:rFonts w:ascii="Calibri" w:eastAsia="Calibri" w:hAnsi="Calibri" w:cs="Calibri"/>
                  <w:b w:val="0"/>
                  <w:i w:val="0"/>
                  <w:color w:val="000000"/>
                  <w:sz w:val="20"/>
                  <w:u w:val="none"/>
                  <w:shd w:val="clear" w:color="auto" w:fill="auto"/>
                </w:rPr>
                <w:t>3.21.-</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225b49c29254e36868cb8bdd842c5ce"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b74bad157b34c3c8e8829d2c68273b4" w:history="1">
              <w:r>
                <w:rPr>
                  <w:rFonts w:ascii="Calibri" w:eastAsia="Calibri" w:hAnsi="Calibri" w:cs="Calibri"/>
                  <w:b w:val="0"/>
                  <w:i w:val="0"/>
                  <w:color w:val="000000"/>
                  <w:sz w:val="20"/>
                  <w:u w:val="none"/>
                  <w:shd w:val="clear" w:color="auto" w:fill="auto"/>
                </w:rPr>
                <w:t>3.22.-</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b74bad157b34c3c8e8829d2c68273b4"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669266fd4c148e9896bb5aba8be843f" w:history="1">
              <w:r>
                <w:rPr>
                  <w:rFonts w:ascii="Calibri" w:eastAsia="Calibri" w:hAnsi="Calibri" w:cs="Calibri"/>
                  <w:b w:val="0"/>
                  <w:i w:val="0"/>
                  <w:color w:val="000000"/>
                  <w:sz w:val="20"/>
                  <w:u w:val="none"/>
                  <w:shd w:val="clear" w:color="auto" w:fill="auto"/>
                </w:rPr>
                <w:t>3.23.-</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669266fd4c148e9896bb5aba8be843f"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61ded2f46e4499eb9523d1816d3c350" w:history="1">
              <w:r>
                <w:rPr>
                  <w:rFonts w:ascii="Calibri" w:eastAsia="Calibri" w:hAnsi="Calibri" w:cs="Calibri"/>
                  <w:b w:val="0"/>
                  <w:i w:val="0"/>
                  <w:color w:val="000000"/>
                  <w:sz w:val="20"/>
                  <w:u w:val="none"/>
                  <w:shd w:val="clear" w:color="auto" w:fill="auto"/>
                </w:rPr>
                <w:t>3.24.-</w:t>
                <w:tab/>
                <w:t>Subvenciones estatales.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61ded2f46e4499eb9523d1816d3c350"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3698c4b28874aa8b62e2a72a076fe1f" w:history="1">
              <w:r>
                <w:rPr>
                  <w:rFonts w:ascii="Calibri" w:eastAsia="Calibri" w:hAnsi="Calibri" w:cs="Calibri"/>
                  <w:b w:val="0"/>
                  <w:i w:val="0"/>
                  <w:color w:val="000000"/>
                  <w:sz w:val="20"/>
                  <w:u w:val="none"/>
                  <w:shd w:val="clear" w:color="auto" w:fill="auto"/>
                </w:rPr>
                <w:t>3.25.-</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3698c4b28874aa8b62e2a72a076fe1f"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6115ca736f435a8121435db9c25119" w:history="1">
              <w:r>
                <w:rPr>
                  <w:rFonts w:ascii="Calibri" w:eastAsia="Calibri" w:hAnsi="Calibri" w:cs="Calibri"/>
                  <w:b w:val="0"/>
                  <w:i w:val="0"/>
                  <w:color w:val="000000"/>
                  <w:sz w:val="20"/>
                  <w:u w:val="none"/>
                  <w:shd w:val="clear" w:color="auto" w:fill="auto"/>
                </w:rPr>
                <w:t>3.26.-</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6115ca736f435a8121435db9c25119"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c5e5a465c2240f1bc044788eb694f89" w:history="1">
              <w:r>
                <w:rPr>
                  <w:rFonts w:ascii="Calibri" w:eastAsia="Calibri" w:hAnsi="Calibri" w:cs="Calibri"/>
                  <w:b w:val="0"/>
                  <w:i w:val="0"/>
                  <w:color w:val="000000"/>
                  <w:sz w:val="20"/>
                  <w:u w:val="none"/>
                  <w:shd w:val="clear" w:color="auto" w:fill="auto"/>
                </w:rPr>
                <w:t>3.27.-</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c5e5a465c2240f1bc044788eb694f89"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0f9d85a76fc4c36aae9c5d58163a6b6" w:history="1">
              <w:r>
                <w:rPr>
                  <w:rFonts w:ascii="Calibri" w:eastAsia="Calibri" w:hAnsi="Calibri" w:cs="Calibri"/>
                  <w:b w:val="0"/>
                  <w:i w:val="0"/>
                  <w:color w:val="000000"/>
                  <w:sz w:val="20"/>
                  <w:u w:val="none"/>
                  <w:shd w:val="clear" w:color="auto" w:fill="auto"/>
                </w:rPr>
                <w:t>3.28.-</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0f9d85a76fc4c36aae9c5d58163a6b6"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c910e8986a04768a63651dd2db4e935" w:history="1">
              <w:r>
                <w:rPr>
                  <w:rFonts w:ascii="Calibri" w:eastAsia="Calibri" w:hAnsi="Calibri" w:cs="Calibri"/>
                  <w:b w:val="0"/>
                  <w:i w:val="0"/>
                  <w:color w:val="000000"/>
                  <w:sz w:val="20"/>
                  <w:u w:val="none"/>
                  <w:shd w:val="clear" w:color="auto" w:fill="auto"/>
                </w:rPr>
                <w:t>3.29.-</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c910e8986a04768a63651dd2db4e935"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02f79abfde34384b8fd703ae636baf3" w:history="1">
              <w:r>
                <w:rPr>
                  <w:rFonts w:ascii="Calibri" w:eastAsia="Calibri" w:hAnsi="Calibri" w:cs="Calibri"/>
                  <w:b w:val="0"/>
                  <w:i w:val="0"/>
                  <w:color w:val="000000"/>
                  <w:sz w:val="20"/>
                  <w:u w:val="none"/>
                  <w:shd w:val="clear" w:color="auto" w:fill="auto"/>
                </w:rPr>
                <w:t>3.30.-</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02f79abfde34384b8fd703ae636baf3"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1d2c4235564470abcbf25d9d2a0a2b2" w:history="1">
              <w:r>
                <w:rPr>
                  <w:rFonts w:ascii="Calibri" w:eastAsia="Calibri" w:hAnsi="Calibri" w:cs="Calibri"/>
                  <w:b w:val="0"/>
                  <w:i w:val="0"/>
                  <w:color w:val="000000"/>
                  <w:sz w:val="20"/>
                  <w:u w:val="none"/>
                  <w:shd w:val="clear" w:color="auto" w:fill="auto"/>
                </w:rPr>
                <w:t>4.-</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1d2c4235564470abcbf25d9d2a0a2b2"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17cc7d8777a4a9897f08759cdc972b0" w:history="1">
              <w:r>
                <w:rPr>
                  <w:rFonts w:ascii="Calibri" w:eastAsia="Calibri" w:hAnsi="Calibri" w:cs="Calibri"/>
                  <w:b w:val="0"/>
                  <w:i w:val="0"/>
                  <w:color w:val="000000"/>
                  <w:sz w:val="20"/>
                  <w:u w:val="none"/>
                  <w:shd w:val="clear" w:color="auto" w:fill="auto"/>
                </w:rPr>
                <w:t>4.1.-</w:t>
                <w:tab/>
                <w:t xml:space="preserve">Estimación del deterioro de activos no corrientes de vida útil indefinida.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17cc7d8777a4a9897f08759cdc972b0"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5a00620613f4cb8b59d8af56bb20877" w:history="1">
              <w:r>
                <w:rPr>
                  <w:rFonts w:ascii="Calibri" w:eastAsia="Calibri" w:hAnsi="Calibri" w:cs="Calibri"/>
                  <w:b w:val="0"/>
                  <w:i w:val="0"/>
                  <w:color w:val="000000"/>
                  <w:sz w:val="20"/>
                  <w:u w:val="none"/>
                  <w:shd w:val="clear" w:color="auto" w:fill="auto"/>
                </w:rPr>
                <w:t>4.2.-</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5a00620613f4cb8b59d8af56bb20877"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88e0a4f2752498d96b18924fd425b66" w:history="1">
              <w:r>
                <w:rPr>
                  <w:rFonts w:ascii="Calibri" w:eastAsia="Calibri" w:hAnsi="Calibri" w:cs="Calibri"/>
                  <w:b w:val="0"/>
                  <w:i w:val="0"/>
                  <w:color w:val="000000"/>
                  <w:sz w:val="20"/>
                  <w:u w:val="none"/>
                  <w:shd w:val="clear" w:color="auto" w:fill="auto"/>
                </w:rPr>
                <w:t>4.3.-</w:t>
                <w:tab/>
                <w:t>Reconocimiento de ingresos y costos de energía - Efectos de Precios de Nudo de Generación-Transmisión y Valor Agregado de Distribución.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88e0a4f2752498d96b18924fd425b66"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f12d07e67e44a5b285b10cbe9290d2" w:history="1">
              <w:r>
                <w:rPr>
                  <w:rFonts w:ascii="Calibri" w:eastAsia="Calibri" w:hAnsi="Calibri" w:cs="Calibri"/>
                  <w:b w:val="0"/>
                  <w:i w:val="0"/>
                  <w:color w:val="000000"/>
                  <w:sz w:val="20"/>
                  <w:u w:val="none"/>
                  <w:shd w:val="clear" w:color="auto" w:fill="auto"/>
                </w:rPr>
                <w:t>5.-</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f12d07e67e44a5b285b10cbe9290d2"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fb0728a8804e4f8a827418b1e618b0" w:history="1">
              <w:r>
                <w:rPr>
                  <w:rFonts w:ascii="Calibri" w:eastAsia="Calibri" w:hAnsi="Calibri" w:cs="Calibri"/>
                  <w:b w:val="0"/>
                  <w:i w:val="0"/>
                  <w:color w:val="000000"/>
                  <w:sz w:val="20"/>
                  <w:u w:val="none"/>
                  <w:shd w:val="clear" w:color="auto" w:fill="auto"/>
                </w:rPr>
                <w:t>6.-</w:t>
                <w:tab/>
                <w:t>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fb0728a8804e4f8a827418b1e618b0"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7b1ab937244a689811e6bca4d70985" w:history="1">
              <w:r>
                <w:rPr>
                  <w:rFonts w:ascii="Calibri" w:eastAsia="Calibri" w:hAnsi="Calibri" w:cs="Calibri"/>
                  <w:b w:val="0"/>
                  <w:i w:val="0"/>
                  <w:color w:val="000000"/>
                  <w:sz w:val="20"/>
                  <w:u w:val="none"/>
                  <w:shd w:val="clear" w:color="auto" w:fill="auto"/>
                </w:rPr>
                <w:t>7.-</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7b1ab937244a689811e6bca4d70985"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8ef5af405ce4e75bf17dbf76780870c" w:history="1">
              <w:r>
                <w:rPr>
                  <w:rFonts w:ascii="Calibri" w:eastAsia="Calibri" w:hAnsi="Calibri" w:cs="Calibri"/>
                  <w:b w:val="0"/>
                  <w:i w:val="0"/>
                  <w:color w:val="000000"/>
                  <w:sz w:val="20"/>
                  <w:u w:val="none"/>
                  <w:shd w:val="clear" w:color="auto" w:fill="auto"/>
                </w:rPr>
                <w:t>7.1.-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8ef5af405ce4e75bf17dbf76780870c"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f728cd7ee39413c8bf67414f92742e4" w:history="1">
              <w:r>
                <w:rPr>
                  <w:rFonts w:ascii="Calibri" w:eastAsia="Calibri" w:hAnsi="Calibri" w:cs="Calibri"/>
                  <w:b w:val="0"/>
                  <w:i w:val="0"/>
                  <w:color w:val="000000"/>
                  <w:sz w:val="20"/>
                  <w:u w:val="none"/>
                  <w:shd w:val="clear" w:color="auto" w:fill="auto"/>
                </w:rPr>
                <w:t>7.2.-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f728cd7ee39413c8bf67414f92742e4"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bfab8e5849e482f97534fb1dcf55b68" w:history="1">
              <w:r>
                <w:rPr>
                  <w:rFonts w:ascii="Calibri" w:eastAsia="Calibri" w:hAnsi="Calibri" w:cs="Calibri"/>
                  <w:b w:val="0"/>
                  <w:i w:val="0"/>
                  <w:color w:val="000000"/>
                  <w:sz w:val="20"/>
                  <w:u w:val="none"/>
                  <w:shd w:val="clear" w:color="auto" w:fill="auto"/>
                </w:rPr>
                <w:t>7.3.-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bfab8e5849e482f97534fb1dcf55b68"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1a8ec1910444060af81034612c03f8d" w:history="1">
              <w:r>
                <w:rPr>
                  <w:rFonts w:ascii="Calibri" w:eastAsia="Calibri" w:hAnsi="Calibri" w:cs="Calibri"/>
                  <w:b w:val="0"/>
                  <w:i w:val="0"/>
                  <w:color w:val="000000"/>
                  <w:sz w:val="20"/>
                  <w:u w:val="none"/>
                  <w:shd w:val="clear" w:color="auto" w:fill="auto"/>
                </w:rPr>
                <w:t>8.-</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1a8ec1910444060af81034612c03f8d"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8d688528824fa9a7788b2e6b5ee2fb" w:history="1">
              <w:r>
                <w:rPr>
                  <w:rFonts w:ascii="Calibri" w:eastAsia="Calibri" w:hAnsi="Calibri" w:cs="Calibri"/>
                  <w:b w:val="0"/>
                  <w:i w:val="0"/>
                  <w:color w:val="000000"/>
                  <w:sz w:val="20"/>
                  <w:u w:val="none"/>
                  <w:shd w:val="clear" w:color="auto" w:fill="auto"/>
                </w:rPr>
                <w:t xml:space="preserve">8.1.- </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8d688528824fa9a7788b2e6b5ee2fb"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a1c229bf4243a8a826ead257727ac8" w:history="1">
              <w:r>
                <w:rPr>
                  <w:rFonts w:ascii="Calibri" w:eastAsia="Calibri" w:hAnsi="Calibri" w:cs="Calibri"/>
                  <w:b w:val="0"/>
                  <w:i w:val="0"/>
                  <w:color w:val="000000"/>
                  <w:sz w:val="20"/>
                  <w:u w:val="none"/>
                  <w:shd w:val="clear" w:color="auto" w:fill="auto"/>
                </w:rPr>
                <w:t>8.2.-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a1c229bf4243a8a826ead257727ac8"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1c9d7f93a3d42c99fcd1c028d1bceed" w:history="1">
              <w:r>
                <w:rPr>
                  <w:rFonts w:ascii="Calibri" w:eastAsia="Calibri" w:hAnsi="Calibri" w:cs="Calibri"/>
                  <w:b w:val="0"/>
                  <w:i w:val="0"/>
                  <w:color w:val="000000"/>
                  <w:sz w:val="20"/>
                  <w:u w:val="none"/>
                  <w:shd w:val="clear" w:color="auto" w:fill="auto"/>
                </w:rPr>
                <w:t>8.3.-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1c9d7f93a3d42c99fcd1c028d1bceed"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ca29a55177b4ec8ae9cee554c371b5b" w:history="1">
              <w:r>
                <w:rPr>
                  <w:rFonts w:ascii="Calibri" w:eastAsia="Calibri" w:hAnsi="Calibri" w:cs="Calibri"/>
                  <w:b w:val="0"/>
                  <w:i w:val="0"/>
                  <w:color w:val="000000"/>
                  <w:sz w:val="20"/>
                  <w:u w:val="none"/>
                  <w:shd w:val="clear" w:color="auto" w:fill="auto"/>
                </w:rPr>
                <w:t>8.4.-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ca29a55177b4ec8ae9cee554c371b5b"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903b8e5b7e342f0934cfa1d0fd98e07" w:history="1">
              <w:r>
                <w:rPr>
                  <w:rFonts w:ascii="Calibri" w:eastAsia="Calibri" w:hAnsi="Calibri" w:cs="Calibri"/>
                  <w:b w:val="0"/>
                  <w:i w:val="0"/>
                  <w:color w:val="000000"/>
                  <w:sz w:val="20"/>
                  <w:u w:val="none"/>
                  <w:shd w:val="clear" w:color="auto" w:fill="auto"/>
                </w:rPr>
                <w:t xml:space="preserve">8.5.- </w:t>
                <w:tab/>
                <w:t>Provisión y castigos.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903b8e5b7e342f0934cfa1d0fd98e07"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38b17077d0f43a7adf99beb20c3e10c" w:history="1">
              <w:r>
                <w:rPr>
                  <w:rFonts w:ascii="Calibri" w:eastAsia="Calibri" w:hAnsi="Calibri" w:cs="Calibri"/>
                  <w:b w:val="0"/>
                  <w:i w:val="0"/>
                  <w:color w:val="000000"/>
                  <w:sz w:val="20"/>
                  <w:u w:val="none"/>
                  <w:shd w:val="clear" w:color="auto" w:fill="auto"/>
                </w:rPr>
                <w:t xml:space="preserve">8.6.-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38b17077d0f43a7adf99beb20c3e10c"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4d8110cc5684a46b6f0ee00eb7a11ce" w:history="1">
              <w:r>
                <w:rPr>
                  <w:rFonts w:ascii="Calibri" w:eastAsia="Calibri" w:hAnsi="Calibri" w:cs="Calibri"/>
                  <w:b w:val="0"/>
                  <w:i w:val="0"/>
                  <w:color w:val="000000"/>
                  <w:sz w:val="20"/>
                  <w:u w:val="none"/>
                  <w:shd w:val="clear" w:color="auto" w:fill="auto"/>
                </w:rPr>
                <w:t>9.-</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4d8110cc5684a46b6f0ee00eb7a11ce"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30304e23e0441888c8e0081a78f4c1d" w:history="1">
              <w:r>
                <w:rPr>
                  <w:rFonts w:ascii="Calibri" w:eastAsia="Calibri" w:hAnsi="Calibri" w:cs="Calibri"/>
                  <w:b w:val="0"/>
                  <w:i w:val="0"/>
                  <w:color w:val="000000"/>
                  <w:sz w:val="20"/>
                  <w:u w:val="none"/>
                  <w:shd w:val="clear" w:color="auto" w:fill="auto"/>
                </w:rPr>
                <w:t>9.1.-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30304e23e0441888c8e0081a78f4c1d" w:history="1">
              <w:r>
                <w:rPr>
                  <w:rFonts w:ascii="Calibri" w:eastAsia="Calibri" w:hAnsi="Calibri" w:cs="Calibri"/>
                  <w:b w:val="0"/>
                  <w:i w:val="0"/>
                  <w:color w:val="000000"/>
                  <w:sz w:val="20"/>
                  <w:u w:val="none"/>
                  <w:shd w:val="clear" w:color="auto" w:fill="auto"/>
                </w:rPr>
                <w:t>58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d15ed42aec84609a4ff284862d45081" w:history="1">
              <w:r>
                <w:rPr>
                  <w:rFonts w:ascii="Calibri" w:eastAsia="Calibri" w:hAnsi="Calibri" w:cs="Calibri"/>
                  <w:b w:val="0"/>
                  <w:i w:val="0"/>
                  <w:color w:val="000000"/>
                  <w:sz w:val="20"/>
                  <w:u w:val="none"/>
                  <w:shd w:val="clear" w:color="auto" w:fill="auto"/>
                </w:rPr>
                <w:t>9.2.-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d15ed42aec84609a4ff284862d45081"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9a7e197f1a842f58453775554f15631" w:history="1">
              <w:r>
                <w:rPr>
                  <w:rFonts w:ascii="Calibri" w:eastAsia="Calibri" w:hAnsi="Calibri" w:cs="Calibri"/>
                  <w:b w:val="0"/>
                  <w:i w:val="0"/>
                  <w:color w:val="000000"/>
                  <w:sz w:val="20"/>
                  <w:u w:val="none"/>
                  <w:shd w:val="clear" w:color="auto" w:fill="auto"/>
                </w:rPr>
                <w:t>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9a7e197f1a842f58453775554f15631"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4c0460a84d14d4ca9ff5fd49c7a41ef" w:history="1">
              <w:r>
                <w:rPr>
                  <w:rFonts w:ascii="Calibri" w:eastAsia="Calibri" w:hAnsi="Calibri" w:cs="Calibri"/>
                  <w:b w:val="0"/>
                  <w:i w:val="0"/>
                  <w:color w:val="000000"/>
                  <w:sz w:val="20"/>
                  <w:u w:val="none"/>
                  <w:shd w:val="clear" w:color="auto" w:fill="auto"/>
                </w:rPr>
                <w:t>10.1.-</w:t>
                <w:tab/>
                <w:t>Información adicional de 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4c0460a84d14d4ca9ff5fd49c7a41ef"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62a0d16879d49a883ba76541377b340" w:history="1">
              <w:r>
                <w:rPr>
                  <w:rFonts w:ascii="Calibri" w:eastAsia="Calibri" w:hAnsi="Calibri" w:cs="Calibri"/>
                  <w:b w:val="0"/>
                  <w:i w:val="0"/>
                  <w:color w:val="000000"/>
                  <w:sz w:val="20"/>
                  <w:u w:val="none"/>
                  <w:shd w:val="clear" w:color="auto" w:fill="auto"/>
                </w:rPr>
                <w:t>11.-</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62a0d16879d49a883ba76541377b340"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f4537d3b8b4906a59afd34b3f44ceb" w:history="1">
              <w:r>
                <w:rPr>
                  <w:rFonts w:ascii="Calibri" w:eastAsia="Calibri" w:hAnsi="Calibri" w:cs="Calibri"/>
                  <w:b w:val="0"/>
                  <w:i w:val="0"/>
                  <w:color w:val="000000"/>
                  <w:sz w:val="20"/>
                  <w:u w:val="none"/>
                  <w:shd w:val="clear" w:color="auto" w:fill="auto"/>
                </w:rPr>
                <w:t>12.-</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f4537d3b8b4906a59afd34b3f44ceb"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c45d522782f4b32ab22a5250c3508d7" w:history="1">
              <w:r>
                <w:rPr>
                  <w:rFonts w:ascii="Calibri" w:eastAsia="Calibri" w:hAnsi="Calibri" w:cs="Calibri"/>
                  <w:b w:val="0"/>
                  <w:i w:val="0"/>
                  <w:color w:val="000000"/>
                  <w:sz w:val="20"/>
                  <w:u w:val="none"/>
                  <w:shd w:val="clear" w:color="auto" w:fill="auto"/>
                </w:rPr>
                <w:t>13.-</w:t>
                <w:tab/>
                <w:t>INVERSIONES CONTABILIZADAS UTILIZANDO EL MÉTODO DE LA PARTICIPACIÓN.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c45d522782f4b32ab22a5250c3508d7"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ed5762431d4ea88a9a179f6267f268" w:history="1">
              <w:r>
                <w:rPr>
                  <w:rFonts w:ascii="Calibri" w:eastAsia="Calibri" w:hAnsi="Calibri" w:cs="Calibri"/>
                  <w:b w:val="0"/>
                  <w:i w:val="0"/>
                  <w:color w:val="000000"/>
                  <w:sz w:val="20"/>
                  <w:u w:val="none"/>
                  <w:shd w:val="clear" w:color="auto" w:fill="auto"/>
                </w:rPr>
                <w:t xml:space="preserve">13.1.- </w:t>
                <w:tab/>
                <w:t>Inversiones en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ed5762431d4ea88a9a179f6267f268"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de612b33f1446b390000753ecd416e9" w:history="1">
              <w:r>
                <w:rPr>
                  <w:rFonts w:ascii="Calibri" w:eastAsia="Calibri" w:hAnsi="Calibri" w:cs="Calibri"/>
                  <w:b w:val="0"/>
                  <w:i w:val="0"/>
                  <w:color w:val="000000"/>
                  <w:sz w:val="20"/>
                  <w:u w:val="none"/>
                  <w:shd w:val="clear" w:color="auto" w:fill="auto"/>
                </w:rPr>
                <w:t>14.-</w:t>
                <w:tab/>
                <w:t>ACTIVOS INTANGIBLES DISTINTOS DE LA PLUSVALÍA</w:t>
                <w:tab/>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de612b33f1446b390000753ecd416e9"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919f37ebc5740c9980c0d3cddb924b1" w:history="1">
              <w:r>
                <w:rPr>
                  <w:rFonts w:ascii="Calibri" w:eastAsia="Calibri" w:hAnsi="Calibri" w:cs="Calibri"/>
                  <w:b w:val="0"/>
                  <w:i w:val="0"/>
                  <w:color w:val="000000"/>
                  <w:sz w:val="20"/>
                  <w:u w:val="none"/>
                  <w:shd w:val="clear" w:color="auto" w:fill="auto"/>
                </w:rPr>
                <w:t>14.1.-</w:t>
                <w:tab/>
                <w:t>Composición y movimientos de los activos intangibles.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919f37ebc5740c9980c0d3cddb924b1"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47dc944d85544b5b2624e07e2994ab3" w:history="1">
              <w:r>
                <w:rPr>
                  <w:rFonts w:ascii="Calibri" w:eastAsia="Calibri" w:hAnsi="Calibri" w:cs="Calibri"/>
                  <w:b w:val="0"/>
                  <w:i w:val="0"/>
                  <w:color w:val="000000"/>
                  <w:sz w:val="20"/>
                  <w:u w:val="none"/>
                  <w:shd w:val="clear" w:color="auto" w:fill="auto"/>
                </w:rPr>
                <w:t>14.2.-</w:t>
                <w:tab/>
                <w:t>Activos intangibles con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47dc944d85544b5b2624e07e2994ab3" w:history="1">
              <w:r>
                <w:rPr>
                  <w:rFonts w:ascii="Calibri" w:eastAsia="Calibri" w:hAnsi="Calibri" w:cs="Calibri"/>
                  <w:b w:val="0"/>
                  <w:i w:val="0"/>
                  <w:color w:val="000000"/>
                  <w:sz w:val="20"/>
                  <w:u w:val="none"/>
                  <w:shd w:val="clear" w:color="auto" w:fill="auto"/>
                </w:rPr>
                <w:t>66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c9e3a64dc149aa90e56a6118824ad1" w:history="1">
              <w:r>
                <w:rPr>
                  <w:rFonts w:ascii="Calibri" w:eastAsia="Calibri" w:hAnsi="Calibri" w:cs="Calibri"/>
                  <w:b w:val="0"/>
                  <w:i w:val="0"/>
                  <w:color w:val="000000"/>
                  <w:sz w:val="20"/>
                  <w:u w:val="none"/>
                  <w:shd w:val="clear" w:color="auto" w:fill="auto"/>
                </w:rPr>
                <w:t>15.-</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c9e3a64dc149aa90e56a6118824ad1" w:history="1">
              <w:r>
                <w:rPr>
                  <w:rFonts w:ascii="Calibri" w:eastAsia="Calibri" w:hAnsi="Calibri" w:cs="Calibri"/>
                  <w:b w:val="0"/>
                  <w:i w:val="0"/>
                  <w:color w:val="000000"/>
                  <w:sz w:val="20"/>
                  <w:u w:val="none"/>
                  <w:shd w:val="clear" w:color="auto" w:fill="auto"/>
                </w:rPr>
                <w:t>66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2df23e4c3d5437e95d8986c2c837ba0" w:history="1">
              <w:r>
                <w:rPr>
                  <w:rFonts w:ascii="Calibri" w:eastAsia="Calibri" w:hAnsi="Calibri" w:cs="Calibri"/>
                  <w:b w:val="0"/>
                  <w:i w:val="0"/>
                  <w:color w:val="000000"/>
                  <w:sz w:val="20"/>
                  <w:u w:val="none"/>
                  <w:shd w:val="clear" w:color="auto" w:fill="auto"/>
                </w:rPr>
                <w:t>15.1.-</w:t>
                <w:tab/>
                <w:t>Composición y movimientos de las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2df23e4c3d5437e95d8986c2c837ba0" w:history="1">
              <w:r>
                <w:rPr>
                  <w:rFonts w:ascii="Calibri" w:eastAsia="Calibri" w:hAnsi="Calibri" w:cs="Calibri"/>
                  <w:b w:val="0"/>
                  <w:i w:val="0"/>
                  <w:color w:val="000000"/>
                  <w:sz w:val="20"/>
                  <w:u w:val="none"/>
                  <w:shd w:val="clear" w:color="auto" w:fill="auto"/>
                </w:rPr>
                <w:t>66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c14b8d383b04d8bbff7a1c60e81aafd" w:history="1">
              <w:r>
                <w:rPr>
                  <w:rFonts w:ascii="Calibri" w:eastAsia="Calibri" w:hAnsi="Calibri" w:cs="Calibri"/>
                  <w:b w:val="0"/>
                  <w:i w:val="0"/>
                  <w:color w:val="000000"/>
                  <w:sz w:val="20"/>
                  <w:u w:val="none"/>
                  <w:shd w:val="clear" w:color="auto" w:fill="auto"/>
                </w:rPr>
                <w:t>15.2.-</w:t>
                <w:tab/>
                <w:t>Ingresos de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c14b8d383b04d8bbff7a1c60e81aafd"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a79cdcdb90946fca60958f172a1d45f" w:history="1">
              <w:r>
                <w:rPr>
                  <w:rFonts w:ascii="Calibri" w:eastAsia="Calibri" w:hAnsi="Calibri" w:cs="Calibri"/>
                  <w:b w:val="0"/>
                  <w:i w:val="0"/>
                  <w:color w:val="000000"/>
                  <w:sz w:val="20"/>
                  <w:u w:val="none"/>
                  <w:shd w:val="clear" w:color="auto" w:fill="auto"/>
                </w:rPr>
                <w:t>16.-</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a79cdcdb90946fca60958f172a1d45f"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568007049f6457cba3f9374ff7ee599" w:history="1">
              <w:r>
                <w:rPr>
                  <w:rFonts w:ascii="Calibri" w:eastAsia="Calibri" w:hAnsi="Calibri" w:cs="Calibri"/>
                  <w:b w:val="0"/>
                  <w:i w:val="0"/>
                  <w:color w:val="000000"/>
                  <w:sz w:val="20"/>
                  <w:u w:val="none"/>
                  <w:shd w:val="clear" w:color="auto" w:fill="auto"/>
                </w:rPr>
                <w:t>16.1.-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568007049f6457cba3f9374ff7ee599"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9614177aa75404980ac59e72789500f" w:history="1">
              <w:r>
                <w:rPr>
                  <w:rFonts w:ascii="Calibri" w:eastAsia="Calibri" w:hAnsi="Calibri" w:cs="Calibri"/>
                  <w:b w:val="0"/>
                  <w:i w:val="0"/>
                  <w:color w:val="000000"/>
                  <w:sz w:val="20"/>
                  <w:u w:val="none"/>
                  <w:shd w:val="clear" w:color="auto" w:fill="auto"/>
                </w:rPr>
                <w:t>16.2.-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9614177aa75404980ac59e72789500f"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2ee52948f4249f1b3592a3a0efc2a1d" w:history="1">
              <w:r>
                <w:rPr>
                  <w:rFonts w:ascii="Calibri" w:eastAsia="Calibri" w:hAnsi="Calibri" w:cs="Calibri"/>
                  <w:b w:val="0"/>
                  <w:i w:val="0"/>
                  <w:color w:val="000000"/>
                  <w:sz w:val="20"/>
                  <w:u w:val="none"/>
                  <w:shd w:val="clear" w:color="auto" w:fill="auto"/>
                </w:rPr>
                <w:t>16.3.-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2ee52948f4249f1b3592a3a0efc2a1d" w:history="1">
              <w:r>
                <w:rPr>
                  <w:rFonts w:ascii="Calibri" w:eastAsia="Calibri" w:hAnsi="Calibri" w:cs="Calibri"/>
                  <w:b w:val="0"/>
                  <w:i w:val="0"/>
                  <w:color w:val="000000"/>
                  <w:sz w:val="20"/>
                  <w:u w:val="none"/>
                  <w:shd w:val="clear" w:color="auto" w:fill="auto"/>
                </w:rPr>
                <w:t>69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8b79cbd20ca4815aece1ba8a7344d5f" w:history="1">
              <w:r>
                <w:rPr>
                  <w:rFonts w:ascii="Calibri" w:eastAsia="Calibri" w:hAnsi="Calibri" w:cs="Calibri"/>
                  <w:b w:val="0"/>
                  <w:i w:val="0"/>
                  <w:color w:val="000000"/>
                  <w:sz w:val="20"/>
                  <w:u w:val="none"/>
                  <w:shd w:val="clear" w:color="auto" w:fill="auto"/>
                </w:rPr>
                <w:t>16.4.-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8b79cbd20ca4815aece1ba8a7344d5f"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507a39a24f1427bb10836f6bdf20ac2" w:history="1">
              <w:r>
                <w:rPr>
                  <w:rFonts w:ascii="Calibri" w:eastAsia="Calibri" w:hAnsi="Calibri" w:cs="Calibri"/>
                  <w:b w:val="0"/>
                  <w:i w:val="0"/>
                  <w:color w:val="000000"/>
                  <w:sz w:val="20"/>
                  <w:u w:val="none"/>
                  <w:shd w:val="clear" w:color="auto" w:fill="auto"/>
                </w:rPr>
                <w:t>16.5.-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507a39a24f1427bb10836f6bdf20ac2"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5036cc28f964a61a4179fd647cc9b92" w:history="1">
              <w:r>
                <w:rPr>
                  <w:rFonts w:ascii="Calibri" w:eastAsia="Calibri" w:hAnsi="Calibri" w:cs="Calibri"/>
                  <w:b w:val="0"/>
                  <w:i w:val="0"/>
                  <w:color w:val="000000"/>
                  <w:sz w:val="20"/>
                  <w:u w:val="none"/>
                  <w:shd w:val="clear" w:color="auto" w:fill="auto"/>
                </w:rPr>
                <w:t>16.6.-</w:t>
                <w:tab/>
                <w:t>Otra Información a considerar sobre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5036cc28f964a61a4179fd647cc9b92"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7c1fae202904eb9829c99abac79aa8e" w:history="1">
              <w:r>
                <w:rPr>
                  <w:rFonts w:ascii="Calibri" w:eastAsia="Calibri" w:hAnsi="Calibri" w:cs="Calibri"/>
                  <w:b w:val="0"/>
                  <w:i w:val="0"/>
                  <w:color w:val="000000"/>
                  <w:sz w:val="20"/>
                  <w:u w:val="none"/>
                  <w:shd w:val="clear" w:color="auto" w:fill="auto"/>
                </w:rPr>
                <w:t>17.-</w:t>
                <w:tab/>
                <w:t>DETERIORO DE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7c1fae202904eb9829c99abac79aa8e"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7e58eebe40466dba3fa4ef1a67a201" w:history="1">
              <w:r>
                <w:rPr>
                  <w:rFonts w:ascii="Calibri" w:eastAsia="Calibri" w:hAnsi="Calibri" w:cs="Calibri"/>
                  <w:b w:val="0"/>
                  <w:i w:val="0"/>
                  <w:color w:val="000000"/>
                  <w:sz w:val="20"/>
                  <w:u w:val="none"/>
                  <w:shd w:val="clear" w:color="auto" w:fill="auto"/>
                </w:rPr>
                <w:t>17.1.-</w:t>
                <w:tab/>
                <w:t>Prueba de deterioro de propiedades, planta y equipo y otros activos intangibles de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7e58eebe40466dba3fa4ef1a67a201"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1fa2aaa18e94decbf16ca6838b7ca89" w:history="1">
              <w:r>
                <w:rPr>
                  <w:rFonts w:ascii="Calibri" w:eastAsia="Calibri" w:hAnsi="Calibri" w:cs="Calibri"/>
                  <w:b w:val="0"/>
                  <w:i w:val="0"/>
                  <w:color w:val="000000"/>
                  <w:sz w:val="20"/>
                  <w:u w:val="none"/>
                  <w:shd w:val="clear" w:color="auto" w:fill="auto"/>
                </w:rPr>
                <w:t>17.2.-</w:t>
                <w:tab/>
                <w:t>Pérdidas por deterioro del valor y reversión de las pérdidas por deterioro del valor.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1fa2aaa18e94decbf16ca6838b7ca89" w:history="1">
              <w:r>
                <w:rPr>
                  <w:rFonts w:ascii="Calibri" w:eastAsia="Calibri" w:hAnsi="Calibri" w:cs="Calibri"/>
                  <w:b w:val="0"/>
                  <w:i w:val="0"/>
                  <w:color w:val="000000"/>
                  <w:sz w:val="20"/>
                  <w:u w:val="none"/>
                  <w:shd w:val="clear" w:color="auto" w:fill="auto"/>
                </w:rPr>
                <w:t>72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a5a94495b84789bf4c432171317adb" w:history="1">
              <w:r>
                <w:rPr>
                  <w:rFonts w:ascii="Calibri" w:eastAsia="Calibri" w:hAnsi="Calibri" w:cs="Calibri"/>
                  <w:b w:val="0"/>
                  <w:i w:val="0"/>
                  <w:color w:val="000000"/>
                  <w:sz w:val="20"/>
                  <w:u w:val="none"/>
                  <w:shd w:val="clear" w:color="auto" w:fill="auto"/>
                </w:rPr>
                <w:t>18.-</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a5a94495b84789bf4c432171317adb"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5226efdbd9f42f380530e0e7b96e8fd" w:history="1">
              <w:r>
                <w:rPr>
                  <w:rFonts w:ascii="Calibri" w:eastAsia="Calibri" w:hAnsi="Calibri" w:cs="Calibri"/>
                  <w:b w:val="0"/>
                  <w:i w:val="0"/>
                  <w:color w:val="000000"/>
                  <w:sz w:val="20"/>
                  <w:u w:val="none"/>
                  <w:shd w:val="clear" w:color="auto" w:fill="auto"/>
                </w:rPr>
                <w:t>18.1.-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5226efdbd9f42f380530e0e7b96e8fd"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d7a439dc6142cfbbda097c009b4592" w:history="1">
              <w:r>
                <w:rPr>
                  <w:rFonts w:ascii="Calibri" w:eastAsia="Calibri" w:hAnsi="Calibri" w:cs="Calibri"/>
                  <w:b w:val="0"/>
                  <w:i w:val="0"/>
                  <w:color w:val="000000"/>
                  <w:sz w:val="20"/>
                  <w:u w:val="none"/>
                  <w:shd w:val="clear" w:color="auto" w:fill="auto"/>
                </w:rPr>
                <w:t>18.2.-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d7a439dc6142cfbbda097c009b4592"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5d59e9690fa413b99dc734881c32c70" w:history="1">
              <w:r>
                <w:rPr>
                  <w:rFonts w:ascii="Calibri" w:eastAsia="Calibri" w:hAnsi="Calibri" w:cs="Calibri"/>
                  <w:b w:val="0"/>
                  <w:i w:val="0"/>
                  <w:color w:val="000000"/>
                  <w:sz w:val="20"/>
                  <w:u w:val="none"/>
                  <w:shd w:val="clear" w:color="auto" w:fill="auto"/>
                </w:rPr>
                <w:t>18.3.-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5d59e9690fa413b99dc734881c32c70"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81548614593434c824f3de2f2a6a95e" w:history="1">
              <w:r>
                <w:rPr>
                  <w:rFonts w:ascii="Calibri" w:eastAsia="Calibri" w:hAnsi="Calibri" w:cs="Calibri"/>
                  <w:b w:val="0"/>
                  <w:i w:val="0"/>
                  <w:color w:val="000000"/>
                  <w:sz w:val="20"/>
                  <w:u w:val="none"/>
                  <w:shd w:val="clear" w:color="auto" w:fill="auto"/>
                </w:rPr>
                <w:t>18.4.-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81548614593434c824f3de2f2a6a95e"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7cf7672d9354b5fa91b2c996c537cfe" w:history="1">
              <w:r>
                <w:rPr>
                  <w:rFonts w:ascii="Calibri" w:eastAsia="Calibri" w:hAnsi="Calibri" w:cs="Calibri"/>
                  <w:b w:val="0"/>
                  <w:i w:val="0"/>
                  <w:color w:val="000000"/>
                  <w:sz w:val="20"/>
                  <w:u w:val="none"/>
                  <w:shd w:val="clear" w:color="auto" w:fill="auto"/>
                </w:rPr>
                <w:t>19.-</w:t>
                <w:tab/>
                <w:t>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7cf7672d9354b5fa91b2c996c537cfe"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d92fe213fbc4dc9b160cdb7d7d9d524" w:history="1">
              <w:r>
                <w:rPr>
                  <w:rFonts w:ascii="Calibri" w:eastAsia="Calibri" w:hAnsi="Calibri" w:cs="Calibri"/>
                  <w:b w:val="0"/>
                  <w:i w:val="0"/>
                  <w:color w:val="000000"/>
                  <w:sz w:val="20"/>
                  <w:u w:val="none"/>
                  <w:shd w:val="clear" w:color="auto" w:fill="auto"/>
                </w:rPr>
                <w:t>19.1.-</w:t>
                <w:tab/>
                <w:t xml:space="preserve">Clases de otros pasivos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d92fe213fbc4dc9b160cdb7d7d9d524"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6a7644f0524672ad75b1f04dc5b333" w:history="1">
              <w:r>
                <w:rPr>
                  <w:rFonts w:ascii="Calibri" w:eastAsia="Calibri" w:hAnsi="Calibri" w:cs="Calibri"/>
                  <w:b w:val="0"/>
                  <w:i w:val="0"/>
                  <w:color w:val="000000"/>
                  <w:sz w:val="20"/>
                  <w:u w:val="none"/>
                  <w:shd w:val="clear" w:color="auto" w:fill="auto"/>
                </w:rPr>
                <w:t>19.2.-</w:t>
                <w:tab/>
                <w:t>Préstamos bancarios - desglose de monedas y vencimientos.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6a7644f0524672ad75b1f04dc5b333" w:history="1">
              <w:r>
                <w:rPr>
                  <w:rFonts w:ascii="Calibri" w:eastAsia="Calibri" w:hAnsi="Calibri" w:cs="Calibri"/>
                  <w:b w:val="0"/>
                  <w:i w:val="0"/>
                  <w:color w:val="000000"/>
                  <w:sz w:val="20"/>
                  <w:u w:val="none"/>
                  <w:shd w:val="clear" w:color="auto" w:fill="auto"/>
                </w:rPr>
                <w:t>75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49c4b2efe34ddb812b013482081096" w:history="1">
              <w:r>
                <w:rPr>
                  <w:rFonts w:ascii="Calibri" w:eastAsia="Calibri" w:hAnsi="Calibri" w:cs="Calibri"/>
                  <w:b w:val="0"/>
                  <w:i w:val="0"/>
                  <w:color w:val="000000"/>
                  <w:sz w:val="20"/>
                  <w:u w:val="none"/>
                  <w:shd w:val="clear" w:color="auto" w:fill="auto"/>
                </w:rPr>
                <w:t>20.-</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49c4b2efe34ddb812b013482081096"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6aa7ced8e0438b81900c0e76f75f71" w:history="1">
              <w:r>
                <w:rPr>
                  <w:rFonts w:ascii="Calibri" w:eastAsia="Calibri" w:hAnsi="Calibri" w:cs="Calibri"/>
                  <w:b w:val="0"/>
                  <w:i w:val="0"/>
                  <w:color w:val="000000"/>
                  <w:sz w:val="20"/>
                  <w:u w:val="none"/>
                  <w:shd w:val="clear" w:color="auto" w:fill="auto"/>
                </w:rPr>
                <w:t>20.1.-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6aa7ced8e0438b81900c0e76f75f71"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fbe0834beba44389fc8853acbb8a632" w:history="1">
              <w:r>
                <w:rPr>
                  <w:rFonts w:ascii="Calibri" w:eastAsia="Calibri" w:hAnsi="Calibri" w:cs="Calibri"/>
                  <w:b w:val="0"/>
                  <w:i w:val="0"/>
                  <w:color w:val="000000"/>
                  <w:sz w:val="20"/>
                  <w:u w:val="none"/>
                  <w:shd w:val="clear" w:color="auto" w:fill="auto"/>
                </w:rPr>
                <w:t>20.2.-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fbe0834beba44389fc8853acbb8a632"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834e3635ec24b719d37431ff0899b84" w:history="1">
              <w:r>
                <w:rPr>
                  <w:rFonts w:ascii="Calibri" w:eastAsia="Calibri" w:hAnsi="Calibri" w:cs="Calibri"/>
                  <w:b w:val="0"/>
                  <w:i w:val="0"/>
                  <w:color w:val="000000"/>
                  <w:sz w:val="20"/>
                  <w:u w:val="none"/>
                  <w:shd w:val="clear" w:color="auto" w:fill="auto"/>
                </w:rPr>
                <w:t>21.-</w:t>
                <w:tab/>
                <w:t>OTRAS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834e3635ec24b719d37431ff0899b84"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ca144f6374f4693a187cd2fb05be6b1" w:history="1">
              <w:r>
                <w:rPr>
                  <w:rFonts w:ascii="Calibri" w:eastAsia="Calibri" w:hAnsi="Calibri" w:cs="Calibri"/>
                  <w:b w:val="0"/>
                  <w:i w:val="0"/>
                  <w:color w:val="000000"/>
                  <w:sz w:val="20"/>
                  <w:u w:val="none"/>
                  <w:shd w:val="clear" w:color="auto" w:fill="auto"/>
                </w:rPr>
                <w:t>21.1.-</w:t>
                <w:tab/>
                <w:t>Provisiones – saldos.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ca144f6374f4693a187cd2fb05be6b1"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a86c606684e4cd0886f2bfeb0505366" w:history="1">
              <w:r>
                <w:rPr>
                  <w:rFonts w:ascii="Calibri" w:eastAsia="Calibri" w:hAnsi="Calibri" w:cs="Calibri"/>
                  <w:b w:val="0"/>
                  <w:i w:val="0"/>
                  <w:color w:val="000000"/>
                  <w:sz w:val="20"/>
                  <w:u w:val="none"/>
                  <w:shd w:val="clear" w:color="auto" w:fill="auto"/>
                </w:rPr>
                <w:t>21.2.-</w:t>
                <w:tab/>
                <w:t>Movimiento de las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a86c606684e4cd0886f2bfeb0505366"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9ce4bc520894e918b977ac2eec65e54" w:history="1">
              <w:r>
                <w:rPr>
                  <w:rFonts w:ascii="Calibri" w:eastAsia="Calibri" w:hAnsi="Calibri" w:cs="Calibri"/>
                  <w:b w:val="0"/>
                  <w:i w:val="0"/>
                  <w:color w:val="000000"/>
                  <w:sz w:val="20"/>
                  <w:u w:val="none"/>
                  <w:shd w:val="clear" w:color="auto" w:fill="auto"/>
                </w:rPr>
                <w:t>22.-</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9ce4bc520894e918b977ac2eec65e54"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f21b44a2bd344079a8a304478d4b8ef" w:history="1">
              <w:r>
                <w:rPr>
                  <w:rFonts w:ascii="Calibri" w:eastAsia="Calibri" w:hAnsi="Calibri" w:cs="Calibri"/>
                  <w:b w:val="0"/>
                  <w:i w:val="0"/>
                  <w:color w:val="000000"/>
                  <w:sz w:val="20"/>
                  <w:u w:val="none"/>
                  <w:shd w:val="clear" w:color="auto" w:fill="auto"/>
                </w:rPr>
                <w:t>22.1.-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f21b44a2bd344079a8a304478d4b8ef"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1e0faec3d85454a9ddfc13fc28eb17e" w:history="1">
              <w:r>
                <w:rPr>
                  <w:rFonts w:ascii="Calibri" w:eastAsia="Calibri" w:hAnsi="Calibri" w:cs="Calibri"/>
                  <w:b w:val="0"/>
                  <w:i w:val="0"/>
                  <w:color w:val="000000"/>
                  <w:sz w:val="20"/>
                  <w:u w:val="none"/>
                  <w:shd w:val="clear" w:color="auto" w:fill="auto"/>
                </w:rPr>
                <w:t>22.2.-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1e0faec3d85454a9ddfc13fc28eb17e"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f4f746ee0ca4f3eb0fd8309bb74f49b" w:history="1">
              <w:r>
                <w:rPr>
                  <w:rFonts w:ascii="Calibri" w:eastAsia="Calibri" w:hAnsi="Calibri" w:cs="Calibri"/>
                  <w:b w:val="0"/>
                  <w:i w:val="0"/>
                  <w:color w:val="000000"/>
                  <w:sz w:val="20"/>
                  <w:u w:val="none"/>
                  <w:shd w:val="clear" w:color="auto" w:fill="auto"/>
                </w:rPr>
                <w:t>22.3.-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f4f746ee0ca4f3eb0fd8309bb74f49b"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9fc2a73bf1449318c38cc2d005c4883" w:history="1">
              <w:r>
                <w:rPr>
                  <w:rFonts w:ascii="Calibri" w:eastAsia="Calibri" w:hAnsi="Calibri" w:cs="Calibri"/>
                  <w:b w:val="0"/>
                  <w:i w:val="0"/>
                  <w:color w:val="000000"/>
                  <w:sz w:val="20"/>
                  <w:u w:val="none"/>
                  <w:shd w:val="clear" w:color="auto" w:fill="auto"/>
                </w:rPr>
                <w:t>22.4.-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9fc2a73bf1449318c38cc2d005c4883"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f48b00518bd4c4da0994f68be647a65" w:history="1">
              <w:r>
                <w:rPr>
                  <w:rFonts w:ascii="Calibri" w:eastAsia="Calibri" w:hAnsi="Calibri" w:cs="Calibri"/>
                  <w:b w:val="0"/>
                  <w:i w:val="0"/>
                  <w:color w:val="000000"/>
                  <w:sz w:val="20"/>
                  <w:u w:val="none"/>
                  <w:shd w:val="clear" w:color="auto" w:fill="auto"/>
                </w:rPr>
                <w:t>22.5.-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f48b00518bd4c4da0994f68be647a65"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9c9ae957944ca4bea8f6ee822e8d22" w:history="1">
              <w:r>
                <w:rPr>
                  <w:rFonts w:ascii="Calibri" w:eastAsia="Calibri" w:hAnsi="Calibri" w:cs="Calibri"/>
                  <w:b w:val="0"/>
                  <w:i w:val="0"/>
                  <w:color w:val="000000"/>
                  <w:sz w:val="20"/>
                  <w:u w:val="none"/>
                  <w:shd w:val="clear" w:color="auto" w:fill="auto"/>
                </w:rPr>
                <w:t>22.6.-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9c9ae957944ca4bea8f6ee822e8d22" w:history="1">
              <w:r>
                <w:rPr>
                  <w:rFonts w:ascii="Calibri" w:eastAsia="Calibri" w:hAnsi="Calibri" w:cs="Calibri"/>
                  <w:b w:val="0"/>
                  <w:i w:val="0"/>
                  <w:color w:val="000000"/>
                  <w:sz w:val="20"/>
                  <w:u w:val="none"/>
                  <w:shd w:val="clear" w:color="auto" w:fill="auto"/>
                </w:rPr>
                <w:t>80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4839323b1d9415bbb3afbab96737fdf" w:history="1">
              <w:r>
                <w:rPr>
                  <w:rFonts w:ascii="Calibri" w:eastAsia="Calibri" w:hAnsi="Calibri" w:cs="Calibri"/>
                  <w:b w:val="0"/>
                  <w:i w:val="0"/>
                  <w:color w:val="000000"/>
                  <w:sz w:val="20"/>
                  <w:u w:val="none"/>
                  <w:shd w:val="clear" w:color="auto" w:fill="auto"/>
                </w:rPr>
                <w:t>23.-</w:t>
                <w:tab/>
                <w:t>OTROS PASIVOS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4839323b1d9415bbb3afbab96737fdf"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e97d0531aad4a86a0ded1f7783ed0a3" w:history="1">
              <w:r>
                <w:rPr>
                  <w:rFonts w:ascii="Calibri" w:eastAsia="Calibri" w:hAnsi="Calibri" w:cs="Calibri"/>
                  <w:b w:val="0"/>
                  <w:i w:val="0"/>
                  <w:color w:val="000000"/>
                  <w:sz w:val="20"/>
                  <w:u w:val="none"/>
                  <w:shd w:val="clear" w:color="auto" w:fill="auto"/>
                </w:rPr>
                <w:t>23.1.-</w:t>
                <w:tab/>
                <w:t>Ingresos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e97d0531aad4a86a0ded1f7783ed0a3"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d6d4c868724b2a9f7e1267300c5f82" w:history="1">
              <w:r>
                <w:rPr>
                  <w:rFonts w:ascii="Calibri" w:eastAsia="Calibri" w:hAnsi="Calibri" w:cs="Calibri"/>
                  <w:b w:val="0"/>
                  <w:i w:val="0"/>
                  <w:color w:val="000000"/>
                  <w:sz w:val="20"/>
                  <w:u w:val="none"/>
                  <w:shd w:val="clear" w:color="auto" w:fill="auto"/>
                </w:rPr>
                <w:t>24.-</w:t>
                <w:tab/>
                <w:t>PASIVOS POR 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d6d4c868724b2a9f7e1267300c5f82" w:history="1">
              <w:r>
                <w:rPr>
                  <w:rFonts w:ascii="Calibri" w:eastAsia="Calibri" w:hAnsi="Calibri" w:cs="Calibri"/>
                  <w:b w:val="0"/>
                  <w:i w:val="0"/>
                  <w:color w:val="000000"/>
                  <w:sz w:val="20"/>
                  <w:u w:val="none"/>
                  <w:shd w:val="clear" w:color="auto" w:fill="auto"/>
                </w:rPr>
                <w:t>82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69f611cfc643a1b5ec846a9eee55d3" w:history="1">
              <w:r>
                <w:rPr>
                  <w:rFonts w:ascii="Calibri" w:eastAsia="Calibri" w:hAnsi="Calibri" w:cs="Calibri"/>
                  <w:b w:val="0"/>
                  <w:i w:val="0"/>
                  <w:color w:val="000000"/>
                  <w:sz w:val="20"/>
                  <w:u w:val="none"/>
                  <w:shd w:val="clear" w:color="auto" w:fill="auto"/>
                </w:rPr>
                <w:t>24.1.-</w:t>
                <w:tab/>
                <w:t xml:space="preserve">Obligaciones por arrendamientos.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69f611cfc643a1b5ec846a9eee55d3" w:history="1">
              <w:r>
                <w:rPr>
                  <w:rFonts w:ascii="Calibri" w:eastAsia="Calibri" w:hAnsi="Calibri" w:cs="Calibri"/>
                  <w:b w:val="0"/>
                  <w:i w:val="0"/>
                  <w:color w:val="000000"/>
                  <w:sz w:val="20"/>
                  <w:u w:val="none"/>
                  <w:shd w:val="clear" w:color="auto" w:fill="auto"/>
                </w:rPr>
                <w:t>82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958bd05e1e43e09cd7a5fa38acd4dc" w:history="1">
              <w:r>
                <w:rPr>
                  <w:rFonts w:ascii="Calibri" w:eastAsia="Calibri" w:hAnsi="Calibri" w:cs="Calibri"/>
                  <w:b w:val="0"/>
                  <w:i w:val="0"/>
                  <w:color w:val="000000"/>
                  <w:sz w:val="20"/>
                  <w:u w:val="none"/>
                  <w:shd w:val="clear" w:color="auto" w:fill="auto"/>
                </w:rPr>
                <w:t>24.2.-</w:t>
                <w:tab/>
                <w:t xml:space="preserve">Activos por derecho de uso.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958bd05e1e43e09cd7a5fa38acd4dc" w:history="1">
              <w:r>
                <w:rPr>
                  <w:rFonts w:ascii="Calibri" w:eastAsia="Calibri" w:hAnsi="Calibri" w:cs="Calibri"/>
                  <w:b w:val="0"/>
                  <w:i w:val="0"/>
                  <w:color w:val="000000"/>
                  <w:sz w:val="20"/>
                  <w:u w:val="none"/>
                  <w:shd w:val="clear" w:color="auto" w:fill="auto"/>
                </w:rPr>
                <w:t>82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7a92e39f8bc459a9ee05d9cd85cd104" w:history="1">
              <w:r>
                <w:rPr>
                  <w:rFonts w:ascii="Calibri" w:eastAsia="Calibri" w:hAnsi="Calibri" w:cs="Calibri"/>
                  <w:b w:val="0"/>
                  <w:i w:val="0"/>
                  <w:color w:val="000000"/>
                  <w:sz w:val="20"/>
                  <w:u w:val="none"/>
                  <w:shd w:val="clear" w:color="auto" w:fill="auto"/>
                </w:rPr>
                <w:t>25.-</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7a92e39f8bc459a9ee05d9cd85cd104"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afa4c58b48c41a7b3fbf8709dce3851" w:history="1">
              <w:r>
                <w:rPr>
                  <w:rFonts w:ascii="Calibri" w:eastAsia="Calibri" w:hAnsi="Calibri" w:cs="Calibri"/>
                  <w:b w:val="0"/>
                  <w:i w:val="0"/>
                  <w:color w:val="000000"/>
                  <w:sz w:val="20"/>
                  <w:u w:val="none"/>
                  <w:shd w:val="clear" w:color="auto" w:fill="auto"/>
                </w:rPr>
                <w:t>25.1.-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afa4c58b48c41a7b3fbf8709dce3851"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12b259708ef47fba0183c35eb2fbaee" w:history="1">
              <w:r>
                <w:rPr>
                  <w:rFonts w:ascii="Calibri" w:eastAsia="Calibri" w:hAnsi="Calibri" w:cs="Calibri"/>
                  <w:b w:val="0"/>
                  <w:i w:val="0"/>
                  <w:color w:val="000000"/>
                  <w:sz w:val="20"/>
                  <w:u w:val="none"/>
                  <w:shd w:val="clear" w:color="auto" w:fill="auto"/>
                </w:rPr>
                <w:t>25.2.-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12b259708ef47fba0183c35eb2fbaee"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11c1d47a084ada81dcc1990f440a95" w:history="1">
              <w:r>
                <w:rPr>
                  <w:rFonts w:ascii="Calibri" w:eastAsia="Calibri" w:hAnsi="Calibri" w:cs="Calibri"/>
                  <w:b w:val="0"/>
                  <w:i w:val="0"/>
                  <w:color w:val="000000"/>
                  <w:sz w:val="20"/>
                  <w:u w:val="none"/>
                  <w:shd w:val="clear" w:color="auto" w:fill="auto"/>
                </w:rPr>
                <w:t>25.3.-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11c1d47a084ada81dcc1990f440a95"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9c47e9d92142ce85c8dfc947f277fc" w:history="1">
              <w:r>
                <w:rPr>
                  <w:rFonts w:ascii="Calibri" w:eastAsia="Calibri" w:hAnsi="Calibri" w:cs="Calibri"/>
                  <w:b w:val="0"/>
                  <w:i w:val="0"/>
                  <w:color w:val="000000"/>
                  <w:sz w:val="20"/>
                  <w:u w:val="none"/>
                  <w:shd w:val="clear" w:color="auto" w:fill="auto"/>
                </w:rPr>
                <w:t>25.4.-</w:t>
                <w:tab/>
                <w:t>Política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9c47e9d92142ce85c8dfc947f277fc"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48620afd0a84748865d4466239d9ec3" w:history="1">
              <w:r>
                <w:rPr>
                  <w:rFonts w:ascii="Calibri" w:eastAsia="Calibri" w:hAnsi="Calibri" w:cs="Calibri"/>
                  <w:b w:val="0"/>
                  <w:i w:val="0"/>
                  <w:color w:val="000000"/>
                  <w:sz w:val="20"/>
                  <w:u w:val="none"/>
                  <w:shd w:val="clear" w:color="auto" w:fill="auto"/>
                </w:rPr>
                <w:t>25.5.-</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48620afd0a84748865d4466239d9ec3"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c7278388aa428597d29c8c4ce3d4ff" w:history="1">
              <w:r>
                <w:rPr>
                  <w:rFonts w:ascii="Calibri" w:eastAsia="Calibri" w:hAnsi="Calibri" w:cs="Calibri"/>
                  <w:b w:val="0"/>
                  <w:i w:val="0"/>
                  <w:color w:val="000000"/>
                  <w:sz w:val="20"/>
                  <w:u w:val="none"/>
                  <w:shd w:val="clear" w:color="auto" w:fill="auto"/>
                </w:rPr>
                <w:t>25.6.-</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c7278388aa428597d29c8c4ce3d4ff"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2665725f79a4c82a2dd73f7aecac386" w:history="1">
              <w:r>
                <w:rPr>
                  <w:rFonts w:ascii="Calibri" w:eastAsia="Calibri" w:hAnsi="Calibri" w:cs="Calibri"/>
                  <w:b w:val="0"/>
                  <w:i w:val="0"/>
                  <w:color w:val="000000"/>
                  <w:sz w:val="20"/>
                  <w:u w:val="none"/>
                  <w:shd w:val="clear" w:color="auto" w:fill="auto"/>
                </w:rPr>
                <w:t>25.7.-</w:t>
                <w:tab/>
                <w:t>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2665725f79a4c82a2dd73f7aecac386"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92d815d0b0a42ce88ee9da888a80772" w:history="1">
              <w:r>
                <w:rPr>
                  <w:rFonts w:ascii="Calibri" w:eastAsia="Calibri" w:hAnsi="Calibri" w:cs="Calibri"/>
                  <w:b w:val="0"/>
                  <w:i w:val="0"/>
                  <w:color w:val="000000"/>
                  <w:sz w:val="20"/>
                  <w:u w:val="none"/>
                  <w:shd w:val="clear" w:color="auto" w:fill="auto"/>
                </w:rPr>
                <w:t>25.8.-</w:t>
                <w:tab/>
                <w:t>Reconciliación del movimiento en reservas de otro resultado integral.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92d815d0b0a42ce88ee9da888a80772"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2503a2913d34d94b6b7255612bf163b" w:history="1">
              <w:r>
                <w:rPr>
                  <w:rFonts w:ascii="Calibri" w:eastAsia="Calibri" w:hAnsi="Calibri" w:cs="Calibri"/>
                  <w:b w:val="0"/>
                  <w:i w:val="0"/>
                  <w:color w:val="000000"/>
                  <w:sz w:val="20"/>
                  <w:u w:val="none"/>
                  <w:shd w:val="clear" w:color="auto" w:fill="auto"/>
                </w:rPr>
                <w:t>26.-</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2503a2913d34d94b6b7255612bf163b"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da3fc0d45ea4ee095214754cccc78e3" w:history="1">
              <w:r>
                <w:rPr>
                  <w:rFonts w:ascii="Calibri" w:eastAsia="Calibri" w:hAnsi="Calibri" w:cs="Calibri"/>
                  <w:b w:val="0"/>
                  <w:i w:val="0"/>
                  <w:color w:val="000000"/>
                  <w:sz w:val="20"/>
                  <w:u w:val="none"/>
                  <w:shd w:val="clear" w:color="auto" w:fill="auto"/>
                </w:rPr>
                <w:t>26.1.-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da3fc0d45ea4ee095214754cccc78e3"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819829818564b11bcb3d7677d7239b7" w:history="1">
              <w:r>
                <w:rPr>
                  <w:rFonts w:ascii="Calibri" w:eastAsia="Calibri" w:hAnsi="Calibri" w:cs="Calibri"/>
                  <w:b w:val="0"/>
                  <w:i w:val="0"/>
                  <w:color w:val="000000"/>
                  <w:sz w:val="20"/>
                  <w:u w:val="none"/>
                  <w:shd w:val="clear" w:color="auto" w:fill="auto"/>
                </w:rPr>
                <w:t>26.2.-</w:t>
                <w:tab/>
                <w:t>Otros ingresos, por función.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819829818564b11bcb3d7677d7239b7"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7261537fab74cf0bff69cc964857127" w:history="1">
              <w:r>
                <w:rPr>
                  <w:rFonts w:ascii="Calibri" w:eastAsia="Calibri" w:hAnsi="Calibri" w:cs="Calibri"/>
                  <w:b w:val="0"/>
                  <w:i w:val="0"/>
                  <w:color w:val="000000"/>
                  <w:sz w:val="20"/>
                  <w:u w:val="none"/>
                  <w:shd w:val="clear" w:color="auto" w:fill="auto"/>
                </w:rPr>
                <w:t>27.-</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7261537fab74cf0bff69cc964857127"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503fb99043f4762a83f3e2cbbb989e8" w:history="1">
              <w:r>
                <w:rPr>
                  <w:rFonts w:ascii="Calibri" w:eastAsia="Calibri" w:hAnsi="Calibri" w:cs="Calibri"/>
                  <w:b w:val="0"/>
                  <w:i w:val="0"/>
                  <w:color w:val="000000"/>
                  <w:sz w:val="20"/>
                  <w:u w:val="none"/>
                  <w:shd w:val="clear" w:color="auto" w:fill="auto"/>
                </w:rPr>
                <w:t>27.1.-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503fb99043f4762a83f3e2cbbb989e8"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e50e1a8d85c45a4af0281aa790ab1bc" w:history="1">
              <w:r>
                <w:rPr>
                  <w:rFonts w:ascii="Calibri" w:eastAsia="Calibri" w:hAnsi="Calibri" w:cs="Calibri"/>
                  <w:b w:val="0"/>
                  <w:i w:val="0"/>
                  <w:color w:val="000000"/>
                  <w:sz w:val="20"/>
                  <w:u w:val="none"/>
                  <w:shd w:val="clear" w:color="auto" w:fill="auto"/>
                </w:rPr>
                <w:t>27.2.-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e50e1a8d85c45a4af0281aa790ab1bc"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83831968f4e4380a4bab2297d98d04b" w:history="1">
              <w:r>
                <w:rPr>
                  <w:rFonts w:ascii="Calibri" w:eastAsia="Calibri" w:hAnsi="Calibri" w:cs="Calibri"/>
                  <w:b w:val="0"/>
                  <w:i w:val="0"/>
                  <w:color w:val="000000"/>
                  <w:sz w:val="20"/>
                  <w:u w:val="none"/>
                  <w:shd w:val="clear" w:color="auto" w:fill="auto"/>
                </w:rPr>
                <w:t>27.3.-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83831968f4e4380a4bab2297d98d04b"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4d29adb86e64f51bb82c9d6b5896631" w:history="1">
              <w:r>
                <w:rPr>
                  <w:rFonts w:ascii="Calibri" w:eastAsia="Calibri" w:hAnsi="Calibri" w:cs="Calibri"/>
                  <w:b w:val="0"/>
                  <w:i w:val="0"/>
                  <w:color w:val="000000"/>
                  <w:sz w:val="20"/>
                  <w:u w:val="none"/>
                  <w:shd w:val="clear" w:color="auto" w:fill="auto"/>
                </w:rPr>
                <w:t>27.4.-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4d29adb86e64f51bb82c9d6b5896631"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3e53d750fd5417e81d915d38d8aab4a" w:history="1">
              <w:r>
                <w:rPr>
                  <w:rFonts w:ascii="Calibri" w:eastAsia="Calibri" w:hAnsi="Calibri" w:cs="Calibri"/>
                  <w:b w:val="0"/>
                  <w:i w:val="0"/>
                  <w:color w:val="000000"/>
                  <w:sz w:val="20"/>
                  <w:u w:val="none"/>
                  <w:shd w:val="clear" w:color="auto" w:fill="auto"/>
                </w:rPr>
                <w:t>28.-</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3e53d750fd5417e81d915d38d8aab4a" w:history="1">
              <w:r>
                <w:rPr>
                  <w:rFonts w:ascii="Calibri" w:eastAsia="Calibri" w:hAnsi="Calibri" w:cs="Calibri"/>
                  <w:b w:val="0"/>
                  <w:i w:val="0"/>
                  <w:color w:val="000000"/>
                  <w:sz w:val="20"/>
                  <w:u w:val="none"/>
                  <w:shd w:val="clear" w:color="auto" w:fill="auto"/>
                </w:rPr>
                <w:t>89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39faa276a1f44ed8c6c45db7f47d2f1" w:history="1">
              <w:r>
                <w:rPr>
                  <w:rFonts w:ascii="Calibri" w:eastAsia="Calibri" w:hAnsi="Calibri" w:cs="Calibri"/>
                  <w:b w:val="0"/>
                  <w:i w:val="0"/>
                  <w:color w:val="000000"/>
                  <w:sz w:val="20"/>
                  <w:u w:val="none"/>
                  <w:shd w:val="clear" w:color="auto" w:fill="auto"/>
                </w:rPr>
                <w:t>28.1.-</w:t>
                <w:tab/>
                <w:t xml:space="preserve">Composición Ganancias (pérdidas) de cambio en moneda extranjera.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39faa276a1f44ed8c6c45db7f47d2f1" w:history="1">
              <w:r>
                <w:rPr>
                  <w:rFonts w:ascii="Calibri" w:eastAsia="Calibri" w:hAnsi="Calibri" w:cs="Calibri"/>
                  <w:b w:val="0"/>
                  <w:i w:val="0"/>
                  <w:color w:val="000000"/>
                  <w:sz w:val="20"/>
                  <w:u w:val="none"/>
                  <w:shd w:val="clear" w:color="auto" w:fill="auto"/>
                </w:rPr>
                <w:t>89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d9c547b68364f11be4a27bb518e0975" w:history="1">
              <w:r>
                <w:rPr>
                  <w:rFonts w:ascii="Calibri" w:eastAsia="Calibri" w:hAnsi="Calibri" w:cs="Calibri"/>
                  <w:b w:val="0"/>
                  <w:i w:val="0"/>
                  <w:color w:val="000000"/>
                  <w:sz w:val="20"/>
                  <w:u w:val="none"/>
                  <w:shd w:val="clear" w:color="auto" w:fill="auto"/>
                </w:rPr>
                <w:t>28.2.-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d9c547b68364f11be4a27bb518e0975"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809eac38d5d44e48dd228ebb9ee9e84" w:history="1">
              <w:r>
                <w:rPr>
                  <w:rFonts w:ascii="Calibri" w:eastAsia="Calibri" w:hAnsi="Calibri" w:cs="Calibri"/>
                  <w:b w:val="0"/>
                  <w:i w:val="0"/>
                  <w:color w:val="000000"/>
                  <w:sz w:val="20"/>
                  <w:u w:val="none"/>
                  <w:shd w:val="clear" w:color="auto" w:fill="auto"/>
                </w:rPr>
                <w:t>29.-</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809eac38d5d44e48dd228ebb9ee9e84"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98821b087ef4e35a29733566bd80a89" w:history="1">
              <w:r>
                <w:rPr>
                  <w:rFonts w:ascii="Calibri" w:eastAsia="Calibri" w:hAnsi="Calibri" w:cs="Calibri"/>
                  <w:b w:val="0"/>
                  <w:i w:val="0"/>
                  <w:color w:val="000000"/>
                  <w:sz w:val="20"/>
                  <w:u w:val="none"/>
                  <w:shd w:val="clear" w:color="auto" w:fill="auto"/>
                </w:rPr>
                <w:t>29.1.-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98821b087ef4e35a29733566bd80a89"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8dff72996a54b08a8b81d91b8a8fec8" w:history="1">
              <w:r>
                <w:rPr>
                  <w:rFonts w:ascii="Calibri" w:eastAsia="Calibri" w:hAnsi="Calibri" w:cs="Calibri"/>
                  <w:b w:val="0"/>
                  <w:i w:val="0"/>
                  <w:color w:val="000000"/>
                  <w:sz w:val="20"/>
                  <w:u w:val="none"/>
                  <w:shd w:val="clear" w:color="auto" w:fill="auto"/>
                </w:rPr>
                <w:t>29.2.-</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8dff72996a54b08a8b81d91b8a8fec8"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79a609aa164a1fa42b37ab2fb1e645" w:history="1">
              <w:r>
                <w:rPr>
                  <w:rFonts w:ascii="Calibri" w:eastAsia="Calibri" w:hAnsi="Calibri" w:cs="Calibri"/>
                  <w:b w:val="0"/>
                  <w:i w:val="0"/>
                  <w:color w:val="000000"/>
                  <w:sz w:val="20"/>
                  <w:u w:val="none"/>
                  <w:shd w:val="clear" w:color="auto" w:fill="auto"/>
                </w:rPr>
                <w:t>29.3.-</w:t>
                <w:tab/>
                <w:t>Efecto en el resultado integral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79a609aa164a1fa42b37ab2fb1e645"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a6811a73669418e97a85bd190aa5ee3" w:history="1">
              <w:r>
                <w:rPr>
                  <w:rFonts w:ascii="Calibri" w:eastAsia="Calibri" w:hAnsi="Calibri" w:cs="Calibri"/>
                  <w:b w:val="0"/>
                  <w:i w:val="0"/>
                  <w:color w:val="000000"/>
                  <w:sz w:val="20"/>
                  <w:u w:val="none"/>
                  <w:shd w:val="clear" w:color="auto" w:fill="auto"/>
                </w:rPr>
                <w:t>30.-</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a6811a73669418e97a85bd190aa5ee3"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0e0203c502c4f349ad7bdbe758a4193" w:history="1">
              <w:r>
                <w:rPr>
                  <w:rFonts w:ascii="Calibri" w:eastAsia="Calibri" w:hAnsi="Calibri" w:cs="Calibri"/>
                  <w:b w:val="0"/>
                  <w:i w:val="0"/>
                  <w:color w:val="000000"/>
                  <w:sz w:val="20"/>
                  <w:u w:val="none"/>
                  <w:shd w:val="clear" w:color="auto" w:fill="auto"/>
                </w:rPr>
                <w:t>31.-</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0e0203c502c4f349ad7bdbe758a4193"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f97effd8a874bdf8b00be4535b47a69" w:history="1">
              <w:r>
                <w:rPr>
                  <w:rFonts w:ascii="Calibri" w:eastAsia="Calibri" w:hAnsi="Calibri" w:cs="Calibri"/>
                  <w:b w:val="0"/>
                  <w:i w:val="0"/>
                  <w:color w:val="000000"/>
                  <w:sz w:val="20"/>
                  <w:u w:val="none"/>
                  <w:shd w:val="clear" w:color="auto" w:fill="auto"/>
                </w:rPr>
                <w:t>31.1.-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f97effd8a874bdf8b00be4535b47a69"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38bf328a10d43e8919fa1cfd903e233" w:history="1">
              <w:r>
                <w:rPr>
                  <w:rFonts w:ascii="Calibri" w:eastAsia="Calibri" w:hAnsi="Calibri" w:cs="Calibri"/>
                  <w:b w:val="0"/>
                  <w:i w:val="0"/>
                  <w:color w:val="000000"/>
                  <w:sz w:val="20"/>
                  <w:u w:val="none"/>
                  <w:shd w:val="clear" w:color="auto" w:fill="auto"/>
                </w:rPr>
                <w:t>31.2.-</w:t>
                <w:tab/>
                <w:t>Cuadros patrimoniales.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38bf328a10d43e8919fa1cfd903e233" w:history="1">
              <w:r>
                <w:rPr>
                  <w:rFonts w:ascii="Calibri" w:eastAsia="Calibri" w:hAnsi="Calibri" w:cs="Calibri"/>
                  <w:b w:val="0"/>
                  <w:i w:val="0"/>
                  <w:color w:val="000000"/>
                  <w:sz w:val="20"/>
                  <w:u w:val="none"/>
                  <w:shd w:val="clear" w:color="auto" w:fill="auto"/>
                </w:rPr>
                <w:t>93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a7bbd25f5349d7978e2331a966d50d" w:history="1">
              <w:r>
                <w:rPr>
                  <w:rFonts w:ascii="Calibri" w:eastAsia="Calibri" w:hAnsi="Calibri" w:cs="Calibri"/>
                  <w:b w:val="0"/>
                  <w:i w:val="0"/>
                  <w:color w:val="000000"/>
                  <w:sz w:val="20"/>
                  <w:u w:val="none"/>
                  <w:shd w:val="clear" w:color="auto" w:fill="auto"/>
                </w:rPr>
                <w:t>31.3.-</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a7bbd25f5349d7978e2331a966d50d" w:history="1">
              <w:r>
                <w:rPr>
                  <w:rFonts w:ascii="Calibri" w:eastAsia="Calibri" w:hAnsi="Calibri" w:cs="Calibri"/>
                  <w:b w:val="0"/>
                  <w:i w:val="0"/>
                  <w:color w:val="000000"/>
                  <w:sz w:val="20"/>
                  <w:u w:val="none"/>
                  <w:shd w:val="clear" w:color="auto" w:fill="auto"/>
                </w:rPr>
                <w:t>95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0916a1434f44f9284f1362a1214575e" w:history="1">
              <w:r>
                <w:rPr>
                  <w:rFonts w:ascii="Calibri" w:eastAsia="Calibri" w:hAnsi="Calibri" w:cs="Calibri"/>
                  <w:b w:val="0"/>
                  <w:i w:val="0"/>
                  <w:color w:val="000000"/>
                  <w:sz w:val="20"/>
                  <w:u w:val="none"/>
                  <w:shd w:val="clear" w:color="auto" w:fill="auto"/>
                </w:rPr>
                <w:t>31.4.-</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0916a1434f44f9284f1362a1214575e"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459ca2867be4d148d50f230a453bd12" w:history="1">
              <w:r>
                <w:rPr>
                  <w:rFonts w:ascii="Calibri" w:eastAsia="Calibri" w:hAnsi="Calibri" w:cs="Calibri"/>
                  <w:b w:val="0"/>
                  <w:i w:val="0"/>
                  <w:color w:val="000000"/>
                  <w:sz w:val="20"/>
                  <w:u w:val="none"/>
                  <w:shd w:val="clear" w:color="auto" w:fill="auto"/>
                </w:rPr>
                <w:t>32.-</w:t>
                <w:tab/>
                <w:t>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459ca2867be4d148d50f230a453bd12"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a9239f119140fca1f6ccee5dbcbcfd" w:history="1">
              <w:r>
                <w:rPr>
                  <w:rFonts w:ascii="Calibri" w:eastAsia="Calibri" w:hAnsi="Calibri" w:cs="Calibri"/>
                  <w:b w:val="0"/>
                  <w:i w:val="0"/>
                  <w:color w:val="000000"/>
                  <w:sz w:val="20"/>
                  <w:u w:val="none"/>
                  <w:shd w:val="clear" w:color="auto" w:fill="auto"/>
                </w:rPr>
                <w:t>32.1.-</w:t>
                <w:tab/>
                <w:t>Resumen de 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a9239f119140fca1f6ccee5dbcbcfd"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25b191d378042aab4180e6544723d69" w:history="1">
              <w:r>
                <w:rPr>
                  <w:rFonts w:ascii="Calibri" w:eastAsia="Calibri" w:hAnsi="Calibri" w:cs="Calibri"/>
                  <w:b w:val="0"/>
                  <w:i w:val="0"/>
                  <w:color w:val="000000"/>
                  <w:sz w:val="20"/>
                  <w:u w:val="none"/>
                  <w:shd w:val="clear" w:color="auto" w:fill="auto"/>
                </w:rPr>
                <w:t>32.2.-</w:t>
                <w:tab/>
                <w:t>Saldos en moneda extranjera,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25b191d378042aab4180e6544723d69" w:history="1">
              <w:r>
                <w:rPr>
                  <w:rFonts w:ascii="Calibri" w:eastAsia="Calibri" w:hAnsi="Calibri" w:cs="Calibri"/>
                  <w:b w:val="0"/>
                  <w:i w:val="0"/>
                  <w:color w:val="000000"/>
                  <w:sz w:val="20"/>
                  <w:u w:val="none"/>
                  <w:shd w:val="clear" w:color="auto" w:fill="auto"/>
                </w:rPr>
                <w:t>98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7a8ede2a75470bad6d1ccdcb43533c" w:history="1">
              <w:r>
                <w:rPr>
                  <w:rFonts w:ascii="Calibri" w:eastAsia="Calibri" w:hAnsi="Calibri" w:cs="Calibri"/>
                  <w:b w:val="0"/>
                  <w:i w:val="0"/>
                  <w:color w:val="000000"/>
                  <w:sz w:val="20"/>
                  <w:u w:val="none"/>
                  <w:shd w:val="clear" w:color="auto" w:fill="auto"/>
                </w:rPr>
                <w:t>32.3.-</w:t>
                <w:tab/>
                <w:t>Saldos en moneda extranjera, pasivos.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7a8ede2a75470bad6d1ccdcb43533c" w:history="1">
              <w:r>
                <w:rPr>
                  <w:rFonts w:ascii="Calibri" w:eastAsia="Calibri" w:hAnsi="Calibri" w:cs="Calibri"/>
                  <w:b w:val="0"/>
                  <w:i w:val="0"/>
                  <w:color w:val="000000"/>
                  <w:sz w:val="20"/>
                  <w:u w:val="none"/>
                  <w:shd w:val="clear" w:color="auto" w:fill="auto"/>
                </w:rPr>
                <w:t>99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f862c72cc3344228a941044262ffdf7" w:history="1">
              <w:r>
                <w:rPr>
                  <w:rFonts w:ascii="Calibri" w:eastAsia="Calibri" w:hAnsi="Calibri" w:cs="Calibri"/>
                  <w:b w:val="0"/>
                  <w:i w:val="0"/>
                  <w:color w:val="000000"/>
                  <w:sz w:val="20"/>
                  <w:u w:val="none"/>
                  <w:shd w:val="clear" w:color="auto" w:fill="auto"/>
                </w:rPr>
                <w:t>33.-</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f862c72cc3344228a941044262ffdf7"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f792c490094fdd80f8306a5c133d09" w:history="1">
              <w:r>
                <w:rPr>
                  <w:rFonts w:ascii="Calibri" w:eastAsia="Calibri" w:hAnsi="Calibri" w:cs="Calibri"/>
                  <w:b w:val="0"/>
                  <w:i w:val="0"/>
                  <w:color w:val="000000"/>
                  <w:sz w:val="20"/>
                  <w:u w:val="none"/>
                  <w:shd w:val="clear" w:color="auto" w:fill="auto"/>
                </w:rPr>
                <w:t>33.1.-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f792c490094fdd80f8306a5c133d09"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18b8ba5ce5e4ef1a81cf20140b46401" w:history="1">
              <w:r>
                <w:rPr>
                  <w:rFonts w:ascii="Calibri" w:eastAsia="Calibri" w:hAnsi="Calibri" w:cs="Calibri"/>
                  <w:b w:val="0"/>
                  <w:i w:val="0"/>
                  <w:color w:val="000000"/>
                  <w:sz w:val="20"/>
                  <w:u w:val="none"/>
                  <w:shd w:val="clear" w:color="auto" w:fill="auto"/>
                </w:rPr>
                <w:t>33.2.-</w:t>
                <w:tab/>
                <w:t xml:space="preserve">Sanciones.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18b8ba5ce5e4ef1a81cf20140b46401"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2caf5b7f9e941dda5743f68a235281b" w:history="1">
              <w:r>
                <w:rPr>
                  <w:rFonts w:ascii="Calibri" w:eastAsia="Calibri" w:hAnsi="Calibri" w:cs="Calibri"/>
                  <w:b w:val="0"/>
                  <w:i w:val="0"/>
                  <w:color w:val="000000"/>
                  <w:sz w:val="20"/>
                  <w:u w:val="none"/>
                  <w:shd w:val="clear" w:color="auto" w:fill="auto"/>
                </w:rPr>
                <w:t>33.3.-</w:t>
                <w:tab/>
                <w:t>Restricciones.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2caf5b7f9e941dda5743f68a235281b"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fd5b4c4e094a1799b42a1284c79787" w:history="1">
              <w:r>
                <w:rPr>
                  <w:rFonts w:ascii="Calibri" w:eastAsia="Calibri" w:hAnsi="Calibri" w:cs="Calibri"/>
                  <w:b w:val="0"/>
                  <w:i w:val="0"/>
                  <w:color w:val="000000"/>
                  <w:sz w:val="20"/>
                  <w:u w:val="none"/>
                  <w:shd w:val="clear" w:color="auto" w:fill="auto"/>
                </w:rPr>
                <w:t>34.-</w:t>
                <w:tab/>
                <w:t xml:space="preserve">GARANTÍAS COMPROMETIDAS CON TERCEROS, OTROS ACTIVOS Y PASIVOS CONTINGENTES Y OTROS COMPROMISOS.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fd5b4c4e094a1799b42a1284c79787"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b3b24f8f8e84922a90477980bea30ab" w:history="1">
              <w:r>
                <w:rPr>
                  <w:rFonts w:ascii="Calibri" w:eastAsia="Calibri" w:hAnsi="Calibri" w:cs="Calibri"/>
                  <w:b w:val="0"/>
                  <w:i w:val="0"/>
                  <w:color w:val="000000"/>
                  <w:sz w:val="20"/>
                  <w:u w:val="none"/>
                  <w:shd w:val="clear" w:color="auto" w:fill="auto"/>
                </w:rPr>
                <w:t>35.-</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b3b24f8f8e84922a90477980bea30ab"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81497de4140474fb91db014586155ef" w:history="1">
              <w:r>
                <w:rPr>
                  <w:rFonts w:ascii="Calibri" w:eastAsia="Calibri" w:hAnsi="Calibri" w:cs="Calibri"/>
                  <w:b w:val="0"/>
                  <w:i w:val="0"/>
                  <w:color w:val="000000"/>
                  <w:sz w:val="20"/>
                  <w:u w:val="none"/>
                  <w:shd w:val="clear" w:color="auto" w:fill="auto"/>
                </w:rPr>
                <w:t>36.-</w:t>
                <w:tab/>
                <w:t>MEDIO AMBIENTE.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81497de4140474fb91db014586155ef" w:history="1">
              <w:r>
                <w:rPr>
                  <w:rFonts w:ascii="Calibri" w:eastAsia="Calibri" w:hAnsi="Calibri" w:cs="Calibri"/>
                  <w:b w:val="0"/>
                  <w:i w:val="0"/>
                  <w:color w:val="000000"/>
                  <w:sz w:val="20"/>
                  <w:u w:val="none"/>
                  <w:shd w:val="clear" w:color="auto" w:fill="auto"/>
                </w:rPr>
                <w:t>102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f427ca645af4f59b2900572f4c7771f" w:history="1">
              <w:r>
                <w:rPr>
                  <w:rFonts w:ascii="Calibri" w:eastAsia="Calibri" w:hAnsi="Calibri" w:cs="Calibri"/>
                  <w:b w:val="0"/>
                  <w:i w:val="0"/>
                  <w:color w:val="000000"/>
                  <w:sz w:val="20"/>
                  <w:u w:val="none"/>
                  <w:shd w:val="clear" w:color="auto" w:fill="auto"/>
                </w:rPr>
                <w:t>37.-</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f427ca645af4f59b2900572f4c7771f" w:history="1">
              <w:r>
                <w:rPr>
                  <w:rFonts w:ascii="Calibri" w:eastAsia="Calibri" w:hAnsi="Calibri" w:cs="Calibri"/>
                  <w:b w:val="0"/>
                  <w:i w:val="0"/>
                  <w:color w:val="000000"/>
                  <w:sz w:val="20"/>
                  <w:u w:val="none"/>
                  <w:shd w:val="clear" w:color="auto" w:fill="auto"/>
                </w:rPr>
                <w:t>108</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4"/>
          <w:footerReference w:type="default" r:id="rId15"/>
          <w:pgSz w:w="12240" w:h="15840"/>
          <w:pgMar w:top="1134" w:right="1134" w:bottom="1134" w:left="1134" w:header="0" w:footer="425"/>
          <w:cols w:space="708"/>
        </w:sectPr>
      </w:pPr>
    </w:p>
    <w:p>
      <w:pPr>
        <w:pStyle w:val="Normal-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val="0"/>
          <w:i w:val="0"/>
          <w:color w:val="000000"/>
          <w:sz w:val="20"/>
          <w:u w:val="none"/>
        </w:rPr>
      </w:pPr>
      <w:bookmarkStart w:id="6" w:name="Section7"/>
      <w:bookmarkEnd w:id="6"/>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3"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Heading1-wk"/>
        <w:keepNext w:val="0"/>
        <w:keepLines/>
        <w:pageBreakBefore w:val="0"/>
        <w:widowControl w:val="0"/>
        <w:numPr>
          <w:ilvl w:val="0"/>
          <w:numId w:val="0"/>
        </w:numPr>
        <w:spacing w:before="0" w:after="0" w:line="240" w:lineRule="exact"/>
        <w:ind w:left="0" w:right="0" w:firstLine="0"/>
        <w:jc w:val="both"/>
        <w:outlineLvl w:val="9"/>
        <w:rPr>
          <w:rFonts w:ascii="Cambria" w:eastAsia="Cambria" w:hAnsi="Cambria" w:cs="Cambria"/>
          <w:b/>
          <w:i w:val="0"/>
          <w:color w:val="365F91"/>
          <w:sz w:val="28"/>
          <w:u w:val="none"/>
        </w:rPr>
      </w:pPr>
      <w:bookmarkStart w:id="7" w:name="78005ac4d42e4e23ae233993dd89c999"/>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Rut 99.548.260-6, es una sociedad anónima cerrada, tiene su domicilio social en Avda. Presidente Riesco N° 5561 piso 17 en la comuna de Las Condes de la ciudad de Santiago, en la República de Chile.</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accionista propietario del 99,89% de las acciones de CGE Magallanes S.A. es Compañía General de Electricidad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el accionista propietario del 97,145% de las acciones de la matriz Compañía General de Electricidad S.A. es State Grid Chile Electricity SpA., miembro </w:t>
      </w:r>
      <w:r>
        <w:rPr>
          <w:rFonts w:ascii="Calibri" w:eastAsia="Calibri" w:hAnsi="Calibri" w:cs="Calibri"/>
          <w:b w:val="0"/>
          <w:i w:val="0"/>
          <w:color w:val="000000"/>
          <w:sz w:val="20"/>
          <w:highlight w:val="white"/>
          <w:u w:val="none"/>
        </w:rPr>
        <w:t>del Grupo State Grid Corporation of China, cuya matriz final es dicha sociedad.</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 emisión de estos estados financieros consolidados correspondiente al ejercicio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han sido aprobados en Sesión de Directorio con fecha 3 de marzo de 2026,</w:t>
      </w:r>
      <w:r>
        <w:rPr>
          <w:rFonts w:ascii="Calibri" w:eastAsia="Calibri" w:hAnsi="Calibri" w:cs="Calibri"/>
          <w:b w:val="0"/>
          <w:i w:val="0"/>
          <w:color w:val="000000"/>
          <w:sz w:val="20"/>
          <w:u w:val="none"/>
        </w:rPr>
        <w:t xml:space="preserve"> quien con dicha fecha autorizó además su publicación.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highlight w:val="white"/>
          <w:u w:val="none"/>
        </w:rPr>
      </w:pPr>
      <w:bookmarkStart w:id="8" w:name="Section8"/>
      <w:bookmarkEnd w:id="8"/>
      <w:bookmarkStart w:id="9" w:name="84d3fb25d51a44019c75a23f1d88a562"/>
      <w:r>
        <w:rPr>
          <w:rFonts w:ascii="Calibri" w:eastAsia="Calibri" w:hAnsi="Calibri" w:cs="Calibri"/>
          <w:b/>
          <w:i w:val="0"/>
          <w:color w:val="000000"/>
          <w:sz w:val="20"/>
          <w:highlight w:val="white"/>
          <w:u w:val="none"/>
        </w:rPr>
        <w:t>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DESCRIPCIÓN DE LOS SECTORES DONDE PARTICIPA CGE MAGALLANES S.A. Y SUBSIDIARIA</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participa en la venta de energía eléctrica a través de su subsidiaria Empresa Eléctrica de Magallanes S.A. (Edelmag S.A.) en la Región de Magallanes y Antártica Chilena.</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características de los mercados donde opera la subsidiaria Edelmag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type w:val="continuous"/>
          <w:pgSz w:w="12240" w:h="15840"/>
          <w:pgMar w:top="1134" w:right="1134" w:bottom="1134" w:left="1134" w:header="0" w:footer="425"/>
          <w:cols w:space="708"/>
        </w:sectPr>
      </w:pPr>
    </w:p>
    <w:p>
      <w:pPr>
        <w:pStyle w:val="Normal-wk"/>
        <w:keepNext/>
        <w:keepLines/>
        <w:pageBreakBefore w:val="0"/>
        <w:widowControl w:val="0"/>
        <w:numPr>
          <w:ilvl w:val="0"/>
          <w:numId w:val="0"/>
        </w:numPr>
        <w:tabs>
          <w:tab w:val="left" w:pos="700"/>
        </w:tabs>
        <w:spacing w:before="0" w:after="0" w:line="288" w:lineRule="auto"/>
        <w:ind w:left="709" w:right="0" w:firstLine="0"/>
        <w:jc w:val="both"/>
        <w:outlineLvl w:val="1"/>
        <w:rPr>
          <w:rFonts w:ascii="Calibri" w:eastAsia="Calibri" w:hAnsi="Calibri" w:cs="Calibri"/>
          <w:b w:val="0"/>
          <w:i w:val="0"/>
          <w:color w:val="000000"/>
          <w:sz w:val="20"/>
          <w:u w:val="none"/>
        </w:rPr>
      </w:pPr>
      <w:bookmarkStart w:id="10" w:name="Section9"/>
      <w:bookmarkEnd w:id="10"/>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Sector electricidad.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Generación, Transmisión y Distribución de electricidad en Magallanes: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Empresa Eléctrica de Magallanes S.A. participa en los negocios de generación, transporte, distribución y suministro de energía eléctrica en la Región de Magallanes y Antártica Chilena, abasteciendo a 74.462 clientes, con ventas físicas que alcanzaron a 351,07 GWh al 31 de diciembre de 2025. Para la generación de energía eléctrica cuenta con centrales generadoras térmicas en cada uno de los 4 sistemas eléctricos atendidos por la subsidiaria, con una potencia bruta total de 121,3 MW.</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composición de los activos se encuentran 100% radicados en el sector eléctrico, que corresponden a</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inversiones en las actividades de generación, transmisión y distribución de energía eléctrica.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Aspectos regulatorios: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actividad de distribución de electricidad en Chile está sujeta a la normativa contemplada en la Ley General de Servicios Eléctricos (DFL N° 4-2006 del Ministerio de Economía, Fomento y Reconstrucción). Dicha Ley establece un marco regulatorio con criterios objetivos para la fijación de precios, de forma tal que el resultado de su aplicación sea la asignación económicamente eficiente de recursos en el sector eléctrico.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sistema regulatorio, vigente desde 1982, aunque ha sufrido modificaciones importantes en los últimos años, ha permitido un desarrollo satisfactorio del sector eléctrico. Asimismo, contribuyó a un rápido proceso de crecimiento, con altas tasas de inversión durante la última década, a la diversificación de la oferta en generación, e importantes reducciones en los costos de producción, transporte y distribución.</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N° 21.194, publicada el 21 de diciembre de 2019, mediante la cual se rebajó la rentabilidad de las empresas de distribución y perfeccionó el proceso tarifario de distribución eléctrica, modificó el marco normativo que regula el segmento de distribución de electricidad, estableciendo, por un lado, un mecanismo de estabilización de los niveles de precios asociados al valor agregado por concepto de costos de distribución, debiendo ser incorporadas las diferencias originadas por su aplicación a las tarifas resultantes de los siguientes procesos de tarificación de los suministros a clientes regulados, y por otra parte, la obligación para las empresas distribuidoras de constituirse como sociedades de giro exclusivo de distribución de energía eléctrica. Sobre esta materia debe considerarse que la Comisión Nacional de Energía (CNE), en la resolución que definió el alcance de la exclusividad de giro establecida en la Ley N° 21.194, dispuso que en el caso de las empresas distribuidoras que operen en Sistemas Medianos se da cumplimiento a esta obligación mediante la implementación de un sistema de control y registro de gastos e ingresos que permita establecer de forma diferenciada los resultados de la gestión económica correspondiente a la prestación de los servicios comprendidos dentro del giro exclusivo de distribución.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particular, el mercado ha sido dividido en dos categorías: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Clientes sujetos a fijación de precios o clientes regulados, que corresponden principalmente a aquellos cuya potencia conectada es igual o inferior a 5.000 kW y;</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b)</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Clientes no sujetos a fijación de precios o clientes libres. Las tarifas aplicables a clientes regulados son fijadas por la autoridad, mientras que los precios de suministro para clientes libres se pactan libremente.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Adicionalmente, los clientes regulados que tienen una potencia conectada mayor a 300 kW se encuentran facultados para optar entre la tarifa regulada y una de precio libre, con un periodo mínimo de cuatro años de permanencia en cada régimen, y comunicado con una antelación de, al menos, 12 meses. Se hace presente que, a partir del 9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diciembre de 2024, mediante la publicación de la Resolución Exenta N° 58-2024 del Ministerio de Energía, dicho límite fue rebajado de 500 kW a 300 kW, previa consulta del Ministerio al Tribunal de la Libre Competencia.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Demanda</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crecimiento de la demanda va a depender del incremento del consumo, el cual se relaciona con el mejoramiento del ingreso y el desarrollo tecnológico asociado a mayor acceso a equipos electrodomésticos y de automatización en la industria. Otro factor influyente es el incremento de la población y las viviendas, lo que está fuertemente asociado a los planes de desarrollo urbano. Lo anterior permite concluir que el crecimiento de este mercado está asociado al crecimiento de la región. Podemos inferir que el consumo per cápita aún es bajo, en comparación a países desarrollados, por lo tanto, las perspectivas de crecimiento del consumo de energía eléctrica son positivas, lo que se traduce en que el riesgo relacionado a la volatilidad y evolución de la demanda es bastante reducido.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 Generación – Transmisión: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segmentos de generación y transmisión de las empresas cuya capacidad instalada sea mayor a 1,5 MW y menor a 200 MW, denominados Sistemas Medianos, están regulados por el Estado. La regulación establece las condiciones de precios y define la expansión de los sistemas en el mediano plazo.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marco regulatorio está definido por la Ley General de Servicios Eléctricos cuyo texto se encuentra contenido en el DFL N° 4-2006 del Ministerio de Economía, Fomento y Reconstrucción, el Reglamento de la Ley General de Servicios Eléctricos (Decreto N° 327- 1997 del Ministerio de Minería), el Reglamento de Valorización y Expansión de los Sistemas Medianos (Decreto N° 229-2005 del Ministerio de Economía, Fomento y Reconstrucción) y los decretos tarifarios y demás normas técnicas y reglamentarias emanadas del referido Ministerio, de la Comisión Nacional de Energía (CNE) y de la Superintendencia de Electricidad y Combustibles (SEC).</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Este segmento no opera bajo concesión de servicio público y por consiguiente existe libertad para que otros actores participen del sistema eléctrico, debiéndose operar en estos casos las instalaciones en forma coordinada.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Al respecto, con fecha 30 de abril de 2020 </w:t>
      </w:r>
      <w:r>
        <w:rPr>
          <w:rFonts w:ascii="Calibri" w:eastAsia="Calibri" w:hAnsi="Calibri" w:cs="Calibri"/>
          <w:b w:val="0"/>
          <w:i w:val="0"/>
          <w:color w:val="000000"/>
          <w:sz w:val="20"/>
          <w:u w:val="none"/>
        </w:rPr>
        <w:t>fue</w:t>
      </w:r>
      <w:r>
        <w:rPr>
          <w:rFonts w:ascii="Calibri" w:eastAsia="Calibri" w:hAnsi="Calibri" w:cs="Calibri"/>
          <w:b w:val="0"/>
          <w:i w:val="0"/>
          <w:sz w:val="20"/>
        </w:rPr>
        <w:t xml:space="preserve"> publicado el Decreto N° 10T-2019 del Ministerio de Energía, </w:t>
      </w:r>
      <w:r>
        <w:rPr>
          <w:rFonts w:ascii="Calibri" w:eastAsia="Calibri" w:hAnsi="Calibri" w:cs="Calibri"/>
          <w:b w:val="0"/>
          <w:i w:val="0"/>
          <w:color w:val="000000"/>
          <w:sz w:val="20"/>
          <w:u w:val="none"/>
        </w:rPr>
        <w:t xml:space="preserve">que </w:t>
      </w:r>
      <w:r>
        <w:rPr>
          <w:rFonts w:ascii="Calibri" w:eastAsia="Calibri" w:hAnsi="Calibri" w:cs="Calibri"/>
          <w:b w:val="0"/>
          <w:i w:val="0"/>
          <w:sz w:val="20"/>
        </w:rPr>
        <w:t>fija precios a nivel generación y transmisión en Sistemas Medianos de Punta Arenas, Puerto Natales, Porvenir y Puerto Williams, y establece planes de expansión en los sistemas señalados para el periodo 2018-2022. Este decreto determinó como parte del Plan de Expansión del sistema Punta Arenas, la entrada en operación de un parque eólico de propiedad de la empresa Vientos Patagónicos S.A. a partir de enero de 2020 con una potencia instalada de 10,35 MW, así como la conexión de una Línea de Transmisión, de propiedad de Pecket Energy S.A., que unirá este nuevo parque con la Central Tres Puentes, siendo dicha empresa también propietaria del parque eólico de 2,55 MW que se encuentra en operación en el mismo sistema desde julio de 2015. De acuerdo a lo informado por su dueño y aprobado por la Comisión Nacional de Energía (CNE) en su Resolución Exenta N° 385-2020, el parque eólico Vientos Patagónicos inició sus operaciones en el mes de octubre de 2020. La capacidad instalada de ambos parques eólicos representa un 13,65% de la potencia instalada total del sistema mediano de Punta Arenas.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sz w:val="20"/>
        </w:rPr>
      </w:pPr>
      <w:r>
        <w:rPr>
          <w:rFonts w:ascii="Calibri" w:eastAsia="Calibri" w:hAnsi="Calibri" w:cs="Calibri"/>
          <w:b w:val="0"/>
          <w:i w:val="0"/>
          <w:sz w:val="20"/>
        </w:rPr>
        <w:t>Con fecha 4 de julio de 2025 fue publicado el Decreto N° 8T-2024 del Ministerio de Energía, que fija precios a nivel generación y transmisión en Sistemas Medianos de Punta Arenas, Puerto Natales, Porvenir y Puerto Williams, y establece planes de expansión en los sistemas señalados para el periodo 2022-2026. Este Decreto reemplazará en Decreto 10T-2019 a contar del 1° de enero de 2026.</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sz w:val="20"/>
        </w:rPr>
      </w:pPr>
      <w:r>
        <w:rPr>
          <w:rFonts w:ascii="Calibri" w:eastAsia="Calibri" w:hAnsi="Calibri" w:cs="Calibri"/>
          <w:b w:val="0"/>
          <w:i w:val="0"/>
          <w:sz w:val="20"/>
        </w:rPr>
        <w:t>Las tarifas de generación y transmisión se fijan por decreto supremo cada 4 años, considerando una metodología basada en la determinación del costo incremental de desarrollo y el costo total de largo plazo de una empresa eficiente. A partir del dimensionamiento de esta empresa eficiente, se fijan las tarifas considerando una tasa de descuento de 10% antes de impuestos. Este estudio considera una capacidad de generación adaptada a la demanda, que permita cumplir con una óptima calidad de servicio.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sz w:val="20"/>
        </w:rPr>
      </w:pPr>
      <w:r>
        <w:rPr>
          <w:rFonts w:ascii="Calibri" w:eastAsia="Calibri" w:hAnsi="Calibri" w:cs="Calibri"/>
          <w:b w:val="0"/>
          <w:i w:val="0"/>
          <w:sz w:val="20"/>
        </w:rPr>
        <w:t>Estas tarifas se indexan semestralmente o cada vez que ocurra una variación superior al 10%, según las fórmulas establecidas en los decretos respectivos. En el caso de las tarifas de generación, las fórmulas de indexación vigentes incorporan como parámetro indexador de los combustibles, el promedio de tres meses del precio del gas natural y de seis meses del precio del petróleo diésel. En este contexto, cuando las condiciones de precio de estos combustibles se modifican, no es posible traspasar inmediatamente a tarifa sus efectos. Al no existir un esquema pass-through perfecto existe un riesgo asociado a las modificaciones de precios de los combustibles, principalmente el precio del gas natural por su mayor incidencia en la generación de Edelmag. El decreto tarifario permite traspasar las diferencias de costos de combustibles cuando existan restricciones de gas que obliguen a generar con diésel, debidamente instruido por la autoridad competente.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Estabilización de precios de generación: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Mediante la Ley N° 21.185 publicada </w:t>
      </w:r>
      <w:r>
        <w:rPr>
          <w:rFonts w:ascii="Calibri" w:eastAsia="Calibri" w:hAnsi="Calibri" w:cs="Calibri"/>
          <w:b w:val="0"/>
          <w:i w:val="0"/>
          <w:sz w:val="20"/>
        </w:rPr>
        <w:t>el</w:t>
      </w:r>
      <w:r>
        <w:rPr>
          <w:rFonts w:ascii="Calibri" w:eastAsia="Calibri" w:hAnsi="Calibri" w:cs="Calibri"/>
          <w:b w:val="0"/>
          <w:i w:val="0"/>
          <w:color w:val="000000"/>
          <w:sz w:val="20"/>
          <w:u w:val="none"/>
        </w:rPr>
        <w:t xml:space="preserve"> 2 de noviembre de 2019, se estableció un mecanismo transitorio de estabilización de precios de generación de energía eléctrica para clientes sujetos a regulación de tarifas, el cual es aplicable a las empresas que operan en el Sistema Eléctrico Nacional. Posteriormente, mediante la Ley N° 21.194, publicada el 21 de diciembre de 2019 se hizo extensiva la aplicación de dicho mecanismo a los Sistemas Medianos. Dicho mecanismo implica que las tarifas aplicadas no se modifiquen durante un tiempo, no obstante, los ingresos que se generen como diferencial entre la facturación de consumos con la tarifa estabilizada y las tarifas que correspondería aplicar según la normativa vigente conformará un saldo que será retribuido entre el año 2024 y 2027.</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2 de agosto de 2022 fue promulgada la Ley N° 21.472. Esta ley modifica la Ley General de Servicios Eléctricos creando un Fondo de Estabilización de Tarifas (FET), el cual será administrado por la Tesorería General de la República, y cuyo objeto será la estabilización de las tarifas eléctricas para clientes regulados. Establece que, dentro del cargo por servicio público, se considerará un pago adicional máximo, que tendrá por objeto financiar el Fondo de Estabilización de Tarifas, y que será diferenciado por tramos de consumo de acuerdo con los parámetros establecidos en la ley. Además, establece un Mecanismo Transitorio de Protección al Cliente. Su vigencia se extiende hasta el 31 de diciembre de 2032.</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Posteriormente, el 30 de abril de 2024 se publicó en el Diario Oficial la Ley N° 21.667 que “Modifica diversos cuerpos legales en materia de estabilización tarifaria”. cuyo objeto consiste en mitigar el alza en las cuentas de la luz. También, busca implementar un subsidio transitorio para el consumo eléctrico de clientes residenciales vulnerables durante 2024-2026.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considera una reformulación del cargo MPC. Aquí se establece un valor fijo para el cargo, con ajustes semestrales según el Indice de Precios al Consumidor (IPC), para extinguir los saldos originados por las leyes anteriores, aplicables a todos los clientes regulados a partir de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se incluye la creación de una mesa técnica de trabajo. Esta permitirá evaluar otras fuentes de financiamiento, a efectos de aumentar el monto anual del subsidio a familias vulnerables. También, favorece el análisis de otras políticas destinadas a disminuir el alza de las tarifas eléctricas para los clientes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cuanto al subsidio mencionado, en su artículo sexto transitorio la ley establece que durante los años 2024, 2025 y 2026, el subsidio transitorio al pago del consumo de energía eléctrica para usuarios residenciales a que se refiere el artículo 151 de la Ley General de Servicios Eléctricos será dispuesto mediante decreto supremo, fundado, expedido a través del Ministerio de Energía, dictado bajo la fórmula “por orden del Presidente de la República”, el que deberá ser suscrito además, por el Ministro de Hacienda y el Ministro de Desarrollo Social y Familia. Este subsidio favorecerá a usuarios residenciales pertenecientes a los hogares identificados de acuerdo al instrumento del artículo 5° de la Ley N° 20.379, o el instrumento que lo reemplace, que se encuentren al día en el pago de las cuentas por concepto de dicho consumo y según los requisitos que se establezcan en el decreto supremo previamente indicado, en el cual, además, se regulará el procedimiento de concesión, pago y demás normas necesarias para su otorgamiento. Asimismo, este decreto supremo podrá establecer mecanismos alternativos al establecido en los incisos tercero y final del artículo 151 de la Ley General de Servicios Eléctricos.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Durante los años 2024, 2025 y 2026, el Ministerio de Hacienda realizará aportes anuales de 20 millones de dólares de los Estados Unidos de América, o su equivalente en moneda nacional, al Fondo de Estabilización de Tarifas del artículo 1 de la Ley N° 21.472, mediante uno o más decretos expedidos bajo la fórmula “por orden del Presidente de la República”, recursos que serán utilizados para los fines establecidos en el presente artículo. Para el financiamiento de este subsidio se podrá destinar hasta un monto anual máximo de 120 millones de dólares de los Estados Unidos de América o su equivalente en moneda nacional, del Fondo de Estabilización de Tarifas, establecido en el artículo 212-14 de la Ley General de Servicios Eléctricos, así como los demás recursos que disponga la ley.</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 vigencia se extiende hasta el 31 de diciembre de 2035.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suministro de gas natural, necesario para la generación de energía eléctrica, se encuentra regulado por la normativa vigente Ley de Servicios de Gas y el Decreto 8T-2019 del Ministerio de Energía, que fija fórmulas tarifarias aplicables a los servicios de gas y servicios afines en la Región de Magallanes y de la Antártica Chilena, la que asegura su disponibilidad y garantiza su tarifa con independencia del nivel de consumo mensual. Por su parte, el Decreto 7T, publicado el 22 de febrero de 2022 actualiza el valor del gas al ingreso de sistema de distribución determinado en el Decreto 8T.</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lo indicado anteriormente se puede concluir que el negocio de generación–transmisión de los Sistemas Medianos posee un bajo nivel de riesgo desde el punto de vista tarifario, ya que los precios son determinados por la legislación vigente mediante un mecanismo de carácter técnico, el cual permite obtener una rentabilidad razonable para los activos invertidos en este sector.</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 Distribución: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segmento de distribución de electricidad en Chile se encuentra regulado por el Estado debido a que presenta las características propias de monopolio natural. Consecuentemente, se establece un régimen de concesiones para el establecimiento, operación y explotación de redes de distribución de servicio público, donde se delimita territorialmente la zona de operación de las empresas distribuidoras. Asimismo, se regulan las condiciones de explotación de este negocio, los precios que se pueden cobrar a clientes regulados y la calidad de servicio que debe prestar.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marco regulatorio de la industria eléctrica en Chile está definido por la Ley General de Servicios Eléctricos, cuyo texto se encuentra contenido en el DFL N° 4-2006 del Ministerio de Economía, Fomento y Reconstrucción, el Reglamento de la Ley General de Servicios Eléctricos (Decreto N° 327-1997 del Ministerio de Minería), los decretos tarifarios y demás normas técnicas y reglamentarias emanadas del Ministerio de Energía, de la Comisión Nacional de Energía (CNE) y de la Superintendencia de Electricidad y Combustibles (SEC).</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 agregado de distribución (VAD).</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tarifa regulada de distribución, que es fijada por el Ministerio de Energía en un procedimiento que es encabezado por la Comisión Nacional de Energía, resulta de la suma de tres componentes:</w:t>
      </w:r>
    </w:p>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Precio de Nudo de Generación-Transmisión: Corresponde al precio aplicable a la compra de energía para consumos regulados. Dicho valor es fijado por la autoridad de acuerdo a lo indicado precedentemente;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Cargo por Servicio Público y;</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 Agregado de Distribución (VAD), que permite cubrir los costos de operación y mantenimiento del sistema de distribución, los correspondientes costos de comercialización y rentar sobre todas sus instalaciones.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Precio de Nudo de Generación-Transmisión y el Cargo por Servicio Público son traspasados a los clientes finales, correspondiendo el Valor Agregado de Distribución (VAD) a la retribución de la empresa distribuidora.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cada 4 años se debe efectuar el cálculo de los costos de los componentes del VAD, basado en el dimensionamiento de empresas modelo de distribución de energía eléctrica, las cuales deben ser eficientes y satisfacer óptimamente la demanda con la calidad de servicio determinada en la normativa vigente.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4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Agregado de Distribución retribuye: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Costos fijos por concepto de gastos de administración, facturación y atención del usuario, independiente de su consumo;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Pérdidas medias de distribución en potencia y energía;</w:t>
      </w: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Costos estándares de inversión, mantención y operación asociados a la distribución por unidad de potencia suministrada. Los costos anuales de inversión se calculan considerando el Valor Nuevo de Reemplazo, de instalaciones adaptadas a la demanda, su vida útil, y una tasa de actualización determinada en cada proceso tarifario, la que no puede ser inferior al 6% ni superior al 8% real anual después de impuestos.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la determinación del Valor Agregado de Distribución (VAD), en conformidad con el procedimiento definido en la Ley N° 21.194, el estudio de costos debe ser licitado y adjudicado, siendo ejecutado y supervisado por un comité integrado por representantes de las distribuidoras, dos representantes del Ministerio de Energía y dos representantes de la Comisión Nacional de Energía (CNE).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Comisión Nacional de Energía (CNE) debe elaborar un informe técnico sobre la base del señalado estudio, respecto del cual se podrán presentar observaciones ante ese mismo organismo y, posteriormente, discrepancias ante el Panel de Expertos.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el Valor Agregado de Distribución (VAD) definitivo, la Comisión Nacional de Energía (CNE) estructura las fórmulas tarifarias finales y sus fórmulas de indexación, las cuales, de acuerdo con los procedimientos establecidos, son fijadas mediante decreto del Ministerio de Energía. Dichas fórmulas de indexación, que son aplicadas mensualmente, reflejan las variaciones de los precios de los principales insumos que afectan los costos de la actividad de distribución de electricidad.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Dada la existencia de economías de escala en la actividad de distribución de electricidad, las empresas alcanzan anualmente rendimientos crecientes en función del aumento de sus costos y de la demanda en sus zonas de concesión, los cuales son incorporados en las tarifas reguladas y transferidos a los clientes mediante la aplicación de factores de ajuste anuales determinados por la Comisión Nacional de Energía (CNE) e incluidos en el decreto tarifario cuadrienal.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al momento de la fijación de tarifas las concesionarias deben mantener una rentabilidad agregada, esto es considerando a todas las empresas como un conjunto, dentro de una banda comprendida entre -3 puntos porcentuales por debajo y 2 puntos porcentuales por arriba de la tasa de descuento que haya sido determinada. De este modo, el retorno sobre la inversión para una distribuidora dependerá de su desempeño relativo a los estándares determinados para una empresa modelo.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7 de junio de 2024 fue publicado en el Diario Oficial el Decreto N° 5T-2024 del Ministerio de Energía, que fija las fórmulas tarifarias aplicables a clientes finales sujetos a fijación de precios regulados, las cuales tienen vigencia desde el 4 de noviembre de 2020 hasta el 3 de noviembre de 2024. No obstante, la ley establece que, una vez vencido el período de vigencia de las fórmulas tarifarias, éstas continuarán vigentes, incluidas sus cláusulas de indexación, mientras no sean fijadas las nuevas fórmulas.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Actualmente se encuentra en curso el proceso de fijación de tarifas correspondiente al cálculo de las componentes del Valor Agregado de Distribución (VAD), cuadrienio noviembre 2024–2028, cuya aplicación debió iniciarse a partir del 4 de noviembre de 2024. Así, las diferencias que se produzcan entre lo efectivamente facturado y lo que corresponda acorde a las fórmulas tarifarias que en definitiva se establezcan, deberán ser abonadas o cargadas a la cuenta de los clientes finales.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 respecto, con fecha 10 de octubre de 2025, la CNE, comunica a las empresas concesionarias de distribución, mediante la Resolución Exenta N° 626 que Aprueba Informe Técnico Preliminar del Cálculo de las componentes del Valor Agregado de Distribución, cuadrienio noviembre 2024–noviembre 2028, el que fue observado por las empresas distribuidoras dentro del plazo definido por la regulación.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Precios de servicios no consistentes en suministro de energía: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en la misma ocasión en que se fija el Valor Agregado de Distribución (VAD), cada cuatro años, se fijan los precios de los servicios no consistentes en suministros de energía, entre los cuales destacan los servicios de apoyo de redes de telecomunicaciones, arriendo de medidores y conexión y desconexión de empalmes.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procedimiento para la fijación de los precios de dichos servicios se encuentra contenido en el Decreto N° 341-2017 del Ministerio de Economía, Fomento y Reconstrucción, publicado en el Diario Oficial del 10 de marzo de 2008.</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dicho reglamento se establece que la revisión y determinación de nuevos precios de servicios no consistentes en suministro de energía, la que debe efectuarse con ocasión del proceso de fijación de tarifas de suministro de distribución, debe hacerse sobre la base de los estudios de costos del valor agregado de distribución y de criterios de eficiencia, debiendo ser plenamente coherentes. Dicha coherencia se funda en el hecho que una misma empresa es la que provee el servicio de distribución, así como los servicios no consistentes en suministro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dar cumplimiento a lo anterior, la Comisión Nacional de Energía (CNE) debe encargar un estudio de costos que es financiado, licitado y supervisado por ella, en el cual se estiman los costos del valor agregado de distribución y de los servicios no consistentes en suministro de energía. Dicho informe es sometido a la revisión de las empresas de distribución de electricidad y en caso de discrepancias, ellas son sometidas al dictamen del Panel de Expertos.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24 de julio de 2018, fue publicado en el Diario Oficial el Decreto N° 13T-2017 del Ministerio de Energía, que fija los precios de servicios no consistentes en suministros de energía, asociados a la distribución eléctrica, correspondiente al cuadrienio 2016-2020.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la Comisión Nacional de Energía (CNE), mediante Resolución Exenta N° 503 del 24 de septiembre de 2024, luego rectificada por la Resolución Exenta N° 539 del 4 de octubre de 2024, comunicó el informe técnico que fija las fórmulas tarifarias de servicios no consistentes en suministro de energía, asociados a la distribución de electricidad, del cuadrienio noviembre 2020-noviembre 2024, respecto del cual, con fecha 12 de noviembre de 2024, la Empresa Eléctrica de Magallanes en conjunto con Compañía General de Electricidad S.A. (CGE) presentaron sus discrepancias al Panel de Expertos y el 31 de marzo de 2025 el Panel evacuó sus respectivos dictámenes.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Posteriormente, la Resolución Exenta N° 395 de fecha 8 de julio de 2025, comunica a las empresas concesionarias de distribución la aprobación del Informe Técnico Definitivo “Fijación de fórmulas tarifarias de servicios no consistentes en suministro de energía, asociados a la distribución de electricidad, cuadrienio noviembre 2020-noviembre 2024”. A esta fecha no se ha emitido el decreto tarifario correspondiente.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242424"/>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1" w:name="Section10"/>
      <w:bookmarkEnd w:id="11"/>
      <w:bookmarkStart w:id="12" w:name="c00e28317fad41b7a9a3f6f96f2b12e7"/>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consolidados se detallan a continuación.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 w:name="Section11"/>
      <w:bookmarkEnd w:id="13"/>
      <w:bookmarkStart w:id="14" w:name="cef94050b3ee431bb0b9126d591cb6d0"/>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consolidados de la Sociedad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consolidados han sido preparados de acuerdo con el principio de costo, modificado por la revaluación de propiedades de inversión.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se han utilizado las políticas emanadas desde State Grid Chile Electricity SpA. para todas las subsidiarias incluidas en la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preparación de los estados financieros consolidados se han utilizado estimaciones contables críticas para cuantificar algunos activos, pasivos, ingresos y gastos. Las áreas que involucran un mayor grado de juicio o complejidad o áreas en las que los supuestos y estimaciones son significativos para los estados financieros se describen en Nota 4.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se han efectuado reclasificaciones menores para facilitar su comparación con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Estas reclasificaciones no modifican el resultado ni el patrimonio del ejercicio anterior.</w:t>
      </w:r>
    </w:p>
    <w:p>
      <w:pPr>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700"/>
        </w:tabs>
        <w:spacing w:before="0" w:after="0" w:line="288" w:lineRule="auto"/>
        <w:ind w:left="2124" w:right="0" w:hanging="711"/>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 w:name="Section12"/>
      <w:bookmarkEnd w:id="15"/>
      <w:bookmarkStart w:id="16" w:name="582e7d1daff045b2bf14be9af2cf4700"/>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3.2.1.-</w:t>
      </w:r>
      <w:r>
        <w:rPr>
          <w:rFonts w:ascii="Calibri" w:eastAsia="Calibri" w:hAnsi="Calibri" w:cs="Calibri"/>
          <w:b w:val="0"/>
          <w:i w:val="0"/>
          <w:sz w:val="20"/>
        </w:rPr>
        <w:tab/>
      </w:r>
      <w:r>
        <w:rPr>
          <w:rFonts w:ascii="Calibri" w:eastAsia="Calibri" w:hAnsi="Calibri" w:cs="Calibri"/>
          <w:b w:val="0"/>
          <w:i w:val="0"/>
          <w:sz w:val="20"/>
        </w:rPr>
        <w:t xml:space="preserve">En agosto de 2023, el IASB emitió </w:t>
      </w:r>
      <w:r>
        <w:rPr>
          <w:rFonts w:ascii="Calibri" w:eastAsia="Calibri" w:hAnsi="Calibri" w:cs="Calibri"/>
          <w:b w:val="0"/>
          <w:i w:val="0"/>
          <w:color w:val="000000"/>
          <w:sz w:val="20"/>
          <w:u w:val="none"/>
        </w:rPr>
        <w:t>enmiendas</w:t>
      </w:r>
      <w:r>
        <w:rPr>
          <w:rFonts w:ascii="Calibri" w:eastAsia="Calibri" w:hAnsi="Calibri" w:cs="Calibri"/>
          <w:b w:val="0"/>
          <w:i w:val="0"/>
          <w:sz w:val="20"/>
        </w:rPr>
        <w:t xml:space="preserve"> a la NIC 21 “Efectos de las Variaciones en las Tasas de Cambio”, ellas es</w:t>
      </w:r>
      <w:r>
        <w:rPr>
          <w:rFonts w:ascii="Calibri" w:eastAsia="Calibri" w:hAnsi="Calibri" w:cs="Calibri"/>
          <w:b w:val="0"/>
          <w:i w:val="0"/>
          <w:color w:val="000000"/>
          <w:sz w:val="20"/>
          <w:u w:val="none"/>
        </w:rPr>
        <w:t>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Las enmiendas entran en vigencia para </w:t>
      </w:r>
      <w:r>
        <w:rPr>
          <w:rFonts w:ascii="Calibri" w:eastAsia="Calibri" w:hAnsi="Calibri" w:cs="Calibri"/>
          <w:b w:val="0"/>
          <w:i w:val="0"/>
          <w:color w:val="000000"/>
          <w:sz w:val="20"/>
          <w:u w:val="none"/>
        </w:rPr>
        <w:t>los</w:t>
      </w:r>
      <w:r>
        <w:rPr>
          <w:rFonts w:ascii="Calibri" w:eastAsia="Calibri" w:hAnsi="Calibri" w:cs="Calibri"/>
          <w:b w:val="0"/>
          <w:i w:val="0"/>
          <w:sz w:val="20"/>
        </w:rPr>
        <w:t xml:space="preserve"> ejercicios anuales que comiencen a partir del 1 de enero de 2025. Al aplicar las enmiendas, no está permitido reexpresar la información comparativa.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adopción de esta </w:t>
      </w:r>
      <w:r>
        <w:rPr>
          <w:rFonts w:ascii="Calibri" w:eastAsia="Calibri" w:hAnsi="Calibri" w:cs="Calibri"/>
          <w:b w:val="0"/>
          <w:i w:val="0"/>
          <w:color w:val="000000"/>
          <w:sz w:val="20"/>
          <w:u w:val="none"/>
        </w:rPr>
        <w:t>norma</w:t>
      </w:r>
      <w:r>
        <w:rPr>
          <w:rFonts w:ascii="Calibri" w:eastAsia="Calibri" w:hAnsi="Calibri" w:cs="Calibri"/>
          <w:b w:val="0"/>
          <w:i w:val="0"/>
          <w:sz w:val="20"/>
        </w:rPr>
        <w:t xml:space="preserve"> y su enmienda no generó impactos en los estados financieros consolidados de la Sociedad en la fecha de aplicación inicial.</w:t>
      </w: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700"/>
        </w:tabs>
        <w:spacing w:before="0" w:after="0" w:line="288" w:lineRule="auto"/>
        <w:ind w:left="212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17" w:name="Section13"/>
      <w:bookmarkEnd w:id="17"/>
      <w:bookmarkStart w:id="18" w:name="197432bcd36b4ba88e4e070855bad56b"/>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bookmarkEnd w:id="18"/>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3.3.1.-</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Las enmiendas serán efectivas para los períodos anuales que comiencen a partir del 1 de enero de 2026. Las entidades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Los nuevos requisitos se aplicarán retrospectivamente con un ajuste en el saldo de apertura de los resultados acumulados. No es necesario reexpresar períodos anteriores. Además, se requiere que una entidad revele información sobre los activos financieros que cambian su categoría de medición debido a las modificaciones.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3.3.2.-</w:t>
      </w:r>
      <w:r>
        <w:rPr>
          <w:rFonts w:ascii="Calibri" w:eastAsia="Calibri" w:hAnsi="Calibri" w:cs="Calibri"/>
          <w:b w:val="0"/>
          <w:i w:val="0"/>
          <w:color w:val="000000"/>
          <w:sz w:val="20"/>
          <w:u w:val="none"/>
        </w:rPr>
        <w:tab/>
      </w:r>
      <w:r>
        <w:rPr>
          <w:rFonts w:ascii="Calibri" w:eastAsia="Calibri" w:hAnsi="Calibri" w:cs="Calibri"/>
          <w:b w:val="0"/>
          <w:i w:val="0"/>
          <w:sz w:val="20"/>
        </w:rPr>
        <w:t>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Estas enmiendas aplican para los períodos de presentación de informes anuales que comiencen a partir del 1 de enero de 2026. Se permite su aplicación anticipada.</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3.3.3.-</w:t>
      </w:r>
      <w:r>
        <w:rPr>
          <w:rFonts w:ascii="Calibri" w:eastAsia="Calibri" w:hAnsi="Calibri" w:cs="Calibri"/>
          <w:b w:val="0"/>
          <w:i w:val="0"/>
          <w:color w:val="000000"/>
          <w:sz w:val="20"/>
          <w:u w:val="none"/>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2124"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3.3.4.-</w:t>
      </w:r>
      <w:r>
        <w:rPr>
          <w:rFonts w:ascii="Calibri" w:eastAsia="Calibri" w:hAnsi="Calibri" w:cs="Calibri"/>
          <w:b w:val="0"/>
          <w:i w:val="0"/>
          <w:sz w:val="20"/>
        </w:rPr>
        <w:tab/>
      </w:r>
      <w:r>
        <w:rPr>
          <w:rFonts w:ascii="Calibri" w:eastAsia="Calibri" w:hAnsi="Calibri" w:cs="Calibri"/>
          <w:b w:val="0"/>
          <w:i w:val="0"/>
          <w:sz w:val="20"/>
        </w:rPr>
        <w:t>En abril de 2024, el IASB emitió la NIIF 18 “Presentación e Información a Revelar en los Estados Financieros”, que sustituye a la NIC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18 y todas las modificaciones consiguientes entran en vigor para los ejercicios que comiencen a partir del 1 de enero de 2027, permitiéndose su aplicación anticipada. Se requiere su aplicación retroactiva.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 xml:space="preserve">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 </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19 entrará en vigor para los períodos sobre los que se informa que comiencen a partir del 1 de enero de 2027, permitiéndose su aplicación anticipada. </w:t>
      </w:r>
    </w:p>
    <w:p>
      <w:pPr>
        <w:keepNext w:val="0"/>
        <w:keepLines/>
        <w:pageBreakBefore w:val="0"/>
        <w:widowControl w:val="0"/>
        <w:numPr>
          <w:ilvl w:val="0"/>
          <w:numId w:val="0"/>
        </w:numPr>
        <w:tabs>
          <w:tab w:val="left" w:pos="700"/>
        </w:tabs>
        <w:spacing w:before="0" w:after="0" w:line="288" w:lineRule="auto"/>
        <w:ind w:left="2160" w:right="0" w:hanging="708"/>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u w:val="none"/>
        </w:rPr>
        <w:t>3.3.6.-</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tabs>
          <w:tab w:val="left" w:pos="700"/>
        </w:tabs>
        <w:spacing w:before="0" w:after="0" w:line="288" w:lineRule="auto"/>
        <w:ind w:left="2126"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216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3.3.7.-</w:t>
      </w:r>
      <w:r>
        <w:rPr>
          <w:rFonts w:ascii="Calibri" w:eastAsia="Calibri" w:hAnsi="Calibri" w:cs="Calibri"/>
          <w:b w:val="0"/>
          <w:i w:val="0"/>
          <w:sz w:val="20"/>
        </w:rPr>
        <w:tab/>
      </w:r>
      <w:r>
        <w:rPr>
          <w:rFonts w:ascii="Calibri" w:eastAsia="Calibri" w:hAnsi="Calibri" w:cs="Calibri"/>
          <w:b w:val="0"/>
          <w:i w:val="0"/>
          <w:sz w:val="20"/>
        </w:rPr>
        <w:t>En noviembre de 2025, el IASB emitió las Enmiendas a los Ejemplos Ilustrativos de las NIIF 7, NIIF 18, NIC 1, NIC 8, NIC 36 y NIC 37 – Rev</w:t>
      </w:r>
      <w:r>
        <w:rPr>
          <w:rFonts w:ascii="Calibri" w:eastAsia="Calibri" w:hAnsi="Calibri" w:cs="Calibri"/>
          <w:b w:val="0"/>
          <w:i w:val="0"/>
          <w:sz w:val="20"/>
        </w:rPr>
        <w:t>e</w:t>
      </w:r>
      <w:r>
        <w:rPr>
          <w:rFonts w:ascii="Calibri" w:eastAsia="Calibri" w:hAnsi="Calibri" w:cs="Calibri"/>
          <w:b w:val="0"/>
          <w:i w:val="0"/>
          <w:sz w:val="20"/>
        </w:rPr>
        <w:t>laciones sobre Incertidumbres en los Estados Financieros (“los ejemplos”), que agregaron ejemplos ilustrativos a varias normas contables NIIF.</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88" w:lineRule="auto"/>
        <w:ind w:left="2126" w:right="0" w:firstLine="0"/>
        <w:jc w:val="both"/>
        <w:outlineLvl w:val="9"/>
        <w:rPr>
          <w:rFonts w:ascii="Aptos" w:eastAsia="Aptos" w:hAnsi="Aptos" w:cs="Aptos"/>
          <w:b w:val="0"/>
          <w:i w:val="0"/>
          <w:sz w:val="24"/>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Juicios relacionados con la materialidad.</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76" w:lineRule="auto"/>
        <w:ind w:left="-11" w:right="0" w:firstLine="77"/>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 xml:space="preserve">3.3.8.- </w:t>
      </w:r>
      <w:r>
        <w:rPr>
          <w:rFonts w:ascii="Calibri" w:eastAsia="Calibri" w:hAnsi="Calibri" w:cs="Calibri"/>
          <w:b w:val="0"/>
          <w:i w:val="0"/>
          <w:sz w:val="20"/>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w:t>
      </w:r>
      <w:r>
        <w:rPr>
          <w:rFonts w:ascii="Calibri" w:eastAsia="Calibri" w:hAnsi="Calibri" w:cs="Calibri"/>
          <w:b w:val="0"/>
          <w:i w:val="0"/>
          <w:color w:val="000000"/>
          <w:sz w:val="20"/>
          <w:u w:val="none"/>
        </w:rPr>
        <w:t>Administración</w:t>
      </w:r>
      <w:r>
        <w:rPr>
          <w:rFonts w:ascii="Calibri" w:eastAsia="Calibri" w:hAnsi="Calibri" w:cs="Calibri"/>
          <w:b w:val="0"/>
          <w:i w:val="0"/>
          <w:sz w:val="20"/>
        </w:rPr>
        <w:t xml:space="preserve"> la Sociedad estima qu</w:t>
      </w:r>
      <w:r>
        <w:rPr>
          <w:rFonts w:ascii="Calibri" w:eastAsia="Calibri" w:hAnsi="Calibri" w:cs="Calibri"/>
          <w:b w:val="0"/>
          <w:i w:val="0"/>
          <w:color w:val="000000"/>
          <w:sz w:val="20"/>
          <w:u w:val="none"/>
        </w:rPr>
        <w:t>e la adopción de las Normas, Enmiendas e Interpretaciones y que pudiesen aplicar a la S</w:t>
      </w:r>
      <w:r>
        <w:rPr>
          <w:rFonts w:ascii="Calibri" w:eastAsia="Calibri" w:hAnsi="Calibri" w:cs="Calibri"/>
          <w:b w:val="0"/>
          <w:i w:val="0"/>
          <w:sz w:val="20"/>
        </w:rPr>
        <w:t>ociedad, no tendrán un impacto significativo en los estados financieros consolidados en el ejercicio de su primera aplicación.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9" w:name="Section14"/>
      <w:bookmarkEnd w:id="19"/>
      <w:bookmarkStart w:id="20" w:name="e2e6ee4ecb7540118bb06abfafd8e5ca"/>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Bases de consolidación.</w:t>
      </w: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bookmarkEnd w:id="20"/>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Subsidiarias o filiales.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Subsidiarias o filiales son todas las entidades (incluidas las entidades de cometido especial) sobre las que CGE Magallanes S.A. tiene el control. Se considera que se mantiene control cuando: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tiene el poder sobre la entidad;</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está expuesto, o tiene derecho, a retornos variables procedentes de su implicación en las sociedades.</w:t>
      </w:r>
    </w:p>
    <w:p>
      <w:pPr>
        <w:pStyle w:val="Normal-wk"/>
        <w:keepNext w:val="0"/>
        <w:keepLines/>
        <w:pageBreakBefore w:val="0"/>
        <w:widowControl w:val="0"/>
        <w:numPr>
          <w:ilvl w:val="0"/>
          <w:numId w:val="14"/>
        </w:numPr>
        <w:spacing w:before="0" w:after="16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tiene la capacidad de afectar los retornos mediante su poder sobre la entidad. </w:t>
      </w: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que CGE Magallanes S.A. tiene poder sobre una entidad, cuando tiene derechos existentes que le otorgan la capacidad presente de dirigir las actividades relevantes, eso es, las actividades que afectan de manera significativa los retornos de la entidad. El poder sobre sus subsidiarias se deriva de la posesión de la mayoría de los derechos de voto otorgados por instrumentos de capital de las subsidiarias.</w:t>
      </w:r>
    </w:p>
    <w:p>
      <w:pPr>
        <w:keepNext w:val="0"/>
        <w:keepLines/>
        <w:pageBreakBefore w:val="0"/>
        <w:widowControl w:val="0"/>
        <w:numPr>
          <w:ilvl w:val="0"/>
          <w:numId w:val="0"/>
        </w:numPr>
        <w:spacing w:before="0" w:after="0" w:line="288" w:lineRule="auto"/>
        <w:ind w:left="2124" w:right="0" w:firstLine="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hora de evaluar si la Sociedad controla otra entidad, se considera la existencia y el efecto de los derechos potenciales de voto que sean actualmente ejercibles o convertibles. Las subsidiarias se consolidan a partir de la fecha en que se transfiere el control y se excluyen de la consolidación en la fecha en que cesa 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contabilizar la adquisición de subsidiarias se utiliza el método de adquisición. El costo de adquisición es el valor razonable de los activos entregados, de los instrumentos de patrimonio emitidos y de los pasivos incurridos o asumidos en la </w:t>
      </w:r>
      <w:r>
        <w:rPr>
          <w:rFonts w:ascii="Calibri" w:eastAsia="Calibri" w:hAnsi="Calibri" w:cs="Calibri"/>
          <w:b w:val="0"/>
          <w:i w:val="0"/>
          <w:color w:val="000000"/>
          <w:sz w:val="20"/>
          <w:u w:val="none"/>
        </w:rPr>
        <w:t>fecha</w:t>
      </w:r>
      <w:r>
        <w:rPr>
          <w:rFonts w:ascii="Calibri" w:eastAsia="Calibri" w:hAnsi="Calibri" w:cs="Calibri"/>
          <w:b w:val="0"/>
          <w:i w:val="0"/>
          <w:color w:val="000000"/>
          <w:sz w:val="20"/>
          <w:u w:val="none"/>
        </w:rPr>
        <w:t xml:space="preserve"> de intercambio. El precio pagado determinado incluye el valor justo de activos o pasivos resultantes de cualquier acuerdo contingente de precio. Los costos relacionados con la adquisición son cargados a resultados tan pronto son incurridos. Los activos identificables adquiridos y los pasivos y contingencias identificables asumidos en una combinación de negocios se valoran inicialmente por su valor razonable a la fecha de adquisición, con independencia del alcance de las participaciones no controladoras, el cual incluiría cualquier activo o pasivo contingente a su valor justo. Según cada adquisición, CGE Magallanes S.A. reconoce el interés no controlador a su valor razonable o al valor proporcional del interés no controlante sobre el valor justo de los activos netos adquiridos. El exceso del costo de adquisición sobre el valor razonable de la participación de la Sociedad en los activos netos identificables adquiridos se reconoce como menor valor o plusvalía comprada (goodwill). Si el costo de adquisición es menor que el valor razonable de los activos netos de la subsidiaria adquirida, la diferencia se reconoce directamente en el estado de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eliminan las transacciones </w:t>
      </w:r>
      <w:r>
        <w:rPr>
          <w:rFonts w:ascii="Calibri" w:eastAsia="Calibri" w:hAnsi="Calibri" w:cs="Calibri"/>
          <w:b w:val="0"/>
          <w:i w:val="0"/>
          <w:color w:val="000000"/>
          <w:sz w:val="20"/>
          <w:u w:val="none"/>
        </w:rPr>
        <w:t>intercompañías</w:t>
      </w:r>
      <w:r>
        <w:rPr>
          <w:rFonts w:ascii="Calibri" w:eastAsia="Calibri" w:hAnsi="Calibri" w:cs="Calibri"/>
          <w:b w:val="0"/>
          <w:i w:val="0"/>
          <w:color w:val="000000"/>
          <w:sz w:val="20"/>
          <w:u w:val="none"/>
        </w:rPr>
        <w:t>, los saldos y las ganancias no realizadas por transacciones entre entidades relacionadas. Las pérdidas no realizadas también se eliminan, a menos que la transacción proporcione evidencia de una pérdida por deterioro del activo transferido. Cuando es necesario, para asegurar su uniformidad con las políticas adoptadas por CGE Magallanes S.A., se modifican las políticas contables de la subsidiaria.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trata las transacciones con las participaciones no controladoras como si fueran transacciones con accionistas del Grupo. En el caso de adquisiciones de participaciones no controladoras, la diferencia entre cualquier retribución pagada y la correspondiente participación en el valor en libros de los activos netos adquiridos de la subsidiaria se reconoce en el patrimonio. Las ganancias y pérdidas por bajas a favor de la participación no controladora, mientras se mantenga el control, también se reconocen en el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CGE Magallanes S.A. deja de tener control o influencia significativa, cualquier interés retenido en la entidad es remedido a valor razonable con impacto en resultados. El valor razonable es el valor inicial para propósitos de su contabilización posterior como asociada, negocio conjunto o activo financiero. Los importes correspondientes previamente reconocidos en Otros Resultados Integrales son reclasificados a resultados.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1" w:name="Section15"/>
      <w:bookmarkEnd w:id="21"/>
      <w:bookmarkStart w:id="22" w:name="8765e01c3a224db1ae3f6b5c5bcb46b7"/>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Entidades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directa.</w:t>
      </w:r>
    </w:p>
    <w:p>
      <w:pPr>
        <w:keepNext w:val="0"/>
        <w:keepLines/>
        <w:pageBreakBefore w:val="0"/>
        <w:widowControl w:val="0"/>
        <w:numPr>
          <w:ilvl w:val="0"/>
          <w:numId w:val="0"/>
        </w:numPr>
        <w:spacing w:before="0" w:after="0" w:line="288" w:lineRule="auto"/>
        <w:ind w:left="2124" w:right="0" w:hanging="711"/>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3015"/>
        <w:gridCol w:w="795"/>
        <w:gridCol w:w="2235"/>
        <w:gridCol w:w="795"/>
        <w:gridCol w:w="900"/>
        <w:gridCol w:w="900"/>
        <w:gridCol w:w="900"/>
        <w:gridCol w:w="900"/>
      </w:tblGrid>
      <w:tr>
        <w:tblPrEx>
          <w:tblW w:w="11445" w:type="dxa"/>
          <w:tblInd w:w="2126" w:type="dxa"/>
          <w:tblLayout w:type="fixed"/>
        </w:tblPrEx>
        <w:trPr>
          <w:cantSplit/>
          <w:trHeight w:hRule="auto" w:val="0"/>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30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sociedad</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w:t>
            </w:r>
          </w:p>
        </w:tc>
        <w:tc>
          <w:tcPr>
            <w:tcW w:w="22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Domicilio subsidiaria</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 funcional</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Porcentaje de participación en el capital </w:t>
            </w:r>
            <w:r>
              <w:br/>
            </w:r>
            <w:r>
              <w:rPr>
                <w:rFonts w:ascii="Calibri" w:eastAsia="Calibri" w:hAnsi="Calibri" w:cs="Calibri"/>
                <w:b/>
                <w:i w:val="0"/>
                <w:color w:val="FFFFFF"/>
                <w:sz w:val="16"/>
                <w:u w:val="none"/>
              </w:rPr>
              <w:t>y en los votos</w:t>
            </w:r>
          </w:p>
        </w:tc>
      </w:tr>
      <w:tr>
        <w:tblPrEx>
          <w:tblW w:w="11445" w:type="dxa"/>
          <w:tblInd w:w="2126" w:type="dxa"/>
          <w:tblLayout w:type="fixed"/>
        </w:tblPrEx>
        <w:trPr>
          <w:cantSplit/>
          <w:trHeight w:hRule="auto" w:val="0"/>
        </w:trPr>
        <w:tc>
          <w:tcPr>
            <w:tcW w:w="1005" w:type="dxa"/>
            <w:vMerge/>
            <w:tcBorders>
              <w:top w:val="nil"/>
              <w:left w:val="single" w:sz="2" w:space="0" w:color="000000"/>
              <w:bottom w:val="nil"/>
              <w:right w:val="nil"/>
            </w:tcBorders>
          </w:tcPr>
          <w:p>
            <w:pPr>
              <w:keepNext/>
              <w:pageBreakBefore w:val="0"/>
            </w:pPr>
          </w:p>
        </w:tc>
        <w:tc>
          <w:tcPr>
            <w:tcW w:w="301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223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270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1445" w:type="dxa"/>
          <w:tblInd w:w="2126"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301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223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144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88.221.200-9 </w:t>
            </w:r>
          </w:p>
        </w:tc>
        <w:tc>
          <w:tcPr>
            <w:tcW w:w="30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Empresa Eléctrica de Magallanes S.A.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Chile </w:t>
            </w:r>
          </w:p>
        </w:tc>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Croacia 444 Punta Arenas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24"/>
              </w:tabs>
              <w:spacing w:before="0" w:after="0" w:line="240" w:lineRule="auto"/>
              <w:jc w:val="right"/>
            </w:pPr>
            <w:r>
              <w:rPr>
                <w:rFonts w:ascii="Calibri" w:eastAsia="Calibri" w:hAnsi="Calibri" w:cs="Calibri"/>
                <w:b w:val="0"/>
                <w:i w:val="0"/>
                <w:color w:val="000000"/>
                <w:sz w:val="16"/>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r>
    </w:tbl>
    <w:p>
      <w:pPr>
        <w:keepNext w:val="0"/>
        <w:keepLines/>
        <w:pageBreakBefore w:val="0"/>
        <w:widowControl w:val="0"/>
        <w:numPr>
          <w:ilvl w:val="0"/>
          <w:numId w:val="0"/>
        </w:numPr>
        <w:spacing w:before="0" w:after="0" w:line="288" w:lineRule="auto"/>
        <w:ind w:left="2124" w:right="0" w:hanging="71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Cambios en el perímetro de consolidación.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se han producido cambios en el perímetro de consolidación directo de la subsidiaria para el ejercicio terminado al 31 de diciembre de 2025 y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6"/>
          <w:footerReference w:type="default" r:id="rId17"/>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 w:name="Section16"/>
      <w:bookmarkEnd w:id="23"/>
      <w:bookmarkStart w:id="24" w:name="224b6ab3e579480abb3cadaf0972f18a"/>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cada una de las entidades de la Sociedad se valoran utilizando la moneda del entorno económico principal en que la entidad opera (“moneda funcional”). La moneda funcional de CGE Magallanes S.A. es el Peso chileno, que constituye además la moneda de presentación de los estados financieros consolidados.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4680" w:type="dxa"/>
        <w:tblInd w:w="2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tblGrid>
      <w:tr>
        <w:tblPrEx>
          <w:tblW w:w="4680" w:type="dxa"/>
          <w:tblInd w:w="2171"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r>
      <w:tr>
        <w:tblPrEx>
          <w:tblW w:w="4680" w:type="dxa"/>
          <w:tblInd w:w="2171"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r>
      <w:tr>
        <w:tblPrEx>
          <w:tblW w:w="4680" w:type="dxa"/>
          <w:tblInd w:w="2171"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39.727,96</w:t>
            </w: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tbl>
      <w:tblPr>
        <w:tblW w:w="342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700"/>
      </w:tblGrid>
      <w:tr>
        <w:tblPrEx>
          <w:tblW w:w="3420" w:type="dxa"/>
          <w:tblInd w:w="2160"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CL $</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Pesos chilenos</w:t>
            </w:r>
          </w:p>
        </w:tc>
      </w:tr>
      <w:tr>
        <w:tblPrEx>
          <w:tblW w:w="3420" w:type="dxa"/>
          <w:tblInd w:w="2160"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US $</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Dólares estadounidenses</w:t>
            </w:r>
          </w:p>
        </w:tc>
      </w:tr>
      <w:tr>
        <w:tblPrEx>
          <w:tblW w:w="3420" w:type="dxa"/>
          <w:tblInd w:w="2160"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UF</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Unidades de fomento</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8"/>
          <w:footerReference w:type="default" r:id="rId19"/>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 w:name="Section17"/>
      <w:bookmarkEnd w:id="25"/>
      <w:bookmarkStart w:id="26" w:name="866d235ca7bd4794a560fc9d3b1b254b"/>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eléctrico, para los que se toman las decisiones estratégicas. Esta información se detalla en Nota 31.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 w:name="Section18"/>
      <w:bookmarkEnd w:id="27"/>
      <w:bookmarkStart w:id="28" w:name="eb36766e62db40f09cb6417bee140d0e"/>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y subsidiaria,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período o ejercicio en el que se incurren.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incluyen los siguientes conceptos devengados únicamente durante el período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6"/>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período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 con excepción de las unidades de generación, las cuales se deprecian en base a horas de uso.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pérdidas y ganancias por la venta de una propiedad, planta y equipo se calculan comparando los ingresos obtenidos con el valor en libros y se incluyen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0" w:right="0" w:firstLine="709"/>
        <w:jc w:val="both"/>
        <w:outlineLvl w:val="1"/>
        <w:rPr>
          <w:rFonts w:ascii="Calibri" w:eastAsia="Calibri" w:hAnsi="Calibri" w:cs="Calibri"/>
          <w:b/>
          <w:i w:val="0"/>
          <w:color w:val="000000"/>
          <w:sz w:val="20"/>
          <w:u w:val="none"/>
        </w:rPr>
      </w:pPr>
      <w:bookmarkStart w:id="29" w:name="Section19"/>
      <w:bookmarkEnd w:id="29"/>
      <w:bookmarkStart w:id="30" w:name="3f75530253b2494f8a2253896a591220"/>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incluyen principalmente los terrenos y construcciones que se mantienen con el propósito de obtener ganancias en futuras ventas (fuera del curso ordinario de los negocios), plusvalías, o bien explotarlos bajo un régimen de arrendamientos, y no son ocupados por CGE Magallanes S.A. y subsidiaria. El criterio de valorización inicial de las propiedades de inversión es al costo y la medición posterior es a su valor razonable, por medio de retasaciones independientes que reflejan su valor de mercado.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o ganancias derivadas de un cambio en el valor razonable de las propiedades de inversión se incluyen en el resultado del ejercicio en que se generan, y se presentan en el rubro otras ganancias (pérdidas) del estado de resultados por función.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da de baja cuando se enajene o disponga de la misma por otra vía, o cuando no se espere obtener beneficios económicos futuros por su utilización, enajenación o disposición por otra vía.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que surgen en la venta o retiro de propiedades de inversión se reconocen en los resultados del ejercicio y se determina como la diferencia entre el valor de venta y el valor neto contable del activo.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alquileres de propiedades de inversión se reconocen como otros ingresos durante el plazo del arrendamiento. Los incentivos de arrendamiento otorgados, en caso de existir, se reconocen como parte integral de los ingresos totales por arrendamiento, durante el plazo del arrendamiento.</w:t>
      </w:r>
    </w:p>
    <w:p>
      <w:pPr>
        <w:keepNext/>
        <w:keepLines/>
        <w:pageBreakBefore w:val="0"/>
        <w:widowControl w:val="0"/>
        <w:numPr>
          <w:ilvl w:val="0"/>
          <w:numId w:val="0"/>
        </w:numPr>
        <w:spacing w:before="0" w:after="0" w:line="288" w:lineRule="auto"/>
        <w:ind w:left="0" w:right="0" w:firstLine="708"/>
        <w:jc w:val="both"/>
        <w:outlineLvl w:val="9"/>
        <w:rPr>
          <w:rFonts w:ascii="Times New Roman" w:eastAsia="Times New Roman" w:hAnsi="Times New Roman" w:cs="Times New Roman"/>
          <w:b/>
          <w:i w:val="0"/>
          <w:color w:val="000000"/>
          <w:sz w:val="20"/>
          <w:u w:val="none"/>
        </w:rPr>
      </w:pPr>
    </w:p>
    <w:p>
      <w:pPr>
        <w:keepNext/>
        <w:keepLines/>
        <w:pageBreakBefore w:val="0"/>
        <w:widowControl w:val="0"/>
        <w:numPr>
          <w:ilvl w:val="0"/>
          <w:numId w:val="0"/>
        </w:numPr>
        <w:spacing w:before="0" w:after="0" w:line="288" w:lineRule="auto"/>
        <w:ind w:left="0" w:right="0" w:firstLine="708"/>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1" w:name="Section20"/>
      <w:bookmarkEnd w:id="31"/>
      <w:bookmarkStart w:id="32" w:name="48952d3c46504256bae6ff830d8e4782"/>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2"/>
    </w:p>
    <w:p>
      <w:pPr>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sz w:val="20"/>
        </w:rPr>
      </w:pPr>
      <w:r>
        <w:rPr>
          <w:rFonts w:ascii="Calibri" w:eastAsia="Calibri" w:hAnsi="Calibri" w:cs="Calibri"/>
          <w:b w:val="0"/>
          <w:i w:val="0"/>
          <w:sz w:val="20"/>
        </w:rPr>
        <w:t xml:space="preserve">3.10.1.- </w:t>
      </w:r>
      <w:r>
        <w:rPr>
          <w:rFonts w:ascii="Calibri" w:eastAsia="Calibri" w:hAnsi="Calibri" w:cs="Calibri"/>
          <w:b w:val="0"/>
          <w:i w:val="0"/>
          <w:sz w:val="20"/>
        </w:rPr>
        <w:tab/>
      </w:r>
      <w:r>
        <w:rPr>
          <w:rFonts w:ascii="Calibri" w:eastAsia="Calibri" w:hAnsi="Calibri" w:cs="Calibri"/>
          <w:b w:val="0"/>
          <w:i w:val="0"/>
          <w:sz w:val="20"/>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derechos de servidumbre se presentan a costo o al valor asignado en una combinación de negocios. La explotación de dichos derechos en general no tiene una vida útil definida, por lo cual no estarán afectos a amortización. Sin embargo, la vida útil indefinida es objeto de revisión en cada ejercicio para el que se presente información, para determinar si la consideración de vida útil indefinida sigue siendo aplicable. Estos activos se someten a pruebas por deterioro de valor anualmente.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3.10.2.-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la Sociedad,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de se revisan en cada fecha de presentación y se ajustan si corresponde.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3" w:name="Section21"/>
      <w:bookmarkEnd w:id="33"/>
      <w:bookmarkStart w:id="34" w:name="45719daceae046788f27a99d3d2138d9"/>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34"/>
    </w:p>
    <w:p>
      <w:pPr>
        <w:pStyle w:val="Normal-wk"/>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por intereses incurridos para la construcción de cualquier activo apto se capitalizan durante el período de tiempo que es necesario para completar y preparar el activo para el uso que se pretende. Otros costos por intereses se registran en resultados (costos financieros). Se entiende por activo apto aquel que requiere de un período sustancial antes de estar listo para el uso a que está destinado o para la venta.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5" w:name="Section22"/>
      <w:bookmarkEnd w:id="35"/>
      <w:bookmarkStart w:id="36" w:name="7d07369294b94f4886ad37cc9b98f4e0"/>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7" w:name="Section23"/>
      <w:bookmarkEnd w:id="37"/>
      <w:bookmarkStart w:id="38" w:name="4dbc3c47ad85454982f96088c681d857"/>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no corrientes mantenidos para la venta y grupos en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no corrientes (y grupos en disposición) son clasificados como disponibles para la venta cuando su valor de libros será recuperado principalmente a través de una transacción de venta y la venta es considerada altamente probable dentro de los siguientes 12 meses. Estos activos se registran al valor de libros o al valor razonable menos costos necesarios para efectuar su venta, el que fuera menor. Se reconoce una pérdida o ganancia por disposición de activos no corrientes mantenidos para la venta en el rubro Otras ganancias (pérdidas) en el ejercicio de su realización.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en la clasificación inicial como mantenido para la venta o grupo en disposición y las ganancias y pérdidas subsiguientes por la nueva medición se reconocen en resultados del ejercicio.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Una vez clasificados como mantenidos para la venta, los activos intangibles y las propiedades, planta y equipo no se amortizarán o depreciarán, y cualquier inversión contabilizada por el método de la participación no se le aplicará dicho método.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9" w:name="Section24"/>
      <w:bookmarkEnd w:id="39"/>
      <w:bookmarkStart w:id="40" w:name="d643ca3d77294092a5058fc37ec2005c"/>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40"/>
    </w:p>
    <w:p>
      <w:pPr>
        <w:pStyle w:val="CarCar3"/>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miden inicialmente un activo financiero a su valor razonable más, en el caso de un activo financiero que no se encuentra al valor razonable con cambios en resultados, los costos de transacción.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del Grupo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CGE Magallanes S.A. y subsidiaria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7"/>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248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16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en otro resultado integral, con ganancias o pérdidas recicladas a resultados en el momento de su realización. Los activos financieros en esta categoría son los instrumentos de deuda cotizados del Grupo que cumplen con el criterio SPPI y se mantienen dentro de un modelo comercial tanto para cobrar los flujos de efectivo como para vender.</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capital en otro resultado integral, sin reciclaje de ganancias o pérdidas a resultados en el momento de su realización. Esta categoría solo incluye los instrumentos de capital, que el Grupo tiene la intención de mantener en el futuro previsible y que CGE Magallanes S.A. y subsidiaria han elegido irrevocablemente para clasificarlos en el reconocimiento inicial o la transición. CGE Magallanes S.A. y subsidiaria clasificaron sus instrumentos de patrimonio en otro resultado integral. </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financieros a valor razonable con cambios en resultados comprenden instrumentos derivados e instrumentos de capital cotizados que CGE Magallanes S.A. y subsidiaria no han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del Grupo.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CGE Magallanes S.A. y subsidiaria registren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y subsidiaria han establecido una matriz de provisiones que se basa en la experiencia histórica de pérdidas crediticias del Grupo,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1" w:name="Section25"/>
      <w:bookmarkEnd w:id="41"/>
      <w:bookmarkStart w:id="42" w:name="31de706722c84e8ca21455f05aa92260"/>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existencias se valorizan a su costo o a su valor neto realizable, el menor de los dos. El costo se determina de acuerdo al método de precio medio ponderado (PMP).</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3" w:name="Section26"/>
      <w:bookmarkEnd w:id="43"/>
      <w:bookmarkStart w:id="44" w:name="a6eb8d9797764f7b983eb930fdffa331"/>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4"/>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5" w:name="Section27"/>
      <w:bookmarkEnd w:id="45"/>
      <w:bookmarkStart w:id="46" w:name="4cf1b06d8e60456c91ffbdcaff10e508"/>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6"/>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7" w:name="Section28"/>
      <w:bookmarkEnd w:id="47"/>
      <w:bookmarkStart w:id="48" w:name="88fa234903ad45bdaec0ac860a5500ad"/>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1417" w:right="0" w:hanging="709"/>
        <w:jc w:val="both"/>
        <w:outlineLvl w:val="1"/>
        <w:rPr>
          <w:rFonts w:ascii="Times New Roman" w:eastAsia="Times New Roman" w:hAnsi="Times New Roman" w:cs="Times New Roman"/>
          <w:b/>
          <w:i w:val="0"/>
          <w:color w:val="000000"/>
          <w:sz w:val="24"/>
          <w:u w:val="none"/>
        </w:rPr>
      </w:pPr>
      <w:bookmarkStart w:id="49" w:name="Section29"/>
      <w:bookmarkEnd w:id="49"/>
      <w:bookmarkStart w:id="50" w:name="7bf3e46f778142acb74e5fead02d2230"/>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1" w:name="Section30"/>
      <w:bookmarkEnd w:id="51"/>
      <w:bookmarkStart w:id="52" w:name="ae7d86472f2e4c4b932237b6ab66e211"/>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2"/>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préstamos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obligaciones financieras se clasifican como pasivos corrientes a menos que la Sociedad tenga un derecho incondicional a diferir su liquidación durante al menos 12 meses después de la fecha de los estados de situación financiera.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3" w:name="Section31"/>
      <w:bookmarkEnd w:id="53"/>
      <w:bookmarkStart w:id="54" w:name="6225b49c29254e36868cb8bdd842c5ce"/>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 resultado integral o provienen de una combinación de negocios.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 sociedad y subsidiaria. Los activos por impuestos diferidos se revisan en cada fecha de presentación y se reducen en la medida en que ya no es probable que se realice el beneficio fiscal relacionado; dichas reducciones se revierten cuando mejora la probabilidad de ganancias imponibles futuras.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5" w:name="Section32"/>
      <w:bookmarkEnd w:id="55"/>
      <w:bookmarkStart w:id="56" w:name="0b74bad157b34c3c8e8829d2c68273b4"/>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6"/>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3.22.1.-</w:t>
      </w:r>
      <w:r>
        <w:rPr>
          <w:rFonts w:ascii="Calibri" w:eastAsia="Calibri" w:hAnsi="Calibri" w:cs="Calibri"/>
          <w:b w:val="0"/>
          <w:i w:val="0"/>
          <w:sz w:val="20"/>
        </w:rPr>
        <w:tab/>
      </w:r>
      <w:r>
        <w:rPr>
          <w:rFonts w:ascii="Calibri" w:eastAsia="Calibri" w:hAnsi="Calibri" w:cs="Calibri"/>
          <w:b w:val="0"/>
          <w:i w:val="0"/>
          <w:sz w:val="20"/>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Magallanes S.A. y subsidiaria reconocen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3.22.2.- Indemnizaciones por años de servicio (PIAS).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y subsidiaria constituyen pasivos por obligaciones por indemnizaciones por cese de servicios, en base a lo estipulado en los contratos colectivos e individuales del personal de su subsidiaria. Si este beneficio se encuentra pactado, la obligación se trata de acuerdo con NIC 19 (r),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 resultado integral en los períodos en los cuales ocurren. No son reciclados posteriormente.</w:t>
      </w:r>
    </w:p>
    <w:p>
      <w:pPr>
        <w:keepNext w:val="0"/>
        <w:keepLines/>
        <w:pageBreakBefore w:val="0"/>
        <w:widowControl w:val="0"/>
        <w:numPr>
          <w:ilvl w:val="0"/>
          <w:numId w:val="0"/>
        </w:numPr>
        <w:spacing w:before="0" w:after="0" w:line="288" w:lineRule="auto"/>
        <w:ind w:left="2124" w:right="0" w:firstLine="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3.22.3.- 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beneficios por cese que no califican con lo descrito en el punto 3.22.2.- se pagan cuando la relación laboral se interrumpe antes de la fecha normal de retiro o cuando un empleado acepta voluntariamente el cese a cambio de estos beneficios. La Sociedad reconoce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216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De proporcionar beneficios por cese como resultado de una oferta hecha para inc</w:t>
      </w:r>
      <w:r>
        <w:rPr>
          <w:rFonts w:ascii="Calibri" w:eastAsia="Calibri" w:hAnsi="Calibri" w:cs="Calibri"/>
          <w:b w:val="0"/>
          <w:i w:val="0"/>
          <w:color w:val="000000"/>
          <w:sz w:val="20"/>
          <w:u w:val="none"/>
        </w:rPr>
        <w:t xml:space="preserve">entivar el retiro voluntario. Los beneficios que vencen en más de 12 meses después de la fecha del estado de situación financiera, de existir, se descuentan a su valor presente.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3.22.4.-</w:t>
      </w:r>
      <w:r>
        <w:rPr>
          <w:rFonts w:ascii="Calibri" w:eastAsia="Calibri" w:hAnsi="Calibri" w:cs="Calibri"/>
          <w:b w:val="0"/>
          <w:i w:val="0"/>
          <w:sz w:val="20"/>
        </w:rPr>
        <w:tab/>
      </w:r>
      <w:r>
        <w:rPr>
          <w:rFonts w:ascii="Calibri" w:eastAsia="Calibri" w:hAnsi="Calibri" w:cs="Calibri"/>
          <w:b w:val="0"/>
          <w:i w:val="0"/>
          <w:sz w:val="20"/>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subsidiaria tiene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 resultado integral en los ejercicios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3.22.5.-</w:t>
      </w:r>
      <w:r>
        <w:rPr>
          <w:rFonts w:ascii="Calibri" w:eastAsia="Calibri" w:hAnsi="Calibri" w:cs="Calibri"/>
          <w:b w:val="0"/>
          <w:i w:val="0"/>
          <w:sz w:val="20"/>
        </w:rPr>
        <w:tab/>
      </w:r>
      <w:r>
        <w:rPr>
          <w:rFonts w:ascii="Calibri" w:eastAsia="Calibri" w:hAnsi="Calibri" w:cs="Calibri"/>
          <w:b w:val="0"/>
          <w:i w:val="0"/>
          <w:sz w:val="20"/>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un pasivo y un gasto por participación en las utilidades en base a contratos colectivos e individuales de sus trabajadores, sobre la base de una fórmula que toma en cuenta la utilidad atribuible a los accionistas de las Sociedades.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20" w:right="0" w:firstLine="0"/>
        <w:jc w:val="both"/>
        <w:outlineLvl w:val="1"/>
        <w:rPr>
          <w:rFonts w:ascii="Times New Roman" w:eastAsia="Times New Roman" w:hAnsi="Times New Roman" w:cs="Times New Roman"/>
          <w:b/>
          <w:i w:val="0"/>
          <w:color w:val="000000"/>
          <w:sz w:val="24"/>
          <w:u w:val="none"/>
        </w:rPr>
      </w:pPr>
      <w:bookmarkStart w:id="57" w:name="Section33"/>
      <w:bookmarkEnd w:id="57"/>
      <w:bookmarkStart w:id="58" w:name="c669266fd4c148e9896bb5aba8be843f"/>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Magallanes S.A. y subsidiaria reconocen una provisión cuando está obligado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provisiones para contratos onerosos, litigios y otras contingencias se reconocen cuando: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8"/>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una obligación presente, ya sea legal o constructiva, como resultado de sucesos pasados;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9"/>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probable que vaya a ser necesaria una salida de recursos para liquidar la obligación;</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0"/>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importe puede ser estimado de forma fiable. </w:t>
      </w:r>
    </w:p>
    <w:p>
      <w:pPr>
        <w:keepNext w:val="0"/>
        <w:keepLines/>
        <w:pageBreakBefore w:val="0"/>
        <w:widowControl w:val="0"/>
        <w:numPr>
          <w:ilvl w:val="0"/>
          <w:numId w:val="0"/>
        </w:numPr>
        <w:spacing w:before="0" w:after="40" w:line="288" w:lineRule="auto"/>
        <w:ind w:left="112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se valoran por el valor actual de los desembolsos que se espera que sean necesarios para liquidar la obligación usando la mejor estimación de CGE Magallanes S.A. y subsidiaria.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9" w:name="Section34"/>
      <w:bookmarkEnd w:id="59"/>
      <w:bookmarkStart w:id="60" w:name="b61ded2f46e4499eb9523d1816d3c350"/>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Subvenciones estatales.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se reconocen por su valor razonable, cuando hay una seguridad razonable de que la subvención se cobrará, y CGE Magallanes S.A. y subsidiaria cumplirán con todas las condiciones establecidas.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costos se difieren como pasivo y se reconocen en el estado de resultados durante el período necesario para correlacionarlas con los costos que pretenden compensar. Las subvenciones estatales relacionadas con la adquisición de propiedades, planta y equipo se presentan netas del valor del activo correspondiente y se abonan en el estado de resultados sobre una base lineal durante las vidas esperadas de los activos (Ley Austral y Fondo Nacional de Desarrollo Regional).</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bonificación a la mano de obra se abonan directamente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1" w:name="Section35"/>
      <w:bookmarkEnd w:id="61"/>
      <w:bookmarkStart w:id="62" w:name="b3698c4b28874aa8b62e2a72a076fe1f"/>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periodo.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3" w:name="Section36"/>
      <w:bookmarkEnd w:id="63"/>
      <w:bookmarkStart w:id="64" w:name="516115ca736f435a8121435db9c25119"/>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CGE Magallanes S.A. y subsidiaria reconocen los ingresos cuando se han cumplido satisfactoriamente los pasos establecidos en la norma y es probable que los beneficios económicos futuros vayan a fluir a la entidad y se cumplen las condiciones específicas para cada una de las actividades de CGE Magallanes S.A. y Subsidiaria, tal y como se describe a continuación: </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electricidad y servicios y recargos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contratos de la subsidiaria con clientes para la venta de energía y servicios y recargos regulados incluyen una obligación de desempeño, por lo que el ingreso por ventas de electricidad se registra en base a la facturación efectiva del período de consumo, además de incluir una estimación de energía por facturar que ha sido suministrado hasta la fecha de cierre del periodo o ejercicio.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3.26.2.-</w:t>
      </w:r>
      <w:r>
        <w:rPr>
          <w:rFonts w:ascii="Calibri" w:eastAsia="Calibri" w:hAnsi="Calibri" w:cs="Calibri"/>
          <w:b w:val="0"/>
          <w:i w:val="0"/>
          <w:sz w:val="20"/>
        </w:rPr>
        <w:tab/>
      </w:r>
      <w:r>
        <w:rPr>
          <w:rFonts w:ascii="Calibri" w:eastAsia="Calibri" w:hAnsi="Calibri" w:cs="Calibri"/>
          <w:b w:val="0"/>
          <w:i w:val="0"/>
          <w:sz w:val="20"/>
        </w:rPr>
        <w:t>Ventas de bienes.</w:t>
      </w:r>
    </w:p>
    <w:p>
      <w:pPr>
        <w:keepNext/>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ventas de bienes incluyen por lo general una obligación de desempeño, por lo que el ingreso por ventas de bienes se registra con base en la facturación efectiva.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3.26.3.-</w:t>
      </w:r>
      <w:r>
        <w:rPr>
          <w:rFonts w:ascii="Calibri" w:eastAsia="Calibri" w:hAnsi="Calibri" w:cs="Calibri"/>
          <w:b w:val="0"/>
          <w:i w:val="0"/>
          <w:sz w:val="20"/>
        </w:rPr>
        <w:tab/>
      </w:r>
      <w:r>
        <w:rPr>
          <w:rFonts w:ascii="Calibri" w:eastAsia="Calibri" w:hAnsi="Calibri" w:cs="Calibri"/>
          <w:b w:val="0"/>
          <w:i w:val="0"/>
          <w:sz w:val="20"/>
        </w:rPr>
        <w:t>Ingresos por construcción de obras.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período del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3.26.4.-</w:t>
      </w:r>
      <w:r>
        <w:rPr>
          <w:rFonts w:ascii="Calibri" w:eastAsia="Calibri" w:hAnsi="Calibri" w:cs="Calibri"/>
          <w:b w:val="0"/>
          <w:i w:val="0"/>
          <w:sz w:val="20"/>
        </w:rPr>
        <w:tab/>
      </w:r>
      <w:r>
        <w:rPr>
          <w:rFonts w:ascii="Calibri" w:eastAsia="Calibri" w:hAnsi="Calibri" w:cs="Calibri"/>
          <w:b w:val="0"/>
          <w:i w:val="0"/>
          <w:sz w:val="20"/>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por intereses se reconocen usando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5" w:name="Section37"/>
      <w:bookmarkEnd w:id="65"/>
      <w:bookmarkStart w:id="66" w:name="8c5e5a465c2240f1bc044788eb694f89"/>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6"/>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3.27.1.-</w:t>
      </w:r>
      <w:r>
        <w:rPr>
          <w:rFonts w:ascii="Calibri" w:eastAsia="Calibri" w:hAnsi="Calibri" w:cs="Calibri"/>
          <w:b w:val="0"/>
          <w:i w:val="0"/>
          <w:sz w:val="20"/>
        </w:rPr>
        <w:tab/>
      </w:r>
      <w:r>
        <w:rPr>
          <w:rFonts w:ascii="Calibri" w:eastAsia="Calibri" w:hAnsi="Calibri" w:cs="Calibri"/>
          <w:b w:val="0"/>
          <w:i w:val="0"/>
          <w:sz w:val="20"/>
        </w:rPr>
        <w:t>Cuando la Sociedad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o su subsidiaria arriendan determinadas propiedades, planta y equipo. Para los arrendamientos donde la Sociedad tiene sustancialmente todos los riesgos y beneficios inherentes a la propiedad, la Sociedad o subsidiaria reconocen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Cada pago por arrendamiento se distribuye entre el pasivo y las cargas financieras para obtener una tasa de interés constante sobre el saldo pendiente de la deuda. Las correspondientes obligaciones por arrendamiento, netas de cargas financieras, se incluyen en el rubro pasivos por arrendamientos. El elemento de interés del costo financiero se carga en el estado de resultados durante el periodo de arrendamiento de forma que se obtenga una tasa periódica constante de interés sobre el saldo restante del pasivo para cada periodo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3.27.2.-</w:t>
      </w:r>
      <w:r>
        <w:rPr>
          <w:rFonts w:ascii="Calibri" w:eastAsia="Calibri" w:hAnsi="Calibri" w:cs="Calibri"/>
          <w:b w:val="0"/>
          <w:i w:val="0"/>
          <w:sz w:val="20"/>
        </w:rPr>
        <w:tab/>
      </w:r>
      <w:r>
        <w:rPr>
          <w:rFonts w:ascii="Calibri" w:eastAsia="Calibri" w:hAnsi="Calibri" w:cs="Calibri"/>
          <w:b w:val="0"/>
          <w:i w:val="0"/>
          <w:sz w:val="20"/>
        </w:rPr>
        <w:t>Cuando la Sociedad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w:t>
      </w:r>
      <w:r>
        <w:rPr>
          <w:rFonts w:ascii="Calibri" w:eastAsia="Calibri" w:hAnsi="Calibri" w:cs="Calibri"/>
          <w:b w:val="0"/>
          <w:i w:val="0"/>
          <w:color w:val="000000"/>
          <w:sz w:val="20"/>
          <w:u w:val="none"/>
        </w:rPr>
        <w:t>a Sociedad o su subsidiaria</w:t>
      </w:r>
      <w:r>
        <w:rPr>
          <w:rFonts w:ascii="Calibri" w:eastAsia="Calibri" w:hAnsi="Calibri" w:cs="Calibri"/>
          <w:b w:val="0"/>
          <w:i w:val="0"/>
          <w:color w:val="000000"/>
          <w:sz w:val="20"/>
          <w:u w:val="none"/>
        </w:rPr>
        <w:t xml:space="preserve"> actúan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o su subsidiaria arriendan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7" w:name="Section38"/>
      <w:bookmarkEnd w:id="67"/>
      <w:bookmarkStart w:id="68" w:name="10f9d85a76fc4c36aae9c5d58163a6b6"/>
      <w:r>
        <w:rPr>
          <w:rFonts w:ascii="Calibri" w:eastAsia="Calibri" w:hAnsi="Calibri" w:cs="Calibri"/>
          <w:b/>
          <w:i w:val="0"/>
          <w:color w:val="000000"/>
          <w:sz w:val="20"/>
          <w:u w:val="none"/>
        </w:rPr>
        <w:t>3.28.-</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a pagar a los accionistas de CGE Magallanes S.A. y subsidiaria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9" w:name="Section39"/>
      <w:bookmarkEnd w:id="69"/>
      <w:bookmarkStart w:id="70" w:name="7c910e8986a04768a63651dd2db4e935"/>
      <w:r>
        <w:rPr>
          <w:rFonts w:ascii="Calibri" w:eastAsia="Calibri" w:hAnsi="Calibri" w:cs="Calibri"/>
          <w:b/>
          <w:i w:val="0"/>
          <w:color w:val="000000"/>
          <w:sz w:val="20"/>
          <w:u w:val="none"/>
        </w:rPr>
        <w:t>3.29.-</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de ventas incluyen el costo de adquisición de las materias primas e insumos necesarios para el desarrollo de los negocios de generación, distribución de energía eléctrica,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1" w:name="Section40"/>
      <w:bookmarkEnd w:id="71"/>
      <w:bookmarkStart w:id="72" w:name="702f79abfde34384b8fd703ae636baf3"/>
      <w:r>
        <w:rPr>
          <w:rFonts w:ascii="Calibri" w:eastAsia="Calibri" w:hAnsi="Calibri" w:cs="Calibri"/>
          <w:b/>
          <w:i w:val="0"/>
          <w:color w:val="000000"/>
          <w:sz w:val="20"/>
          <w:u w:val="none"/>
        </w:rPr>
        <w:t>3.30.-</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2"/>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Consolidado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del grupo, así como otras actividades que no pueden ser calificadas como de inversión o financiación.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1122" w:right="0" w:firstLine="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no han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73" w:name="Section41"/>
      <w:bookmarkEnd w:id="73"/>
      <w:bookmarkStart w:id="74" w:name="01d2c4235564470abcbf25d9d2a0a2b2"/>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4"/>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y subsidiaria efectúan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5" w:name="Section42"/>
      <w:bookmarkEnd w:id="75"/>
      <w:bookmarkStart w:id="76" w:name="e17cc7d8777a4a9897f08759cdc972b0"/>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Estimación del deterioro de activos no corrientes de vida útil indefinida.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evalúan anualmente si los activos no corrientes de vida útil indefinida han sufrido algún deterioro, de acuerdo con la política contable que se describe en la Nota 3.12. Los montos recuperables de las unidades generadoras de efectivo han sido determinados sobre la base de cálculos de sus valores en uso. Los resultados de las estimaciones efectuadas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no arrojaron deterioro alguno sobre los activos no corrientes de vida útil indefinida.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7" w:name="Section43"/>
      <w:bookmarkEnd w:id="77"/>
      <w:bookmarkStart w:id="78" w:name="35a00620613f4cb8b59d8af56bb20877"/>
      <w:r>
        <w:rPr>
          <w:rFonts w:ascii="Calibri" w:eastAsia="Calibri" w:hAnsi="Calibri" w:cs="Calibri"/>
          <w:b/>
          <w:i w:val="0"/>
          <w:color w:val="000000"/>
          <w:sz w:val="20"/>
          <w:u w:val="none"/>
        </w:rPr>
        <w:t>4.2.-</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y subsidiaria determinan la tasa de descuento al final de cada año que considera más apropiada de acuerdo a las condiciones de mercado a la fecha de valoración. Esta tasa de interés es la que utiliza la CGE Magallanes S.A. y subsidiaria para determinar el valor presente de las futuras salidas de flujos de efectivo estimadas que se prevé se requerirá para cancelar las obligaciones por planes de beneficios. Al determinar la tasa de descuento, CGE Magallanes S.A. y subsidiaria consideran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tabs>
          <w:tab w:val="left" w:pos="36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22.5 se presenta información adicional al respecto.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consolidados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79" w:name="Section44"/>
      <w:bookmarkEnd w:id="79"/>
      <w:bookmarkStart w:id="80" w:name="d88e0a4f2752498d96b18924fd425b66"/>
      <w:r>
        <w:rPr>
          <w:rFonts w:ascii="Calibri" w:eastAsia="Calibri" w:hAnsi="Calibri" w:cs="Calibri"/>
          <w:b/>
          <w:i w:val="0"/>
          <w:color w:val="000000"/>
          <w:sz w:val="20"/>
          <w:u w:val="none"/>
        </w:rPr>
        <w:t>4.3.-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 y costos de energía - Efectos de Precios de Nudo de Generación-Transmisión y Valor Agregado de Distribución.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80"/>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Sistema Eléctrico Nacional (SEN), los precios de compra de energía y potencia establecidos en los diversos contratos de suministro suscritos con generadores como resultado de los procesos licitatorios son traspasados a las tarifas de los clientes regulados mediante las fijaciones de precios de nudo promedio. En cambio, en los Sistemas Medianos (SSMM) los mismos precios son fijados mediante un proceso regulatorio denominado Estudio de Planificación y Tarificación de los sistemas medianos de Punta Arenas, Puerto Natales, Porvenir y Puerto Williams, los una vez definidos regirán para un cuadrienio.</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En este contexto, el 20 de enero de 2025 </w:t>
      </w:r>
      <w:r>
        <w:rPr>
          <w:rFonts w:ascii="Calibri" w:eastAsia="Calibri" w:hAnsi="Calibri" w:cs="Calibri"/>
          <w:b w:val="0"/>
          <w:i w:val="0"/>
          <w:color w:val="000000"/>
          <w:sz w:val="20"/>
          <w:u w:val="none"/>
        </w:rPr>
        <w:t>fue</w:t>
      </w:r>
      <w:r>
        <w:rPr>
          <w:rFonts w:ascii="Calibri" w:eastAsia="Calibri" w:hAnsi="Calibri" w:cs="Calibri"/>
          <w:b w:val="0"/>
          <w:i w:val="0"/>
          <w:sz w:val="20"/>
        </w:rPr>
        <w:t xml:space="preserve"> publicado el Decretos N° 24T-2025, del Ministerio de Energía, mediante el cual se fijan los precios de nudo promedio (PNP) para el Sistema Eléctrico Nacional (SEN) con vigencia a contar del 1 de enero de 2026. Debido a que los Sistemas Medianos (SSMM) no participan en el proceso de nudos promedios, en este decreto los precios de nudo de los sistemas medianos sólo son actualizados, mediante la aplicación de la fórmula de indexación antes fijadas, y promediados ponderadamente para fijar un precio equivalente que puede ser transferido a los clientes de la distribuidora.</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Sin perjuicio de lo anterior, debe </w:t>
      </w:r>
      <w:r>
        <w:rPr>
          <w:rFonts w:ascii="Calibri" w:eastAsia="Calibri" w:hAnsi="Calibri" w:cs="Calibri"/>
          <w:b w:val="0"/>
          <w:i w:val="0"/>
          <w:sz w:val="20"/>
        </w:rPr>
        <w:t>tenerse</w:t>
      </w:r>
      <w:r>
        <w:rPr>
          <w:rFonts w:ascii="Calibri" w:eastAsia="Calibri" w:hAnsi="Calibri" w:cs="Calibri"/>
          <w:b w:val="0"/>
          <w:i w:val="0"/>
          <w:color w:val="000000"/>
          <w:sz w:val="20"/>
          <w:u w:val="none"/>
        </w:rPr>
        <w:t xml:space="preserve"> en cuenta que el 2 de noviembre de 2019 fue publicada en el Diario Oficial la Ley N° 21.185 que crea un mecanismo transitorio de estabilización de precios de la energía eléctrica para clientes regulados. Esta ley considera esencialmente: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Entre el 1 de julio de 2019 y el 31 de diciembre de 2020, los precios que las distribuidoras traspasarán a sus clientes corresponderán a los de enero de 2019 Precio Estabilizado a Clientes (PEC).</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Entre el 1 de enero de 2021 y hasta el término del mecanismo de estabilización (diciembre de 2027), podrán traspasar los Precios de Nudo Promedio (PNP), los que no podrán superar el Precio Estabilizado a Clientes (PEC) reajustado por el Indice de Precios al Consumidor (IPC) a partir de enero de 2021, denominado PEC Ajustado.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partir de esta ley y hasta el término del mecanismo, las distribuidoras pagarán los precios de nudo promedio con un factor de ajuste que asegure la coherencia con la recaudación esperada del Precio Estabilizado a Clientes (PEC). En caso de que el cálculo de precios de nudo promedio sea mayor al Precio Estabilizado a Clientes (PEC), los precios se ajustaron a la baja; en caso contrario, fueron incrementados para cubrir saldos no recaudados.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Comisión Nacional de Energía calculó, para cada contrato (en el caso de los sistemas medianos el precio contrato es el precio fijado), las diferencias de facturación que se produzco entre el precio establecido y el precio que se hubiera aplicado de acuerdo a dicho contrato. Este saldo, expresado en dólares, fue incorporado en los decretos tarifarios semestrales.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estableció que los saldos no recaudados no devengaran interés, salvo a partir del 1 de enero de 2026 (libor de 6 meses, o su tasa equivalente, más un spread correspondiente al riesgo país a la fecha de aplicación).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considerarán para el mecanismo sólo aquellos contratos que inicien suministro antes de 2021. </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Comisión Nacional de Energía deberá establecer mediante resolución exenta las reglas necesarias para la implementación del mecanismo de estabilización.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deroga el Decreto N° 7T-2019 (precios de nudo promedio de julio de 2019), extendiéndose la vigencia del Decreto 20T-2018 hasta la publicación del decreto que corresponda dictar con posterioridad a la entrada en vigencia de la ley.</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Así, mediante Resolución Exenta N° 72-2020 del 5 de marzo de 2020, la Comisión Nacional de Energía estableció las disposiciones, procedimientos, plazos y condiciones para la implementación del señalado mecanismo transitorio de estabilización de precios de energía eléctrica establecido en la Ley N° 21.185, la cual fue rectificada por diversas resoluciones exentas, fijándose un nuevo texto refundido mediante Resolución Exenta N° 342-2021 del 9 de septiembre de 2021, modificada mediante resoluciones exentas N° 514-2021 del 30 de noviembre de 2021 y N° 283-2022 del 21 de abril de 2022.</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en este mismo contexto, el 2 de agosto de 2022 fue publicada la Ley N° 21.472, mediante la cual se crea un Fondo de Estabilización Tarifaria (FET),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(MPC – Mecanismo de protección al cliente), complementario a aquel establecido en la Ley N° 21.185, que tiene por objetivo impedir el alza de las cuentas eléctricas durante el año 2022 y permitir únicamente alzas graduales hasta 2032.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normas que regulan la operación del Fondo de Estabilización Tarifaria (FET) se encuentran establecidas en el reglamento aprobado mediante Decreto N° 49-2023 del Ministerio de Hacienda, suscrito además por el Ministro de Energía, publicado en el diario oficial el 29 de julio de 2023, mientras que las reglas necesarias para la implementación del MPC, de manera coordinada y complementaria con el mecanismo de estabilización establecido en la Ley N° 21.185 y en concordancia con los principios dispuestos en el artículo 2 de la referida ley, se establecieron mediante Resolución Exenta N° 86, de la Comisión Nacional de Energía, publicada en el diario oficial el 14 de marzo de 2023, modificada por Resolución Exenta N° 334-2023, publicada el 9 de agosto de 2023.</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particular, en la citada resolución se establece lo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procedimientos y criterios para determinar los precios a nivel de generación traspasable a los clientes regulados necesarios para la aplicación de dicho mecanismo durante toda la vigencia de este y las reglas bajo las cuales los pagos de los precios de nudo de largo plazo deben ser efectuados por las empresas concesionarias de distribución a sus respectivos suministradores durante la vigencia del Mecanismo de Protección al Cliente.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características de los Documentos de Pago emitidos por el Ministerio de Hacienda con el objeto de cubrir las diferencias que se produzcan entre la facturación de las empresas de distribución y el monto que corresponda pagar por el suministro eléctrico a las empresas de generación. La operación del Mecanismo de Protección al Cliente deberá resguardar el pago de la totalidad de los saldos originados bajo el mecanismo de estabilización de precios de la Ley N° 21.185, a más tardar, el 31 de diciembre de 2027;</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Mecanismo de Protección al Cliente regirá a partir del 2 de agosto del año 2022, fecha en que se publicó y entró en vigencia la Ley N° 21.472, y hasta la fecha en que se pague todo el saldo final restante originado por la aplicación del mismo, lo que deberá efectuarse, a más tardar, el 31 de diciembre de 2032;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Finalmente, en relación con los precios de compra de energía y potencia, el 30 de abril de 2024 se publicó en el diario oficial la Ley N° 21.667, mediante la cual se modifica diversos cuerpos legales en materia de estabilización tarifaria. Las principales materias establecidas en la ley corresponden 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Fondo de Estabilización de Tarifas tiene por objeto estabilizar las tarifas de los clientes regulados y pagar los saldos originados por las Leyes N° 21.185 y N° 21.472; será administrado por la Tesorería General de la Republica; su vigencia y los cargos que lo financian no excederán del 31 de diciembre de 2035.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relación con el Mecanismo de protección al cliente (MPC):</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Se aumenta monto de US$ 1.800 millones a </w:t>
      </w:r>
      <w:r>
        <w:rPr>
          <w:rFonts w:ascii="Calibri" w:eastAsia="Calibri" w:hAnsi="Calibri" w:cs="Calibri"/>
          <w:b w:val="0"/>
          <w:i w:val="0"/>
          <w:color w:val="000000"/>
          <w:sz w:val="20"/>
          <w:u w:val="none"/>
        </w:rPr>
        <w:t>US</w:t>
      </w:r>
      <w:r>
        <w:rPr>
          <w:rFonts w:ascii="Calibri" w:eastAsia="Calibri" w:hAnsi="Calibri" w:cs="Calibri"/>
          <w:b w:val="0"/>
          <w:i w:val="0"/>
          <w:color w:val="000000"/>
          <w:sz w:val="20"/>
          <w:u w:val="none"/>
        </w:rPr>
        <w:t>$ 5.500 millones.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Para el año 2023 se deberán aplicar los valores del decreto N° 16T-2022 (precio de nudo promedio del segundo semestre de 2022).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 definen 2 tramos de consumo (antes eran 3): clientes con consumo menor o igual a 350 kWh y clientes con consumo mayor a 350 kWh.</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El cargo MPC de la Ley N° 21.472 se fijará en 22 $/kWh (reajustable por IPC) para los años 2024 a 2027 y en 9 $/kWh (reajustable por IPC) para los años 2028 a 2035.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Pagos de saldos Leyes N° 21.185 y N° 21.472: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Desde la entrada en vigencia de la ley y el 31 de diciembre de 2027 se pagarán los saldos de la Ley  N° 21.185 y documentos de pago emitidos por la Tesorería General de la Republica hasta alcanzar un monto de US$ 1.800 millones.</w:t>
      </w: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Desde el 1 de enero de 2028 se restituirán los saldos adeudados de la Ley N° 21.472 y documentos de pago que se originen con aplicación de la ley, debiéndose extinguir la deuda, a más tardar, el 31 de diciembre de 2035.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Descongelamiento progresivo del Valor Agregado de Distribución (VAD), según las siguientes reglas: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Para las Cooperativas: Se descongela VAD a contar de la publicación del decreto de precio de nudo promedio (decreto PNP) del primer semestre de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Para las demás concesionarias de distribución: Se descongela VAD a contar de la publicación del decreto PNP segundo semestre de 2024, con límite de aumento de 10% respecto a la tarifa congeladas. A contar de la publicación del decreto PNP del primer semestre de 2025 se aumenta el límite a 20%, y a contar de la publicación del decreto PNP del segundo semestre 2025 no habrá límite.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Una vez que se publique el decreto VAD 2020-2024, se deberán aplicar los nuevos niveles tarifarios que en él se establezcan y se deberán aplicar las correspondientes reliquidaciones.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Subsidio transitorio: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 establece un subsidio transitorio de hasta US$ 120 millones anuales, para los años 2024, 2025 y 2026, dirigido a familias de menores recursos, con el fin de paliar los aumentos en el período en que los precios de energía experimentarán las mayores alzas.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Disposiciones transitorias: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Los informes técnicos de precios de nudo promedio del primer semestre de 2024, del segundo semestre de 2024 y del primer semestre de 2025, incluyeron el cálculo de las diferencias de facturación no pagadas contabilizadas en los períodos comprendidos hasta el 31 de octubre de 2023, entre el 1 de noviembre de 2023 y el 29 de febrero de 2024, y entre el 1 de marzo de 2024 y el 30 de junio de 2024, respectivamente. Una vez publicados en el Diario Oficial los respectivos decretos tarifarios de precios de nudo promedio, los suministradores emitieron al Coordinador Independiente del Sistema Eléctrico Nacional un documento de cobro por las referidas diferencias de facturación.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 esa ocasión se facultó al Ministerio de Energía para publicar los precios de nudo promedio, correspondientes al primer y segundo semestre del 2024, sin contar con la toma de razón por parte de la Contraloría General de la República.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manera similar, se facultó al Ministerio de Energía para publicar el decreto de fijación del Valor Agregado de Distribución del cuadrienio 2020-2024, sin contar con la toma de razón por parte de la Contraloría General de la República. Sin perjuicio de ello, se dispuso que las reliquidaciones que le corresponde instruir a la Superintendencia de Electricidad y Combustible (SEC), sólo podrán ser realizadas una vez que se concluya la total tramitación del decreto por parte de Contraloría.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Por otra parte, hay que considerar que la Ley N° 21.194, publicada el 21 de diciembre de 2019, estableció un mecanismo transitorio para que los niveles de precios asociados al Valor Agregado de Distribución que estén siendo aplicados a la fecha de su publicación, permanezcan constantes hasta el término de su vigencia, debiendo las diferencias ser incorporadas a las tarifas resultantes de los siguientes procesos de tarificación de los suministros a clientes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Al respecto, de acuerdo con lo establecido en la Ley N° 21.667, a contar del 7 de junio de 2024, fecha de publicación del Decreto N° 5T-2024 del Ministerio de Energía, que fija las fórmulas tarifarias aplicables a clientes finales sujetos a fijación de precios regulados, la sociedad ha aplicado los niveles tarifarios contenidos en este. Posteriormente, el 9 de abril de 2025 la Contraloría General de la República dio curso al Decreto N° 5T-2024, el que, en atención a las enmiendas incorporadas por ese organismo, fue publicado nuevamente en el Diario Oficial, lo que dará lugar a las reliquidaciones que correspondan, previas instrucciones de la Superintendencia de Electricidad y Combustibles.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todo, las diferencias originadas por la aplicación de los referidos decretos de precios de nudo promedio y de los decretos que fijen los cargos de distribución, ya sea debido a que se publiquen en fechas posteriores a las del inicio de sus vigencias o a la implementación de los mecanismos de estabilización descritos precedentemente, deberán ser traspasadas a los clientes regulados, lo que hace necesario reflejar en los balances y estados de resultados los efectos que tendrá en las cuentas de los clientes finales.</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4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highlight w:val="white"/>
          <w:u w:val="none"/>
        </w:rPr>
      </w:pPr>
      <w:bookmarkStart w:id="81" w:name="Section45"/>
      <w:bookmarkEnd w:id="81"/>
      <w:bookmarkStart w:id="82" w:name="05f12d07e67e44a5b285b10cbe9290d2"/>
      <w:r>
        <w:rPr>
          <w:rFonts w:ascii="Calibri" w:eastAsia="Calibri" w:hAnsi="Calibri" w:cs="Calibri"/>
          <w:b/>
          <w:i w:val="0"/>
          <w:color w:val="000000"/>
          <w:sz w:val="20"/>
          <w:highlight w:val="white"/>
          <w:u w:val="none"/>
        </w:rPr>
        <w:t>5.-</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bookmarkEnd w:id="82"/>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Los factores de riesgo a los que está sometida la Sociedad y su subsidiaria son de carácter general y se enumeran a continuación: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Normal-wk"/>
        <w:keepNext/>
        <w:keepLines/>
        <w:pageBreakBefore w:val="0"/>
        <w:widowControl w:val="0"/>
        <w:numPr>
          <w:ilvl w:val="0"/>
          <w:numId w:val="0"/>
        </w:numPr>
        <w:tabs>
          <w:tab w:val="left" w:pos="700"/>
        </w:tabs>
        <w:spacing w:before="0" w:after="0" w:line="288" w:lineRule="auto"/>
        <w:ind w:left="0" w:right="0" w:firstLine="708"/>
        <w:jc w:val="both"/>
        <w:outlineLvl w:val="1"/>
        <w:rPr>
          <w:rFonts w:ascii="Calibri" w:eastAsia="Calibri" w:hAnsi="Calibri" w:cs="Calibri"/>
          <w:b w:val="0"/>
          <w:i w:val="0"/>
          <w:color w:val="000000"/>
          <w:sz w:val="20"/>
          <w:u w:val="none"/>
        </w:rPr>
      </w:pPr>
      <w:bookmarkStart w:id="83" w:name="Section46"/>
      <w:bookmarkEnd w:id="83"/>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negocios en que participan CGE Magallanes S.A. y subsidiaria </w:t>
      </w:r>
      <w:r>
        <w:rPr>
          <w:rFonts w:ascii="Calibri" w:eastAsia="Calibri" w:hAnsi="Calibri" w:cs="Calibri"/>
          <w:b w:val="0"/>
          <w:i w:val="0"/>
          <w:sz w:val="20"/>
        </w:rPr>
        <w:t>en el sector eléctrico, fuente de sus resultados y flujos, corresponden a inversiones con un perfil de retornos de largo plazo y estabilidad regulatoria, ya que los precios de venta son determinados mediante un mecanismo de carácter técnico, el cual permite obtener una rentabilidad razonable acorde a actividades de distribución y generación de electricidad.</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atención a lo anterior, se definen, coordinan y controlan las estructuras financieras de las empresas en orden a prevenir y mitigar los principales riesgos financieros identificados.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5.1.1.-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Riesgo de tipo de cambio y/o unidades de reajuste. </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pesar de que los negocios en que participan CGE Magallanes S.A. y subsidiaria son fundamentalmente en pesos, se ha determinado como política mantener un equilibrio entre los flujos operacionales y los flujos de sus deudas financieras, con el objetivo de minimizar una eventual exposición al riesgo de variación del tipo de cambio y la unidad de reajuste.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deuda financiera de CGE Magallanes S.A. y subsidiaria </w:t>
      </w:r>
      <w:r>
        <w:rPr>
          <w:rFonts w:ascii="Calibri" w:eastAsia="Calibri" w:hAnsi="Calibri" w:cs="Calibri"/>
          <w:b w:val="0"/>
          <w:i w:val="0"/>
          <w:sz w:val="20"/>
        </w:rPr>
        <w:t>se encuentra denominada en pesos y en dólares, en consecuencia, se encuentra afecta al riesgo de variación de tipo de cambio.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90"/>
        <w:gridCol w:w="1200"/>
        <w:gridCol w:w="1005"/>
        <w:gridCol w:w="1200"/>
        <w:gridCol w:w="1005"/>
      </w:tblGrid>
      <w:tr>
        <w:tblPrEx>
          <w:tblW w:w="7800" w:type="dxa"/>
          <w:tblInd w:w="2126" w:type="dxa"/>
          <w:tblLayout w:type="fixed"/>
        </w:tblPrEx>
        <w:trPr>
          <w:cantSplit/>
          <w:trHeight w:hRule="auto" w:val="0"/>
        </w:trPr>
        <w:tc>
          <w:tcPr>
            <w:tcW w:w="339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deuda</w:t>
            </w:r>
          </w:p>
        </w:tc>
        <w:tc>
          <w:tcPr>
            <w:tcW w:w="2205"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205"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00" w:type="dxa"/>
          <w:tblInd w:w="2126" w:type="dxa"/>
          <w:tblLayout w:type="fixed"/>
        </w:tblPrEx>
        <w:trPr>
          <w:cantSplit/>
          <w:trHeight w:hRule="auto" w:val="0"/>
        </w:trPr>
        <w:tc>
          <w:tcPr>
            <w:tcW w:w="339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00" w:type="dxa"/>
          <w:tblInd w:w="2126" w:type="dxa"/>
          <w:tblLayout w:type="fixed"/>
        </w:tblPrEx>
        <w:trPr>
          <w:cantSplit/>
          <w:trHeight w:hRule="auto" w:val="0"/>
        </w:trPr>
        <w:tc>
          <w:tcPr>
            <w:tcW w:w="3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CL$.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10.788.626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32,40 %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10.792.266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32,78 %</w:t>
              <w:tab/>
            </w:r>
          </w:p>
        </w:tc>
      </w:tr>
      <w:tr>
        <w:tblPrEx>
          <w:tblW w:w="7800" w:type="dxa"/>
          <w:tblInd w:w="2126" w:type="dxa"/>
          <w:tblLayout w:type="fixed"/>
        </w:tblPrEx>
        <w:trPr>
          <w:cantSplit/>
          <w:trHeight w:hRule="auto" w:val="0"/>
        </w:trPr>
        <w:tc>
          <w:tcPr>
            <w:tcW w:w="3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moneda extranjera.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22.513.357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67,60 %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22.129.061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67,22 %</w:t>
              <w:tab/>
            </w:r>
          </w:p>
        </w:tc>
      </w:tr>
      <w:tr>
        <w:tblPrEx>
          <w:tblW w:w="7800" w:type="dxa"/>
          <w:tblInd w:w="2126" w:type="dxa"/>
          <w:tblLayout w:type="fixed"/>
        </w:tblPrEx>
        <w:trPr>
          <w:cantSplit/>
          <w:trHeight w:hRule="auto" w:val="0"/>
        </w:trPr>
        <w:tc>
          <w:tcPr>
            <w:tcW w:w="3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deuda financiera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33.301.983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649"/>
              </w:tabs>
              <w:spacing w:before="0" w:after="0" w:line="240" w:lineRule="auto"/>
              <w:jc w:val="right"/>
            </w:pPr>
            <w:r>
              <w:rPr>
                <w:rFonts w:ascii="Calibri" w:eastAsia="Calibri" w:hAnsi="Calibri" w:cs="Calibri"/>
                <w:b/>
                <w:i w:val="0"/>
                <w:color w:val="FFFFFF"/>
                <w:sz w:val="16"/>
                <w:u w:val="none"/>
              </w:rPr>
              <w:tab/>
              <w:t>100,00 %</w:t>
              <w:tab/>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32.921.327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649"/>
              </w:tabs>
              <w:spacing w:before="0" w:after="0" w:line="240" w:lineRule="auto"/>
              <w:jc w:val="right"/>
            </w:pPr>
            <w:r>
              <w:rPr>
                <w:rFonts w:ascii="Calibri" w:eastAsia="Calibri" w:hAnsi="Calibri" w:cs="Calibri"/>
                <w:b/>
                <w:i w:val="0"/>
                <w:color w:val="FFFFFF"/>
                <w:sz w:val="16"/>
                <w:u w:val="none"/>
              </w:rPr>
              <w:tab/>
              <w:t>100,00 %</w:t>
              <w:tab/>
            </w: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highlight w:val="white"/>
          <w:u w:val="none"/>
        </w:rPr>
        <w:t>, CGE Magallanes S.A. y subsidiaria no poseen deuda denominada en unidades de fomento, en consecuencia, no se encuentra afecta al riesgo de variación de la unidad de fomento asociado a deuda financiera.</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ejercicio terminado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CGE Magallanes S.A. y subsidiaria mantienen un </w:t>
      </w:r>
      <w:r>
        <w:rPr>
          <w:rFonts w:ascii="Calibri" w:eastAsia="Calibri" w:hAnsi="Calibri" w:cs="Calibri"/>
          <w:b w:val="0"/>
          <w:i w:val="0"/>
          <w:color w:val="000000"/>
          <w:sz w:val="20"/>
          <w:u w:val="none"/>
        </w:rPr>
        <w:t>67,60 %</w:t>
      </w:r>
      <w:r>
        <w:rPr>
          <w:rFonts w:ascii="Calibri" w:eastAsia="Calibri" w:hAnsi="Calibri" w:cs="Calibri"/>
          <w:b w:val="0"/>
          <w:i w:val="0"/>
          <w:color w:val="000000"/>
          <w:sz w:val="20"/>
          <w:u w:val="none"/>
        </w:rPr>
        <w:t xml:space="preserve"> de su deuda financiera denominada en dólares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fue de </w:t>
      </w:r>
      <w:r>
        <w:rPr>
          <w:rFonts w:ascii="Calibri" w:eastAsia="Calibri" w:hAnsi="Calibri" w:cs="Calibri"/>
          <w:b w:val="0"/>
          <w:i w:val="0"/>
          <w:color w:val="000000"/>
          <w:sz w:val="20"/>
          <w:u w:val="none"/>
        </w:rPr>
        <w:t>67,22 %</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Debido a esta razón, se efectúa un análisis de sensibilidad sobre aquella parte de la deuda expresada en moneda extranjera que no posee algún instrumento de cobertura asociado, con el objeto de determinar el impacto en los resultados de CGE Magallanes S.A. y subsidiaria ante la variación en el tipo de cambio.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valor del dólar estadounidense se ubicó en $ </w:t>
      </w:r>
      <w:r>
        <w:rPr>
          <w:rFonts w:ascii="Calibri" w:eastAsia="Calibri" w:hAnsi="Calibri" w:cs="Calibri"/>
          <w:b w:val="0"/>
          <w:i w:val="0"/>
          <w:color w:val="000000"/>
          <w:sz w:val="20"/>
          <w:u w:val="none"/>
        </w:rPr>
        <w:t>0,00</w:t>
      </w:r>
      <w:r>
        <w:rPr>
          <w:rFonts w:ascii="Calibri" w:eastAsia="Calibri" w:hAnsi="Calibri" w:cs="Calibri"/>
          <w:b w:val="0"/>
          <w:i w:val="0"/>
          <w:color w:val="000000"/>
          <w:sz w:val="20"/>
          <w:u w:val="none"/>
        </w:rPr>
        <w:t xml:space="preserve">, es decir un 8,96% menor al valor de cierre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fecha en que alcanzó un valor de $ </w:t>
      </w:r>
      <w:r>
        <w:rPr>
          <w:rFonts w:ascii="Calibri" w:eastAsia="Calibri" w:hAnsi="Calibri" w:cs="Calibri"/>
          <w:b w:val="0"/>
          <w:i w:val="0"/>
          <w:color w:val="000000"/>
          <w:sz w:val="20"/>
          <w:u w:val="none"/>
        </w:rPr>
        <w:t>907,13</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75"/>
        <w:gridCol w:w="1005"/>
        <w:gridCol w:w="1005"/>
        <w:gridCol w:w="1005"/>
        <w:gridCol w:w="1005"/>
        <w:gridCol w:w="1005"/>
      </w:tblGrid>
      <w:tr>
        <w:tblPrEx>
          <w:tblW w:w="7800" w:type="dxa"/>
          <w:tblInd w:w="2171" w:type="dxa"/>
          <w:tblLayout w:type="fixed"/>
        </w:tblPrEx>
        <w:trPr>
          <w:cantSplit/>
          <w:trHeight w:hRule="auto" w:val="0"/>
        </w:trPr>
        <w:tc>
          <w:tcPr>
            <w:tcW w:w="27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Variación % </w:t>
            </w:r>
          </w:p>
        </w:tc>
        <w:tc>
          <w:tcPr>
            <w:tcW w:w="1005" w:type="dxa"/>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Efecto t/c</w:t>
            </w:r>
          </w:p>
        </w:tc>
      </w:tr>
      <w:tr>
        <w:tblPrEx>
          <w:tblW w:w="7800" w:type="dxa"/>
          <w:tblInd w:w="2171" w:type="dxa"/>
          <w:tblLayout w:type="fixed"/>
        </w:tblPrEx>
        <w:trPr>
          <w:cantSplit/>
          <w:trHeight w:hRule="auto" w:val="0"/>
        </w:trPr>
        <w:tc>
          <w:tcPr>
            <w:tcW w:w="2775"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00" w:type="dxa"/>
          <w:tblInd w:w="2171" w:type="dxa"/>
          <w:tblLayout w:type="fixed"/>
        </w:tblPrEx>
        <w:trPr>
          <w:cantSplit/>
          <w:trHeight w:hRule="exact" w:val="60"/>
        </w:trPr>
        <w:tc>
          <w:tcPr>
            <w:tcW w:w="27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00" w:type="dxa"/>
          <w:tblInd w:w="2171" w:type="dxa"/>
          <w:tblLayout w:type="fixed"/>
        </w:tblPrEx>
        <w:trPr>
          <w:cantSplit/>
          <w:trHeight w:hRule="auto" w:val="0"/>
        </w:trPr>
        <w:tc>
          <w:tcPr>
            <w:tcW w:w="27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30 de junio de 2026</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0,00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#DIV/0!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22.513.357</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71" w:type="dxa"/>
          <w:tblLayout w:type="fixed"/>
        </w:tblPrEx>
        <w:trPr>
          <w:cantSplit/>
          <w:trHeight w:hRule="auto" w:val="0"/>
        </w:trPr>
        <w:tc>
          <w:tcPr>
            <w:tcW w:w="27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r>
      <w:tr>
        <w:tblPrEx>
          <w:tblW w:w="7800" w:type="dxa"/>
          <w:tblInd w:w="2171" w:type="dxa"/>
          <w:tblLayout w:type="fixed"/>
        </w:tblPrEx>
        <w:trPr>
          <w:cantSplit/>
          <w:trHeight w:hRule="auto" w:val="0"/>
        </w:trPr>
        <w:tc>
          <w:tcPr>
            <w:tcW w:w="2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r>
    </w:tbl>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pPr>
    </w:p>
    <w:tbl>
      <w:tblPr>
        <w:tblW w:w="78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75"/>
        <w:gridCol w:w="1005"/>
        <w:gridCol w:w="1005"/>
        <w:gridCol w:w="1005"/>
        <w:gridCol w:w="1005"/>
        <w:gridCol w:w="1005"/>
      </w:tblGrid>
      <w:tr>
        <w:tblPrEx>
          <w:tblW w:w="7800" w:type="dxa"/>
          <w:tblInd w:w="2160" w:type="dxa"/>
          <w:tblLayout w:type="fixed"/>
        </w:tblPrEx>
        <w:trPr>
          <w:cantSplit/>
          <w:trHeight w:hRule="auto" w:val="0"/>
        </w:trPr>
        <w:tc>
          <w:tcPr>
            <w:tcW w:w="27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Variación %</w:t>
            </w:r>
          </w:p>
        </w:tc>
        <w:tc>
          <w:tcPr>
            <w:tcW w:w="1005" w:type="dxa"/>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Efecto t/c</w:t>
            </w:r>
          </w:p>
        </w:tc>
      </w:tr>
      <w:tr>
        <w:tblPrEx>
          <w:tblW w:w="7800" w:type="dxa"/>
          <w:tblInd w:w="2160" w:type="dxa"/>
          <w:tblLayout w:type="fixed"/>
        </w:tblPrEx>
        <w:trPr>
          <w:cantSplit/>
          <w:trHeight w:hRule="auto" w:val="0"/>
        </w:trPr>
        <w:tc>
          <w:tcPr>
            <w:tcW w:w="2775"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00" w:type="dxa"/>
          <w:tblInd w:w="2160" w:type="dxa"/>
          <w:tblLayout w:type="fixed"/>
        </w:tblPrEx>
        <w:trPr>
          <w:cantSplit/>
          <w:trHeight w:hRule="exact" w:val="60"/>
        </w:trPr>
        <w:tc>
          <w:tcPr>
            <w:tcW w:w="27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00" w:type="dxa"/>
          <w:tblInd w:w="2160" w:type="dxa"/>
          <w:tblLayout w:type="fixed"/>
        </w:tblPrEx>
        <w:trPr>
          <w:cantSplit/>
          <w:trHeight w:hRule="auto" w:val="0"/>
        </w:trPr>
        <w:tc>
          <w:tcPr>
            <w:tcW w:w="27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31 de diciembre de 2025</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907,13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24.395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22.129.061</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60" w:type="dxa"/>
          <w:tblLayout w:type="fixed"/>
        </w:tblPrEx>
        <w:trPr>
          <w:cantSplit/>
          <w:trHeight w:hRule="auto" w:val="0"/>
        </w:trPr>
        <w:tc>
          <w:tcPr>
            <w:tcW w:w="27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898,06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21.907.770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(221.291)</w:t>
            </w:r>
          </w:p>
        </w:tc>
      </w:tr>
      <w:tr>
        <w:tblPrEx>
          <w:tblW w:w="7800" w:type="dxa"/>
          <w:tblInd w:w="2160" w:type="dxa"/>
          <w:tblLayout w:type="fixed"/>
        </w:tblPrEx>
        <w:trPr>
          <w:cantSplit/>
          <w:trHeight w:hRule="auto" w:val="0"/>
        </w:trPr>
        <w:tc>
          <w:tcPr>
            <w:tcW w:w="2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916,20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24.395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22.350.352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221.291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estima que el impacto de un alza de un 1% en la tasa de cambio del peso chileno con respecto al dólar estadounidense habría generado un impacto negativo en M$ </w:t>
      </w:r>
      <w:r>
        <w:rPr>
          <w:rFonts w:ascii="Calibri" w:eastAsia="Calibri" w:hAnsi="Calibri" w:cs="Calibri"/>
          <w:b w:val="0"/>
          <w:i w:val="0"/>
          <w:color w:val="000000"/>
          <w:sz w:val="20"/>
          <w:u w:val="none"/>
        </w:rPr>
        <w:t>#DIV/0!</w:t>
      </w:r>
      <w:r>
        <w:rPr>
          <w:rFonts w:ascii="Calibri" w:eastAsia="Calibri" w:hAnsi="Calibri" w:cs="Calibri"/>
          <w:b w:val="0"/>
          <w:i w:val="0"/>
          <w:color w:val="000000"/>
          <w:sz w:val="20"/>
          <w:u w:val="none"/>
        </w:rPr>
        <w:t xml:space="preserve"> en el resultado financiero de CGE Magallanes S.A. y subsidiaria al cierre del ejercicio terminado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de M$ </w:t>
      </w:r>
      <w:r>
        <w:rPr>
          <w:rFonts w:ascii="Calibri" w:eastAsia="Calibri" w:hAnsi="Calibri" w:cs="Calibri"/>
          <w:b w:val="0"/>
          <w:i w:val="0"/>
          <w:color w:val="000000"/>
          <w:sz w:val="20"/>
          <w:u w:val="none"/>
        </w:rPr>
        <w:t>221.291</w:t>
      </w:r>
      <w:r>
        <w:rPr>
          <w:rFonts w:ascii="Calibri" w:eastAsia="Calibri" w:hAnsi="Calibri" w:cs="Calibri"/>
          <w:b w:val="0"/>
          <w:i w:val="0"/>
          <w:color w:val="000000"/>
          <w:sz w:val="20"/>
          <w:u w:val="none"/>
        </w:rPr>
        <w:t xml:space="preserve"> al cierre del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Asimismo, se estima un impacto positivo de la misma magnitud ante una disminución del tipo de cambio. Cabe mencionar que este impacto compensará parcialmente el efecto de la variación de la cuenta por cobrar en moneda extranjera producto del mecanismo transitorio de estabilización de precios de generación de energía eléctrica.</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5.1.2.-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Riesgo de tasa de interés.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tasa de interés es el riesgo de que flujos de instrumentos financieros fluctúen debido a cambios en las tasas de interés de mercado. La exposición de CGE Magallanes S.A. y subsidiaria al riesgo de cambio en tasas de interés se relaciona principalmente con obligaciones financieras a tasas de interés variables.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Al 31 de diciembre de 2025, la deuda financiera de la Sociedad se estructura en un 91,63% a tasa variable y</w:t>
      </w:r>
      <w:r>
        <w:rPr>
          <w:rFonts w:ascii="Calibri" w:eastAsia="Calibri" w:hAnsi="Calibri" w:cs="Calibri"/>
          <w:b w:val="0"/>
          <w:i w:val="0"/>
          <w:color w:val="000000"/>
          <w:sz w:val="20"/>
          <w:u w:val="none"/>
        </w:rPr>
        <w:t xml:space="preserve"> en un 100% respecto en el período terminado al 31 de diciembre de 2024. Se estima que un incremento de 100 puntos base en las tasas de interés variables en base anual hubiese significado un mayor gasto financiero de M$ 299.221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de M$ 368.605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5.1.3.-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 de liquidez y estructura de pasivos financieros.</w:t>
      </w:r>
    </w:p>
    <w:p>
      <w:pPr>
        <w:keepNext w:val="0"/>
        <w:keepLines/>
        <w:pageBreakBefore w:val="0"/>
        <w:widowControl w:val="0"/>
        <w:numPr>
          <w:ilvl w:val="0"/>
          <w:numId w:val="0"/>
        </w:numPr>
        <w:spacing w:before="0" w:after="0" w:line="288" w:lineRule="auto"/>
        <w:ind w:left="283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liquidez está relacionado con las necesidades de fondos para hacer frente a las obligaciones de pago con instituciones bancarias, proveedores y empresas relacionadas.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mantienen una adecuada gestión de los activos y pasivos, optimizando los excedentes de caja diarios y de esa manera asegurar el cumplimiento de los compromisos de deudas en el momento de su vencimiento. En efecto,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un 93,26% de la deuda financiera (capital vigente adeudado) se encuentra estructurada a corto plazo en créditos bancarios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fue de 91,32%). Además, la generación de flujos de la sociedad es suficiente para afrontar las obligaciones por los servicios asociados a la operación comercial.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y su subsidiaria continuamente efectúan proyecciones de flujos de caja, análisis de la situación financiera, del entorno económico y análisis del mercado de deuda con el objeto de, en caso de requerirlo, contratar nuevos financiamientos o reestructurar créditos existentes a plazos que sean coherentes con la capacidad de generación de flujos. Sin perjuicio de lo anterior, la Sociedad cuenta con un contrato de tesorería centralizada con la matriz que permite reducir ostensiblemente el riesgo de liquidez.</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los siguientes cuadros se puede apreciar el perfil de vencimiento de capital e intereses de la Sociedad y su subsidiaria: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900"/>
        <w:gridCol w:w="900"/>
        <w:gridCol w:w="900"/>
      </w:tblGrid>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45" w:type="dxa"/>
          <w:tblInd w:w="2126" w:type="dxa"/>
          <w:tblLayout w:type="fixed"/>
        </w:tblPrEx>
        <w:trPr>
          <w:cantSplit/>
          <w:trHeight w:hRule="auto" w:val="0"/>
        </w:trPr>
        <w:tc>
          <w:tcPr>
            <w:tcW w:w="424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45" w:type="dxa"/>
          <w:tblInd w:w="2126" w:type="dxa"/>
          <w:tblLayout w:type="fixed"/>
        </w:tblPrEx>
        <w:trPr>
          <w:cantSplit/>
          <w:trHeight w:hRule="exact" w:val="6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Bancos.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16.910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3.995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34.211</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2"/>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13.306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16.910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3.995</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34.211</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25"/>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39 %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49 %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12 %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100 %</w:t>
            </w:r>
          </w:p>
        </w:tc>
      </w:tr>
    </w:tbl>
    <w:p>
      <w:pPr>
        <w:keepNext w:val="0"/>
        <w:keepLines/>
        <w:pageBreakBefore w:val="0"/>
        <w:widowControl w:val="0"/>
        <w:numPr>
          <w:ilvl w:val="0"/>
          <w:numId w:val="0"/>
        </w:numPr>
        <w:spacing w:before="0" w:after="0" w:line="288" w:lineRule="auto"/>
        <w:ind w:left="2880" w:right="0" w:hanging="709"/>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900"/>
        <w:gridCol w:w="900"/>
        <w:gridCol w:w="900"/>
      </w:tblGrid>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45" w:type="dxa"/>
          <w:tblInd w:w="2126" w:type="dxa"/>
          <w:tblLayout w:type="fixed"/>
        </w:tblPrEx>
        <w:trPr>
          <w:cantSplit/>
          <w:trHeight w:hRule="auto" w:val="0"/>
        </w:trPr>
        <w:tc>
          <w:tcPr>
            <w:tcW w:w="424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45" w:type="dxa"/>
          <w:tblInd w:w="2126" w:type="dxa"/>
          <w:tblLayout w:type="fixed"/>
        </w:tblPrEx>
        <w:trPr>
          <w:cantSplit/>
          <w:trHeight w:hRule="exact" w:val="6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Bancos.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28.509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34.036</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2"/>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3.202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28.509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2.324</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34.036</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25"/>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9 %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84 %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7 %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100 %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5.1.4.-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 de crédito deudores comerciales y otras cuentas por cobrar.</w:t>
      </w:r>
    </w:p>
    <w:p>
      <w:pPr>
        <w:keepNext/>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actividad de distribución de electricidad, principal negocio de la subsidiaria Edelmag S.A., el riesgo de crédito es históricamente bajo. El reducido plazo de cobro a los clientes y la relevancia que tiene el suministro de electricidad en el diario vivir hace que éstos no acumulen montos significativos de deudas antes que pueda producirse la suspensión del suministro, conforme a las herramientas de cobranza definidas en la Ley.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la regulación vigente prevé la radicación de la deuda en la propiedad del usuario del servicio eléctrico, reduciendo la probabilidad de incobrabilidad. Otro factor que permite reducir el riesgo de crédito es la elevada atomización de la cartera de clientes, cuyos montos individuales adeudados no son significativos en relación al total de ingresos operacionales.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En el siguiente cuadro se puede apreciar lo planteado anteriormente en el sentido que el riesgo de crédito es bajo. En efecto, el monto de deudas comerciales vencidas y deterioradas acumuladas representa un </w:t>
      </w:r>
      <w:r>
        <w:rPr>
          <w:rFonts w:ascii="Calibri" w:eastAsia="Calibri" w:hAnsi="Calibri" w:cs="Calibri"/>
          <w:b w:val="0"/>
          <w:i w:val="0"/>
          <w:color w:val="000000"/>
          <w:sz w:val="20"/>
          <w:u w:val="none"/>
        </w:rPr>
        <w:t>#DIV/0!</w:t>
      </w:r>
      <w:r>
        <w:rPr>
          <w:rFonts w:ascii="Calibri" w:eastAsia="Calibri" w:hAnsi="Calibri" w:cs="Calibri"/>
          <w:b w:val="0"/>
          <w:i w:val="0"/>
          <w:sz w:val="20"/>
        </w:rPr>
        <w:t xml:space="preserve"> del total de ingresos ordinarios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1,00 %</w:t>
      </w:r>
      <w:r>
        <w:rPr>
          <w:rFonts w:ascii="Calibri" w:eastAsia="Calibri" w:hAnsi="Calibri" w:cs="Calibri"/>
          <w:b w:val="0"/>
          <w:i w:val="0"/>
          <w:sz w:val="20"/>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Por otra parte, la rotación de cuentas por cobrar de la Sociedad es aproximadamente de </w:t>
      </w:r>
      <w:r>
        <w:rPr>
          <w:rFonts w:ascii="Calibri" w:eastAsia="Calibri" w:hAnsi="Calibri" w:cs="Calibri"/>
          <w:b w:val="0"/>
          <w:i w:val="0"/>
          <w:color w:val="000000"/>
          <w:sz w:val="20"/>
          <w:u w:val="none"/>
        </w:rPr>
        <w:t>#DIV/0!</w:t>
      </w:r>
      <w:r>
        <w:rPr>
          <w:rFonts w:ascii="Calibri" w:eastAsia="Calibri" w:hAnsi="Calibri" w:cs="Calibri"/>
          <w:b w:val="0"/>
          <w:i w:val="0"/>
          <w:sz w:val="20"/>
        </w:rPr>
        <w:t xml:space="preserve"> meses de ventas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7,3</w:t>
      </w:r>
      <w:r>
        <w:rPr>
          <w:rFonts w:ascii="Calibri" w:eastAsia="Calibri" w:hAnsi="Calibri" w:cs="Calibri"/>
          <w:b w:val="0"/>
          <w:i w:val="0"/>
          <w:sz w:val="20"/>
        </w:rPr>
        <w:t xml:space="preserve"> meses de ventas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En los últimos años, la rotación de cuentas por cobrar se ha visto afectada principalmente por el retraso de la publicación de las tarifas definitivas del Valor Agregado de Distribución (VAD), además de la implementación del mecanismo transitorio de estabilización de precios de generación de energía eléctrica para clientes sujetos a regulación de tarifas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tbl>
      <w:tblPr>
        <w:tblW w:w="7785" w:type="dxa"/>
        <w:tblInd w:w="2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85"/>
        <w:gridCol w:w="1200"/>
        <w:gridCol w:w="1200"/>
      </w:tblGrid>
      <w:tr>
        <w:tblPrEx>
          <w:tblW w:w="7785" w:type="dxa"/>
          <w:tblInd w:w="2183" w:type="dxa"/>
          <w:tblLayout w:type="fixed"/>
        </w:tblPrEx>
        <w:trPr>
          <w:cantSplit/>
          <w:trHeight w:hRule="auto" w:val="0"/>
        </w:trPr>
        <w:tc>
          <w:tcPr>
            <w:tcW w:w="53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785" w:type="dxa"/>
          <w:tblInd w:w="2183" w:type="dxa"/>
          <w:tblLayout w:type="fixed"/>
        </w:tblPrEx>
        <w:trPr>
          <w:cantSplit/>
          <w:trHeight w:hRule="auto" w:val="0"/>
        </w:trPr>
        <w:tc>
          <w:tcPr>
            <w:tcW w:w="538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785" w:type="dxa"/>
          <w:tblInd w:w="2183"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Ingresos operacionales. (últimos 12 meses).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64.151.389</w:t>
            </w:r>
          </w:p>
        </w:tc>
      </w:tr>
      <w:tr>
        <w:tblPrEx>
          <w:tblW w:w="7785" w:type="dxa"/>
          <w:tblInd w:w="2183"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y otras cuentas por cobrar bruto.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46.545.233</w:t>
            </w:r>
          </w:p>
        </w:tc>
      </w:tr>
      <w:tr>
        <w:tblPrEx>
          <w:tblW w:w="7785" w:type="dxa"/>
          <w:tblInd w:w="2183"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y otras cuentas por cobrar vencidas y deterioradas.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543.200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766.428</w:t>
            </w:r>
          </w:p>
        </w:tc>
      </w:tr>
      <w:tr>
        <w:tblPrEx>
          <w:tblW w:w="7785" w:type="dxa"/>
          <w:tblInd w:w="2183"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Rotación cuentas por cobrar. (meses)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#DIV/0!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7,3</w:t>
            </w:r>
          </w:p>
        </w:tc>
      </w:tr>
      <w:tr>
        <w:tblPrEx>
          <w:tblW w:w="7785" w:type="dxa"/>
          <w:tblInd w:w="2183" w:type="dxa"/>
          <w:tblLayout w:type="fixed"/>
        </w:tblPrEx>
        <w:trPr>
          <w:cantSplit/>
          <w:trHeight w:hRule="exact" w:val="60"/>
        </w:trPr>
        <w:tc>
          <w:tcPr>
            <w:tcW w:w="53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785" w:type="dxa"/>
          <w:tblInd w:w="2183"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Deudores comerciales y otras cuentas por cobrar deterioradas / ingresos operacionales.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#DIV/0!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1,00 %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5.1.5.-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Análisis de la deuda financiera que no está a valor de mercado.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Como parte del análisis de riesgo, se ha realizado un análisis del valor de mercado que tendrían los pasivos bancarios de CGE Magallanes S.A. y subsidiaria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Este análisis consiste en obtener el valor presente de los flujos de caja futuros de cada deuda financiera vigente, utilizando tasas representativas de las condiciones de mercado a esas fechas de acuerdo al riesgo de la empresa y al plazo remanente de la deuda.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6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esta forma, se presenta a continuación el resumen del valor libro y de mercado del saldo insoluto de los pasivos financieros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200"/>
        <w:gridCol w:w="1200"/>
        <w:gridCol w:w="1200"/>
      </w:tblGrid>
      <w:tr>
        <w:tblPrEx>
          <w:tblW w:w="7800" w:type="dxa"/>
          <w:tblInd w:w="2171" w:type="dxa"/>
          <w:tblLayout w:type="fixed"/>
        </w:tblPrEx>
        <w:trPr>
          <w:cantSplit/>
          <w:trHeight w:hRule="auto" w:val="0"/>
        </w:trPr>
        <w:tc>
          <w:tcPr>
            <w:tcW w:w="4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30 de junio de 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00" w:type="dxa"/>
          <w:tblInd w:w="2171"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00" w:type="dxa"/>
          <w:tblInd w:w="2171"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Bancos.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33.301.983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33.231.477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(0,21 %)</w:t>
            </w:r>
          </w:p>
        </w:tc>
      </w:tr>
      <w:tr>
        <w:tblPrEx>
          <w:tblW w:w="7800" w:type="dxa"/>
          <w:tblInd w:w="2171"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33.301.983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33.231.477</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(0,21 %)</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7800" w:type="dxa"/>
        <w:tblInd w:w="2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200"/>
        <w:gridCol w:w="1200"/>
        <w:gridCol w:w="1200"/>
      </w:tblGrid>
      <w:tr>
        <w:tblPrEx>
          <w:tblW w:w="7800" w:type="dxa"/>
          <w:tblInd w:w="2171" w:type="dxa"/>
          <w:tblLayout w:type="fixed"/>
        </w:tblPrEx>
        <w:trPr>
          <w:cantSplit/>
          <w:trHeight w:hRule="auto" w:val="0"/>
        </w:trPr>
        <w:tc>
          <w:tcPr>
            <w:tcW w:w="4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31 de diciembre de 2025</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00" w:type="dxa"/>
          <w:tblInd w:w="2171"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00" w:type="dxa"/>
          <w:tblInd w:w="2171"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Bancos.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32.921.327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32.898.027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(0,07 %)</w:t>
            </w:r>
          </w:p>
        </w:tc>
      </w:tr>
      <w:tr>
        <w:tblPrEx>
          <w:tblW w:w="7800" w:type="dxa"/>
          <w:tblInd w:w="2171"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32.921.327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32.898.027</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(0,07 %)</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Riesgos Regulatorios</w:t>
      </w:r>
    </w:p>
    <w:p>
      <w:pPr>
        <w:keepNext/>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Eventuales cambios regulatorios pueden generar efectos de diversa índole en los resultados de CGE Magallanes S.A. y subsidiaria. Actualmente, las materias que están en desarrollo y que se están monitoreando constantemente son las siguientes: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Implementación de la Ley N° 21.194, conocida como Ley Corta de Distribución, publicada el 21 de diciembre de 2019, particularmente en lo relacionado con la extensión a las empresas de los Sistemas Medianos del mecanismo de estabilización de precios de generación definido en la Ley N°21.185 y con la aplicación del mecanismo de estabilización de los niveles de precios asociados al valor agregado por concepto de costos de distribución.</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 contar del 7 de</w:t>
      </w:r>
      <w:r>
        <w:rPr>
          <w:rFonts w:ascii="Calibri" w:eastAsia="Calibri" w:hAnsi="Calibri" w:cs="Calibri"/>
          <w:b w:val="0"/>
          <w:i w:val="0"/>
          <w:color w:val="000000"/>
          <w:sz w:val="20"/>
          <w:u w:val="none"/>
        </w:rPr>
        <w:t xml:space="preserve"> junio de 2024, fecha de publicación del Decreto N° 5T-2024 del Ministerio </w:t>
      </w:r>
      <w:r>
        <w:rPr>
          <w:rFonts w:ascii="Calibri" w:eastAsia="Calibri" w:hAnsi="Calibri" w:cs="Calibri"/>
          <w:b w:val="0"/>
          <w:i w:val="0"/>
          <w:sz w:val="20"/>
        </w:rPr>
        <w:t>de Energía que fija las fórmulas tarifarias aplicables a clientes finales sujetos a fijación de precios regulados, se deben aplicar los niveles tarifarios contenidos en este. Sin perjuicio de lo anterior, de acuerdo con lo establecido en la Ley N° 21.667, las reliquidaciones que corresponda efectuar se podrán realizar con posterioridad a la toma de razón de la Contraloría General de República, lo que ocurrió el 9 de abril de 2025.</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21"/>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Con fecha 9 de febrero de 2026, la Superintendencia de Electricidad y Combustibles mediante Resolución Exenta N° 37613-2026, comunicó plazo, forma y condiciones en que las empresas deberán abonar o cargar el valor de las diferencias tarifarias producidas por la entrada en vigencia del decreto tarifario 2020-2024 (Decreto VAD 5T-2024), de acuerdo a lo indicado en el artículo 192° de la Ley General de Servicios Eléctricos. De acuerdo a lo instruido por la SEC, el proceso de reliquidación se realizará bajo las siguientes condiciones: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3118"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Saldos a cobrar a clientes (cargos): deberán dividirse en 48 cuotas mensuales, pudiendo ampliarse hasta 60 cuotas cuando la cuota mensual supere el 20% del valor promedio de las boletas del año 2025.</w:t>
      </w:r>
    </w:p>
    <w:p>
      <w:pPr>
        <w:keepNext w:val="0"/>
        <w:keepLines/>
        <w:pageBreakBefore w:val="0"/>
        <w:widowControl w:val="0"/>
        <w:numPr>
          <w:ilvl w:val="0"/>
          <w:numId w:val="0"/>
        </w:numPr>
        <w:spacing w:before="0" w:after="0" w:line="240" w:lineRule="exact"/>
        <w:ind w:left="3118"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Saldos a favor de clientes (abonos): deberán devolverse en un máximo de 12 cuotas mensuales.</w:t>
      </w:r>
    </w:p>
    <w:p>
      <w:pPr>
        <w:keepNext w:val="0"/>
        <w:keepLines/>
        <w:pageBreakBefore w:val="0"/>
        <w:widowControl w:val="0"/>
        <w:numPr>
          <w:ilvl w:val="0"/>
          <w:numId w:val="0"/>
        </w:numPr>
        <w:spacing w:before="0" w:after="0" w:line="240" w:lineRule="exact"/>
        <w:ind w:left="3118"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Los cargos o abonos deberán comenzar a reflejarse en las boletas emitidas a partir de abril de 2026.</w:t>
      </w:r>
    </w:p>
    <w:p>
      <w:pPr>
        <w:keepNext w:val="0"/>
        <w:keepLines/>
        <w:pageBreakBefore w:val="0"/>
        <w:widowControl w:val="0"/>
        <w:numPr>
          <w:ilvl w:val="0"/>
          <w:numId w:val="0"/>
        </w:numPr>
        <w:spacing w:before="0" w:after="0" w:line="240" w:lineRule="exact"/>
        <w:ind w:left="3118"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Las empresas deberán informar a la SEC, antes del 25 de febrero de 2026, el detalle individual de los montos de deuda o abono y su respectiva cuota mensual.</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Proceso de tarificación de distribución correspondiente a cuadrienio 2024-2028, el cual ya se ha iniciado, habiéndose efectuado la correspondiente determinación de áreas típicas de distribución y la selección de empresas de referencia. Además, el 30 de mayo de 2023, la Comisión Nacional de Energía comunicó las Bases Técnicas Definitivas del proceso, las cuales incluyen los dictámenes del Panel de Expertos respecto de las observaciones presentadas por las empresas concesionarias de distribución y el resto de los participantes del proceso. Por otra parte, el 26 de octubre de 2023 la Comisión Nacional de Energía adjudicó la realización de los estudios a la empresa consultora INECON, Ingenieros y Economistas Consultores, cuyo contrato de servicios fue aprobado por la Contraloría General de la República el 4 de enero de 2024, estableciendo en ese día la fecha oficial de inicio de los estudios.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El 4 de marzo de 2024, el consultor INECON entregó a la Comisión Nacional de Energía el Informe de Avance N°1 del citado estudio, respecto del cual el Comité de supervisión y las empresas distribuidoras enviaron sus observaciones el 25 de marzo de 2024. Posteriormente, el 25 de junio de 2024 el consultor entregó a la Comisión Nacional de Energía el Informe de Avance N°2, respecto del cual el Comité de supervisión y las empresas distribuidoras enviaron sus observaciones el 24 de julio de 2024. Luego, el 13 de septiembre de 2024 el consultor entregó el Informe Final, para el cual el Comité de supervisión y las empresas distribuidoras enviaron sus observaciones el 22 de octubre de 2024 y, finalmente, el 27 de diciembre de 2024 el consultor entregó el Informe Final Definitivo, el cual, luego de las observaciones entregadas por el Comité de supervisión y las empresas distribuidoras, del 16 de enero de 2025 y 21 de marzo de 2025, se encuentra en revisión por parte del consultor.</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El 10 de octubre de 2025, la Comisión Nacional de Energía publicó el Informe Técnico Preliminar asociado al Proceso de tarificación de distribución correspondiente a cuadrienio 2024-2028, respecto del cual las empresas distribuidoras enviaron sus observaciones el 24 de noviembre de 2025. A la fecha la Comisión Nacional de Energía se encuentra en revisión de las mencionadas observaciones.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Respecto al proceso de tarificación de generación y transmisión de los Sistemas Medianos correspondiente al cuadrienio 2022-2026, el día 4 de septiembre de 2023, Empresa Eléctrica de Magallanes S.A. formalizó a la Comisión Nacional de Energía de sus desacuerdos respecto del Informe Técnico Final del Estudio de Planificación y Tarificación de los sistemas medianos de Punta Arenas, Puerto Natales, Porvenir y Puerto Williams, aprobado el 11 de agosto de 2023, mediante Resolución Exenta N° 364-2023, de la Comisión Nacional de Energía. Tras ello, mediante Oficio Ordinario N° 597-2023, del 6 de septiembre de 2023, la Comisión remitió al Panel de Expertos las materias en que no se logró acuerdo con la empresa, las que fueron resueltas por el Panel el 28 de noviembre de 2023, tras lo cual, el 12 de enero de 2024, la Comisión Nacional de Energía comunicó a Empresa Eléctrica de Magallanes S.A. la Resolución Exenta N° 16-2024, mediante la cual aprobó el Informe Técnico Definitivo. Luego, el 4 de julio de 2025 fue publicado el Decreto 8T-2024 del Ministerio de Energía, que fija los respectivos precios de generación y transmisión con lo que se cierra el proceso para el cuadrienio 2022-2026.</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El día 11 de agosto de 2025 la Empresa Eléctrica de Magallanes S.A. recibe la resolución Exenta N° 470 de la Comisión Nacional de Energía donde se aprueban las bases preliminares para la realización de los estudios de los Sistemas Medianos de Aysén, Palena, General Carrera, Puerto Cisnes, Punta Arenas, Puerto Natales, Porvenir, Puerto Williams, Cochamó, y Hornopirén, para el cuadrienio 2026-2030, con la que da inicio al Proceso de tarificación de generación y transmisión de los Sistemas Medianos.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Proyecto de Ley sobre Portabilidad Eléctrica, ingresado en el mes de septiembre de 2020 al Congreso Nacional, cuyos objetivos principales son habilitar a todos los usuarios finales para que puedan elegir su suministrador de electricidad (comercializador) e incorporar la figura del gestor de información.</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La Ley N° 21.249, publicada el 8 de agosto de 2020, dispuso beneficios excepcionales en favor de los usuarios finales de los servicios sanitarios, de electricidad y de gas de red, estableciendo principalmente: a) la prohibición de cortar el suministro eléctrico por mora en el pago de las cuentas durante 90 días y; b) que, a solicitud de los clientes (vulnerables, tercera edad, cesantes y afectados en sus ingresos, entre otros), las deudas generadas entre el 18 de marzo de 2020 y los 90 días posteriores al 8 de agosto de 2020 se deberán prorratear en hasta 12 cuotas mensuales, sin multas, ni intereses, ni gastos asociados. El 5 de enero de 2021 fue publicada la Ley N° 21.301, que básicamente extendió en 180 días adicionales los efectos de la Ley N° 21.249. Luego, el 22 de mayo de 2021, fue publicada la Ley N° 21.340, la que: a) prorrogó nuevamente los efectos de la Ley N° 21.249, esta vez hasta el 31 de diciembre de 2021; b) amplió los beneficiarios para la postergación de las deudas desde el 60% más vulnerable al 80% y; c) amplió a 48 las cuotas para la postergación de pagos.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Posteriormente, la Ley N° 21.423, publicada el 11 de febrero de 2022, extendió hasta el 31 de marzo de 2022 el plazo para que los clientes señalados previamente se acojan al mecanismo de prorrateo de las deudas. Sin perjuicio de lo anterior, la vigencia de la Ley N° 21.249 expiró el 31 de diciembre de 2021 y sus efectos se complementarán con los de la Ley N° 21.423, limitándose principalmente a aquellos clientes que cumplen las condiciones para optar el mecanismo de prorrateo de las deudas y no cumplan las condiciones para ser beneficiarios de esta última.</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Adicionalmente, la Ley N° 21.423, que regula el prorrateo y pago de deudas durante la pandemia y establece subsidios, disponiendo principalmente que a) las deudas de los usuarios beneficiarios de la suspensión del corte de suministro por falta de pago, de acuerdo con la Ley de Servicios Básicos, generadas durante el período comprendido entre el 18 de marzo de 2020 y el 31 de diciembre de 2021, cuyo consumo promedio del año 2021 no sea superior a 250 kWh/mes, serán pagadas en cuotas mensuales y sucesivas, determinadas dividiendo el monto total de lo adeudado por 48, no pudiendo incorporarse multas, intereses, ni gastos; b) dicha cuota no podrá exceder el 15% del cobro asociado al consumo promedio del año 2021; c) una vez pagadas las 48 cuotas, en caso de existir un saldo de la deuda, éste se extinguirá mediante convenios celebrados por el Ministerio de Obras Públicas o el Ministerio de Energía, según corresponda, con las empresas sanitarias o las empresas y cooperativas eléctricas, respectivamente, los que deberán ser aprobados por el correspondiente acto administrativo. Además, se agrega que el saldo de la deuda que se hubiere extinguido en virtud de los referidos convenios se considerará como gasto aceptado tributariamente; d) se establecerán subsidios automáticos para estos usuarios por un máximo de 48 meses, correspondientes al valor de las cuotas calculadas, los cuales deben ser descontados mensualmente por las empresas a los correspondientes usuarios. Una vez efectuados los descuentos, las empresas deben acreditar mensualmente ante la Superintendencia de Electricidad y Combustibles (SEC) los montos descontados, a efectos de que ésta autorice el pago del monto mediante resolución exenta, la que será remitida a la Tesorería General de la República para que proceda al pago y; e) el procedimiento de pago de los subsidios y las demás normas necesarias para la implementación de dicha ley fueron determinados mediante decreto supremo exento número 130 de 17 de junio de 2022 del Ministerio de Energía, publicado en el Diario Oficial con fecha 23 de junio de 2022.</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Ley N° 21.472, publicada el 2 de agosto de 2022, mediante la cual se crea un fondo </w:t>
      </w:r>
      <w:r>
        <w:rPr>
          <w:rFonts w:ascii="Calibri" w:eastAsia="Calibri" w:hAnsi="Calibri" w:cs="Calibri"/>
          <w:b w:val="0"/>
          <w:i w:val="0"/>
          <w:sz w:val="20"/>
        </w:rPr>
        <w:t xml:space="preserve">de </w:t>
      </w:r>
      <w:r>
        <w:rPr>
          <w:rFonts w:ascii="Calibri" w:eastAsia="Calibri" w:hAnsi="Calibri" w:cs="Calibri"/>
          <w:b w:val="0"/>
          <w:i w:val="0"/>
          <w:color w:val="000000"/>
          <w:sz w:val="20"/>
          <w:u w:val="none"/>
        </w:rPr>
        <w:t>estabilización tarifaria,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que tiene por objetivo impedir el alza de las cuentas eléctricas durante el año 2022 y permitir únicamente alzas graduales hasta 2032.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Ley N° 21.667, publicada el 30 de abril de 2024, mediante la cual se modifica diversos cuerpos legales en materia de estabilización tarifaria, cuyos objetivos principales son a) definir que el Fondo de Estabilización de Tarifas tiene por objeto estabilizar las tarifas de los clientes regulados y pagar los saldos originados por las Leyes N° 21.185 y N° 21.472, que será administrado por la Tesorería General de la República (TGR) y que su vigencia y los cargos que lo financian no excederán del 31 de diciembre de 2035; b) reformular los tramos y monto del Mecanismo de Protección al Cliente (MPC); c) definir los valores del Cargo MPC para los ejercicios 2024 a 2027 y 2028 a 2035; d) establecer las reglas para descongelar gradualmente la estabilización de las tarifas del Valor Agregado de Distribución; y e) establecer un subsidio transitorio de hasta US$ 120 millones anuales, para los años 2024 a 2026, dirigido a familias de menores recursos, con el fin de paliar los aumentos en el período en que los precios de energía experimentarán las mayores alzas.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Proyecto de Ley que perfecciona los sistemas medianos (Boletín N° 16.627-08) establecidos en la Ley General de Servicios Eléctricos, ingresado por el Ejecutivo a la Cámara de Diputados y Diputadas el 30 de enero de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citado Proyecto de Ley contiene cuatro ejes: 1) Revisión y ajuste a la definición y categorización de los sistemas medianos y aislados (se aborda transición de un tipo de sistema a otro); 2) Actualización del procedimiento de planificación que considera el desarrollo óptimo de las inversiones, seguridad de los sistemas y propender a la incorporación de energías renovables y almacenamiento; 3) Cambios en la tarificación de los Sistemas Medianos (estudio contratado por la Comisión Nacional de Energía en reemplazo de estudio empresa; ajustes en Equidad Tarifaria Residencial (ETR) en beneficio de clientes de Sistemas Medianos); 4) Introducir incentivos a generación renovable; y aumento en la participación ciudadana.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29 de julio 2024, en Sesión N° 70, la Comisión de Zonas Extremas y Antártica Chilena de la Cámara de Diputados inició el estudio del proyecto de ley que “Perfecciona los sistemas medianos en la Ley General de Servicios Eléctricos”, correspondiente al Boletín 16.627-08. Luego, en Sesión N° 9 del 16 de octubre de 2024, con la incorporación de indicaciones por parte de esa comisión, el Proyecto de Ley fue despachado a la Comisión de Minería y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iniciativa presentada por el Ejecutivo fue aprobada en la sesión N° 128 de la Comisión de Minería y Energía, y posteriormente despachada a la Comisión de Hacienda, la que en sesión del 8 de julio de 2025 la remitió a la Sala para votación. Luego, con fecha 15 de julio de 2025, la modificación a la Ley General de Servicios Eléctricos fue respaldada por la Cámara de Diputados con 106 votos favorables, siendo remitida al Senado de la República para continuar su tramitación, mediante el Oficio N° 20.658.</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5.1.7.-</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Riesgos ambientales.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riesgos medioambientales, se presentan principalmente en el segmento de generación,</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debido a que las centrales térmicas generadoras durante su operación podrían superar los límites ambientales, referidos a ruido y emisiones gaseosas. Sin embargo, se mantiene un adecuado monitoreo anual de los niveles de emisión, en el primer caso, y de calidad de aire en el segundo, por medio de campañas de medición de ruido, así como de concentración de gases, con el objeto de que estos no superen los máximos permitidos por la autoridad, según se expresa en el Decreto N° 38/2012, Establece Norma de Emisión de Ruidos Generados por Fuentes que Indica, Decreto N° 13/2011, Establece Norma de Emisión para Centrales Termoeléctricas, respectivamente, Decreto N° 12/2022, Establece Norma Primaria de Calidad Ambiental para Material Particulado Respirable MP10, Decreto N° 114/2003, Establece Norma Primaria de Calidad de Aire para Dióxido de Nitrógeno (NO2) y Decreto N° 115/2002, Establece Norma Primaria de Calidad de Aire para Monóxido de Carbono (CO).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Respecto de posibles contaminaciones con residuos peligrosos, la subsidiaria Empresa Eléctrica de Magallanes S.A. efectúa la gestión de éstos, de acuerdo con las directrices establecidas en el Decreto N° 148/2014 que Aprueba Reglamento Sanitario sobre Manejo de Residuos Peligrosos. Los procesos incluyen acciones desde el origen hasta la eliminación de los residuos y consideran actividades para un adecuado manejo, rotulación, segregación, almacenamiento, transporte y disposición final.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5.1.8.-</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Riesgos de cambio climático.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transición energética que se ha registrado en Magallanes desde el año 2015 con la incorporación de energías renovables, a través de dos proyectos eólicos de terceros ubicados en Punta Arenas, no ha tenido gran impacto para la compañía, debido a que los costos del gas natural continúan siendo los más competitivos dentro las distintas alternativas energéticas que se presentan en los correspondientes estudios tarifarios, condición sobre la cual no se proyectan cambios a mediano plazo.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otro lado, las condiciones climáticas en la zona de concesión de la subsidiaria Empresa Eléctrica de Magallanes S.A. al igual que en otros puntos del país, han variado en los últimos años presentando aumento de temperaturas y mayores niveles de precipitaciones, ante lo cual las áreas técnicas han dispuesto de planes de contingencia que recogen estas condiciones de manera de disminuir el impacto de condiciones extremas en la continuidad del servicio eléctrico, así como la ejecución de planes de mantenimiento basados en inspecciones de estructuras. No obstante lo anterior, la Sociedad cuenta con infraestructura diseñada y planes de operación para soportar las condiciones climáticas que puedan darse en su zona de operación. Respecto de eventos climáticos extremos poco frecuentes que puedan generar daños en los activos y afectación de la operación normal de los negocios de la sociedad, con el objeto de mitigar los efectos negativos que éstos pudiesen ocasionar en los negocios y resultados de la Compañía, se cuenta con mecanismos de detección temprana de incidentes, sin perjuicio de no poder desconocerse que la ocurrencia de este tipo de fenómenos es inevitable.</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último, la Subsidiaria Empresa Eléctrica de Magallanes S.A. ha previsto tanto por efectos del cambio climático, como de impactos por eventos inesperados que afecten la disponibilidad de sus activos fijos, entre los que se encuentran edificaciones, infraestructura y equipamiento, así como los riesgos de responsabilidad civil que ellos pudiesen originar, se ha contemplado su cobertura a través de pólizas de seguro cuyos términos y condiciones corresponden a los usuales en el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84" w:name="Section47"/>
      <w:bookmarkEnd w:id="84"/>
      <w:bookmarkStart w:id="85" w:name="7dfb0728a8804e4f8a827418b1e618b0"/>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Y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5"/>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40"/>
        <w:gridCol w:w="900"/>
        <w:gridCol w:w="900"/>
        <w:gridCol w:w="900"/>
        <w:gridCol w:w="900"/>
      </w:tblGrid>
      <w:tr>
        <w:tblPrEx>
          <w:tblW w:w="9240" w:type="dxa"/>
          <w:tblInd w:w="720" w:type="dxa"/>
          <w:tblLayout w:type="fixed"/>
        </w:tblPrEx>
        <w:trPr>
          <w:cantSplit/>
          <w:trHeight w:hRule="auto" w:val="0"/>
        </w:trPr>
        <w:tc>
          <w:tcPr>
            <w:tcW w:w="56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 de junio de 2026</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9240" w:type="dxa"/>
          <w:tblInd w:w="720" w:type="dxa"/>
          <w:tblLayout w:type="fixed"/>
        </w:tblPrEx>
        <w:trPr>
          <w:cantSplit/>
          <w:trHeight w:hRule="auto" w:val="0"/>
        </w:trPr>
        <w:tc>
          <w:tcPr>
            <w:tcW w:w="5640" w:type="dxa"/>
            <w:vMerge/>
            <w:tcBorders>
              <w:top w:val="nil"/>
              <w:left w:val="single" w:sz="2" w:space="0" w:color="000000"/>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564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9240" w:type="dxa"/>
          <w:tblInd w:w="720"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Efectivo y equivalentes al efectivo.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Deudores comerciales y otras cuentas por cobrar.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cobrar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9240" w:type="dxa"/>
          <w:tblInd w:w="720" w:type="dxa"/>
          <w:tblLayout w:type="fixed"/>
        </w:tblPrEx>
        <w:trPr>
          <w:cantSplit/>
          <w:trHeight w:hRule="auto" w:val="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2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Préstamos Bancarios.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33.301.983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33.301.983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33.231.477</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comerciales y otras cuentas por pagar.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33.301.983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33.301.983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33.231.477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40"/>
        <w:gridCol w:w="900"/>
        <w:gridCol w:w="900"/>
        <w:gridCol w:w="900"/>
        <w:gridCol w:w="900"/>
      </w:tblGrid>
      <w:tr>
        <w:tblPrEx>
          <w:tblW w:w="9240" w:type="dxa"/>
          <w:tblInd w:w="720" w:type="dxa"/>
          <w:tblLayout w:type="fixed"/>
        </w:tblPrEx>
        <w:trPr>
          <w:cantSplit/>
          <w:trHeight w:hRule="auto" w:val="0"/>
        </w:trPr>
        <w:tc>
          <w:tcPr>
            <w:tcW w:w="56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 de diciembre de 2025</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9240" w:type="dxa"/>
          <w:tblInd w:w="720" w:type="dxa"/>
          <w:tblLayout w:type="fixed"/>
        </w:tblPrEx>
        <w:trPr>
          <w:cantSplit/>
          <w:trHeight w:hRule="auto" w:val="0"/>
        </w:trPr>
        <w:tc>
          <w:tcPr>
            <w:tcW w:w="5640" w:type="dxa"/>
            <w:vMerge/>
            <w:tcBorders>
              <w:top w:val="nil"/>
              <w:left w:val="single" w:sz="2" w:space="0" w:color="000000"/>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564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9240" w:type="dxa"/>
          <w:tblInd w:w="720"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Efectivo y equivalentes al efectivo.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477.266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477.266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477.266</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Deudores comerciales y otras cuentas por cobrar.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45.778.805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45.778.805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45.778.805</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cobrar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1.449.603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1.449.603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1.449.603</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47.705.674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47.705.674</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47.705.674</w:t>
            </w:r>
          </w:p>
        </w:tc>
      </w:tr>
      <w:tr>
        <w:tblPrEx>
          <w:tblW w:w="9240" w:type="dxa"/>
          <w:tblInd w:w="720" w:type="dxa"/>
          <w:tblLayout w:type="fixed"/>
        </w:tblPrEx>
        <w:trPr>
          <w:cantSplit/>
          <w:trHeight w:hRule="auto" w:val="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2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Préstamos Bancarios.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32.921.327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32.921.327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32.898.027</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comerciales y otras cuentas por pagar.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17.877.891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17.877.891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17.877.891</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a entidades relacionadas.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2.530.847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2.530.847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2.530.847</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Pasivos por arrendamientos.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219.482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219.482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219.482</w:t>
            </w:r>
          </w:p>
        </w:tc>
      </w:tr>
      <w:tr>
        <w:tblPrEx>
          <w:tblW w:w="9240" w:type="dxa"/>
          <w:tblInd w:w="720"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53.549.547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53.549.547</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53.526.247</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86" w:name="Section48"/>
      <w:bookmarkEnd w:id="86"/>
      <w:bookmarkStart w:id="87" w:name="5e7b1ab937244a689811e6bca4d70985"/>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87"/>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highlight w:val="white"/>
          <w:u w:val="none"/>
        </w:rPr>
      </w:pPr>
      <w:bookmarkStart w:id="88" w:name="Section49"/>
      <w:bookmarkEnd w:id="88"/>
      <w:bookmarkStart w:id="89" w:name="98ef5af405ce4e75bf17dbf76780870c"/>
      <w:r>
        <w:rPr>
          <w:rFonts w:ascii="Calibri" w:eastAsia="Calibri" w:hAnsi="Calibri" w:cs="Calibri"/>
          <w:b/>
          <w:i w:val="0"/>
          <w:color w:val="000000"/>
          <w:sz w:val="20"/>
          <w:highlight w:val="white"/>
          <w:u w:val="none"/>
        </w:rPr>
        <w:t>7.1.-</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highlight w:val="white"/>
          <w:u w:val="none"/>
        </w:rPr>
      </w:pPr>
      <w:bookmarkEnd w:id="8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 composición del rubro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477.266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477.266</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por tipo de monedas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25"/>
        <w:gridCol w:w="1095"/>
        <w:gridCol w:w="1200"/>
        <w:gridCol w:w="1200"/>
      </w:tblGrid>
      <w:tr>
        <w:tblPrEx>
          <w:tblW w:w="8520" w:type="dxa"/>
          <w:tblInd w:w="1417" w:type="dxa"/>
          <w:tblLayout w:type="fixed"/>
        </w:tblPrEx>
        <w:trPr>
          <w:cantSplit/>
          <w:trHeight w:hRule="auto" w:val="0"/>
        </w:trPr>
        <w:tc>
          <w:tcPr>
            <w:tcW w:w="50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5025" w:type="dxa"/>
            <w:vMerge/>
            <w:tcBorders>
              <w:top w:val="nil"/>
              <w:left w:val="single" w:sz="2" w:space="0" w:color="000000"/>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502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476.849</w:t>
            </w:r>
          </w:p>
        </w:tc>
      </w:tr>
      <w:tr>
        <w:tblPrEx>
          <w:tblW w:w="8520" w:type="dxa"/>
          <w:tblInd w:w="1417" w:type="dxa"/>
          <w:tblLayout w:type="fixed"/>
        </w:tblPrEx>
        <w:trPr>
          <w:cantSplit/>
          <w:trHeight w:hRule="auto" w:val="0"/>
        </w:trPr>
        <w:tc>
          <w:tcPr>
            <w:tcW w:w="5025" w:type="dxa"/>
            <w:vMerge/>
            <w:tcBorders>
              <w:top w:val="nil"/>
              <w:left w:val="single" w:sz="2" w:space="0" w:color="000000"/>
              <w:bottom w:val="nil"/>
              <w:right w:val="nil"/>
            </w:tcBorders>
          </w:tcPr>
          <w:p>
            <w:pPr>
              <w:keepNext/>
              <w:pageBreakBefore w:val="0"/>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417</w:t>
            </w:r>
          </w:p>
        </w:tc>
      </w:tr>
      <w:tr>
        <w:tblPrEx>
          <w:tblW w:w="8520" w:type="dxa"/>
          <w:tblInd w:w="1417" w:type="dxa"/>
          <w:tblLayout w:type="fixed"/>
        </w:tblPrEx>
        <w:trPr>
          <w:cantSplit/>
          <w:trHeight w:hRule="auto" w:val="0"/>
        </w:trPr>
        <w:tc>
          <w:tcPr>
            <w:tcW w:w="612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477.266</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subsidiaria Edelmag S.A.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tiene disponibles y no utilizadas líneas de sobregiro por M$ 400.000.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90" w:name="Section50"/>
      <w:bookmarkEnd w:id="90"/>
      <w:bookmarkStart w:id="91" w:name="bf728cd7ee39413c8bf67414f92742e4"/>
      <w:r>
        <w:rPr>
          <w:rFonts w:ascii="Calibri" w:eastAsia="Calibri" w:hAnsi="Calibri" w:cs="Calibri"/>
          <w:b/>
          <w:i w:val="0"/>
          <w:color w:val="000000"/>
          <w:sz w:val="20"/>
          <w:u w:val="none"/>
        </w:rPr>
        <w:t>7.2.-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1"/>
    </w:p>
    <w:p>
      <w:pPr>
        <w:pStyle w:val="Normal-wk"/>
        <w:keepNext w:val="0"/>
        <w:keepLines/>
        <w:pageBreakBefore w:val="0"/>
        <w:widowControl w:val="0"/>
        <w:numPr>
          <w:ilvl w:val="0"/>
          <w:numId w:val="0"/>
        </w:numPr>
        <w:spacing w:before="0" w:after="0" w:line="240" w:lineRule="exact"/>
        <w:ind w:left="141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cobros y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cobros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Bonificación zona extrema.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65.846</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ingresos fuera explotación.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224.109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cobros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224.109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65.846</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(1.108.684)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(2.153.532)</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pagos (multas, indemnizaciones, juicios).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(58.626)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(72.189)</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(1.167.310)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(2.225.721)</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2" w:name="Section51"/>
      <w:bookmarkEnd w:id="92"/>
      <w:bookmarkStart w:id="93" w:name="3bfab8e5849e482f97534fb1dcf55b68"/>
      <w:r>
        <w:rPr>
          <w:rFonts w:ascii="Calibri" w:eastAsia="Calibri" w:hAnsi="Calibri" w:cs="Calibri"/>
          <w:b/>
          <w:i w:val="0"/>
          <w:color w:val="000000"/>
          <w:sz w:val="20"/>
          <w:u w:val="none"/>
        </w:rPr>
        <w:t>7.3.-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keepLines/>
        <w:pageBreakBefore w:val="0"/>
        <w:widowControl w:val="0"/>
        <w:numPr>
          <w:ilvl w:val="0"/>
          <w:numId w:val="0"/>
        </w:numPr>
        <w:spacing w:before="0" w:after="0" w:line="288" w:lineRule="auto"/>
        <w:ind w:left="0" w:right="0" w:firstLine="708"/>
        <w:jc w:val="both"/>
        <w:outlineLvl w:val="9"/>
        <w:rPr>
          <w:rFonts w:ascii="Times New Roman" w:eastAsia="Times New Roman" w:hAnsi="Times New Roman" w:cs="Times New Roman"/>
          <w:b/>
          <w:i w:val="0"/>
          <w:color w:val="000000"/>
          <w:sz w:val="20"/>
          <w:u w:val="none"/>
        </w:rPr>
      </w:pPr>
      <w:bookmarkEnd w:id="93"/>
    </w:p>
    <w:p>
      <w:pPr>
        <w:pStyle w:val="Normal-wk"/>
        <w:keepNext w:val="0"/>
        <w:keepLines/>
        <w:pageBreakBefore w:val="0"/>
        <w:widowControl w:val="0"/>
        <w:numPr>
          <w:ilvl w:val="0"/>
          <w:numId w:val="0"/>
        </w:numPr>
        <w:spacing w:before="0" w:after="0" w:line="240" w:lineRule="exact"/>
        <w:ind w:left="141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Conciliación de los pasivos que surgen de las actividades de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005"/>
        <w:gridCol w:w="1005"/>
        <w:gridCol w:w="1005"/>
        <w:gridCol w:w="1005"/>
        <w:gridCol w:w="1005"/>
        <w:gridCol w:w="1005"/>
        <w:gridCol w:w="1005"/>
        <w:gridCol w:w="1005"/>
        <w:gridCol w:w="1005"/>
      </w:tblGrid>
      <w:tr>
        <w:tblPrEx>
          <w:tblW w:w="12840" w:type="dxa"/>
          <w:tblInd w:w="720" w:type="dxa"/>
          <w:tblLayout w:type="fixed"/>
        </w:tblPrEx>
        <w:trPr>
          <w:cantSplit/>
          <w:trHeight w:hRule="auto" w:val="0"/>
        </w:trPr>
        <w:tc>
          <w:tcPr>
            <w:tcW w:w="3795"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5025"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402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840" w:type="dxa"/>
          <w:tblInd w:w="720" w:type="dxa"/>
          <w:tblLayout w:type="fixed"/>
        </w:tblPrEx>
        <w:trPr>
          <w:cantSplit/>
          <w:trHeight w:hRule="exact" w:val="225"/>
        </w:trPr>
        <w:tc>
          <w:tcPr>
            <w:tcW w:w="3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r>
      <w:tr>
        <w:tblPrEx>
          <w:tblW w:w="12840" w:type="dxa"/>
          <w:tblInd w:w="720" w:type="dxa"/>
          <w:tblLayout w:type="fixed"/>
        </w:tblPrEx>
        <w:trPr>
          <w:cantSplit/>
          <w:trHeight w:hRule="exact" w:val="225"/>
        </w:trPr>
        <w:tc>
          <w:tcPr>
            <w:tcW w:w="3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12840" w:type="dxa"/>
          <w:tblInd w:w="720" w:type="dxa"/>
          <w:tblLayout w:type="fixed"/>
        </w:tblPrEx>
        <w:trPr>
          <w:cantSplit/>
          <w:trHeight w:hRule="auto" w:val="0"/>
        </w:trPr>
        <w:tc>
          <w:tcPr>
            <w:tcW w:w="3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32.921.327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32.921.327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32.921.327</w:t>
            </w: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219.482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219.482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219.482</w:t>
            </w: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8" w:space="0" w:color="D9D9D9"/>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626.282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626.282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626.282</w:t>
            </w:r>
          </w:p>
        </w:tc>
      </w:tr>
      <w:tr>
        <w:tblPrEx>
          <w:tblW w:w="12840" w:type="dxa"/>
          <w:tblInd w:w="720" w:type="dxa"/>
          <w:tblLayout w:type="fixed"/>
        </w:tblPrEx>
        <w:trPr>
          <w:cantSplit/>
          <w:trHeight w:hRule="auto" w:val="0"/>
        </w:trPr>
        <w:tc>
          <w:tcPr>
            <w:tcW w:w="3795"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2"/>
                <w:u w:val="none"/>
              </w:rPr>
              <w:t>Préstamos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33.767.091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33.767.091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33.767.091</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128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005"/>
        <w:gridCol w:w="1005"/>
        <w:gridCol w:w="1005"/>
        <w:gridCol w:w="1005"/>
        <w:gridCol w:w="1005"/>
        <w:gridCol w:w="1005"/>
        <w:gridCol w:w="1005"/>
        <w:gridCol w:w="1005"/>
        <w:gridCol w:w="1005"/>
      </w:tblGrid>
      <w:tr>
        <w:tblPrEx>
          <w:tblW w:w="12840" w:type="dxa"/>
          <w:tblInd w:w="720" w:type="dxa"/>
          <w:tblLayout w:type="fixed"/>
        </w:tblPrEx>
        <w:trPr>
          <w:cantSplit/>
          <w:trHeight w:hRule="auto" w:val="0"/>
        </w:trPr>
        <w:tc>
          <w:tcPr>
            <w:tcW w:w="3795"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5025" w:type="dxa"/>
            <w:gridSpan w:val="5"/>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402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840" w:type="dxa"/>
          <w:tblInd w:w="720" w:type="dxa"/>
          <w:tblLayout w:type="fixed"/>
        </w:tblPrEx>
        <w:trPr>
          <w:cantSplit/>
          <w:trHeight w:hRule="exact" w:val="225"/>
        </w:trPr>
        <w:tc>
          <w:tcPr>
            <w:tcW w:w="3795"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31-12-2023</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r>
      <w:tr>
        <w:tblPrEx>
          <w:tblW w:w="12840" w:type="dxa"/>
          <w:tblInd w:w="720" w:type="dxa"/>
          <w:tblLayout w:type="fixed"/>
        </w:tblPrEx>
        <w:trPr>
          <w:cantSplit/>
          <w:trHeight w:hRule="exact" w:val="225"/>
        </w:trPr>
        <w:tc>
          <w:tcPr>
            <w:tcW w:w="3795"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2840" w:type="dxa"/>
          <w:tblInd w:w="720" w:type="dxa"/>
          <w:tblLayout w:type="fixed"/>
        </w:tblPrEx>
        <w:trPr>
          <w:cantSplit/>
          <w:trHeight w:hRule="auto" w:val="0"/>
        </w:trPr>
        <w:tc>
          <w:tcPr>
            <w:tcW w:w="3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37.127.721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(2.490.137)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(1.990.920)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32.646.664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(1.705.169)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1.979.581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32.921.327</w:t>
            </w: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318.804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(155.894)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162.910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27.767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219.482</w:t>
            </w: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910.479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(910.479)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(54.107)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(54.107)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54.107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39.058.645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(3.705.378)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(2.045.027)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33.308.240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(1.673.101)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2.112.297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19.655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33.767.091</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headerReference w:type="default" r:id="rId20"/>
          <w:footerReference w:type="default" r:id="rId21"/>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94" w:name="Section52"/>
      <w:bookmarkEnd w:id="94"/>
      <w:bookmarkStart w:id="95" w:name="41a8ec1910444060af81034612c03f8d"/>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5"/>
    </w:p>
    <w:p>
      <w:pPr>
        <w:keepNext w:val="0"/>
        <w:keepLines/>
        <w:pageBreakBefore w:val="0"/>
        <w:widowControl w:val="0"/>
        <w:numPr>
          <w:ilvl w:val="0"/>
          <w:numId w:val="0"/>
        </w:numPr>
        <w:spacing w:before="0" w:after="0" w:line="288" w:lineRule="auto"/>
        <w:ind w:left="705" w:right="0" w:firstLine="0"/>
        <w:jc w:val="both"/>
        <w:outlineLvl w:val="9"/>
        <w:sectPr>
          <w:headerReference w:type="default" r:id="rId22"/>
          <w:footerReference w:type="default" r:id="rId23"/>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6" w:name="Section53"/>
      <w:bookmarkEnd w:id="96"/>
      <w:bookmarkStart w:id="97" w:name="518d688528824fa9a7788b2e6b5ee2fb"/>
      <w:r>
        <w:rPr>
          <w:rFonts w:ascii="Calibri" w:eastAsia="Calibri" w:hAnsi="Calibri" w:cs="Calibri"/>
          <w:b/>
          <w:i w:val="0"/>
          <w:color w:val="000000"/>
          <w:sz w:val="20"/>
          <w:u w:val="none"/>
        </w:rPr>
        <w:t xml:space="preserve">8.1.- </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7"/>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1200"/>
        <w:gridCol w:w="1200"/>
        <w:gridCol w:w="1200"/>
        <w:gridCol w:w="1200"/>
      </w:tblGrid>
      <w:tr>
        <w:tblPrEx>
          <w:tblW w:w="7845" w:type="dxa"/>
          <w:tblInd w:w="2126" w:type="dxa"/>
          <w:tblLayout w:type="fixed"/>
        </w:tblPrEx>
        <w:trPr>
          <w:cantSplit/>
          <w:trHeight w:hRule="auto" w:val="0"/>
        </w:trPr>
        <w:tc>
          <w:tcPr>
            <w:tcW w:w="3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(543.200)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11.079.698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356.467</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4.657.637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29.685.003</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(543.200)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15.737.335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30.041.470</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1200"/>
        <w:gridCol w:w="1200"/>
        <w:gridCol w:w="1200"/>
        <w:gridCol w:w="1200"/>
      </w:tblGrid>
      <w:tr>
        <w:tblPrEx>
          <w:tblW w:w="7845" w:type="dxa"/>
          <w:tblInd w:w="2126" w:type="dxa"/>
          <w:tblLayout w:type="fixed"/>
        </w:tblPrEx>
        <w:trPr>
          <w:cantSplit/>
          <w:trHeight w:hRule="auto" w:val="0"/>
        </w:trPr>
        <w:tc>
          <w:tcPr>
            <w:tcW w:w="3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Préstamos al personal.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93.998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Fondos por rendir.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6.203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100.201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Deudores varios (*).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4.233.774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29.762.167</w:t>
            </w:r>
          </w:p>
        </w:tc>
      </w:tr>
      <w:tr>
        <w:tblPrEx>
          <w:tblW w:w="7845" w:type="dxa"/>
          <w:tblInd w:w="2126" w:type="dxa"/>
          <w:tblLayout w:type="fixed"/>
        </w:tblPrEx>
        <w:trPr>
          <w:cantSplit/>
          <w:trHeight w:hRule="exact" w:val="255"/>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 xml:space="preserve"> Anticipo proveedores.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310.010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documentos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13.652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Provisión de deterioro.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(77.164)</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4.557.436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29.685.003</w:t>
            </w:r>
          </w:p>
        </w:tc>
      </w:tr>
      <w:tr>
        <w:tblPrEx>
          <w:tblW w:w="7845" w:type="dxa"/>
          <w:tblInd w:w="2126" w:type="dxa"/>
          <w:tblLayout w:type="fixed"/>
        </w:tblPrEx>
        <w:trPr>
          <w:cantSplit/>
          <w:trHeight w:hRule="auto" w:val="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4.657.637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29.685.003</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r>
        <w:rPr>
          <w:rFonts w:ascii="Calibri" w:eastAsia="Calibri" w:hAnsi="Calibri" w:cs="Calibri"/>
          <w:b w:val="0"/>
          <w:i w:val="0"/>
          <w:sz w:val="20"/>
        </w:rPr>
        <w:t>Con fecha 2 de noviembre de 2019, es publicada la Ley N° 21.185, que estableció un mecanismo transitorio de estabilización de precios de generación de energía eléctrica para clientes sujetos a regulación de tarifas, el cual es aplicable a las empresas que operan en el Sistema Eléctrico Nacional. Posteriormente, mediante la Ley N° 21.194, publicada el 21 de diciembre de 2019 se hizo extensiva la aplicación de dicho mecanismo a los Sistemas Medianos.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Dicha ley estipula los criterios para la determinación de los precios estabilizados que deberán ser traspasados a clientes finales, que implica que los ingresos correspondientes al </w:t>
      </w:r>
      <w:r>
        <w:rPr>
          <w:rFonts w:ascii="Calibri" w:eastAsia="Calibri" w:hAnsi="Calibri" w:cs="Calibri"/>
          <w:b w:val="0"/>
          <w:i w:val="0"/>
          <w:sz w:val="20"/>
        </w:rPr>
        <w:t xml:space="preserve">diferencial </w:t>
      </w:r>
      <w:r>
        <w:rPr>
          <w:rFonts w:ascii="Calibri" w:eastAsia="Calibri" w:hAnsi="Calibri" w:cs="Calibri"/>
          <w:b w:val="0"/>
          <w:i w:val="0"/>
          <w:sz w:val="20"/>
        </w:rPr>
        <w:t>entre la facturación de consumos con la tarifa estabilizada y las tarifas que correspondería aplicar de conformidad a las condiciones establecidas en los contratos con los suministradores conformarán un saldo que será retribuido a más tardar el 31 de diciembre de 2027.</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Durante la vigencia de la ley de estabilización de precios, estos diferenciales han sido contabilizados en el largo plazo.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Posteriormente, con la publicación de la Ley N° 21.472, el 2 de agosto de 2022, y sus correspondientes adecuaciones indicadas en la Ley N° 21.667, publicada el 30 de abril de 2024, se estableció un fondo adicional de estabilización de tarifas y un nuevo mecanismo de estabilización transitorio de precios de la electricidad para clientes sometidos a regulación de precios.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Además, establece que la Tesorería General de la República deberá destinar los recursos del Fondo de Estabilización de Tarifas para extinguir los saldos adeudados por la Ley N° 21.185 en representación de las distribuidoras a los suministradores, o a sus cesionarios, con cargo al Fondo de Estabilización de Tarifas, lo que no implicará un cambio de deudor a efectos del cumplimiento del pago.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Entre la entrada en vigencia de la Ley N° 21.667 y el 31 de diciembre de 2027, los recursos se destinarán a la restitución de los saldos adeudados con ocasión de la ley N° 21.185, debiéndose extinguir esta deuda a más tardar en dicha fecha. Debido a lo anterior, aquella parte de los saldos contabilizados en el ítem Deudores Varios con vencimiento inferior a 12 meses ha sido registrado como una cuenta por cobrar corriente y su saldo remanente con vencimiento hasta el 31 de diciembre de 2027, como una cuenta por cobrar de largo plazo.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otra parte, con fecha 7 de junio de 2024 fue publicado el Decreto N° 5T-2024 del Ministerio de Energía, que fija las fórmulas tarifarias para suministros regulados de distribución para el período noviembre de 2020 a noviembre 2024, comenzando a ser aplicado de forma inmediata.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No obstante, lo anterior, conforme a lo establecido en la Ley N° 21.667, las reliquidaciones que ordena la ley sólo podrán efectuarse cuando el decreto se encuentre totalmente tramitado, es decir, cuando cuente con la toma de razón de la Contraloría General de la República, y luego que la Superintendencia de Electricidad y Combustible imparta las instrucciones respecto del plazo, forma y condiciones de dicha reliquidación. Al respecto, el 9 de abril de 2025 Contraloría dio curso al Decreto 5T-2024, no obstante al 31 de diciembre de 2025 aún se encontraban pendientes las instrucciones de reliquidación por parte de la Superintendencia, por lo que los montos registrados en el ítem Deudores Varios asociados a esta reliquidación se encuentran registrados como no corrientes, incluida la estimación de los intereses devengados a la fecha de publicación del citado decreto, conforme a lo establecido en el artículo 192° de la Ley General de Servicios Eléctricos.</w:t>
      </w:r>
    </w:p>
    <w:p>
      <w:pPr>
        <w:keepNext w:val="0"/>
        <w:keepLines/>
        <w:pageBreakBefore w:val="0"/>
        <w:widowControl w:val="0"/>
        <w:numPr>
          <w:ilvl w:val="0"/>
          <w:numId w:val="0"/>
        </w:numPr>
        <w:spacing w:before="0" w:after="0" w:line="288" w:lineRule="auto"/>
        <w:ind w:left="113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Clases de deudores comerciales y otras cuentas por cobrar, bruto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11.768.962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356.467</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4.657.637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29.762.167</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16.426.599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30.118.634</w:t>
            </w:r>
          </w:p>
        </w:tc>
      </w:tr>
    </w:tbl>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en libros de deudores comerciales, otras cuentas por cobrar deteriorados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(543.200)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(689.264)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(77.164)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(543.200)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(766.428)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la provisión por deterioro de los deudores comerciales y otras cuentas por cobrar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muestra en el siguiente cuadro: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deudores comerciales y otras cuentas por cobrar vencidos y no pagados con deterioro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Saldo inicial.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(766.428)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(1.328.277)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Baja (reversiones) de deudores comerciales y otras cuentas por cobrar deterioradas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223.228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749.914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(Aumento) disminución del período o ejercicio.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(188.065)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(543.200)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(766.428)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la Sociedad no será capaz de cobrar el importe que se le adeuda, ello aún luego de aplicar las acciones de cobranza.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Respecto a la calidad crediticia, en materia de energía eléctrica, las empresas distribuidoras </w:t>
      </w:r>
      <w:r>
        <w:rPr>
          <w:rFonts w:ascii="Calibri" w:eastAsia="Calibri" w:hAnsi="Calibri" w:cs="Calibri"/>
          <w:b w:val="0"/>
          <w:i w:val="0"/>
          <w:color w:val="000000"/>
          <w:sz w:val="20"/>
          <w:u w:val="none"/>
        </w:rPr>
        <w:t xml:space="preserve">se </w:t>
      </w:r>
      <w:r>
        <w:rPr>
          <w:rFonts w:ascii="Calibri" w:eastAsia="Calibri" w:hAnsi="Calibri" w:cs="Calibri"/>
          <w:b w:val="0"/>
          <w:i w:val="0"/>
          <w:sz w:val="20"/>
        </w:rPr>
        <w:t>rigen por el Decreto con Fuerza de Ley Nº 1, de Minería de 1982, Ley General de Servicios Eléctricos, y por su Reglamento Eléctrico, Decreto Supremo Nº 327 de diciembre de 1997. Las disposiciones de este último, en su Art. N° 146, fija los plazos para el pago del suministro eléctrico por parte del usuario o cliente definido, no siendo éste considerado como un crédito y por otro lado, señala que en el inmueble o instalación quedarán radicadas todas las obligaciones derivadas del servicio para con la empresa suministradora, y sumado a que en Art. N° 147 se establecen los plazos para suspensión del suministro eléctrico, es que podemos concluir que la cuenta por cobrar proveniente de la actividad comercial del negocio eléctrico es de riesgo limitado</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consideran saldos de dudoso cobro, todos </w:t>
      </w:r>
      <w:r>
        <w:rPr>
          <w:rFonts w:ascii="Calibri" w:eastAsia="Calibri" w:hAnsi="Calibri" w:cs="Calibri"/>
          <w:b w:val="0"/>
          <w:i w:val="0"/>
          <w:sz w:val="20"/>
        </w:rPr>
        <w:t>aquellos</w:t>
      </w:r>
      <w:r>
        <w:rPr>
          <w:rFonts w:ascii="Calibri" w:eastAsia="Calibri" w:hAnsi="Calibri" w:cs="Calibri"/>
          <w:b w:val="0"/>
          <w:i w:val="0"/>
          <w:color w:val="000000"/>
          <w:sz w:val="20"/>
          <w:u w:val="none"/>
        </w:rPr>
        <w:t xml:space="preserve"> que se incluyen en la matriz de cálculo de pérdida esperada basado en la experiencia histórica de pérdidas crediticias de la Sociedad, ajustada por factores prospectivos específicos para los deudores y el entorno económico.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política de provisión de incobrables de la Sociedad contempla la actualización de las variables macroeconómicas cuando lo amerite en caso de visualizar un cambio significativo.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castigos tributarios son realizados en la medida que las deudas son declaradas sin posibilidad alguna de recupero, de acuerdo con las normas tributarias vigentes.</w:t>
      </w:r>
    </w:p>
    <w:p>
      <w:pPr>
        <w:keepNext w:val="0"/>
        <w:keepLines/>
        <w:pageBreakBefore w:val="0"/>
        <w:widowControl w:val="0"/>
        <w:numPr>
          <w:ilvl w:val="0"/>
          <w:numId w:val="0"/>
        </w:numPr>
        <w:spacing w:before="0" w:after="0" w:line="288" w:lineRule="auto"/>
        <w:ind w:left="198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985"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8" w:name="Section54"/>
      <w:bookmarkEnd w:id="98"/>
      <w:bookmarkStart w:id="99" w:name="dca1c229bf4243a8a826ead257727ac8"/>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9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09" w:type="dxa"/>
          <w:tblLayout w:type="fixed"/>
        </w:tblPrEx>
        <w:trPr>
          <w:cantSplit/>
          <w:trHeight w:hRule="auto" w:val="0"/>
        </w:trPr>
        <w:tc>
          <w:tcPr>
            <w:tcW w:w="15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corrientes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auto" w:val="0"/>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9.772.800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1.866.660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488.027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254.916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95.358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55.073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85.651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77.010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77.739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666.327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13.439.561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33.325.761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33.325.761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4.000.726</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29.325.035</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(9.170)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(4.870)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(5.522)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(21.242)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(14.507)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(10.916)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(26.102)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(28.955)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(33.071)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(388.848)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(543.203)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(543.200)</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(80.653)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(80.653)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43.008.738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1.861.790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482.505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233.674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80.851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44.157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59.549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48.055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44.668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277.479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46.141.466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3.457.526</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29.325.035</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09" w:type="dxa"/>
          <w:tblLayout w:type="fixed"/>
        </w:tblPrEx>
        <w:trPr>
          <w:cantSplit/>
          <w:trHeight w:hRule="auto" w:val="0"/>
        </w:trPr>
        <w:tc>
          <w:tcPr>
            <w:tcW w:w="15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auto" w:val="0"/>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9.203.980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1.452.422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363.102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143.369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108.237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83.779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69.783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69.611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48.438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582.708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12.125.429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11.768.962</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356.467</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34.419.804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34.419.804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4.657.637</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29.762.167</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(249.561)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(5.249)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(4.645)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(12.390)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(17.074)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(18.340)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(21.050)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(27.501)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(18.464)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(314.990)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(689.264)</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(77.164)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(77.164)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(77.164)</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43.297.059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1.447.173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358.457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130.979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91.163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65.439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48.733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42.110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29.974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267.718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45.778.805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15.737.335</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30.041.470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sectPr>
          <w:headerReference w:type="default" r:id="rId24"/>
          <w:footerReference w:type="default" r:id="rId25"/>
          <w:type w:val="continuous"/>
          <w:pgSz w:w="16834" w:h="11909"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0" w:name="Section55"/>
      <w:bookmarkEnd w:id="100"/>
      <w:bookmarkStart w:id="101" w:name="41c9d7f93a3d42c99fcd1c028d1bceed"/>
      <w:r>
        <w:rPr>
          <w:rFonts w:ascii="Calibri" w:eastAsia="Calibri" w:hAnsi="Calibri" w:cs="Calibri"/>
          <w:b/>
          <w:i w:val="0"/>
          <w:color w:val="000000"/>
          <w:sz w:val="20"/>
          <w:u w:val="none"/>
        </w:rPr>
        <w:t>8.3.-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80"/>
        <w:gridCol w:w="705"/>
        <w:gridCol w:w="900"/>
        <w:gridCol w:w="900"/>
        <w:gridCol w:w="765"/>
        <w:gridCol w:w="900"/>
        <w:gridCol w:w="900"/>
        <w:gridCol w:w="900"/>
        <w:gridCol w:w="900"/>
      </w:tblGrid>
      <w:tr>
        <w:tblPrEx>
          <w:tblW w:w="8550" w:type="dxa"/>
          <w:tblInd w:w="1417" w:type="dxa"/>
          <w:tblLayout w:type="fixed"/>
        </w:tblPrEx>
        <w:trPr>
          <w:cantSplit/>
          <w:trHeight w:hRule="auto" w:val="0"/>
        </w:trPr>
        <w:tc>
          <w:tcPr>
            <w:tcW w:w="855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168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Tramos de deudas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no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no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cartera, bruta</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provisión deterioro</w:t>
            </w:r>
          </w:p>
        </w:tc>
      </w:tr>
      <w:tr>
        <w:tblPrEx>
          <w:tblW w:w="8550" w:type="dxa"/>
          <w:tblInd w:w="1417" w:type="dxa"/>
          <w:tblLayout w:type="fixed"/>
        </w:tblPrEx>
        <w:trPr>
          <w:cantSplit/>
          <w:trHeight w:hRule="auto" w:val="0"/>
        </w:trPr>
        <w:tc>
          <w:tcPr>
            <w:tcW w:w="1680" w:type="dxa"/>
            <w:vMerge/>
            <w:tcBorders>
              <w:top w:val="nil"/>
              <w:left w:val="single" w:sz="2" w:space="0" w:color="000000"/>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1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Por vencer</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Vendida y no facturada (1).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4.267.929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4.267.929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Por vencer (2).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14.423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4.753.640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(8.577)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751.230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5.504.870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(9.170)</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por vencer</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14.423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9.021.569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(8.577)</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1.578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751.230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9.772.799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(9.170)</w:t>
            </w:r>
          </w:p>
        </w:tc>
      </w:tr>
      <w:tr>
        <w:tblPrEx>
          <w:tblW w:w="8550" w:type="dxa"/>
          <w:tblInd w:w="1417" w:type="dxa"/>
          <w:tblLayout w:type="fixed"/>
        </w:tblPrEx>
        <w:trPr>
          <w:cantSplit/>
          <w:trHeight w:hRule="exact" w:val="60"/>
        </w:trPr>
        <w:tc>
          <w:tcPr>
            <w:tcW w:w="1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Vencidos (3)</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 y 30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14.007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1.314.827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(4.775)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551.833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1.866.660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(4.870)</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31 y 60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2.481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466.718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(5.303)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21.309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488.027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(5.521)</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61 y 90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222.615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(18.485)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32.301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254.916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(21.241)</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91 y 120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89.093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(13.521)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6.265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95.358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(14.506)</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121 y 150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50.641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(10.087)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55.073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(10.916)</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151 y 180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1.381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77.563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(23.761)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8.089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85.652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(26.102)</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181 y 210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69.739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(26.513)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7.271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(2.442)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77.010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(28.955)</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211 y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68.883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(29.815)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77.739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(33.071)</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547.065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(323.714)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119.263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(65.134)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666.328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(388.848)</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vencidos</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30.675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2.907.144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(455.974)</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2.062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759.619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(78.056)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3.666.763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(534.030)</w:t>
            </w:r>
          </w:p>
        </w:tc>
      </w:tr>
      <w:tr>
        <w:tblPrEx>
          <w:tblW w:w="8550" w:type="dxa"/>
          <w:tblInd w:w="1417" w:type="dxa"/>
          <w:tblLayout w:type="fixed"/>
        </w:tblPrEx>
        <w:trPr>
          <w:cantSplit/>
          <w:trHeight w:hRule="exact" w:val="60"/>
        </w:trPr>
        <w:tc>
          <w:tcPr>
            <w:tcW w:w="1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45.098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11.928.713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(464.551)</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3.640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1.510.849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(78.649)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13.439.562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(543.200)</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80"/>
        <w:gridCol w:w="705"/>
        <w:gridCol w:w="900"/>
        <w:gridCol w:w="900"/>
        <w:gridCol w:w="765"/>
        <w:gridCol w:w="900"/>
        <w:gridCol w:w="900"/>
        <w:gridCol w:w="900"/>
        <w:gridCol w:w="900"/>
      </w:tblGrid>
      <w:tr>
        <w:tblPrEx>
          <w:tblW w:w="8550" w:type="dxa"/>
          <w:tblInd w:w="1417" w:type="dxa"/>
          <w:tblLayout w:type="fixed"/>
        </w:tblPrEx>
        <w:trPr>
          <w:cantSplit/>
          <w:trHeight w:hRule="auto" w:val="0"/>
        </w:trPr>
        <w:tc>
          <w:tcPr>
            <w:tcW w:w="855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168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Tramos de deudas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no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no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cartera, bruta</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provisión deterioro</w:t>
            </w:r>
          </w:p>
        </w:tc>
      </w:tr>
      <w:tr>
        <w:tblPrEx>
          <w:tblW w:w="8550" w:type="dxa"/>
          <w:tblInd w:w="1417" w:type="dxa"/>
          <w:tblLayout w:type="fixed"/>
        </w:tblPrEx>
        <w:trPr>
          <w:cantSplit/>
          <w:trHeight w:hRule="auto" w:val="0"/>
        </w:trPr>
        <w:tc>
          <w:tcPr>
            <w:tcW w:w="1680" w:type="dxa"/>
            <w:vMerge/>
            <w:tcBorders>
              <w:top w:val="nil"/>
              <w:left w:val="single" w:sz="2" w:space="0" w:color="000000"/>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1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Por vencer</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Vendida y no facturada (1).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4.171.941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4.171.941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Por vencer (2).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14.449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3.567.331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(7.666)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1.581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1.464.708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(241.895)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5.032.039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(249.561)</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por vencer</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14.449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7.739.272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(7.666)</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1.581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1.464.708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(241.895)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9.203.980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(249.561)</w:t>
            </w:r>
          </w:p>
        </w:tc>
      </w:tr>
      <w:tr>
        <w:tblPrEx>
          <w:tblW w:w="8550" w:type="dxa"/>
          <w:tblInd w:w="1417" w:type="dxa"/>
          <w:tblLayout w:type="fixed"/>
        </w:tblPrEx>
        <w:trPr>
          <w:cantSplit/>
          <w:trHeight w:hRule="exact" w:val="60"/>
        </w:trPr>
        <w:tc>
          <w:tcPr>
            <w:tcW w:w="1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Vencidos (3)</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 y 30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14.032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1.421.068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(5.182)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31.354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1.452.422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(5.249)</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31 y 60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354.413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(4.525)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8.689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363.102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(4.645)</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61 y 90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2.539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135.872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(11.696)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7.497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143.369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(12.390)</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91 y 120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102.655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(16.243)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108.237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(17.074)</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121 y 150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78.883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(17.394)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4.896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(946)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83.779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(18.340)</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151 y 180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64.340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(19.839)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(1.211)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69.783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(21.050)</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181 y 210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1.308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66.006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(26.644)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(857)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69.611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(27.501)</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Entre 211 y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44.320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(17.343)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48.438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(18.464)</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6.481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475.900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(259.796)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106.808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(55.194)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582.708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(314.990)</w:t>
            </w: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vencidos</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30.730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2.743.457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(378.662)</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2.063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177.992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(61.041)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2.921.449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(439.703)</w:t>
            </w:r>
          </w:p>
        </w:tc>
      </w:tr>
      <w:tr>
        <w:tblPrEx>
          <w:tblW w:w="8550" w:type="dxa"/>
          <w:tblInd w:w="1417" w:type="dxa"/>
          <w:tblLayout w:type="fixed"/>
        </w:tblPrEx>
        <w:trPr>
          <w:cantSplit/>
          <w:trHeight w:hRule="exact" w:val="60"/>
        </w:trPr>
        <w:tc>
          <w:tcPr>
            <w:tcW w:w="1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45.179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10.482.729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(386.328)</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3.644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1.642.700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(302.936)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12.125.429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(689.264)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 Vendida y no facturada: Corresponde a la estimación de energía por facturar que ha sido suministrada hasta la fecha de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 Por vencer: Corresponde a las facturas y boletas emitidas que al cierre de los estados financieros se encuentran sin vencer su fecha de pago.</w:t>
      </w:r>
    </w:p>
    <w:p>
      <w:pPr>
        <w:keepNext w:val="0"/>
        <w:keepLines/>
        <w:pageBreakBefore w:val="0"/>
        <w:widowControl w:val="0"/>
        <w:numPr>
          <w:ilvl w:val="0"/>
          <w:numId w:val="0"/>
        </w:numPr>
        <w:spacing w:before="0" w:after="0" w:line="288" w:lineRule="auto"/>
        <w:ind w:left="1701" w:right="0" w:hanging="284"/>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 Vencidos: Corresponde a las facturas y boletas emitidas que al cierre de los estados financieros tienen como mínimo un día de morosidad con respecto a su fecha de vencimiento.</w:t>
      </w:r>
    </w:p>
    <w:p>
      <w:pPr>
        <w:keepNext w:val="0"/>
        <w:keepLines/>
        <w:pageBreakBefore w:val="0"/>
        <w:widowControl w:val="0"/>
        <w:numPr>
          <w:ilvl w:val="0"/>
          <w:numId w:val="0"/>
        </w:numPr>
        <w:spacing w:before="0" w:after="0" w:line="288" w:lineRule="auto"/>
        <w:ind w:left="1701" w:right="0" w:hanging="284"/>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701" w:right="0" w:hanging="284"/>
        <w:jc w:val="both"/>
        <w:outlineLvl w:val="9"/>
        <w:rPr>
          <w:rFonts w:ascii="Calibri" w:eastAsia="Calibri" w:hAnsi="Calibri" w:cs="Calibri"/>
          <w:b w:val="0"/>
          <w:i w:val="0"/>
          <w:color w:val="000000"/>
          <w:sz w:val="20"/>
          <w:u w:val="none"/>
        </w:rPr>
        <w:sectPr>
          <w:headerReference w:type="default" r:id="rId26"/>
          <w:footerReference w:type="default" r:id="rId27"/>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2" w:name="Section56"/>
      <w:bookmarkEnd w:id="102"/>
      <w:bookmarkStart w:id="103" w:name="2ca29a55177b4ec8ae9cee554c371b5b"/>
      <w:r>
        <w:rPr>
          <w:rFonts w:ascii="Calibri" w:eastAsia="Calibri" w:hAnsi="Calibri" w:cs="Calibri"/>
          <w:b/>
          <w:i w:val="0"/>
          <w:color w:val="000000"/>
          <w:sz w:val="20"/>
          <w:u w:val="none"/>
        </w:rPr>
        <w:t>8.4.-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3"/>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cartera protestada y en cobranza judicial 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 xml:space="preserve"> es la siguiente, las cuales forman parte de la cartera morosa: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tbl>
      <w:tblPr>
        <w:tblW w:w="8520" w:type="dxa"/>
        <w:tblInd w:w="1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16" w:type="dxa"/>
          <w:tblLayout w:type="fixed"/>
        </w:tblPrEx>
        <w:trPr>
          <w:cantSplit/>
          <w:trHeight w:hRule="auto" w:val="0"/>
        </w:trPr>
        <w:tc>
          <w:tcPr>
            <w:tcW w:w="852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20" w:type="dxa"/>
          <w:tblInd w:w="1416" w:type="dxa"/>
          <w:tblLayout w:type="fixed"/>
        </w:tblPrEx>
        <w:trPr>
          <w:cantSplit/>
          <w:trHeight w:hRule="auto" w:val="0"/>
        </w:trPr>
        <w:tc>
          <w:tcPr>
            <w:tcW w:w="45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en cobranza judicial</w:t>
            </w: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cartera protestada, cartera no securitizada</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cobranza judicial, cartera no securitizada</w:t>
            </w:r>
          </w:p>
        </w:tc>
      </w:tr>
      <w:tr>
        <w:tblPrEx>
          <w:tblW w:w="8520" w:type="dxa"/>
          <w:tblInd w:w="1416" w:type="dxa"/>
          <w:tblLayout w:type="fixed"/>
        </w:tblPrEx>
        <w:trPr>
          <w:cantSplit/>
          <w:trHeight w:hRule="auto" w:val="0"/>
        </w:trPr>
        <w:tc>
          <w:tcPr>
            <w:tcW w:w="45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6"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39.059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16"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39.059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tbl>
      <w:tblPr>
        <w:tblW w:w="8520" w:type="dxa"/>
        <w:tblInd w:w="1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16" w:type="dxa"/>
          <w:tblLayout w:type="fixed"/>
        </w:tblPrEx>
        <w:trPr>
          <w:cantSplit/>
          <w:trHeight w:hRule="auto" w:val="0"/>
        </w:trPr>
        <w:tc>
          <w:tcPr>
            <w:tcW w:w="852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16" w:type="dxa"/>
          <w:tblLayout w:type="fixed"/>
        </w:tblPrEx>
        <w:trPr>
          <w:cantSplit/>
          <w:trHeight w:hRule="auto" w:val="0"/>
        </w:trPr>
        <w:tc>
          <w:tcPr>
            <w:tcW w:w="45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en cobranza judicial</w:t>
            </w: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cartera protestada, cartera no securitizada</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cobranza judicial, cartera no securitizada</w:t>
            </w:r>
          </w:p>
        </w:tc>
      </w:tr>
      <w:tr>
        <w:tblPrEx>
          <w:tblW w:w="8520" w:type="dxa"/>
          <w:tblInd w:w="1416" w:type="dxa"/>
          <w:tblLayout w:type="fixed"/>
        </w:tblPrEx>
        <w:trPr>
          <w:cantSplit/>
          <w:trHeight w:hRule="auto" w:val="0"/>
        </w:trPr>
        <w:tc>
          <w:tcPr>
            <w:tcW w:w="45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6"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16"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4.575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4" w:name="Section57"/>
      <w:bookmarkEnd w:id="104"/>
      <w:bookmarkStart w:id="105" w:name="8903b8e5b7e342f0934cfa1d0fd98e07"/>
      <w:r>
        <w:rPr>
          <w:rFonts w:ascii="Calibri" w:eastAsia="Calibri" w:hAnsi="Calibri" w:cs="Calibri"/>
          <w:b/>
          <w:i w:val="0"/>
          <w:color w:val="000000"/>
          <w:sz w:val="20"/>
          <w:u w:val="none"/>
        </w:rPr>
        <w:t xml:space="preserve">8.5.- </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Provisión y castigos.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0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provisión y castigo de la cartera no repactada y repactada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y castigos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no repactada.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(224.287)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(42.851)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repactada.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224.287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2.115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(40.736)</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6" w:name="Section58"/>
      <w:bookmarkEnd w:id="106"/>
      <w:bookmarkStart w:id="107" w:name="138b17077d0f43a7adf99beb20c3e10c"/>
      <w:r>
        <w:rPr>
          <w:rFonts w:ascii="Calibri" w:eastAsia="Calibri" w:hAnsi="Calibri" w:cs="Calibri"/>
          <w:b/>
          <w:i w:val="0"/>
          <w:color w:val="000000"/>
          <w:sz w:val="20"/>
          <w:u w:val="none"/>
        </w:rPr>
        <w:t xml:space="preserve">8.6.-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0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venta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exact" w:val="27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50" w:type="dxa"/>
          <w:tblInd w:w="1417" w:type="dxa"/>
          <w:tblLayout w:type="fixed"/>
        </w:tblPrEx>
        <w:trPr>
          <w:cantSplit/>
          <w:trHeight w:hRule="exact" w:val="300"/>
        </w:trPr>
        <w:tc>
          <w:tcPr>
            <w:tcW w:w="615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exact" w:val="315"/>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Ventas de energía eléctrica 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exact" w:val="27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exact" w:val="300"/>
        </w:trPr>
        <w:tc>
          <w:tcPr>
            <w:tcW w:w="612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exact" w:val="315"/>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Ventas de energía eléctrica 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436.853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29.902.611</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436.853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29.902.611</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08" w:name="Section59"/>
      <w:bookmarkEnd w:id="108"/>
      <w:bookmarkStart w:id="109" w:name="74d8110cc5684a46b6f0ee00eb7a11ce"/>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0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tienen como política informar todas las transacciones que efectúa con partes relacionadas durante el periodo o ejercicio, con excepción de los dividendos pagados, aportes de capital recibidos, los cuales no se entienden como transacciones. </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10" w:name="Section60"/>
      <w:bookmarkEnd w:id="110"/>
      <w:bookmarkStart w:id="111" w:name="730304e23e0441888c8e0081a78f4c1d"/>
      <w:r>
        <w:rPr>
          <w:rFonts w:ascii="Calibri" w:eastAsia="Calibri" w:hAnsi="Calibri" w:cs="Calibri"/>
          <w:b/>
          <w:i w:val="0"/>
          <w:color w:val="000000"/>
          <w:sz w:val="20"/>
          <w:u w:val="none"/>
        </w:rPr>
        <w:t>9.1.-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655"/>
        <w:gridCol w:w="645"/>
        <w:gridCol w:w="1845"/>
        <w:gridCol w:w="1005"/>
        <w:gridCol w:w="975"/>
        <w:gridCol w:w="600"/>
        <w:gridCol w:w="885"/>
        <w:gridCol w:w="885"/>
        <w:gridCol w:w="885"/>
        <w:gridCol w:w="885"/>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6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8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9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65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84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97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65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84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97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Recaudación interempresas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115.994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1.333.609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auto" w:val="0"/>
        </w:trPr>
        <w:tc>
          <w:tcPr>
            <w:tcW w:w="861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1.449.603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655"/>
        <w:gridCol w:w="645"/>
        <w:gridCol w:w="1845"/>
        <w:gridCol w:w="1005"/>
        <w:gridCol w:w="975"/>
        <w:gridCol w:w="600"/>
        <w:gridCol w:w="885"/>
        <w:gridCol w:w="885"/>
        <w:gridCol w:w="885"/>
        <w:gridCol w:w="885"/>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6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8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9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65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84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97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65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84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97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1.822.814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Recaudación Interempresas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6.211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14.927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Arriendos intangibles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107.095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519.187</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60.613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61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2.011.660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519.187</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8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205"/>
        <w:gridCol w:w="900"/>
        <w:gridCol w:w="900"/>
        <w:gridCol w:w="2865"/>
        <w:gridCol w:w="795"/>
        <w:gridCol w:w="795"/>
        <w:gridCol w:w="795"/>
        <w:gridCol w:w="795"/>
        <w:gridCol w:w="795"/>
      </w:tblGrid>
      <w:tr>
        <w:tblPrEx>
          <w:tblW w:w="11850" w:type="dxa"/>
          <w:tblInd w:w="1417" w:type="dxa"/>
          <w:tblLayout w:type="fixed"/>
        </w:tblPrEx>
        <w:trPr>
          <w:cantSplit/>
          <w:trHeight w:hRule="auto" w:val="0"/>
          <w:tblHeader/>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2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28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159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59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1850"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286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159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59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1850"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286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1850" w:type="dxa"/>
          <w:tblInd w:w="1417" w:type="dxa"/>
          <w:tblLayout w:type="fixed"/>
        </w:tblPrEx>
        <w:trPr>
          <w:cantSplit/>
          <w:trHeight w:hRule="auto" w:val="0"/>
          <w:tblHeader/>
        </w:trPr>
        <w:tc>
          <w:tcPr>
            <w:tcW w:w="1005" w:type="dxa"/>
            <w:vMerge/>
            <w:tcBorders>
              <w:top w:val="nil"/>
              <w:left w:val="single" w:sz="2" w:space="0" w:color="000000"/>
              <w:bottom w:val="single" w:sz="2" w:space="0" w:color="000000"/>
              <w:right w:val="nil"/>
            </w:tcBorders>
          </w:tcPr>
          <w:p>
            <w:pPr>
              <w:keepNext/>
              <w:pageBreakBefore w:val="0"/>
            </w:pPr>
          </w:p>
        </w:tc>
        <w:tc>
          <w:tcPr>
            <w:tcW w:w="2205"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286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Tesorería centralizada (cargos)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Tesorería centralizada (abonos)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2.197.592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Ingreso por intereses tesorería centralizada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40.796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40.796</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Gasto por intereses tesorería centralizada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20.061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(20.061)</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comerciales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39.039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(39.039)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informáticos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773.349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(773.349)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Compra de materiales y equipos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1.659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-1659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76.412.700-5</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administrativos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549.390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(549.390)</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76.412.700-5</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operativos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93.544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(93.544)</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77.402.186-8</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Arriendo de intangibles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UF</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73.826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(73.826)</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77.402.186-8</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Intereses arriendos de intangibles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UF</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26.152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(26.152)</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77.402.186-8</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Tipo de cambio arriendo de intangibles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UF</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18.183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(18.183)</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Compra de materiales y equipos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Operación y mantenimiento de líneas y redes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Compra de activo fijo</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96.766.110-4</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Energía de Casablanca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96.813.520-1</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(334)</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96.866.680-0</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Luz Parral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27.245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(27.245)</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96.884.450-4</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Luz Linares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32.675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(32.675)</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91.344.000-5</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Eléctrica del Litoral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a State Grid Corporation of China como matriz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8"/>
          <w:footerReference w:type="default" r:id="rId29"/>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highlight w:val="yellow"/>
          <w:u w:val="none"/>
        </w:rPr>
      </w:pPr>
      <w:bookmarkStart w:id="112" w:name="Section61"/>
      <w:bookmarkEnd w:id="112"/>
      <w:bookmarkStart w:id="113" w:name="cd15ed42aec84609a4ff284862d45081"/>
      <w:r>
        <w:rPr>
          <w:rFonts w:ascii="Calibri" w:eastAsia="Calibri" w:hAnsi="Calibri" w:cs="Calibri"/>
          <w:b/>
          <w:i w:val="0"/>
          <w:color w:val="000000"/>
          <w:sz w:val="20"/>
          <w:highlight w:val="white"/>
          <w:u w:val="none"/>
        </w:rPr>
        <w:t>9.2.-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Directorio y gerencia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bookmarkEnd w:id="11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Directorio de la Sociedad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highlight w:val="white"/>
          <w:u w:val="none"/>
        </w:rPr>
        <w:t xml:space="preserve"> está compuesto por las siguientes personas:</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tabs>
          <w:tab w:val="left" w:pos="700"/>
        </w:tabs>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Ernesto Peñafiel Morgan</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Presidente</w:t>
      </w:r>
    </w:p>
    <w:p>
      <w:pPr>
        <w:pStyle w:val="Normal-wk"/>
        <w:keepNext w:val="0"/>
        <w:keepLines/>
        <w:pageBreakBefore w:val="0"/>
        <w:widowControl w:val="0"/>
        <w:numPr>
          <w:ilvl w:val="0"/>
          <w:numId w:val="0"/>
        </w:numPr>
        <w:tabs>
          <w:tab w:val="left" w:pos="700"/>
        </w:tabs>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Gladys Cárcamo Alarcón</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tabs>
          <w:tab w:val="left" w:pos="700"/>
        </w:tabs>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Tomás Morales Jaureguiberry</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9.2.1.-</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Remuneración del Directorio.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1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 acuerdo a los estatutos sociales, los directores no perciben remuneración por el ejercicio de su cargo en los años 2025 y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correspondientes a Remuneraciones del Directorio y Comité de Directores de su subsidiaria ascendió a M$ 99.431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M$ 81.840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tabs>
          <w:tab w:val="left" w:pos="700"/>
        </w:tabs>
        <w:spacing w:before="0" w:after="0" w:line="240" w:lineRule="exact"/>
        <w:ind w:left="701" w:right="0" w:firstLine="709"/>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9.2.2.-</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Durante los ejercicios terminados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highlight w:val="white"/>
          <w:u w:val="none"/>
        </w:rPr>
        <w:t>, el equipo gerencial de la Sociedad no ha percibido remuneraciones.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con cargo a resultado del equipo gerencial de la subsidiaria asciende a M$ 343.183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(M$ 343.399 en el mismo ejercicio del año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Subsidiaria tiene establecido, para sus ejecutivos, un plan de incentivo por cumplimiento </w:t>
      </w:r>
      <w:r>
        <w:rPr>
          <w:rFonts w:ascii="Calibri" w:eastAsia="Calibri" w:hAnsi="Calibri" w:cs="Calibri"/>
          <w:b w:val="0"/>
          <w:i w:val="0"/>
          <w:color w:val="000000"/>
          <w:sz w:val="20"/>
          <w:highlight w:val="white"/>
          <w:u w:val="none"/>
        </w:rPr>
        <w:t xml:space="preserve">de </w:t>
      </w:r>
      <w:r>
        <w:rPr>
          <w:rFonts w:ascii="Calibri" w:eastAsia="Calibri" w:hAnsi="Calibri" w:cs="Calibri"/>
          <w:b w:val="0"/>
          <w:i w:val="0"/>
          <w:color w:val="000000"/>
          <w:sz w:val="20"/>
          <w:u w:val="none"/>
        </w:rPr>
        <w:t>objetivos individuales de aportación a los resultados de las sociedades, estos incentivos están estructurados en un mínimo y máximo de remuneraciones brutas y son canceladas una vez al año.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30"/>
          <w:footerReference w:type="default" r:id="rId31"/>
          <w:pgSz w:w="12240" w:h="15840"/>
          <w:pgMar w:top="1411" w:right="1134" w:bottom="1157"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14" w:name="Section62"/>
      <w:bookmarkEnd w:id="114"/>
      <w:bookmarkStart w:id="115" w:name="e9a7e197f1a842f58453775554f15631"/>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11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40"/>
        <w:gridCol w:w="1200"/>
        <w:gridCol w:w="1200"/>
        <w:gridCol w:w="1200"/>
        <w:gridCol w:w="1200"/>
      </w:tblGrid>
      <w:tr>
        <w:tblPrEx>
          <w:tblW w:w="9240" w:type="dxa"/>
          <w:tblInd w:w="720" w:type="dxa"/>
          <w:tblLayout w:type="fixed"/>
        </w:tblPrEx>
        <w:trPr>
          <w:cantSplit/>
          <w:trHeight w:hRule="auto" w:val="0"/>
        </w:trPr>
        <w:tc>
          <w:tcPr>
            <w:tcW w:w="44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inventarios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w:t>
            </w:r>
          </w:p>
        </w:tc>
      </w:tr>
      <w:tr>
        <w:tblPrEx>
          <w:tblW w:w="9240" w:type="dxa"/>
          <w:tblInd w:w="720" w:type="dxa"/>
          <w:tblLayout w:type="fixed"/>
        </w:tblPrEx>
        <w:trPr>
          <w:cantSplit/>
          <w:trHeight w:hRule="auto" w:val="0"/>
        </w:trPr>
        <w:tc>
          <w:tcPr>
            <w:tcW w:w="44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40" w:type="dxa"/>
          <w:tblInd w:w="720" w:type="dxa"/>
          <w:tblLayout w:type="fixed"/>
        </w:tblPrEx>
        <w:trPr>
          <w:cantSplit/>
          <w:trHeight w:hRule="auto" w:val="0"/>
        </w:trPr>
        <w:tc>
          <w:tcPr>
            <w:tcW w:w="44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Suministros para la producción.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3.970.070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Suministros para mantención.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482.527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4.452.597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hay inventarios pignorados en garantía del cumplimiento de deudas contraídas.</w:t>
      </w: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sectPr>
          <w:type w:val="continuous"/>
          <w:pgSz w:w="12240" w:h="15840"/>
          <w:pgMar w:top="1411" w:right="1134" w:bottom="1157"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6" w:name="Section63"/>
      <w:bookmarkEnd w:id="116"/>
      <w:bookmarkStart w:id="117" w:name="94c0460a84d14d4ca9ff5fd49c7a41ef"/>
      <w:r>
        <w:rPr>
          <w:rFonts w:ascii="Calibri" w:eastAsia="Calibri" w:hAnsi="Calibri" w:cs="Calibri"/>
          <w:b/>
          <w:i w:val="0"/>
          <w:color w:val="000000"/>
          <w:sz w:val="20"/>
          <w:u w:val="none"/>
        </w:rPr>
        <w:t>10.1.-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adicional de inventarios.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7"/>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 información de inventarios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01-01-2025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Importe de reversiones de rebajas de importes de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Costos de inventarios reconocidos como gastos durante 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(1.184.925)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(2.192.533)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reversiones de la provisión de deterioro, en caso de existir, están dadas por liquidaciones de inventarios y reversos de la provisión dado por el incremento en el valor neto realizable.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sectPr>
          <w:headerReference w:type="default" r:id="rId32"/>
          <w:footerReference w:type="default" r:id="rId33"/>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18" w:name="Section64"/>
      <w:bookmarkEnd w:id="118"/>
      <w:bookmarkStart w:id="119" w:name="362a0d16879d49a883ba76541377b340"/>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19"/>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Pagos provisionales mensuales.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628.330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Impuestos por recuperar ejercicios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45.404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Créditos al impuesto.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34.000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Incentivo al desarrollo regiones extremas.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1.133.941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1.841.675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 a la renta de primera categoría.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(1.141.313)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(1.141.313)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700.362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20" w:name="Section65"/>
      <w:bookmarkEnd w:id="120"/>
      <w:bookmarkStart w:id="121" w:name="14f4537d3b8b4906a59afd34b3f44ceb"/>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21"/>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162.525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162.525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los gastos pagados por anticipados corresponden a pólizas de seguros anticipadas.</w:t>
      </w: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22" w:name="Section66"/>
      <w:bookmarkEnd w:id="122"/>
      <w:bookmarkStart w:id="123" w:name="ac45d522782f4b32ab22a5250c3508d7"/>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CONTABILIZADAS UTILIZANDO EL MÉTODO DE LA PARTICIPACIÓN.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3"/>
    </w:p>
    <w:p>
      <w:pPr>
        <w:keepNext w:val="0"/>
        <w:keepLines/>
        <w:pageBreakBefore w:val="0"/>
        <w:widowControl w:val="0"/>
        <w:numPr>
          <w:ilvl w:val="0"/>
          <w:numId w:val="0"/>
        </w:numPr>
        <w:spacing w:before="0" w:after="0" w:line="288" w:lineRule="auto"/>
        <w:ind w:left="0" w:right="0" w:firstLine="0"/>
        <w:jc w:val="both"/>
        <w:outlineLvl w:val="9"/>
        <w:sectPr>
          <w:headerReference w:type="default" r:id="rId34"/>
          <w:footerReference w:type="default" r:id="rId35"/>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24" w:name="Section67"/>
      <w:bookmarkEnd w:id="124"/>
      <w:bookmarkStart w:id="125" w:name="38ed5762431d4ea88a9a179f6267f268"/>
      <w:r>
        <w:rPr>
          <w:rFonts w:ascii="Calibri" w:eastAsia="Calibri" w:hAnsi="Calibri" w:cs="Calibri"/>
          <w:b/>
          <w:i w:val="0"/>
          <w:color w:val="000000"/>
          <w:sz w:val="20"/>
          <w:u w:val="none"/>
        </w:rPr>
        <w:t xml:space="preserve">13.1.- </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en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5"/>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Inversión en subsidiaria contabilizada usando el método de la participación.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valorización de las inversiones en subsidiaria consolidada usando el método de la participación se presenta a continuación para efectos informativos.</w:t>
      </w:r>
    </w:p>
    <w:p>
      <w:pPr>
        <w:keepNext w:val="0"/>
        <w:keepLines/>
        <w:pageBreakBefore w:val="0"/>
        <w:widowControl w:val="0"/>
        <w:numPr>
          <w:ilvl w:val="0"/>
          <w:numId w:val="0"/>
        </w:numPr>
        <w:spacing w:before="0" w:after="0" w:line="288" w:lineRule="auto"/>
        <w:ind w:left="2124" w:right="0" w:firstLine="12"/>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hanging="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40"/>
        <w:gridCol w:w="615"/>
        <w:gridCol w:w="660"/>
        <w:gridCol w:w="900"/>
        <w:gridCol w:w="900"/>
        <w:gridCol w:w="1005"/>
        <w:gridCol w:w="1005"/>
        <w:gridCol w:w="1005"/>
        <w:gridCol w:w="1005"/>
        <w:gridCol w:w="1005"/>
        <w:gridCol w:w="1005"/>
      </w:tblGrid>
      <w:tr>
        <w:tblPrEx>
          <w:tblW w:w="11445" w:type="dxa"/>
          <w:tblInd w:w="2126" w:type="dxa"/>
          <w:tblLayout w:type="fixed"/>
        </w:tblPrEx>
        <w:trPr>
          <w:cantSplit/>
          <w:trHeight w:hRule="auto" w:val="0"/>
        </w:trPr>
        <w:tc>
          <w:tcPr>
            <w:tcW w:w="23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Saldo al</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 Dividendos pagados a participaciones no controladoras</w:t>
            </w:r>
            <w:r>
              <w:br/>
            </w:r>
            <w:r>
              <w:rPr>
                <w:rFonts w:ascii="Calibri" w:eastAsia="Calibri" w:hAnsi="Calibri" w:cs="Calibri"/>
                <w:b/>
                <w:i w:val="0"/>
                <w:color w:val="FFFFFF"/>
                <w:sz w:val="13"/>
                <w:u w:val="none"/>
              </w:rPr>
              <w:t>M$</w:t>
            </w:r>
          </w:p>
        </w:tc>
      </w:tr>
      <w:tr>
        <w:tblPrEx>
          <w:tblW w:w="11445" w:type="dxa"/>
          <w:tblInd w:w="2126" w:type="dxa"/>
          <w:tblLayout w:type="fixed"/>
        </w:tblPrEx>
        <w:trPr>
          <w:cantSplit/>
          <w:trHeight w:hRule="auto" w:val="0"/>
        </w:trPr>
        <w:tc>
          <w:tcPr>
            <w:tcW w:w="2340"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05" w:type="dxa"/>
            <w:vMerge/>
            <w:tcBorders>
              <w:top w:val="nil"/>
              <w:left w:val="single" w:sz="4" w:space="0" w:color="FFFFFF"/>
              <w:bottom w:val="nil"/>
              <w:right w:val="single" w:sz="2" w:space="0" w:color="000000"/>
            </w:tcBorders>
          </w:tcPr>
          <w:p>
            <w:pPr>
              <w:keepNext/>
              <w:pageBreakBefore w:val="0"/>
            </w:pPr>
          </w:p>
        </w:tc>
      </w:tr>
      <w:tr>
        <w:tblPrEx>
          <w:tblW w:w="11445" w:type="dxa"/>
          <w:tblInd w:w="2126" w:type="dxa"/>
          <w:tblLayout w:type="fixed"/>
        </w:tblPrEx>
        <w:trPr>
          <w:cantSplit/>
          <w:trHeight w:hRule="auto" w:val="0"/>
        </w:trPr>
        <w:tc>
          <w:tcPr>
            <w:tcW w:w="2340"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vMerge/>
            <w:tcBorders>
              <w:top w:val="nil"/>
              <w:left w:val="single" w:sz="4" w:space="0" w:color="FFFFFF"/>
              <w:bottom w:val="single" w:sz="2" w:space="0" w:color="000000"/>
              <w:right w:val="single" w:sz="2" w:space="0" w:color="000000"/>
            </w:tcBorders>
          </w:tcPr>
          <w:p>
            <w:pPr>
              <w:keepNext/>
              <w:pageBreakBefore w:val="0"/>
            </w:pPr>
          </w:p>
        </w:tc>
      </w:tr>
      <w:tr>
        <w:tblPrEx>
          <w:tblW w:w="11445" w:type="dxa"/>
          <w:tblInd w:w="2126" w:type="dxa"/>
          <w:tblLayout w:type="fixed"/>
        </w:tblPrEx>
        <w:trPr>
          <w:cantSplit/>
          <w:trHeight w:hRule="auto" w:val="0"/>
        </w:trPr>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3"/>
                <w:u w:val="none"/>
              </w:rPr>
              <w:t xml:space="preserve"> Empresa Eléctrica de Magallanes S.A. </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55,10821 %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55,10821 %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25.879.749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1.593.566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(15.512)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27.457.803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1445" w:type="dxa"/>
          <w:tblInd w:w="2126" w:type="dxa"/>
          <w:tblLayout w:type="fixed"/>
        </w:tblPrEx>
        <w:trPr>
          <w:cantSplit/>
          <w:trHeight w:hRule="auto" w:val="0"/>
        </w:trPr>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3"/>
                <w:u w:val="none"/>
              </w:rPr>
              <w:t xml:space="preserve"> CGE Servicios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499"/>
              </w:tabs>
              <w:spacing w:before="38" w:after="20" w:line="240" w:lineRule="auto"/>
              <w:jc w:val="right"/>
            </w:pPr>
            <w:r>
              <w:rPr>
                <w:rFonts w:ascii="Calibri" w:eastAsia="Calibri" w:hAnsi="Calibri" w:cs="Calibri"/>
                <w:b w:val="0"/>
                <w:i w:val="0"/>
                <w:color w:val="000000"/>
                <w:sz w:val="13"/>
                <w:u w:val="none"/>
              </w:rPr>
              <w:tab/>
              <w:t>0,00716</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589"/>
              </w:tabs>
              <w:spacing w:before="38" w:after="20" w:line="240" w:lineRule="auto"/>
              <w:jc w:val="right"/>
            </w:pPr>
            <w:r>
              <w:rPr>
                <w:rFonts w:ascii="Calibri" w:eastAsia="Calibri" w:hAnsi="Calibri" w:cs="Calibri"/>
                <w:b w:val="0"/>
                <w:i w:val="0"/>
                <w:color w:val="000000"/>
                <w:sz w:val="13"/>
                <w:u w:val="none"/>
              </w:rPr>
              <w:tab/>
              <w:t>0,00716 %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(137)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(78)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1445" w:type="dxa"/>
          <w:tblInd w:w="2126" w:type="dxa"/>
          <w:tblLayout w:type="fixed"/>
        </w:tblPrEx>
        <w:trPr>
          <w:cantSplit/>
          <w:trHeight w:hRule="auto" w:val="0"/>
        </w:trPr>
        <w:tc>
          <w:tcPr>
            <w:tcW w:w="5415"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25.879.612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1.593.626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(15.513)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27.457.725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40"/>
        <w:gridCol w:w="615"/>
        <w:gridCol w:w="660"/>
        <w:gridCol w:w="900"/>
        <w:gridCol w:w="900"/>
        <w:gridCol w:w="1005"/>
        <w:gridCol w:w="1005"/>
        <w:gridCol w:w="1005"/>
        <w:gridCol w:w="1005"/>
        <w:gridCol w:w="1005"/>
        <w:gridCol w:w="1005"/>
      </w:tblGrid>
      <w:tr>
        <w:tblPrEx>
          <w:tblW w:w="11445" w:type="dxa"/>
          <w:tblInd w:w="2126" w:type="dxa"/>
          <w:tblLayout w:type="fixed"/>
        </w:tblPrEx>
        <w:trPr>
          <w:cantSplit/>
          <w:trHeight w:hRule="auto" w:val="0"/>
        </w:trPr>
        <w:tc>
          <w:tcPr>
            <w:tcW w:w="23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 Dividendos pagados a participaciones no controladoras</w:t>
            </w:r>
            <w:r>
              <w:br/>
            </w:r>
            <w:r>
              <w:rPr>
                <w:rFonts w:ascii="Calibri" w:eastAsia="Calibri" w:hAnsi="Calibri" w:cs="Calibri"/>
                <w:b/>
                <w:i w:val="0"/>
                <w:color w:val="FFFFFF"/>
                <w:sz w:val="13"/>
                <w:u w:val="none"/>
              </w:rPr>
              <w:t>M$</w:t>
            </w:r>
          </w:p>
        </w:tc>
      </w:tr>
      <w:tr>
        <w:tblPrEx>
          <w:tblW w:w="11445" w:type="dxa"/>
          <w:tblInd w:w="2126" w:type="dxa"/>
          <w:tblLayout w:type="fixed"/>
        </w:tblPrEx>
        <w:trPr>
          <w:cantSplit/>
          <w:trHeight w:hRule="auto" w:val="0"/>
        </w:trPr>
        <w:tc>
          <w:tcPr>
            <w:tcW w:w="2340"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1005" w:type="dxa"/>
            <w:vMerge/>
            <w:tcBorders>
              <w:top w:val="nil"/>
              <w:left w:val="single" w:sz="4" w:space="0" w:color="FFFFFF"/>
              <w:bottom w:val="nil"/>
              <w:right w:val="single" w:sz="2" w:space="0" w:color="000000"/>
            </w:tcBorders>
          </w:tcPr>
          <w:p>
            <w:pPr>
              <w:keepNext/>
              <w:pageBreakBefore w:val="0"/>
            </w:pPr>
          </w:p>
        </w:tc>
      </w:tr>
      <w:tr>
        <w:tblPrEx>
          <w:tblW w:w="11445" w:type="dxa"/>
          <w:tblInd w:w="2126" w:type="dxa"/>
          <w:tblLayout w:type="fixed"/>
        </w:tblPrEx>
        <w:trPr>
          <w:cantSplit/>
          <w:trHeight w:hRule="auto" w:val="0"/>
        </w:trPr>
        <w:tc>
          <w:tcPr>
            <w:tcW w:w="2340"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vMerge/>
            <w:tcBorders>
              <w:top w:val="nil"/>
              <w:left w:val="single" w:sz="4" w:space="0" w:color="FFFFFF"/>
              <w:bottom w:val="single" w:sz="2" w:space="0" w:color="000000"/>
              <w:right w:val="single" w:sz="2" w:space="0" w:color="000000"/>
            </w:tcBorders>
          </w:tcPr>
          <w:p>
            <w:pPr>
              <w:keepNext/>
              <w:pageBreakBefore w:val="0"/>
            </w:pPr>
          </w:p>
        </w:tc>
      </w:tr>
      <w:tr>
        <w:tblPrEx>
          <w:tblW w:w="11445" w:type="dxa"/>
          <w:tblInd w:w="2126" w:type="dxa"/>
          <w:tblLayout w:type="fixed"/>
        </w:tblPrEx>
        <w:trPr>
          <w:cantSplit/>
          <w:trHeight w:hRule="auto" w:val="0"/>
        </w:trPr>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Empresa Eléctrica de Magallanes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96"/>
              </w:tabs>
              <w:spacing w:before="0" w:after="0" w:line="240" w:lineRule="auto"/>
              <w:jc w:val="right"/>
            </w:pPr>
            <w:r>
              <w:rPr>
                <w:rFonts w:ascii="Calibri" w:eastAsia="Calibri" w:hAnsi="Calibri" w:cs="Calibri"/>
                <w:b w:val="0"/>
                <w:i w:val="0"/>
                <w:color w:val="000000"/>
                <w:sz w:val="13"/>
                <w:u w:val="none"/>
              </w:rPr>
              <w:tab/>
              <w:t>55,10821</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35"/>
              </w:tabs>
              <w:spacing w:before="0" w:after="0" w:line="240" w:lineRule="auto"/>
              <w:jc w:val="right"/>
            </w:pPr>
            <w:r>
              <w:rPr>
                <w:rFonts w:ascii="Calibri" w:eastAsia="Calibri" w:hAnsi="Calibri" w:cs="Calibri"/>
                <w:b w:val="0"/>
                <w:i w:val="0"/>
                <w:color w:val="000000"/>
                <w:sz w:val="13"/>
                <w:u w:val="none"/>
              </w:rPr>
              <w:tab/>
              <w:t>55,10821</w:t>
              <w:tab/>
              <w:t>%</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22.761.010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6.314.352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(3.207.943)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12.330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25.879.749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(2.613.228)</w:t>
            </w:r>
          </w:p>
        </w:tc>
      </w:tr>
      <w:tr>
        <w:tblPrEx>
          <w:tblW w:w="11445" w:type="dxa"/>
          <w:tblInd w:w="2126" w:type="dxa"/>
          <w:tblLayout w:type="fixed"/>
        </w:tblPrEx>
        <w:trPr>
          <w:cantSplit/>
          <w:trHeight w:hRule="auto" w:val="0"/>
        </w:trPr>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Servicios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30"/>
              </w:tabs>
              <w:spacing w:before="0" w:after="0" w:line="240" w:lineRule="auto"/>
              <w:jc w:val="right"/>
            </w:pPr>
            <w:r>
              <w:rPr>
                <w:rFonts w:ascii="Calibri" w:eastAsia="Calibri" w:hAnsi="Calibri" w:cs="Calibri"/>
                <w:b w:val="0"/>
                <w:i w:val="0"/>
                <w:color w:val="000000"/>
                <w:sz w:val="13"/>
                <w:u w:val="none"/>
              </w:rPr>
              <w:tab/>
              <w:t>0,00716</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69"/>
              </w:tabs>
              <w:spacing w:before="0" w:after="0" w:line="240" w:lineRule="auto"/>
              <w:jc w:val="right"/>
            </w:pPr>
            <w:r>
              <w:rPr>
                <w:rFonts w:ascii="Calibri" w:eastAsia="Calibri" w:hAnsi="Calibri" w:cs="Calibri"/>
                <w:b w:val="0"/>
                <w:i w:val="0"/>
                <w:color w:val="000000"/>
                <w:sz w:val="13"/>
                <w:u w:val="none"/>
              </w:rPr>
              <w:tab/>
              <w:t>0,00716</w:t>
              <w:tab/>
              <w:t>%</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(426)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(137)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0</w:t>
            </w:r>
          </w:p>
        </w:tc>
      </w:tr>
      <w:tr>
        <w:tblPrEx>
          <w:tblW w:w="11445" w:type="dxa"/>
          <w:tblInd w:w="2126" w:type="dxa"/>
          <w:tblLayout w:type="fixed"/>
        </w:tblPrEx>
        <w:trPr>
          <w:cantSplit/>
          <w:trHeight w:hRule="auto" w:val="0"/>
        </w:trPr>
        <w:tc>
          <w:tcPr>
            <w:tcW w:w="5415"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22.760.584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6.314.619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(3.207.943)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12.352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25.879.612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(2.613.228)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resumida de la subsidiaria.</w:t>
      </w:r>
    </w:p>
    <w:p>
      <w:pPr>
        <w:keepNext/>
        <w:keepLines/>
        <w:pageBreakBefore w:val="0"/>
        <w:widowControl w:val="0"/>
        <w:numPr>
          <w:ilvl w:val="0"/>
          <w:numId w:val="0"/>
        </w:numPr>
        <w:spacing w:before="0" w:after="0" w:line="288" w:lineRule="auto"/>
        <w:ind w:left="0" w:right="-426"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2126" w:right="0" w:hanging="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p>
    <w:p>
      <w:pPr>
        <w:keepNext/>
        <w:keepLines/>
        <w:pageBreakBefore w:val="0"/>
        <w:widowControl w:val="0"/>
        <w:numPr>
          <w:ilvl w:val="0"/>
          <w:numId w:val="0"/>
        </w:numPr>
        <w:spacing w:before="0" w:after="0" w:line="288" w:lineRule="auto"/>
        <w:ind w:left="1418" w:right="0" w:firstLine="708"/>
        <w:jc w:val="both"/>
        <w:outlineLvl w:val="9"/>
        <w:rPr>
          <w:rFonts w:ascii="Calibri" w:eastAsia="Calibri" w:hAnsi="Calibri" w:cs="Calibri"/>
          <w:b w:val="0"/>
          <w:i w:val="0"/>
          <w:color w:val="000000"/>
          <w:sz w:val="20"/>
          <w:u w:val="none"/>
        </w:rPr>
      </w:pPr>
    </w:p>
    <w:tbl>
      <w:tblPr>
        <w:tblW w:w="114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20"/>
        <w:gridCol w:w="720"/>
        <w:gridCol w:w="690"/>
        <w:gridCol w:w="690"/>
        <w:gridCol w:w="690"/>
        <w:gridCol w:w="690"/>
        <w:gridCol w:w="690"/>
        <w:gridCol w:w="690"/>
        <w:gridCol w:w="690"/>
        <w:gridCol w:w="690"/>
        <w:gridCol w:w="690"/>
        <w:gridCol w:w="690"/>
        <w:gridCol w:w="690"/>
        <w:gridCol w:w="690"/>
        <w:gridCol w:w="690"/>
        <w:gridCol w:w="690"/>
      </w:tblGrid>
      <w:tr>
        <w:tblPrEx>
          <w:tblW w:w="11400" w:type="dxa"/>
          <w:tblInd w:w="2126" w:type="dxa"/>
          <w:tblLayout w:type="fixed"/>
        </w:tblPrEx>
        <w:trPr>
          <w:cantSplit/>
          <w:trHeight w:hRule="auto" w:val="0"/>
        </w:trPr>
        <w:tc>
          <w:tcPr>
            <w:tcW w:w="10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Inversiones en sociedades subsidiarias directas</w:t>
            </w:r>
          </w:p>
        </w:tc>
        <w:tc>
          <w:tcPr>
            <w:tcW w:w="72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Porcentaje participación</w:t>
            </w:r>
          </w:p>
        </w:tc>
        <w:tc>
          <w:tcPr>
            <w:tcW w:w="9660"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r>
      <w:tr>
        <w:tblPrEx>
          <w:tblW w:w="11400" w:type="dxa"/>
          <w:tblInd w:w="2126" w:type="dxa"/>
          <w:tblLayout w:type="fixed"/>
        </w:tblPrEx>
        <w:trPr>
          <w:cantSplit/>
          <w:trHeight w:hRule="auto" w:val="0"/>
        </w:trPr>
        <w:tc>
          <w:tcPr>
            <w:tcW w:w="1020" w:type="dxa"/>
            <w:vMerge/>
            <w:tcBorders>
              <w:top w:val="nil"/>
              <w:left w:val="single" w:sz="2" w:space="0" w:color="000000"/>
              <w:bottom w:val="nil"/>
              <w:right w:val="nil"/>
            </w:tcBorders>
          </w:tcPr>
          <w:p>
            <w:pPr>
              <w:keepNext/>
              <w:pageBreakBefore w:val="0"/>
            </w:pPr>
          </w:p>
        </w:tc>
        <w:tc>
          <w:tcPr>
            <w:tcW w:w="720" w:type="dxa"/>
            <w:vMerge/>
            <w:tcBorders>
              <w:top w:val="nil"/>
              <w:left w:val="single" w:sz="4" w:space="0" w:color="FFFFFF"/>
              <w:bottom w:val="nil"/>
              <w:right w:val="nil"/>
            </w:tcBorders>
          </w:tcPr>
          <w:p>
            <w:pPr>
              <w:keepNext/>
              <w:pageBreakBefore w:val="0"/>
            </w:pPr>
          </w:p>
        </w:tc>
        <w:tc>
          <w:tcPr>
            <w:tcW w:w="69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no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activos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no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pasivos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Patrimonio</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Ingresos ordinarios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Costo de ventas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Otros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neta</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controlador</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w:t>
            </w:r>
          </w:p>
        </w:tc>
        <w:tc>
          <w:tcPr>
            <w:tcW w:w="69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 controlador</w:t>
            </w:r>
          </w:p>
        </w:tc>
      </w:tr>
      <w:tr>
        <w:tblPrEx>
          <w:tblW w:w="11400" w:type="dxa"/>
          <w:tblInd w:w="2126" w:type="dxa"/>
          <w:tblLayout w:type="fixed"/>
        </w:tblPrEx>
        <w:trPr>
          <w:cantSplit/>
          <w:trHeight w:hRule="auto" w:val="0"/>
        </w:trPr>
        <w:tc>
          <w:tcPr>
            <w:tcW w:w="1020" w:type="dxa"/>
            <w:vMerge/>
            <w:tcBorders>
              <w:top w:val="nil"/>
              <w:left w:val="single" w:sz="2" w:space="0" w:color="000000"/>
              <w:bottom w:val="single" w:sz="2" w:space="0" w:color="000000"/>
              <w:right w:val="nil"/>
            </w:tcBorders>
          </w:tcPr>
          <w:p>
            <w:pPr>
              <w:keepNext/>
              <w:pageBreakBefore w:val="0"/>
            </w:pPr>
          </w:p>
        </w:tc>
        <w:tc>
          <w:tcPr>
            <w:tcW w:w="720" w:type="dxa"/>
            <w:vMerge/>
            <w:tcBorders>
              <w:top w:val="nil"/>
              <w:left w:val="single" w:sz="4" w:space="0" w:color="FFFFFF"/>
              <w:bottom w:val="single" w:sz="2" w:space="0" w:color="000000"/>
              <w:right w:val="nil"/>
            </w:tcBorders>
          </w:tcPr>
          <w:p>
            <w:pPr>
              <w:keepNext/>
              <w:pageBreakBefore w:val="0"/>
            </w:pP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11400" w:type="dxa"/>
          <w:tblInd w:w="2126" w:type="dxa"/>
          <w:tblLayout w:type="fixed"/>
        </w:tblPrEx>
        <w:trPr>
          <w:cantSplit/>
          <w:trHeight w:hRule="auto" w:val="0"/>
        </w:trPr>
        <w:tc>
          <w:tcPr>
            <w:tcW w:w="10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 xml:space="preserve"> Empresa Eléctrica de Magallanes S.A.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55,10821%</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1.760.180</w:t>
            </w:r>
          </w:p>
        </w:tc>
        <w:tc>
          <w:tcPr>
            <w:tcW w:w="6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1.760.180</w:t>
            </w:r>
          </w:p>
        </w:tc>
      </w:tr>
      <w:tr>
        <w:tblPrEx>
          <w:tblW w:w="11400" w:type="dxa"/>
          <w:tblInd w:w="2126" w:type="dxa"/>
          <w:tblLayout w:type="fixed"/>
        </w:tblPrEx>
        <w:trPr>
          <w:cantSplit/>
          <w:trHeight w:hRule="auto" w:val="0"/>
        </w:trPr>
        <w:tc>
          <w:tcPr>
            <w:tcW w:w="174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1.760.180</w:t>
            </w:r>
          </w:p>
        </w:tc>
        <w:tc>
          <w:tcPr>
            <w:tcW w:w="69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1.760.180</w:t>
            </w:r>
          </w:p>
        </w:tc>
      </w:tr>
    </w:tbl>
    <w:p>
      <w:pPr>
        <w:keepNext/>
        <w:keepLines/>
        <w:pageBreakBefore w:val="0"/>
        <w:widowControl w:val="0"/>
        <w:numPr>
          <w:ilvl w:val="0"/>
          <w:numId w:val="0"/>
        </w:numPr>
        <w:spacing w:before="0" w:after="0" w:line="288" w:lineRule="auto"/>
        <w:ind w:left="1418" w:right="0" w:firstLine="708"/>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38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720"/>
        <w:gridCol w:w="690"/>
        <w:gridCol w:w="690"/>
        <w:gridCol w:w="690"/>
        <w:gridCol w:w="690"/>
        <w:gridCol w:w="690"/>
        <w:gridCol w:w="690"/>
        <w:gridCol w:w="690"/>
        <w:gridCol w:w="690"/>
        <w:gridCol w:w="690"/>
        <w:gridCol w:w="690"/>
        <w:gridCol w:w="690"/>
        <w:gridCol w:w="690"/>
        <w:gridCol w:w="690"/>
        <w:gridCol w:w="690"/>
      </w:tblGrid>
      <w:tr>
        <w:tblPrEx>
          <w:tblW w:w="11385" w:type="dxa"/>
          <w:tblInd w:w="2126" w:type="dxa"/>
          <w:tblLayout w:type="fixed"/>
        </w:tblPrEx>
        <w:trPr>
          <w:cantSplit/>
          <w:trHeight w:hRule="auto" w:val="0"/>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Inversiones en sociedades subsidiarias directas</w:t>
            </w:r>
          </w:p>
        </w:tc>
        <w:tc>
          <w:tcPr>
            <w:tcW w:w="72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Porcentaje participación</w:t>
            </w:r>
          </w:p>
        </w:tc>
        <w:tc>
          <w:tcPr>
            <w:tcW w:w="9660"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31-12-2025</w:t>
            </w:r>
          </w:p>
        </w:tc>
      </w:tr>
      <w:tr>
        <w:tblPrEx>
          <w:tblW w:w="11385" w:type="dxa"/>
          <w:tblInd w:w="2126" w:type="dxa"/>
          <w:tblLayout w:type="fixed"/>
        </w:tblPrEx>
        <w:trPr>
          <w:cantSplit/>
          <w:trHeight w:hRule="auto" w:val="0"/>
        </w:trPr>
        <w:tc>
          <w:tcPr>
            <w:tcW w:w="1005" w:type="dxa"/>
            <w:vMerge/>
            <w:tcBorders>
              <w:top w:val="nil"/>
              <w:left w:val="single" w:sz="2" w:space="0" w:color="000000"/>
              <w:bottom w:val="nil"/>
              <w:right w:val="nil"/>
            </w:tcBorders>
          </w:tcPr>
          <w:p>
            <w:pPr>
              <w:keepNext/>
              <w:pageBreakBefore w:val="0"/>
            </w:pPr>
          </w:p>
        </w:tc>
        <w:tc>
          <w:tcPr>
            <w:tcW w:w="720" w:type="dxa"/>
            <w:vMerge/>
            <w:tcBorders>
              <w:top w:val="nil"/>
              <w:left w:val="single" w:sz="4" w:space="0" w:color="FFFFFF"/>
              <w:bottom w:val="nil"/>
              <w:right w:val="nil"/>
            </w:tcBorders>
          </w:tcPr>
          <w:p>
            <w:pPr>
              <w:keepNext/>
              <w:pageBreakBefore w:val="0"/>
            </w:pPr>
          </w:p>
        </w:tc>
        <w:tc>
          <w:tcPr>
            <w:tcW w:w="69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no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activos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no corrientes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pasivos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Patrimonio</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Ingresos ordinarios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Costo de ventas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Otros</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neta</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controlador</w:t>
            </w:r>
          </w:p>
        </w:tc>
        <w:tc>
          <w:tcPr>
            <w:tcW w:w="69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w:t>
            </w:r>
          </w:p>
        </w:tc>
        <w:tc>
          <w:tcPr>
            <w:tcW w:w="69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 controlador</w:t>
            </w:r>
          </w:p>
        </w:tc>
      </w:tr>
      <w:tr>
        <w:tblPrEx>
          <w:tblW w:w="11385" w:type="dxa"/>
          <w:tblInd w:w="2126"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720" w:type="dxa"/>
            <w:vMerge/>
            <w:tcBorders>
              <w:top w:val="nil"/>
              <w:left w:val="single" w:sz="4" w:space="0" w:color="FFFFFF"/>
              <w:bottom w:val="single" w:sz="2" w:space="0" w:color="000000"/>
              <w:right w:val="nil"/>
            </w:tcBorders>
          </w:tcPr>
          <w:p>
            <w:pPr>
              <w:keepNext/>
              <w:pageBreakBefore w:val="0"/>
            </w:pP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9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1138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 xml:space="preserve"> Empresa Eléctrica de Magallanes S.A.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55,10821%</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22.495.406</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92.581.118</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115.076.524</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45.401.707</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22.713.125</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68.114.832</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46.961.692</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64.057.975</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(40.490.180)</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(12.109.698)</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11.458.097</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11.458.097</w:t>
            </w:r>
          </w:p>
        </w:tc>
        <w:tc>
          <w:tcPr>
            <w:tcW w:w="6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11.480.470</w:t>
            </w:r>
          </w:p>
        </w:tc>
        <w:tc>
          <w:tcPr>
            <w:tcW w:w="6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11.480.470</w:t>
            </w:r>
          </w:p>
        </w:tc>
      </w:tr>
      <w:tr>
        <w:tblPrEx>
          <w:tblW w:w="11385" w:type="dxa"/>
          <w:tblInd w:w="2126" w:type="dxa"/>
          <w:tblLayout w:type="fixed"/>
        </w:tblPrEx>
        <w:trPr>
          <w:cantSplit/>
          <w:trHeight w:hRule="auto" w:val="0"/>
        </w:trPr>
        <w:tc>
          <w:tcPr>
            <w:tcW w:w="1725"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22.495.406</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92.581.118</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115.076.524</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45.401.707</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22.713.125</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68.114.832</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46.961.692</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64.057.975</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(40.490.180)</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(12.109.698)</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11.458.097</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11.458.097</w:t>
            </w:r>
          </w:p>
        </w:tc>
        <w:tc>
          <w:tcPr>
            <w:tcW w:w="6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11.480.470</w:t>
            </w:r>
          </w:p>
        </w:tc>
        <w:tc>
          <w:tcPr>
            <w:tcW w:w="69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11.480.470</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sectPr>
          <w:type w:val="continuous"/>
          <w:pgSz w:w="15840" w:h="12240" w:orient="landscape"/>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i w:val="0"/>
          <w:color w:val="000000"/>
          <w:sz w:val="20"/>
          <w:u w:val="none"/>
        </w:rPr>
      </w:pPr>
      <w:bookmarkStart w:id="126" w:name="Section68"/>
      <w:bookmarkEnd w:id="126"/>
      <w:bookmarkStart w:id="127" w:name="ede612b33f1446b390000753ecd416e9"/>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r>
        <w:rPr>
          <w:rFonts w:ascii="Calibri" w:eastAsia="Calibri" w:hAnsi="Calibri" w:cs="Calibri"/>
          <w:b/>
          <w:i w:val="0"/>
          <w:color w:val="000000"/>
          <w:sz w:val="20"/>
          <w:u w:val="none"/>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27"/>
    </w:p>
    <w:p>
      <w:pPr>
        <w:keepNext w:val="0"/>
        <w:keepLines/>
        <w:pageBreakBefore w:val="0"/>
        <w:widowControl w:val="0"/>
        <w:numPr>
          <w:ilvl w:val="0"/>
          <w:numId w:val="0"/>
        </w:numPr>
        <w:spacing w:before="0" w:after="0" w:line="288" w:lineRule="auto"/>
        <w:ind w:left="0" w:right="0" w:firstLine="0"/>
        <w:jc w:val="both"/>
        <w:outlineLvl w:val="9"/>
        <w:sectPr>
          <w:headerReference w:type="default" r:id="rId36"/>
          <w:footerReference w:type="default" r:id="rId37"/>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20"/>
        <w:jc w:val="both"/>
        <w:outlineLvl w:val="1"/>
        <w:rPr>
          <w:rFonts w:ascii="Times New Roman" w:eastAsia="Times New Roman" w:hAnsi="Times New Roman" w:cs="Times New Roman"/>
          <w:b/>
          <w:i w:val="0"/>
          <w:color w:val="000000"/>
          <w:sz w:val="24"/>
          <w:u w:val="none"/>
        </w:rPr>
      </w:pPr>
      <w:bookmarkStart w:id="128" w:name="Section69"/>
      <w:bookmarkEnd w:id="128"/>
      <w:bookmarkStart w:id="129" w:name="4919f37ebc5740c9980c0d3cddb924b1"/>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los activos intangibles.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Este rubro está compuesto principalmente por servidumbres de paso y software computacionales. Su detalle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40" w:type="dxa"/>
          <w:tblLayout w:type="fixed"/>
        </w:tblPrEx>
        <w:trPr>
          <w:cantSplit/>
          <w:trHeight w:hRule="auto" w:val="0"/>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329.542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(179.881)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149.661</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18.384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18.384</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347.926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(179.881)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168.045</w:t>
            </w:r>
          </w:p>
        </w:tc>
      </w:tr>
    </w:tbl>
    <w:p>
      <w:pPr>
        <w:keepNext w:val="0"/>
        <w:keepLines/>
        <w:pageBreakBefore w:val="0"/>
        <w:widowControl w:val="0"/>
        <w:numPr>
          <w:ilvl w:val="0"/>
          <w:numId w:val="0"/>
        </w:numPr>
        <w:spacing w:before="0" w:after="0" w:line="288" w:lineRule="auto"/>
        <w:ind w:left="707"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otros activos intangibles identificables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encuentra en nota 14.1.1.-</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amortización acumulada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alcanza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179.881</w:t>
      </w:r>
      <w:r>
        <w:rPr>
          <w:rFonts w:ascii="Calibri" w:eastAsia="Calibri" w:hAnsi="Calibri" w:cs="Calibri"/>
          <w:b w:val="0"/>
          <w:i w:val="0"/>
          <w:color w:val="000000"/>
          <w:sz w:val="20"/>
          <w:u w:val="none"/>
        </w:rPr>
        <w:t>, respectivamente, la que corresponde a los activos intangibles distintos a la plusvalía con vida útil finita.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vidas útiles aplicadas en el rubro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05"/>
        <w:gridCol w:w="1305"/>
        <w:gridCol w:w="1305"/>
        <w:gridCol w:w="1305"/>
      </w:tblGrid>
      <w:tr>
        <w:tblPrEx>
          <w:tblW w:w="8520" w:type="dxa"/>
          <w:tblInd w:w="1451"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Vidas útiles estimadas o tasas de amortización utilizadas</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 tasa</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Mínima</w:t>
            </w:r>
          </w:p>
        </w:tc>
        <w:tc>
          <w:tcPr>
            <w:tcW w:w="13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Máxima</w:t>
            </w:r>
          </w:p>
        </w:tc>
      </w:tr>
      <w:tr>
        <w:tblPrEx>
          <w:tblW w:w="8520" w:type="dxa"/>
          <w:tblInd w:w="1451"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5</w:t>
            </w:r>
          </w:p>
        </w:tc>
      </w:tr>
      <w:tr>
        <w:tblPrEx>
          <w:tblW w:w="8520" w:type="dxa"/>
          <w:tblInd w:w="1451"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r>
    </w:tbl>
    <w:p>
      <w:pPr>
        <w:keepNext w:val="0"/>
        <w:keepLines/>
        <w:pageBreakBefore w:val="0"/>
        <w:widowControl w:val="0"/>
        <w:numPr>
          <w:ilvl w:val="0"/>
          <w:numId w:val="0"/>
        </w:numPr>
        <w:spacing w:before="0" w:after="0" w:line="288" w:lineRule="auto"/>
        <w:ind w:left="2160" w:right="0" w:hanging="709"/>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40" w:type="dxa"/>
          <w:tblLayout w:type="fixed"/>
        </w:tblPrEx>
        <w:trPr>
          <w:cantSplit/>
          <w:trHeight w:hRule="auto" w:val="0"/>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Programas informáticos, neto</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intangibles identificables, neto</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 identificables, neto</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149.661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168.045</w:t>
            </w:r>
          </w:p>
        </w:tc>
      </w:tr>
      <w:tr>
        <w:tblPrEx>
          <w:tblW w:w="8520" w:type="dxa"/>
          <w:tblInd w:w="1440"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Incrementos distintos de los procedentes de combinaciones de negocios.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(35.908)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(35.908)</w:t>
            </w:r>
          </w:p>
        </w:tc>
      </w:tr>
      <w:tr>
        <w:tblPrEx>
          <w:tblW w:w="85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8" w:space="0" w:color="FFFFFF"/>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i w:val="0"/>
                <w:color w:val="FFFFFF"/>
                <w:sz w:val="16"/>
                <w:u w:val="none"/>
              </w:rPr>
              <w:t>Cambios,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(35.908)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0</w:t>
            </w:r>
          </w:p>
        </w:tc>
        <w:tc>
          <w:tcPr>
            <w:tcW w:w="1200" w:type="dxa"/>
            <w:tcBorders>
              <w:top w:val="single" w:sz="8" w:space="0" w:color="FFFFFF"/>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(35.908)</w:t>
            </w:r>
          </w:p>
        </w:tc>
      </w:tr>
      <w:tr>
        <w:tblPrEx>
          <w:tblW w:w="85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final al 30 de junio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113.753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132.137</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40" w:type="dxa"/>
          <w:tblLayout w:type="fixed"/>
        </w:tblPrEx>
        <w:trPr>
          <w:cantSplit/>
          <w:trHeight w:hRule="auto" w:val="0"/>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Programas informáticos, neto</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intangibles identificables, neto</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 identificables, neto</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37.335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55.719</w:t>
            </w:r>
          </w:p>
        </w:tc>
      </w:tr>
      <w:tr>
        <w:tblPrEx>
          <w:tblW w:w="8520" w:type="dxa"/>
          <w:tblInd w:w="1440"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(98.028)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(98.028)</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Incrementos (disminuciones) por otros cambios.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Cambios,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112.326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112.326</w:t>
            </w:r>
          </w:p>
        </w:tc>
      </w:tr>
      <w:tr>
        <w:tblPrEx>
          <w:tblW w:w="85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final al 31 de diciembre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149.661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168.045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160" w:line="240" w:lineRule="exact"/>
        <w:ind w:left="2137"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El detalle del importe de activos intangibles identificables individuales significativos y su vida útil o período de amortización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5"/>
        <w:gridCol w:w="1785"/>
        <w:gridCol w:w="2385"/>
      </w:tblGrid>
      <w:tr>
        <w:tblPrEx>
          <w:tblW w:w="7845" w:type="dxa"/>
          <w:tblInd w:w="2126" w:type="dxa"/>
          <w:tblLayout w:type="fixed"/>
        </w:tblPrEx>
        <w:trPr>
          <w:cantSplit/>
          <w:trHeight w:hRule="auto" w:val="0"/>
        </w:trPr>
        <w:tc>
          <w:tcPr>
            <w:tcW w:w="367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7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período o ejercicio de amortización restante de activo intangible individual identificable significativo</w:t>
            </w:r>
          </w:p>
        </w:tc>
      </w:tr>
      <w:tr>
        <w:tblPrEx>
          <w:tblW w:w="7845" w:type="dxa"/>
          <w:tblInd w:w="2126" w:type="dxa"/>
          <w:tblLayout w:type="fixed"/>
        </w:tblPrEx>
        <w:trPr>
          <w:cantSplit/>
          <w:trHeight w:hRule="auto" w:val="0"/>
        </w:trPr>
        <w:tc>
          <w:tcPr>
            <w:tcW w:w="367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7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7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18.384</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7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18.384</w:t>
            </w:r>
          </w:p>
        </w:tc>
        <w:tc>
          <w:tcPr>
            <w:tcW w:w="23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5"/>
        <w:gridCol w:w="1785"/>
        <w:gridCol w:w="2385"/>
      </w:tblGrid>
      <w:tr>
        <w:tblPrEx>
          <w:tblW w:w="7845" w:type="dxa"/>
          <w:tblInd w:w="2126" w:type="dxa"/>
          <w:tblLayout w:type="fixed"/>
        </w:tblPrEx>
        <w:trPr>
          <w:cantSplit/>
          <w:trHeight w:hRule="auto" w:val="0"/>
        </w:trPr>
        <w:tc>
          <w:tcPr>
            <w:tcW w:w="367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7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período o ejercicio de amortización restante de activo intangible individual identificable significativo</w:t>
            </w:r>
          </w:p>
        </w:tc>
      </w:tr>
      <w:tr>
        <w:tblPrEx>
          <w:tblW w:w="7845" w:type="dxa"/>
          <w:tblInd w:w="2126" w:type="dxa"/>
          <w:tblLayout w:type="fixed"/>
        </w:tblPrEx>
        <w:trPr>
          <w:cantSplit/>
          <w:trHeight w:hRule="auto" w:val="0"/>
        </w:trPr>
        <w:tc>
          <w:tcPr>
            <w:tcW w:w="367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7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7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18.384</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7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18.384</w:t>
            </w:r>
          </w:p>
        </w:tc>
        <w:tc>
          <w:tcPr>
            <w:tcW w:w="23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cargo a resultados del ejercicio por amortización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305"/>
        <w:gridCol w:w="1305"/>
      </w:tblGrid>
      <w:tr>
        <w:tblPrEx>
          <w:tblW w:w="7845" w:type="dxa"/>
          <w:tblInd w:w="2126" w:type="dxa"/>
          <w:tblLayout w:type="fixed"/>
        </w:tblPrEx>
        <w:trPr>
          <w:cantSplit/>
          <w:trHeight w:hRule="auto" w:val="0"/>
        </w:trPr>
        <w:tc>
          <w:tcPr>
            <w:tcW w:w="52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Línea de partida en el estado de resultados que incluye amortización de activos intangibles identificables</w:t>
            </w:r>
          </w:p>
        </w:tc>
        <w:tc>
          <w:tcPr>
            <w:tcW w:w="13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3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7845" w:type="dxa"/>
          <w:tblInd w:w="2126"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305" w:type="dxa"/>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305"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7845" w:type="dxa"/>
          <w:tblInd w:w="2126"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3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w:t>
            </w:r>
          </w:p>
        </w:tc>
        <w:tc>
          <w:tcPr>
            <w:tcW w:w="13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w:t>
            </w:r>
          </w:p>
        </w:tc>
      </w:tr>
      <w:tr>
        <w:tblPrEx>
          <w:tblW w:w="7845" w:type="dxa"/>
          <w:tblInd w:w="2126"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3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Costo de ventas.</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35.908</w:t>
            </w: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34.843</w:t>
            </w:r>
          </w:p>
        </w:tc>
      </w:tr>
      <w:tr>
        <w:tblPrEx>
          <w:tblW w:w="7845" w:type="dxa"/>
          <w:tblInd w:w="2126"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35.908</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34.843</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0" w:name="Section70"/>
      <w:bookmarkEnd w:id="130"/>
      <w:bookmarkStart w:id="131" w:name="747dc944d85544b5b2624e07e2994ab3"/>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con vida útil indefinida.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servidumbre se presentan al costo. El período de explotación de dichos derechos en general no tiene límite por lo que son considerados activos con una vida útil indefinida, y en consecuencia no están sujetos a amortización.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32" w:name="Section71"/>
      <w:bookmarkEnd w:id="132"/>
      <w:bookmarkStart w:id="133" w:name="51c9e3a64dc149aa90e56a6118824ad1"/>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bookmarkEnd w:id="133"/>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y el movimiento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4" w:name="Section72"/>
      <w:bookmarkEnd w:id="134"/>
      <w:bookmarkStart w:id="135" w:name="82df23e4c3d5437e95d8986c2c837ba0"/>
      <w:r>
        <w:rPr>
          <w:rFonts w:ascii="Calibri" w:eastAsia="Calibri" w:hAnsi="Calibri" w:cs="Calibri"/>
          <w:b/>
          <w:i w:val="0"/>
          <w:color w:val="000000"/>
          <w:sz w:val="20"/>
          <w:u w:val="none"/>
        </w:rPr>
        <w:t>15.1.-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las propiedades de inversión.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7" w:type="dxa"/>
          <w:tblLayout w:type="fixed"/>
        </w:tblPrEx>
        <w:trPr>
          <w:cantSplit/>
          <w:trHeight w:hRule="auto" w:val="0"/>
        </w:trPr>
        <w:tc>
          <w:tcPr>
            <w:tcW w:w="63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de inversión, modelo del valor razonable</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Propiedades de inversión al comienzo del periodo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1.666.385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369.376</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Transferencias de (a) bienes inmuebles ocupados por el propietario.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(60.009)</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ajustes del valor razonable.</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1.357.018</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propiedades de inversión</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1.297.009</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Propiedades de inversión al final del periodo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1.666.385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1.666.385</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edificios y terrenos de las propiedades de inversión han sido contabilizados a valor razonable en el estado de situación financiera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en base a lo previsto en la NIC 40. Dicha metodología aplicada para estos bienes se clasifica en Nivel II de la jerarquía de valor razonable, donde la información proviene de fuentes distintas a los valores de cotización del Nivel de jerarquía I, pero son observables en mercados para los activos y pasivos ya sea de manera directa (precios) o indirecta (obtenidos a partir de precios), ya que debido al método de retasación periódica los valores se obtienen de tasaciones que se llevan a cabo, a base del valor de mercado.</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tasaciones para los efectos de determinar el valor razonable de las propiedades de inversión son evaluadas y efectuadas en forma anual. El valor razonable de las propiedades de inversión fue determinada por peritos externos independientes con una capacidad profesional reconocida y experiencia en la valorización de activos similares.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de Tasación informado por dichos profesionales corresponde a una estimación metodológica del valor de cada activo a través de un enfoque de Valor de Mercado o Valor Comercial, que reconoce un mercado definido y comparable para cada activo.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de costo histórico de las propiedades de inversión alcanza a M$ 343.720 al 31 de diciembre de 2025 y M$ 174.819 al 31 de diciembre de 2024.</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6" w:name="Section73"/>
      <w:bookmarkEnd w:id="136"/>
      <w:bookmarkStart w:id="137" w:name="0c14b8d383b04d8bbff7a1c60e81aafd"/>
      <w:r>
        <w:rPr>
          <w:rFonts w:ascii="Calibri" w:eastAsia="Calibri" w:hAnsi="Calibri" w:cs="Calibri"/>
          <w:b/>
          <w:i w:val="0"/>
          <w:color w:val="000000"/>
          <w:sz w:val="20"/>
          <w:u w:val="none"/>
        </w:rPr>
        <w:t>15.2.-</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bookmarkEnd w:id="13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y gastos de propiedades de inversión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Importe de ingresos por alquileres de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22.886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41.337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38" w:name="Section74"/>
      <w:bookmarkEnd w:id="138"/>
      <w:bookmarkStart w:id="139" w:name="9a79cdcdb90946fca60958f172a1d45f"/>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9"/>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0" w:name="Section75"/>
      <w:bookmarkEnd w:id="140"/>
      <w:bookmarkStart w:id="141" w:name="b568007049f6457cba3f9374ff7ee599"/>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la subsidiaria.</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u w:val="none"/>
        </w:rPr>
      </w:pPr>
    </w:p>
    <w:tbl>
      <w:tblPr>
        <w:tblW w:w="8535" w:type="dxa"/>
        <w:tblInd w:w="1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35"/>
        <w:gridCol w:w="1200"/>
        <w:gridCol w:w="1200"/>
      </w:tblGrid>
      <w:tr>
        <w:tblPrEx>
          <w:tblW w:w="8535" w:type="dxa"/>
          <w:tblInd w:w="1429" w:type="dxa"/>
          <w:tblLayout w:type="fixed"/>
        </w:tblPrEx>
        <w:trPr>
          <w:cantSplit/>
          <w:trHeight w:hRule="auto" w:val="0"/>
        </w:trPr>
        <w:tc>
          <w:tcPr>
            <w:tcW w:w="61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535" w:type="dxa"/>
          <w:tblInd w:w="1429" w:type="dxa"/>
          <w:tblLayout w:type="fixed"/>
        </w:tblPrEx>
        <w:trPr>
          <w:cantSplit/>
          <w:trHeight w:hRule="auto" w:val="0"/>
        </w:trPr>
        <w:tc>
          <w:tcPr>
            <w:tcW w:w="613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8535" w:type="dxa"/>
          <w:tblInd w:w="1429"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edificios.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r>
      <w:tr>
        <w:tblPrEx>
          <w:tblW w:w="8535" w:type="dxa"/>
          <w:tblInd w:w="1429"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planta y equipo.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55</w:t>
            </w:r>
          </w:p>
        </w:tc>
      </w:tr>
      <w:tr>
        <w:tblPrEx>
          <w:tblW w:w="8535" w:type="dxa"/>
          <w:tblInd w:w="1429"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equipamiento de tecnologías de la información.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r>
      <w:tr>
        <w:tblPrEx>
          <w:tblW w:w="8535" w:type="dxa"/>
          <w:tblInd w:w="1429"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instalaciones fijas y accesorios.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45</w:t>
            </w:r>
          </w:p>
        </w:tc>
      </w:tr>
      <w:tr>
        <w:tblPrEx>
          <w:tblW w:w="8535" w:type="dxa"/>
          <w:tblInd w:w="1429"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vehículos de motor.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r>
      <w:tr>
        <w:tblPrEx>
          <w:tblW w:w="8535" w:type="dxa"/>
          <w:tblInd w:w="1429"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otras propiedades, planta y equipo.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01" w:right="0" w:hanging="28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Considera la depreciación de componentes por horas de uso para las unidades generadoras y sus repuestos.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20" w:right="0" w:firstLine="0"/>
        <w:jc w:val="both"/>
        <w:outlineLvl w:val="1"/>
        <w:rPr>
          <w:rFonts w:ascii="Times New Roman" w:eastAsia="Times New Roman" w:hAnsi="Times New Roman" w:cs="Times New Roman"/>
          <w:b/>
          <w:i w:val="0"/>
          <w:color w:val="000000"/>
          <w:sz w:val="24"/>
          <w:u w:val="none"/>
        </w:rPr>
      </w:pPr>
      <w:bookmarkStart w:id="142" w:name="Section76"/>
      <w:bookmarkEnd w:id="142"/>
      <w:bookmarkStart w:id="143" w:name="a9614177aa75404980ac59e72789500f"/>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16.2.1.-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395"/>
        <w:gridCol w:w="1395"/>
      </w:tblGrid>
      <w:tr>
        <w:tblPrEx>
          <w:tblW w:w="7845" w:type="dxa"/>
          <w:tblInd w:w="2126" w:type="dxa"/>
          <w:tblLayout w:type="fixed"/>
        </w:tblPrEx>
        <w:trPr>
          <w:cantSplit/>
          <w:trHeight w:hRule="auto" w:val="0"/>
        </w:trPr>
        <w:tc>
          <w:tcPr>
            <w:tcW w:w="50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neto</w:t>
            </w:r>
          </w:p>
        </w:tc>
        <w:tc>
          <w:tcPr>
            <w:tcW w:w="13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3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05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15.782.802</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740.467</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3.690.333</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37.883.816</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2.814.160</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348.011</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1.834.710</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          </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10.955.613</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21.684.229</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247.093</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173.799</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902.781</w:t>
            </w:r>
          </w:p>
        </w:tc>
      </w:tr>
      <w:tr>
        <w:tblPrEx>
          <w:tblW w:w="7845" w:type="dxa"/>
          <w:tblInd w:w="2126" w:type="dxa"/>
          <w:tblLayout w:type="fixed"/>
        </w:tblPrEx>
        <w:trPr>
          <w:cantSplit/>
          <w:trHeight w:hRule="exact" w:val="255"/>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9.317</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672.154</w:t>
            </w:r>
          </w:p>
        </w:tc>
      </w:tr>
      <w:tr>
        <w:tblPrEx>
          <w:tblW w:w="7845" w:type="dxa"/>
          <w:tblInd w:w="2126" w:type="dxa"/>
          <w:tblLayout w:type="fixed"/>
        </w:tblPrEx>
        <w:trPr>
          <w:cantSplit/>
          <w:trHeight w:hRule="exact" w:val="255"/>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221.310</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160.578</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663.502</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59.998.078</w:t>
            </w:r>
          </w:p>
        </w:tc>
      </w:tr>
    </w:tbl>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16.2.2.-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keepLines/>
        <w:pageBreakBefore w:val="0"/>
        <w:widowControl w:val="0"/>
        <w:numPr>
          <w:ilvl w:val="0"/>
          <w:numId w:val="0"/>
        </w:numPr>
        <w:spacing w:before="0" w:after="0" w:line="288" w:lineRule="auto"/>
        <w:ind w:left="705" w:right="0" w:firstLine="4"/>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395"/>
        <w:gridCol w:w="1395"/>
      </w:tblGrid>
      <w:tr>
        <w:tblPrEx>
          <w:tblW w:w="7845" w:type="dxa"/>
          <w:tblInd w:w="2126" w:type="dxa"/>
          <w:tblLayout w:type="fixed"/>
        </w:tblPrEx>
        <w:trPr>
          <w:cantSplit/>
          <w:trHeight w:hRule="auto" w:val="0"/>
        </w:trPr>
        <w:tc>
          <w:tcPr>
            <w:tcW w:w="50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bruto</w:t>
            </w:r>
          </w:p>
        </w:tc>
        <w:tc>
          <w:tcPr>
            <w:tcW w:w="13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3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05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15.782.802</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740.467</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10.465.334</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92.437.350</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5.182.826</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628.814</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3.881.531</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19.075.835</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62.716.559</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951.785</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515.471</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2.831.925</w:t>
            </w:r>
          </w:p>
        </w:tc>
      </w:tr>
      <w:tr>
        <w:tblPrEx>
          <w:tblW w:w="7845" w:type="dxa"/>
          <w:tblInd w:w="2126" w:type="dxa"/>
          <w:tblLayout w:type="fixed"/>
        </w:tblPrEx>
        <w:trPr>
          <w:cantSplit/>
          <w:trHeight w:hRule="exact" w:val="255"/>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138.809</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2.125.006</w:t>
            </w:r>
          </w:p>
        </w:tc>
      </w:tr>
      <w:tr>
        <w:tblPrEx>
          <w:tblW w:w="7845" w:type="dxa"/>
          <w:tblInd w:w="2126" w:type="dxa"/>
          <w:tblLayout w:type="fixed"/>
        </w:tblPrEx>
        <w:trPr>
          <w:cantSplit/>
          <w:trHeight w:hRule="exact" w:val="255"/>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568.110</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515.798</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1.854.365</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125.143.512</w:t>
            </w:r>
          </w:p>
        </w:tc>
      </w:tr>
    </w:tbl>
    <w:p>
      <w:pPr>
        <w:pStyle w:val="Normal-wk"/>
        <w:keepNext w:val="0"/>
        <w:keepLines/>
        <w:pageBreakBefore w:val="0"/>
        <w:widowControl w:val="0"/>
        <w:numPr>
          <w:ilvl w:val="0"/>
          <w:numId w:val="0"/>
        </w:numPr>
        <w:spacing w:before="0" w:after="0" w:line="288" w:lineRule="auto"/>
        <w:ind w:left="1418" w:right="-1"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40" w:lineRule="exact"/>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16.2.3.-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395"/>
        <w:gridCol w:w="1395"/>
      </w:tblGrid>
      <w:tr>
        <w:tblPrEx>
          <w:tblW w:w="7845" w:type="dxa"/>
          <w:tblInd w:w="2126" w:type="dxa"/>
          <w:tblLayout w:type="fixed"/>
        </w:tblPrEx>
        <w:trPr>
          <w:cantSplit/>
          <w:trHeight w:hRule="auto" w:val="0"/>
        </w:trPr>
        <w:tc>
          <w:tcPr>
            <w:tcW w:w="50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w:t>
            </w:r>
          </w:p>
        </w:tc>
        <w:tc>
          <w:tcPr>
            <w:tcW w:w="13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3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05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6.775.001</w:t>
            </w:r>
          </w:p>
        </w:tc>
      </w:tr>
      <w:tr>
        <w:tblPrEx>
          <w:tblW w:w="7845" w:type="dxa"/>
          <w:tblInd w:w="2126" w:type="dxa"/>
          <w:tblLayout w:type="fixed"/>
        </w:tblPrEx>
        <w:trPr>
          <w:cantSplit/>
          <w:trHeight w:hRule="exact" w:val="6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54.553.534</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2.368.666</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280.803</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2.046.821</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8.120.222</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41.032.330</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704.692</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341.672</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1.929.144</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129.492</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1.452.852</w:t>
            </w:r>
          </w:p>
        </w:tc>
      </w:tr>
      <w:tr>
        <w:tblPrEx>
          <w:tblW w:w="7845" w:type="dxa"/>
          <w:tblInd w:w="2126" w:type="dxa"/>
          <w:tblLayout w:type="fixed"/>
        </w:tblPrEx>
        <w:trPr>
          <w:cantSplit/>
          <w:trHeight w:hRule="exact" w:val="255"/>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346.800</w:t>
            </w: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355.220</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1.190.863</w:t>
            </w:r>
          </w:p>
        </w:tc>
      </w:tr>
      <w:tr>
        <w:tblPrEx>
          <w:tblW w:w="7845" w:type="dxa"/>
          <w:tblInd w:w="2126"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65.145.434</w:t>
            </w:r>
          </w:p>
        </w:tc>
      </w:tr>
    </w:tbl>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4" w:name="Section77"/>
      <w:bookmarkEnd w:id="144"/>
      <w:bookmarkStart w:id="145" w:name="62ee52948f4249f1b3592a3a0efc2a1d"/>
      <w:r>
        <w:rPr>
          <w:rFonts w:ascii="Calibri" w:eastAsia="Calibri" w:hAnsi="Calibri" w:cs="Calibri"/>
          <w:b/>
          <w:i w:val="0"/>
          <w:color w:val="000000"/>
          <w:sz w:val="20"/>
          <w:u w:val="none"/>
        </w:rPr>
        <w:t>16.3.-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5"/>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42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540"/>
        <w:gridCol w:w="2235"/>
        <w:gridCol w:w="825"/>
        <w:gridCol w:w="825"/>
        <w:gridCol w:w="825"/>
        <w:gridCol w:w="825"/>
        <w:gridCol w:w="825"/>
        <w:gridCol w:w="825"/>
        <w:gridCol w:w="825"/>
        <w:gridCol w:w="825"/>
        <w:gridCol w:w="825"/>
      </w:tblGrid>
      <w:tr>
        <w:tblPrEx>
          <w:tblW w:w="10425" w:type="dxa"/>
          <w:tblInd w:w="1417" w:type="dxa"/>
          <w:tblLayout w:type="fixed"/>
        </w:tblPrEx>
        <w:trPr>
          <w:cantSplit/>
          <w:trHeight w:hRule="auto" w:val="0"/>
        </w:trPr>
        <w:tc>
          <w:tcPr>
            <w:tcW w:w="3000"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82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0425" w:type="dxa"/>
          <w:tblInd w:w="1417" w:type="dxa"/>
          <w:tblLayout w:type="fixed"/>
        </w:tblPrEx>
        <w:trPr>
          <w:cantSplit/>
          <w:trHeight w:hRule="auto" w:val="0"/>
        </w:trPr>
        <w:tc>
          <w:tcPr>
            <w:tcW w:w="3000" w:type="dxa"/>
            <w:gridSpan w:val="3"/>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0425"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15.782.802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740.467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3.690.333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37.883.816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173.799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902.781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160.578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59.998.078</w:t>
            </w:r>
          </w:p>
        </w:tc>
      </w:tr>
      <w:tr>
        <w:tblPrEx>
          <w:tblW w:w="10425"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exact" w:val="34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882.137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882.369</w:t>
            </w:r>
          </w:p>
        </w:tc>
      </w:tr>
      <w:tr>
        <w:tblPrEx>
          <w:tblW w:w="1042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(hacia) propiedades de inversión.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042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(32.316)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(32.316)</w:t>
            </w:r>
          </w:p>
        </w:tc>
      </w:tr>
      <w:tr>
        <w:tblPrEx>
          <w:tblW w:w="1042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(35.255)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(1.592.827)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(18.637)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(37.195)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(8.368)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(22.377)</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(1.714.659)</w:t>
            </w:r>
          </w:p>
        </w:tc>
      </w:tr>
      <w:tr>
        <w:tblPrEx>
          <w:tblW w:w="10425" w:type="dxa"/>
          <w:tblInd w:w="1417" w:type="dxa"/>
          <w:tblLayout w:type="fixed"/>
        </w:tblPrEx>
        <w:trPr>
          <w:cantSplit/>
          <w:trHeight w:hRule="auto" w:val="0"/>
        </w:trPr>
        <w:tc>
          <w:tcPr>
            <w:tcW w:w="225" w:type="dxa"/>
            <w:vMerge/>
            <w:tcBorders>
              <w:top w:val="nil"/>
              <w:left w:val="single" w:sz="2" w:space="0" w:color="000000"/>
              <w:bottom w:val="nil"/>
              <w:right w:val="single" w:sz="2" w:space="0" w:color="000000"/>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(801.257)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602.917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183.584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14.756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0425"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(8.612)</w:t>
            </w:r>
          </w:p>
        </w:tc>
        <w:tc>
          <w:tcPr>
            <w:tcW w:w="82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(8.612)</w:t>
            </w:r>
          </w:p>
        </w:tc>
      </w:tr>
      <w:tr>
        <w:tblPrEx>
          <w:tblW w:w="10425" w:type="dxa"/>
          <w:tblInd w:w="1417" w:type="dxa"/>
          <w:tblLayout w:type="fixed"/>
        </w:tblPrEx>
        <w:trPr>
          <w:cantSplit/>
          <w:trHeight w:hRule="auto" w:val="0"/>
        </w:trPr>
        <w:tc>
          <w:tcPr>
            <w:tcW w:w="2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80.880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(35.255)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(1.022.226)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164.947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(36.963)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6.388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(30.989)</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(873.218)</w:t>
            </w:r>
          </w:p>
        </w:tc>
      </w:tr>
      <w:tr>
        <w:tblPrEx>
          <w:tblW w:w="10425" w:type="dxa"/>
          <w:tblInd w:w="1417" w:type="dxa"/>
          <w:tblLayout w:type="fixed"/>
        </w:tblPrEx>
        <w:trPr>
          <w:cantSplit/>
          <w:trHeight w:hRule="auto" w:val="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exact" w:val="225"/>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15.863.682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740.467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3.655.078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36.861.590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338.746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865.818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166.966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632.513</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59.124.860</w:t>
            </w:r>
          </w:p>
        </w:tc>
      </w:tr>
    </w:tbl>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42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540"/>
        <w:gridCol w:w="2235"/>
        <w:gridCol w:w="825"/>
        <w:gridCol w:w="825"/>
        <w:gridCol w:w="825"/>
        <w:gridCol w:w="825"/>
        <w:gridCol w:w="825"/>
        <w:gridCol w:w="825"/>
        <w:gridCol w:w="825"/>
        <w:gridCol w:w="825"/>
        <w:gridCol w:w="825"/>
      </w:tblGrid>
      <w:tr>
        <w:tblPrEx>
          <w:tblW w:w="10425" w:type="dxa"/>
          <w:tblInd w:w="1417" w:type="dxa"/>
          <w:tblLayout w:type="fixed"/>
        </w:tblPrEx>
        <w:trPr>
          <w:cantSplit/>
          <w:trHeight w:hRule="auto" w:val="0"/>
        </w:trPr>
        <w:tc>
          <w:tcPr>
            <w:tcW w:w="3000"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82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0425" w:type="dxa"/>
          <w:tblInd w:w="1417" w:type="dxa"/>
          <w:tblLayout w:type="fixed"/>
        </w:tblPrEx>
        <w:trPr>
          <w:cantSplit/>
          <w:trHeight w:hRule="auto" w:val="0"/>
        </w:trPr>
        <w:tc>
          <w:tcPr>
            <w:tcW w:w="3000" w:type="dxa"/>
            <w:gridSpan w:val="3"/>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0425"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14.905.276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792.920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3.413.750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37.757.579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74.563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801.283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153.655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232.731</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58.131.757</w:t>
            </w:r>
          </w:p>
        </w:tc>
      </w:tr>
      <w:tr>
        <w:tblPrEx>
          <w:tblW w:w="10425"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exact" w:val="34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9.131.839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5.928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9.137.767</w:t>
            </w:r>
          </w:p>
        </w:tc>
      </w:tr>
      <w:tr>
        <w:tblPrEx>
          <w:tblW w:w="1042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(22.591)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(480.496)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(503.087)</w:t>
            </w:r>
          </w:p>
        </w:tc>
      </w:tr>
      <w:tr>
        <w:tblPrEx>
          <w:tblW w:w="1042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(134.575)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(5.971.724)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(43.663)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(142.833)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(30.382)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(52.053)</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(6.375.230)</w:t>
            </w:r>
          </w:p>
        </w:tc>
      </w:tr>
      <w:tr>
        <w:tblPrEx>
          <w:tblW w:w="1042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(8.237.598)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321.287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7.485.106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142.899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238.403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37.305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12.598</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0425"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(16.715)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(906.649)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470.226</w:t>
            </w:r>
          </w:p>
        </w:tc>
        <w:tc>
          <w:tcPr>
            <w:tcW w:w="82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(453.138)</w:t>
            </w:r>
          </w:p>
        </w:tc>
      </w:tr>
      <w:tr>
        <w:tblPrEx>
          <w:tblW w:w="10425" w:type="dxa"/>
          <w:tblInd w:w="1417" w:type="dxa"/>
          <w:tblLayout w:type="fixed"/>
        </w:tblPrEx>
        <w:trPr>
          <w:cantSplit/>
          <w:trHeight w:hRule="auto" w:val="0"/>
        </w:trPr>
        <w:tc>
          <w:tcPr>
            <w:tcW w:w="2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877.526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(52.453)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276.583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126.237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99.236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101.498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6.923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430.771</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1.866.321</w:t>
            </w:r>
          </w:p>
        </w:tc>
      </w:tr>
      <w:tr>
        <w:tblPrEx>
          <w:tblW w:w="10425" w:type="dxa"/>
          <w:tblInd w:w="1417" w:type="dxa"/>
          <w:tblLayout w:type="fixed"/>
        </w:tblPrEx>
        <w:trPr>
          <w:cantSplit/>
          <w:trHeight w:hRule="auto" w:val="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425"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15.782.802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740.467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3.690.333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37.883.816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173.799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902.781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160.578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59.998.078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headerReference w:type="default" r:id="rId38"/>
          <w:footerReference w:type="default" r:id="rId39"/>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6" w:name="Section78"/>
      <w:bookmarkEnd w:id="146"/>
      <w:bookmarkStart w:id="147" w:name="68b79cbd20ca4815aece1ba8a7344d5f"/>
      <w:r>
        <w:rPr>
          <w:rFonts w:ascii="Calibri" w:eastAsia="Calibri" w:hAnsi="Calibri" w:cs="Calibri"/>
          <w:b/>
          <w:i w:val="0"/>
          <w:color w:val="000000"/>
          <w:sz w:val="20"/>
          <w:u w:val="none"/>
        </w:rPr>
        <w:t>16.4.-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 Sociedad y su subsidiaria, han mantenido tradicionalmente una política de llevar a cabo todas las obras necesarias para satisfacer los incrementos de la demanda, conservar en buen estado las instalaciones y adaptar el sistema a los avances tecnológicos, con el objeto de cumplir cabalmente con las normas de calidad y continuidad de suministro establecidos por la regulación vigente tanto en el sector electricidad, como asimismo con los contratos comerciales suscritos con sus clientes. El monto de adiciones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alcanzó a M$ </w:t>
      </w:r>
      <w:r>
        <w:rPr>
          <w:rFonts w:ascii="Calibri" w:eastAsia="Calibri" w:hAnsi="Calibri" w:cs="Calibri"/>
          <w:b w:val="0"/>
          <w:i w:val="0"/>
          <w:color w:val="000000"/>
          <w:sz w:val="20"/>
          <w:highlight w:val="white"/>
          <w:u w:val="none"/>
        </w:rPr>
        <w:t>882.369</w:t>
      </w:r>
      <w:r>
        <w:rPr>
          <w:rFonts w:ascii="Calibri" w:eastAsia="Calibri" w:hAnsi="Calibri" w:cs="Calibri"/>
          <w:b w:val="0"/>
          <w:i w:val="0"/>
          <w:color w:val="000000"/>
          <w:sz w:val="20"/>
          <w:highlight w:val="white"/>
          <w:u w:val="none"/>
        </w:rPr>
        <w:t xml:space="preserve"> (M$ </w:t>
      </w:r>
      <w:r>
        <w:rPr>
          <w:rFonts w:ascii="Calibri" w:eastAsia="Calibri" w:hAnsi="Calibri" w:cs="Calibri"/>
          <w:b w:val="0"/>
          <w:i w:val="0"/>
          <w:color w:val="000000"/>
          <w:sz w:val="20"/>
          <w:highlight w:val="white"/>
          <w:u w:val="none"/>
        </w:rPr>
        <w:t>9.137.767</w:t>
      </w:r>
      <w:r>
        <w:rPr>
          <w:rFonts w:ascii="Calibri" w:eastAsia="Calibri" w:hAnsi="Calibri" w:cs="Calibri"/>
          <w:b w:val="0"/>
          <w:i w:val="0"/>
          <w:color w:val="000000"/>
          <w:sz w:val="20"/>
          <w:highlight w:val="white"/>
          <w:u w:val="none"/>
        </w:rPr>
        <w:t xml:space="preserve">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 y el valor contable de obras en curso alcanzó a un monto de M$ </w:t>
      </w:r>
      <w:r>
        <w:rPr>
          <w:rFonts w:ascii="Calibri" w:eastAsia="Calibri" w:hAnsi="Calibri" w:cs="Calibri"/>
          <w:b w:val="0"/>
          <w:i w:val="0"/>
          <w:color w:val="000000"/>
          <w:sz w:val="20"/>
          <w:highlight w:val="white"/>
          <w:u w:val="none"/>
        </w:rPr>
        <w:t>15.863.682</w:t>
      </w:r>
      <w:r>
        <w:rPr>
          <w:rFonts w:ascii="Calibri" w:eastAsia="Calibri" w:hAnsi="Calibri" w:cs="Calibri"/>
          <w:b w:val="0"/>
          <w:i w:val="0"/>
          <w:color w:val="000000"/>
          <w:sz w:val="20"/>
          <w:highlight w:val="white"/>
          <w:u w:val="none"/>
        </w:rPr>
        <w:t xml:space="preserve"> y M$ </w:t>
      </w:r>
      <w:r>
        <w:rPr>
          <w:rFonts w:ascii="Calibri" w:eastAsia="Calibri" w:hAnsi="Calibri" w:cs="Calibri"/>
          <w:b w:val="0"/>
          <w:i w:val="0"/>
          <w:color w:val="000000"/>
          <w:sz w:val="20"/>
          <w:highlight w:val="white"/>
          <w:u w:val="none"/>
        </w:rPr>
        <w:t>15.782.802</w:t>
      </w:r>
      <w:r>
        <w:rPr>
          <w:rFonts w:ascii="Calibri" w:eastAsia="Calibri" w:hAnsi="Calibri" w:cs="Calibri"/>
          <w:b w:val="0"/>
          <w:i w:val="0"/>
          <w:color w:val="000000"/>
          <w:sz w:val="20"/>
          <w:highlight w:val="white"/>
          <w:u w:val="none"/>
        </w:rPr>
        <w:t xml:space="preserve">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highlight w:val="white"/>
          <w:u w:val="none"/>
        </w:rPr>
        <w:t xml:space="preserve"> respectivamente.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el ejercicio 2025, se han actualizado las vidas útiles y valor residual de los bienes de propiedades, planta y equipo, generando un menor gasto por depreciación en el ejercicio por M$ 65.879.</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restricciones en la titularidad de propiedades, planta y equipo de la Sociedad y subsidiaria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16.4.1.-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Informaciones adicionales a revelar sobre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Informaciones adicionales a revelar sobre propiedades, planta y equipos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 en libros de Propiedades, planta y equipo retiradas no mantenidas para la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32.316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503.087</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 de desembolsos sobre cuentas de propiedades, planta y equipos en proceso de construcción.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882.137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9.131.839</w:t>
            </w:r>
          </w:p>
        </w:tc>
      </w:tr>
    </w:tbl>
    <w:p>
      <w:pPr>
        <w:keepNext w:val="0"/>
        <w:keepLines/>
        <w:pageBreakBefore w:val="0"/>
        <w:widowControl w:val="0"/>
        <w:numPr>
          <w:ilvl w:val="0"/>
          <w:numId w:val="0"/>
        </w:numPr>
        <w:spacing w:before="0" w:after="0" w:line="288" w:lineRule="auto"/>
        <w:ind w:left="1410" w:right="0" w:hanging="705"/>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hanging="705"/>
        <w:jc w:val="both"/>
        <w:outlineLvl w:val="9"/>
        <w:rPr>
          <w:rFonts w:ascii="Calibri" w:eastAsia="Calibri" w:hAnsi="Calibri" w:cs="Calibri"/>
          <w:b w:val="0"/>
          <w:i w:val="0"/>
          <w:color w:val="000000"/>
          <w:sz w:val="20"/>
          <w:u w:val="none"/>
        </w:rPr>
        <w:sectPr>
          <w:headerReference w:type="default" r:id="rId40"/>
          <w:footerReference w:type="default" r:id="rId41"/>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8" w:name="Section79"/>
      <w:bookmarkEnd w:id="148"/>
      <w:bookmarkStart w:id="149" w:name="5507a39a24f1427bb10836f6bdf20ac2"/>
      <w:r>
        <w:rPr>
          <w:rFonts w:ascii="Calibri" w:eastAsia="Calibri" w:hAnsi="Calibri" w:cs="Calibri"/>
          <w:b/>
          <w:i w:val="0"/>
          <w:color w:val="000000"/>
          <w:sz w:val="20"/>
          <w:u w:val="none"/>
        </w:rPr>
        <w:t>16.5.-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9"/>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no se han capitalizado intereses por no tener activos aptos para dicho efecto.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0" w:name="Section80"/>
      <w:bookmarkEnd w:id="150"/>
      <w:bookmarkStart w:id="151" w:name="35036cc28f964a61a4179fd647cc9b92"/>
      <w:r>
        <w:rPr>
          <w:rFonts w:ascii="Calibri" w:eastAsia="Calibri" w:hAnsi="Calibri" w:cs="Calibri"/>
          <w:b/>
          <w:i w:val="0"/>
          <w:color w:val="000000"/>
          <w:sz w:val="20"/>
          <w:u w:val="none"/>
        </w:rPr>
        <w:t>16.6.-</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 Información a considerar sobre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han efectuado bajas de propiedad planta y equipo por M$ </w:t>
      </w:r>
      <w:r>
        <w:rPr>
          <w:rFonts w:ascii="Calibri" w:eastAsia="Calibri" w:hAnsi="Calibri" w:cs="Calibri"/>
          <w:b w:val="0"/>
          <w:i w:val="0"/>
          <w:color w:val="000000"/>
          <w:sz w:val="20"/>
          <w:u w:val="none"/>
        </w:rPr>
        <w:t>32.316</w:t>
      </w:r>
      <w:r>
        <w:rPr>
          <w:rFonts w:ascii="Calibri" w:eastAsia="Calibri" w:hAnsi="Calibri" w:cs="Calibri"/>
          <w:b w:val="0"/>
          <w:i w:val="0"/>
          <w:color w:val="000000"/>
          <w:sz w:val="20"/>
          <w:u w:val="none"/>
        </w:rPr>
        <w:t xml:space="preserve">, donde M$ 469.175 corresponden a componentes de generación y M$ 33.912 de otros componentes eléctricos, los cuales se registran en el estado de resultados en el rubro Otras ganancias (pérdidas).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las bajas alcanzaron un monto de M$ </w:t>
      </w:r>
      <w:r>
        <w:rPr>
          <w:rFonts w:ascii="Calibri" w:eastAsia="Calibri" w:hAnsi="Calibri" w:cs="Calibri"/>
          <w:b w:val="0"/>
          <w:i w:val="0"/>
          <w:color w:val="000000"/>
          <w:sz w:val="20"/>
          <w:u w:val="none"/>
        </w:rPr>
        <w:t>503.087</w:t>
      </w:r>
      <w:r>
        <w:rPr>
          <w:rFonts w:ascii="Calibri" w:eastAsia="Calibri" w:hAnsi="Calibri" w:cs="Calibri"/>
          <w:b w:val="0"/>
          <w:i w:val="0"/>
          <w:color w:val="000000"/>
          <w:sz w:val="20"/>
          <w:u w:val="none"/>
        </w:rPr>
        <w:t xml:space="preserve">, donde M$ 8.811 corresponden a componentes de generación y M$ 55.816 de otros componentes eléctricos, lo que se refleja en el estado de resultados en el rubro Otras ganancias (perdidas).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52" w:name="Section81"/>
      <w:bookmarkEnd w:id="152"/>
      <w:bookmarkStart w:id="153" w:name="d7c1fae202904eb9829c99abac79aa8e"/>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w:t>
      </w: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bookmarkEnd w:id="153"/>
    </w:p>
    <w:p>
      <w:pPr>
        <w:keepNext w:val="0"/>
        <w:keepLines/>
        <w:pageBreakBefore w:val="0"/>
        <w:widowControl w:val="0"/>
        <w:numPr>
          <w:ilvl w:val="0"/>
          <w:numId w:val="0"/>
        </w:numPr>
        <w:spacing w:before="0" w:after="0" w:line="288" w:lineRule="auto"/>
        <w:ind w:left="0" w:right="0" w:firstLine="709"/>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6" w:right="0" w:hanging="708"/>
        <w:jc w:val="both"/>
        <w:outlineLvl w:val="1"/>
        <w:rPr>
          <w:rFonts w:ascii="Times New Roman" w:eastAsia="Times New Roman" w:hAnsi="Times New Roman" w:cs="Times New Roman"/>
          <w:b/>
          <w:i w:val="0"/>
          <w:color w:val="000000"/>
          <w:sz w:val="24"/>
          <w:highlight w:val="white"/>
          <w:u w:val="none"/>
        </w:rPr>
      </w:pPr>
      <w:bookmarkStart w:id="154" w:name="Section82"/>
      <w:bookmarkEnd w:id="154"/>
      <w:bookmarkStart w:id="155" w:name="7d7e58eebe40466dba3fa4ef1a67a201"/>
      <w:r>
        <w:rPr>
          <w:rFonts w:ascii="Calibri" w:eastAsia="Calibri" w:hAnsi="Calibri" w:cs="Calibri"/>
          <w:b/>
          <w:i w:val="0"/>
          <w:color w:val="000000"/>
          <w:sz w:val="20"/>
          <w:highlight w:val="white"/>
          <w:u w:val="none"/>
        </w:rPr>
        <w:t>17.1.-</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Prueba de deterioro de propiedades, planta y equipo y otros activos intangibles de vida útil indefinida.</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5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w:t>
      </w:r>
      <w:r>
        <w:rPr>
          <w:rFonts w:ascii="Calibri" w:eastAsia="Calibri" w:hAnsi="Calibri" w:cs="Calibri"/>
          <w:b w:val="0"/>
          <w:i w:val="0"/>
          <w:sz w:val="20"/>
        </w:rPr>
        <w:t>evalúan anualmente o siempre y cuando existan indicadores, si los activos intangibles de vida útil indefinida han sufrido algún deterioro, de acuerdo con la política contable que se describe e</w:t>
      </w:r>
      <w:r>
        <w:rPr>
          <w:rFonts w:ascii="Calibri" w:eastAsia="Calibri" w:hAnsi="Calibri" w:cs="Calibri"/>
          <w:b w:val="0"/>
          <w:i w:val="0"/>
          <w:color w:val="000000"/>
          <w:sz w:val="20"/>
          <w:highlight w:val="white"/>
          <w:u w:val="none"/>
        </w:rPr>
        <w:t xml:space="preserve">n la Nota 3.12.- </w:t>
      </w:r>
      <w:r>
        <w:rPr>
          <w:rFonts w:ascii="Calibri" w:eastAsia="Calibri" w:hAnsi="Calibri" w:cs="Calibri"/>
          <w:b w:val="0"/>
          <w:i w:val="0"/>
          <w:sz w:val="20"/>
        </w:rPr>
        <w:t>Los montos recuperables de las unidades generadoras de efectivo han sido determinados sobre la base de cálculos de sus valores en uso</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estimación del valor en uso ha requerido que la administración realice las estimaciones de los flujos de efectivo futuros esperados, utilizando las proyecciones sectoriales, la experiencia del pasado y las expectativas futuras.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estimar el valor en uso, la Sociedad y subsidiaria preparan las proyecciones de flujos de caja futuros antes de impuestos. Los flujos proyectados se han extendido hasta el año 2031.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parámetros e indicadores utilizados para la determinación de valor en uso y la evaluación de un eventual deterioro son: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energía, IPC, CPI, TC (CLP/USD), crecimiento de ventas físicas y crecimiento del número de clientes.</w:t>
      </w: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servicios complementarios, se incrementan según número de clientes, IPC.</w:t>
      </w: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ajustes en dotación en base a necesidades de la compañía, ajustes salariales en línea con el IPC.</w:t>
      </w: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 O&amp;M y Administración, los cuales se incrementan según número de clientes, IPC, variación de propiedades, planta y equipo.</w:t>
      </w:r>
    </w:p>
    <w:p>
      <w:pPr>
        <w:keepNext w:val="0"/>
        <w:keepLines/>
        <w:pageBreakBefore w:val="0"/>
        <w:widowControl w:val="0"/>
        <w:numPr>
          <w:ilvl w:val="0"/>
          <w:numId w:val="0"/>
        </w:numPr>
        <w:spacing w:before="0" w:after="0" w:line="288" w:lineRule="auto"/>
        <w:ind w:left="213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describe con mayor detalle los enfoques utilizados para la determinación del primer punto proyectado: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2"/>
        </w:numPr>
        <w:spacing w:before="0" w:after="0" w:line="240" w:lineRule="exact"/>
        <w:ind w:left="1776" w:right="0" w:hanging="36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principales componentes del margen de energía son el valor agregado de distribución (VAD) y el margen de generación: </w:t>
      </w:r>
    </w:p>
    <w:p>
      <w:pPr>
        <w:keepNext w:val="0"/>
        <w:keepLines/>
        <w:pageBreakBefore w:val="0"/>
        <w:widowControl w:val="0"/>
        <w:numPr>
          <w:ilvl w:val="0"/>
          <w:numId w:val="0"/>
        </w:numPr>
        <w:spacing w:before="0" w:after="0" w:line="288" w:lineRule="auto"/>
        <w:ind w:left="249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3"/>
        </w:numPr>
        <w:spacing w:before="0" w:after="0" w:line="240" w:lineRule="exact"/>
        <w:ind w:left="2127" w:right="0" w:hanging="36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VAD, </w:t>
      </w:r>
      <w:r>
        <w:rPr>
          <w:rFonts w:ascii="Calibri" w:eastAsia="Calibri" w:hAnsi="Calibri" w:cs="Calibri"/>
          <w:b w:val="0"/>
          <w:i w:val="0"/>
          <w:sz w:val="20"/>
        </w:rPr>
        <w:t>se consideran las tarifas del decreto 5T publicado en junio-24 indexadas con los parámetros macroeconómicos estimados, crecimiento de ventas físicas y clientes, resultados de fijaciones tarifarias estimados por el área de regulación para proceso VAD 2024-2028</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07" w:right="0" w:firstLine="76"/>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24"/>
        </w:numPr>
        <w:spacing w:before="0" w:after="0" w:line="240" w:lineRule="exact"/>
        <w:ind w:left="2127" w:right="0" w:hanging="36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Margen </w:t>
      </w:r>
      <w:r>
        <w:rPr>
          <w:rFonts w:ascii="Calibri" w:eastAsia="Calibri" w:hAnsi="Calibri" w:cs="Calibri"/>
          <w:b w:val="0"/>
          <w:i w:val="0"/>
          <w:color w:val="000000"/>
          <w:sz w:val="20"/>
          <w:highlight w:val="white"/>
          <w:u w:val="none"/>
        </w:rPr>
        <w:t>de generación, en base a indexación de los ingresos y costos de combustibles, crecimiento de ventas físicas y clientes, resultados de fijaciones tarifarias estimados por el área de regulación</w:t>
      </w:r>
      <w:r>
        <w:rPr>
          <w:rFonts w:ascii="Calibri" w:eastAsia="Calibri" w:hAnsi="Calibri" w:cs="Calibri"/>
          <w:b w:val="0"/>
          <w:i w:val="0"/>
          <w:color w:val="000000"/>
          <w:sz w:val="20"/>
          <w:highlight w:val="white"/>
          <w:u w:val="none"/>
        </w:rPr>
        <w:t xml:space="preserve">. </w:t>
      </w:r>
    </w:p>
    <w:p>
      <w:pPr>
        <w:keepNext w:val="0"/>
        <w:keepLines/>
        <w:pageBreakBefore w:val="0"/>
        <w:widowControl w:val="0"/>
        <w:numPr>
          <w:ilvl w:val="0"/>
          <w:numId w:val="0"/>
        </w:numPr>
        <w:spacing w:before="0" w:after="0" w:line="288" w:lineRule="auto"/>
        <w:ind w:left="1776"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2.  </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 xml:space="preserve">Crecimiento ventas físicas: Las ventas físicas se proyectan en base a información histórica entre un 1,5% a un 2,5% </w:t>
      </w:r>
      <w:r>
        <w:rPr>
          <w:rFonts w:ascii="Calibri" w:eastAsia="Calibri" w:hAnsi="Calibri" w:cs="Calibri"/>
          <w:b w:val="0"/>
          <w:i w:val="0"/>
          <w:color w:val="000000"/>
          <w:sz w:val="20"/>
          <w:u w:val="none"/>
        </w:rPr>
        <w:t>considerando crecimientos anualizados.</w:t>
      </w:r>
    </w:p>
    <w:p>
      <w:pPr>
        <w:keepNext w:val="0"/>
        <w:keepLines/>
        <w:pageBreakBefore w:val="0"/>
        <w:widowControl w:val="0"/>
        <w:numPr>
          <w:ilvl w:val="0"/>
          <w:numId w:val="0"/>
        </w:numPr>
        <w:spacing w:before="0" w:after="0" w:line="288" w:lineRule="auto"/>
        <w:ind w:left="177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Crecimiento de clientes: Los clientes se proyectan en base a información histórica entre un 2,0% a un 3,0%.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Para extender las estimaciones se utilizaron los supuestos macroeconómicos (IPC, CPI, USD/CLP) extraídos desde distintas fuentes, entre las que se incluyen Bloomberg, Risk America y estimaciones internas de la Sociedad en base a información histórica.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Para el flujo terminal se utiliza una tasa de 3,0% que es la meta inflacionaria de largo plazo de Chile.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 tasa de descuento nominal después de impuesto aplicada al cierre de los estados financieros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fue de un 6,66%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Como resultado de estas pruebas, la subsidiaria Empresa Eléctrica de Magallanes S.A. determinó que no existen deterioros en el rubro propiedad, planta y equipos y demás activos intangibles de vida útil indefinida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Adicionalmente se han realizado sensibilizaciones del efecto de la variación en la tasa de descuento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específicamente aumentándo</w:t>
      </w:r>
      <w:r>
        <w:rPr>
          <w:rFonts w:ascii="Calibri" w:eastAsia="Calibri" w:hAnsi="Calibri" w:cs="Calibri"/>
          <w:b w:val="0"/>
          <w:i w:val="0"/>
          <w:color w:val="000000"/>
          <w:sz w:val="20"/>
          <w:highlight w:val="white"/>
          <w:u w:val="none"/>
        </w:rPr>
        <w:t>la y disminuyéndola en un 1%, teniendo el siguiente efecto en el valor presente de los flujos futuros M$ (</w:t>
      </w:r>
      <w:r>
        <w:rPr>
          <w:rFonts w:ascii="Calibri" w:eastAsia="Calibri" w:hAnsi="Calibri" w:cs="Calibri"/>
          <w:b w:val="0"/>
          <w:i w:val="0"/>
          <w:color w:val="000000"/>
          <w:sz w:val="20"/>
          <w:highlight w:val="white"/>
          <w:u w:val="none"/>
        </w:rPr>
        <w:t>72.308.613)</w:t>
      </w:r>
      <w:r>
        <w:rPr>
          <w:rFonts w:ascii="Calibri" w:eastAsia="Calibri" w:hAnsi="Calibri" w:cs="Calibri"/>
          <w:b w:val="0"/>
          <w:i w:val="0"/>
          <w:color w:val="000000"/>
          <w:sz w:val="20"/>
          <w:highlight w:val="white"/>
          <w:u w:val="none"/>
        </w:rPr>
        <w:t xml:space="preserve"> y M$ </w:t>
      </w:r>
      <w:r>
        <w:rPr>
          <w:rFonts w:ascii="Calibri" w:eastAsia="Calibri" w:hAnsi="Calibri" w:cs="Calibri"/>
          <w:b w:val="0"/>
          <w:i w:val="0"/>
          <w:color w:val="000000"/>
          <w:sz w:val="20"/>
          <w:highlight w:val="white"/>
          <w:u w:val="none"/>
        </w:rPr>
        <w:t xml:space="preserve">127.549.269 </w:t>
      </w:r>
      <w:r>
        <w:rPr>
          <w:rFonts w:ascii="Calibri" w:eastAsia="Calibri" w:hAnsi="Calibri" w:cs="Calibri"/>
          <w:b w:val="0"/>
          <w:i w:val="0"/>
          <w:color w:val="000000"/>
          <w:sz w:val="20"/>
          <w:highlight w:val="white"/>
          <w:u w:val="none"/>
        </w:rPr>
        <w:t xml:space="preserve"> r</w:t>
      </w:r>
      <w:r>
        <w:rPr>
          <w:rFonts w:ascii="Calibri" w:eastAsia="Calibri" w:hAnsi="Calibri" w:cs="Calibri"/>
          <w:b w:val="0"/>
          <w:i w:val="0"/>
          <w:color w:val="000000"/>
          <w:sz w:val="20"/>
          <w:u w:val="none"/>
        </w:rPr>
        <w:t>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6" w:name="Section83"/>
      <w:bookmarkEnd w:id="156"/>
      <w:bookmarkStart w:id="157" w:name="b1fa2aaa18e94decbf16ca6838b7ca89"/>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Pérdidas por deterioro del valor y reversión de las pérdidas por deterioro del valor.</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5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montos reconocidos en resultados por pérdidas por deterioro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20"/>
        <w:gridCol w:w="900"/>
        <w:gridCol w:w="900"/>
      </w:tblGrid>
      <w:tr>
        <w:tblPrEx>
          <w:tblW w:w="8520" w:type="dxa"/>
          <w:tblInd w:w="1451" w:type="dxa"/>
          <w:tblLayout w:type="fixed"/>
        </w:tblPrEx>
        <w:trPr>
          <w:cantSplit/>
          <w:trHeight w:hRule="auto" w:val="0"/>
        </w:trPr>
        <w:tc>
          <w:tcPr>
            <w:tcW w:w="67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del valor y reversión de las pérdidas por deterioro del valor</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20" w:type="dxa"/>
          <w:tblInd w:w="1451" w:type="dxa"/>
          <w:tblLayout w:type="fixed"/>
        </w:tblPrEx>
        <w:trPr>
          <w:cantSplit/>
          <w:trHeight w:hRule="auto" w:val="0"/>
        </w:trPr>
        <w:tc>
          <w:tcPr>
            <w:tcW w:w="6720"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20" w:type="dxa"/>
          <w:tblInd w:w="1451" w:type="dxa"/>
          <w:tblLayout w:type="fixed"/>
        </w:tblPrEx>
        <w:trPr>
          <w:cantSplit/>
          <w:trHeight w:hRule="auto" w:val="0"/>
        </w:trPr>
        <w:tc>
          <w:tcPr>
            <w:tcW w:w="672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20" w:type="dxa"/>
          <w:tblInd w:w="1451" w:type="dxa"/>
          <w:tblLayout w:type="fixed"/>
        </w:tblPrEx>
        <w:trPr>
          <w:cantSplit/>
          <w:trHeight w:hRule="auto" w:val="0"/>
        </w:trPr>
        <w:tc>
          <w:tcPr>
            <w:tcW w:w="67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51" w:type="dxa"/>
          <w:tblLayout w:type="fixed"/>
        </w:tblPrEx>
        <w:trPr>
          <w:cantSplit/>
          <w:trHeight w:hRule="auto" w:val="0"/>
        </w:trPr>
        <w:tc>
          <w:tcPr>
            <w:tcW w:w="6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Pérdidas por deterioro de valor reconocidas en el resultado del periodo.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6"/>
                <w:u w:val="none"/>
              </w:rPr>
              <w:t>0</w:t>
            </w:r>
          </w:p>
        </w:tc>
      </w:tr>
    </w:tbl>
    <w:p>
      <w:pPr>
        <w:keepNext w:val="0"/>
        <w:keepLines/>
        <w:pageBreakBefore w:val="0"/>
        <w:widowControl w:val="0"/>
        <w:numPr>
          <w:ilvl w:val="0"/>
          <w:numId w:val="0"/>
        </w:numPr>
        <w:spacing w:before="0" w:after="0" w:line="288" w:lineRule="auto"/>
        <w:ind w:left="1418" w:right="0" w:firstLine="1"/>
        <w:jc w:val="both"/>
        <w:outlineLvl w:val="9"/>
        <w:rPr>
          <w:rFonts w:ascii="Calibri" w:eastAsia="Calibri" w:hAnsi="Calibri" w:cs="Calibri"/>
          <w:b w:val="0"/>
          <w:i w:val="0"/>
          <w:color w:val="000000"/>
          <w:sz w:val="20"/>
          <w:u w:val="none"/>
        </w:rPr>
      </w:pPr>
    </w:p>
    <w:tbl>
      <w:tblPr>
        <w:tblW w:w="8520"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20"/>
        <w:gridCol w:w="900"/>
        <w:gridCol w:w="900"/>
      </w:tblGrid>
      <w:tr>
        <w:tblPrEx>
          <w:tblW w:w="8520" w:type="dxa"/>
          <w:tblInd w:w="1439" w:type="dxa"/>
          <w:tblLayout w:type="fixed"/>
        </w:tblPrEx>
        <w:trPr>
          <w:cantSplit/>
          <w:trHeight w:hRule="auto" w:val="0"/>
        </w:trPr>
        <w:tc>
          <w:tcPr>
            <w:tcW w:w="67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del valor y reversión de las pérdidas por deterioro del valor</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39" w:type="dxa"/>
          <w:tblLayout w:type="fixed"/>
        </w:tblPrEx>
        <w:trPr>
          <w:cantSplit/>
          <w:trHeight w:hRule="auto" w:val="0"/>
        </w:trPr>
        <w:tc>
          <w:tcPr>
            <w:tcW w:w="6720"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39" w:type="dxa"/>
          <w:tblLayout w:type="fixed"/>
        </w:tblPrEx>
        <w:trPr>
          <w:cantSplit/>
          <w:trHeight w:hRule="auto" w:val="0"/>
        </w:trPr>
        <w:tc>
          <w:tcPr>
            <w:tcW w:w="672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20" w:type="dxa"/>
          <w:tblInd w:w="1439" w:type="dxa"/>
          <w:tblLayout w:type="fixed"/>
        </w:tblPrEx>
        <w:trPr>
          <w:cantSplit/>
          <w:trHeight w:hRule="auto" w:val="0"/>
        </w:trPr>
        <w:tc>
          <w:tcPr>
            <w:tcW w:w="67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39" w:type="dxa"/>
          <w:tblLayout w:type="fixed"/>
        </w:tblPrEx>
        <w:trPr>
          <w:cantSplit/>
          <w:trHeight w:hRule="auto" w:val="0"/>
        </w:trPr>
        <w:tc>
          <w:tcPr>
            <w:tcW w:w="6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Pérdidas por deterioro de valor reconocidas en el resultado del periodo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(40.736)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6"/>
                <w:u w:val="none"/>
              </w:rPr>
              <w:t>(40.736)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pérdidas por deterioro de activos financieros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corresponden al deterioro de cuentas por cobrar registrado en nota 8.5.</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Pérdidas por deterioro de valor reconocidas o revertidas por segmento.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35" w:type="dxa"/>
        <w:tblInd w:w="1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35"/>
        <w:gridCol w:w="900"/>
        <w:gridCol w:w="900"/>
      </w:tblGrid>
      <w:tr>
        <w:tblPrEx>
          <w:tblW w:w="8535" w:type="dxa"/>
          <w:tblInd w:w="1436" w:type="dxa"/>
          <w:tblLayout w:type="fixed"/>
        </w:tblPrEx>
        <w:trPr>
          <w:cantSplit/>
          <w:trHeight w:hRule="auto" w:val="0"/>
        </w:trPr>
        <w:tc>
          <w:tcPr>
            <w:tcW w:w="67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 valor reconocidas o revertidas por segmento</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35" w:type="dxa"/>
          <w:tblInd w:w="1436" w:type="dxa"/>
          <w:tblLayout w:type="fixed"/>
        </w:tblPrEx>
        <w:trPr>
          <w:cantSplit/>
          <w:trHeight w:hRule="auto" w:val="0"/>
        </w:trPr>
        <w:tc>
          <w:tcPr>
            <w:tcW w:w="6735"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35" w:type="dxa"/>
          <w:tblInd w:w="1436" w:type="dxa"/>
          <w:tblLayout w:type="fixed"/>
        </w:tblPrEx>
        <w:trPr>
          <w:cantSplit/>
          <w:trHeight w:hRule="auto" w:val="0"/>
        </w:trPr>
        <w:tc>
          <w:tcPr>
            <w:tcW w:w="673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Eléctrico Chile</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35" w:type="dxa"/>
          <w:tblInd w:w="1436" w:type="dxa"/>
          <w:tblLayout w:type="fixed"/>
        </w:tblPrEx>
        <w:trPr>
          <w:cantSplit/>
          <w:trHeight w:hRule="auto" w:val="0"/>
        </w:trPr>
        <w:tc>
          <w:tcPr>
            <w:tcW w:w="673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35" w:type="dxa"/>
          <w:tblInd w:w="1436" w:type="dxa"/>
          <w:tblLayout w:type="fixed"/>
        </w:tblPrEx>
        <w:trPr>
          <w:cantSplit/>
          <w:trHeight w:hRule="auto" w:val="0"/>
        </w:trPr>
        <w:tc>
          <w:tcPr>
            <w:tcW w:w="6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Pérdidas por deterioro de valor.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6"/>
                <w:u w:val="none"/>
              </w:rPr>
              <w:t>0</w:t>
            </w:r>
          </w:p>
        </w:tc>
      </w:tr>
    </w:tbl>
    <w:p>
      <w:pPr>
        <w:keepNext w:val="0"/>
        <w:keepLines/>
        <w:pageBreakBefore w:val="0"/>
        <w:widowControl w:val="0"/>
        <w:numPr>
          <w:ilvl w:val="0"/>
          <w:numId w:val="0"/>
        </w:numPr>
        <w:spacing w:before="0" w:after="0" w:line="288" w:lineRule="auto"/>
        <w:ind w:left="1418" w:right="0" w:hanging="1417"/>
        <w:jc w:val="both"/>
        <w:outlineLvl w:val="9"/>
        <w:rPr>
          <w:rFonts w:ascii="Calibri" w:eastAsia="Calibri" w:hAnsi="Calibri" w:cs="Calibri"/>
          <w:b w:val="0"/>
          <w:i w:val="0"/>
          <w:color w:val="000000"/>
          <w:sz w:val="20"/>
          <w:u w:val="none"/>
        </w:rPr>
      </w:pPr>
    </w:p>
    <w:tbl>
      <w:tblPr>
        <w:tblW w:w="8520"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20"/>
        <w:gridCol w:w="900"/>
        <w:gridCol w:w="900"/>
      </w:tblGrid>
      <w:tr>
        <w:tblPrEx>
          <w:tblW w:w="8520" w:type="dxa"/>
          <w:tblInd w:w="1441" w:type="dxa"/>
          <w:tblLayout w:type="fixed"/>
        </w:tblPrEx>
        <w:trPr>
          <w:cantSplit/>
          <w:trHeight w:hRule="auto" w:val="0"/>
        </w:trPr>
        <w:tc>
          <w:tcPr>
            <w:tcW w:w="67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 valor reconocidas o revertidas por segmento</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1" w:type="dxa"/>
          <w:tblLayout w:type="fixed"/>
        </w:tblPrEx>
        <w:trPr>
          <w:cantSplit/>
          <w:trHeight w:hRule="auto" w:val="0"/>
        </w:trPr>
        <w:tc>
          <w:tcPr>
            <w:tcW w:w="6720"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1" w:type="dxa"/>
          <w:tblLayout w:type="fixed"/>
        </w:tblPrEx>
        <w:trPr>
          <w:cantSplit/>
          <w:trHeight w:hRule="auto" w:val="0"/>
        </w:trPr>
        <w:tc>
          <w:tcPr>
            <w:tcW w:w="672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Eléctrico Chile</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20" w:type="dxa"/>
          <w:tblInd w:w="1441" w:type="dxa"/>
          <w:tblLayout w:type="fixed"/>
        </w:tblPrEx>
        <w:trPr>
          <w:cantSplit/>
          <w:trHeight w:hRule="auto" w:val="0"/>
        </w:trPr>
        <w:tc>
          <w:tcPr>
            <w:tcW w:w="67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1" w:type="dxa"/>
          <w:tblLayout w:type="fixed"/>
        </w:tblPrEx>
        <w:trPr>
          <w:cantSplit/>
          <w:trHeight w:hRule="auto" w:val="0"/>
        </w:trPr>
        <w:tc>
          <w:tcPr>
            <w:tcW w:w="6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Pérdidas por deterioro de valor.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(40.736)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6"/>
                <w:u w:val="none"/>
              </w:rPr>
              <w:t>(40.736)</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58" w:name="Section84"/>
      <w:bookmarkEnd w:id="158"/>
      <w:bookmarkStart w:id="159" w:name="9ca5a94495b84789bf4c432171317adb"/>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9"/>
    </w:p>
    <w:p>
      <w:pPr>
        <w:keepNext/>
        <w:keepLines/>
        <w:pageBreakBefore w:val="0"/>
        <w:widowControl w:val="0"/>
        <w:numPr>
          <w:ilvl w:val="0"/>
          <w:numId w:val="0"/>
        </w:numPr>
        <w:tabs>
          <w:tab w:val="left" w:pos="700"/>
        </w:tabs>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0" w:name="Section85"/>
      <w:bookmarkEnd w:id="160"/>
      <w:bookmarkStart w:id="161" w:name="d5226efdbd9f42f380530e0e7b96e8fd"/>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bookmarkEnd w:id="161"/>
      <w:r>
        <w:rPr>
          <w:rFonts w:ascii="Calibri" w:eastAsia="Calibri" w:hAnsi="Calibri" w:cs="Calibri"/>
          <w:b w:val="0"/>
          <w:i w:val="0"/>
          <w:color w:val="000000"/>
          <w:sz w:val="20"/>
          <w:u w:val="none"/>
        </w:rPr>
        <w:tab/>
      </w: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17"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ingresos anticipados.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60.350</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239.972</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pérdidas fiscales.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231.244</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426.268</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contratos de leasing.</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228.356</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1.186.190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La Sociedad estima con proyecciones futuras de utilidades que estas cubrirán el recupero de estos activos.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2" w:name="Section86"/>
      <w:bookmarkEnd w:id="162"/>
      <w:bookmarkStart w:id="163" w:name="3ad7a439dc6142cfbbda097c009b4592"/>
      <w:r>
        <w:rPr>
          <w:rFonts w:ascii="Calibri" w:eastAsia="Calibri" w:hAnsi="Calibri" w:cs="Calibri"/>
          <w:b/>
          <w:i w:val="0"/>
          <w:color w:val="000000"/>
          <w:sz w:val="20"/>
          <w:u w:val="none"/>
        </w:rPr>
        <w:t>18.2.-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6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6.573.565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139.559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7.619.875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278.298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14.611.800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4" w:name="Section87"/>
      <w:bookmarkEnd w:id="164"/>
      <w:bookmarkStart w:id="165" w:name="a5d59e9690fa413b99dc734881c32c70"/>
      <w:r>
        <w:rPr>
          <w:rFonts w:ascii="Calibri" w:eastAsia="Calibri" w:hAnsi="Calibri" w:cs="Calibri"/>
          <w:b/>
          <w:i w:val="0"/>
          <w:color w:val="000000"/>
          <w:sz w:val="20"/>
          <w:u w:val="none"/>
        </w:rPr>
        <w:t>18.3.-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5"/>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1.186.190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1.857.777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(64.351)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(663.312)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10.411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(8.275)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activos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(53.940)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(671.587)</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1.132.250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1.186.190</w:t>
            </w:r>
          </w:p>
        </w:tc>
      </w:tr>
    </w:tbl>
    <w:p>
      <w:pPr>
        <w:keepNext w:val="0"/>
        <w:keepLines/>
        <w:pageBreakBefore w:val="0"/>
        <w:widowControl w:val="0"/>
        <w:numPr>
          <w:ilvl w:val="0"/>
          <w:numId w:val="0"/>
        </w:numPr>
        <w:spacing w:before="0" w:after="0" w:line="288" w:lineRule="auto"/>
        <w:ind w:left="2160" w:right="48"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51"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51"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51"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14.611.800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12.274.040</w:t>
            </w:r>
          </w:p>
        </w:tc>
      </w:tr>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(14.611.800)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2.337.760</w:t>
            </w:r>
          </w:p>
        </w:tc>
      </w:tr>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p>
        </w:tc>
      </w:tr>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p>
        </w:tc>
      </w:tr>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(14.611.800)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2.337.760</w:t>
            </w:r>
          </w:p>
        </w:tc>
      </w:tr>
      <w:tr>
        <w:tblPrEx>
          <w:tblW w:w="8520" w:type="dxa"/>
          <w:tblInd w:w="1451"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14.611.800</w:t>
            </w:r>
          </w:p>
        </w:tc>
      </w:tr>
    </w:tbl>
    <w:p>
      <w:pPr>
        <w:pStyle w:val="Normal-wk"/>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6" w:name="Section88"/>
      <w:bookmarkEnd w:id="166"/>
      <w:bookmarkStart w:id="167" w:name="681548614593434c824f3de2f2a6a95e"/>
      <w:r>
        <w:rPr>
          <w:rFonts w:ascii="Calibri" w:eastAsia="Calibri" w:hAnsi="Calibri" w:cs="Calibri"/>
          <w:b/>
          <w:i w:val="0"/>
          <w:color w:val="000000"/>
          <w:sz w:val="20"/>
          <w:u w:val="none"/>
        </w:rPr>
        <w:t>18.4.-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90"/>
        <w:gridCol w:w="1005"/>
        <w:gridCol w:w="1005"/>
        <w:gridCol w:w="1005"/>
        <w:gridCol w:w="1005"/>
        <w:gridCol w:w="1005"/>
        <w:gridCol w:w="1005"/>
      </w:tblGrid>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249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20" w:type="dxa"/>
          <w:tblInd w:w="1440" w:type="dxa"/>
          <w:tblLayout w:type="fixed"/>
        </w:tblPrEx>
        <w:trPr>
          <w:cantSplit/>
          <w:trHeight w:hRule="auto" w:val="0"/>
        </w:trPr>
        <w:tc>
          <w:tcPr>
            <w:tcW w:w="249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1.186.190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(1.186.190)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(14.611.800)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1.186.190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(13.425.610)</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(13.425.610)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(13.425.610)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68" w:name="Section89"/>
      <w:bookmarkEnd w:id="168"/>
      <w:bookmarkStart w:id="169" w:name="17cf7672d9354b5fa91b2c996c537cfe"/>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FINANCIEROS</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9"/>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para los cierres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0" w:name="Section90"/>
      <w:bookmarkEnd w:id="170"/>
      <w:bookmarkStart w:id="171" w:name="ad92fe213fbc4dc9b160cdb7d7d9d524"/>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Clases de otros pasivos financieros. </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7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50"/>
        <w:gridCol w:w="900"/>
        <w:gridCol w:w="1200"/>
        <w:gridCol w:w="1200"/>
        <w:gridCol w:w="1200"/>
        <w:gridCol w:w="1200"/>
      </w:tblGrid>
      <w:tr>
        <w:tblPrEx>
          <w:tblW w:w="8550" w:type="dxa"/>
          <w:tblInd w:w="1417" w:type="dxa"/>
          <w:tblLayout w:type="fixed"/>
        </w:tblPrEx>
        <w:trPr>
          <w:cantSplit/>
          <w:trHeight w:hRule="auto" w:val="0"/>
        </w:trPr>
        <w:tc>
          <w:tcPr>
            <w:tcW w:w="28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Pasivos financieros</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2850" w:type="dxa"/>
            <w:vMerge/>
            <w:tcBorders>
              <w:top w:val="nil"/>
              <w:left w:val="single" w:sz="2" w:space="0" w:color="000000"/>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2850" w:type="dxa"/>
            <w:vMerge/>
            <w:tcBorders>
              <w:top w:val="nil"/>
              <w:left w:val="single" w:sz="2" w:space="0" w:color="000000"/>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8.588.626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2.200.000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8.592.266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2.200.000</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20.888.860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1.624.497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22.129.061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préstamos bancarios</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29.477.486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3.824.497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30.721.327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2.200.000</w:t>
            </w:r>
          </w:p>
        </w:tc>
      </w:tr>
    </w:tbl>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88" w:lineRule="auto"/>
        <w:ind w:left="1413" w:right="0" w:firstLine="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CL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Pesos chilenos.</w:t>
      </w: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US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Dólares estadounidenses</w:t>
      </w:r>
      <w:r>
        <w:rPr>
          <w:rFonts w:ascii="Calibri" w:eastAsia="Calibri" w:hAnsi="Calibri" w:cs="Calibri"/>
          <w:b w:val="0"/>
          <w:i w:val="0"/>
          <w:color w:val="000000"/>
          <w:sz w:val="20"/>
          <w:u w:val="none"/>
        </w:rPr>
        <w:t>.</w:t>
      </w: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72" w:name="Section91"/>
      <w:bookmarkEnd w:id="172"/>
      <w:bookmarkStart w:id="173" w:name="336a7644f0524672ad75b1f04dc5b333"/>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bancarios - desglose de monedas y vencimientos.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3"/>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tbl>
      <w:tblPr>
        <w:tblW w:w="118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
        <w:gridCol w:w="645"/>
        <w:gridCol w:w="1725"/>
        <w:gridCol w:w="1560"/>
        <w:gridCol w:w="525"/>
        <w:gridCol w:w="825"/>
        <w:gridCol w:w="525"/>
        <w:gridCol w:w="525"/>
        <w:gridCol w:w="705"/>
        <w:gridCol w:w="645"/>
        <w:gridCol w:w="645"/>
        <w:gridCol w:w="645"/>
        <w:gridCol w:w="645"/>
        <w:gridCol w:w="645"/>
        <w:gridCol w:w="645"/>
        <w:gridCol w:w="645"/>
      </w:tblGrid>
      <w:tr>
        <w:tblPrEx>
          <w:tblW w:w="11865" w:type="dxa"/>
          <w:tblInd w:w="1417" w:type="dxa"/>
          <w:tblLayout w:type="fixed"/>
        </w:tblPrEx>
        <w:trPr>
          <w:cantSplit/>
          <w:trHeight w:hRule="exact" w:val="225"/>
          <w:tblHeader/>
        </w:trPr>
        <w:tc>
          <w:tcPr>
            <w:tcW w:w="31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7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5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8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25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193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1865" w:type="dxa"/>
          <w:tblInd w:w="1417" w:type="dxa"/>
          <w:tblLayout w:type="fixed"/>
        </w:tblPrEx>
        <w:trPr>
          <w:cantSplit/>
          <w:trHeight w:hRule="exact" w:val="360"/>
          <w:tblHeader/>
        </w:trPr>
        <w:tc>
          <w:tcPr>
            <w:tcW w:w="31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725" w:type="dxa"/>
            <w:vMerge/>
            <w:tcBorders>
              <w:top w:val="nil"/>
              <w:left w:val="single" w:sz="4" w:space="0" w:color="FFFFFF"/>
              <w:bottom w:val="nil"/>
              <w:right w:val="nil"/>
            </w:tcBorders>
          </w:tcPr>
          <w:p>
            <w:pPr>
              <w:keepNext/>
              <w:pageBreakBefore w:val="0"/>
            </w:pPr>
          </w:p>
        </w:tc>
        <w:tc>
          <w:tcPr>
            <w:tcW w:w="156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single" w:sz="4" w:space="0" w:color="FFFFFF"/>
            </w:tcBorders>
          </w:tcPr>
          <w:p>
            <w:pPr>
              <w:keepNext/>
              <w:pageBreakBefore w:val="0"/>
            </w:pPr>
          </w:p>
        </w:tc>
        <w:tc>
          <w:tcPr>
            <w:tcW w:w="193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64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129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64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1865" w:type="dxa"/>
          <w:tblInd w:w="1417" w:type="dxa"/>
          <w:tblLayout w:type="fixed"/>
        </w:tblPrEx>
        <w:trPr>
          <w:cantSplit/>
          <w:trHeight w:hRule="exact" w:val="645"/>
          <w:tblHeader/>
        </w:trPr>
        <w:tc>
          <w:tcPr>
            <w:tcW w:w="31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725" w:type="dxa"/>
            <w:vMerge/>
            <w:tcBorders>
              <w:top w:val="nil"/>
              <w:left w:val="single" w:sz="4" w:space="0" w:color="FFFFFF"/>
              <w:bottom w:val="nil"/>
              <w:right w:val="nil"/>
            </w:tcBorders>
          </w:tcPr>
          <w:p>
            <w:pPr>
              <w:keepNext/>
              <w:pageBreakBefore w:val="0"/>
            </w:pPr>
          </w:p>
        </w:tc>
        <w:tc>
          <w:tcPr>
            <w:tcW w:w="156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w:t>
            </w:r>
            <w:r>
              <w:br/>
            </w:r>
            <w:r>
              <w:rPr>
                <w:rFonts w:ascii="Calibri" w:eastAsia="Calibri" w:hAnsi="Calibri" w:cs="Calibri"/>
                <w:b/>
                <w:i w:val="0"/>
                <w:color w:val="FFFFFF"/>
                <w:sz w:val="10"/>
                <w:u w:val="none"/>
              </w:rPr>
              <w:t>hasta 3 años</w:t>
            </w:r>
          </w:p>
        </w:tc>
        <w:tc>
          <w:tcPr>
            <w:tcW w:w="64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r>
      <w:tr>
        <w:tblPrEx>
          <w:tblW w:w="11865" w:type="dxa"/>
          <w:tblInd w:w="1417" w:type="dxa"/>
          <w:tblLayout w:type="fixed"/>
        </w:tblPrEx>
        <w:trPr>
          <w:cantSplit/>
          <w:trHeight w:hRule="exact" w:val="225"/>
          <w:tblHeader/>
        </w:trPr>
        <w:tc>
          <w:tcPr>
            <w:tcW w:w="315" w:type="dxa"/>
            <w:vMerge/>
            <w:tcBorders>
              <w:top w:val="nil"/>
              <w:left w:val="single" w:sz="2" w:space="0" w:color="000000"/>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725" w:type="dxa"/>
            <w:vMerge/>
            <w:tcBorders>
              <w:top w:val="nil"/>
              <w:left w:val="single" w:sz="4" w:space="0" w:color="FFFFFF"/>
              <w:bottom w:val="single" w:sz="2" w:space="0" w:color="000000"/>
              <w:right w:val="nil"/>
            </w:tcBorders>
          </w:tcPr>
          <w:p>
            <w:pPr>
              <w:keepNext/>
              <w:pageBreakBefore w:val="0"/>
            </w:pPr>
          </w:p>
        </w:tc>
        <w:tc>
          <w:tcPr>
            <w:tcW w:w="1560"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8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1865" w:type="dxa"/>
          <w:tblInd w:w="1417" w:type="dxa"/>
          <w:tblLayout w:type="fixed"/>
        </w:tblPrEx>
        <w:trPr>
          <w:cantSplit/>
          <w:trHeight w:hRule="exact" w:val="60"/>
          <w:tblHeader/>
        </w:trPr>
        <w:tc>
          <w:tcPr>
            <w:tcW w:w="3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65" w:type="dxa"/>
          <w:tblInd w:w="1417" w:type="dxa"/>
          <w:tblLayout w:type="fixed"/>
        </w:tblPrEx>
        <w:trPr>
          <w:cantSplit/>
          <w:trHeight w:hRule="exact" w:val="285"/>
          <w:tblHeader/>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4,84 %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15.936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15.936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1.624.497</w:t>
            </w:r>
          </w:p>
        </w:tc>
        <w:tc>
          <w:tcPr>
            <w:tcW w:w="64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1.624.497</w:t>
            </w:r>
          </w:p>
        </w:tc>
      </w:tr>
      <w:tr>
        <w:tblPrEx>
          <w:tblW w:w="11865" w:type="dxa"/>
          <w:tblInd w:w="1417" w:type="dxa"/>
          <w:tblLayout w:type="fixed"/>
        </w:tblPrEx>
        <w:trPr>
          <w:cantSplit/>
          <w:trHeight w:hRule="exact" w:val="195"/>
          <w:tblHeader/>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5,18 %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73.382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7.500.000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7.573.382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blHeader/>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15.349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15.349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2.200.000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2.200.000</w:t>
            </w:r>
          </w:p>
        </w:tc>
      </w:tr>
      <w:tr>
        <w:tblPrEx>
          <w:tblW w:w="11865" w:type="dxa"/>
          <w:tblInd w:w="1417" w:type="dxa"/>
          <w:tblLayout w:type="fixed"/>
        </w:tblPrEx>
        <w:trPr>
          <w:cantSplit/>
          <w:trHeight w:hRule="exact" w:val="285"/>
          <w:tblHeader/>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4,74 %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3.485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2.037.254</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2.040.739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18.253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1.716.163</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1.734.416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11.986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1.126.991</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1.138.977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61.979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5.564.760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5.626.739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25.853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2.782.380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2.808.233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4,50 %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4.244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1.212.681</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1.216.925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6,37 %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5,47 %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760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999.135</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999.895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4,81 %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666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996.626</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997.292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3.726.037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3.726.037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195"/>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1.583.566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1.583.566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1865" w:type="dxa"/>
          <w:tblInd w:w="1417" w:type="dxa"/>
          <w:tblLayout w:type="fixed"/>
        </w:tblPrEx>
        <w:trPr>
          <w:cantSplit/>
          <w:trHeight w:hRule="exact" w:val="60"/>
        </w:trPr>
        <w:tc>
          <w:tcPr>
            <w:tcW w:w="3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65" w:type="dxa"/>
          <w:tblInd w:w="1417" w:type="dxa"/>
          <w:tblLayout w:type="fixed"/>
        </w:tblPrEx>
        <w:trPr>
          <w:cantSplit/>
          <w:trHeight w:hRule="exact" w:val="195"/>
        </w:trPr>
        <w:tc>
          <w:tcPr>
            <w:tcW w:w="7350"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207.389</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5.334.107</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23.935.990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29.477.486</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1.624.497</w:t>
            </w:r>
          </w:p>
        </w:tc>
        <w:tc>
          <w:tcPr>
            <w:tcW w:w="6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3.824.497</w:t>
            </w:r>
          </w:p>
        </w:tc>
      </w:tr>
    </w:tbl>
    <w:p>
      <w:pPr>
        <w:pStyle w:val="Normal-wk"/>
        <w:keepNext w:val="0"/>
        <w:keepLines/>
        <w:pageBreakBefore/>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03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5"/>
        <w:gridCol w:w="720"/>
        <w:gridCol w:w="1725"/>
        <w:gridCol w:w="1560"/>
        <w:gridCol w:w="525"/>
        <w:gridCol w:w="885"/>
        <w:gridCol w:w="525"/>
        <w:gridCol w:w="525"/>
        <w:gridCol w:w="705"/>
        <w:gridCol w:w="645"/>
        <w:gridCol w:w="645"/>
        <w:gridCol w:w="645"/>
        <w:gridCol w:w="645"/>
        <w:gridCol w:w="645"/>
        <w:gridCol w:w="645"/>
        <w:gridCol w:w="645"/>
      </w:tblGrid>
      <w:tr>
        <w:tblPrEx>
          <w:tblW w:w="12030" w:type="dxa"/>
          <w:tblInd w:w="1417" w:type="dxa"/>
          <w:tblLayout w:type="fixed"/>
        </w:tblPrEx>
        <w:trPr>
          <w:cantSplit/>
          <w:trHeight w:hRule="auto" w:val="0"/>
          <w:tblHeader/>
        </w:trPr>
        <w:tc>
          <w:tcPr>
            <w:tcW w:w="3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72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7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5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8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25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193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2030" w:type="dxa"/>
          <w:tblInd w:w="1417" w:type="dxa"/>
          <w:tblLayout w:type="fixed"/>
        </w:tblPrEx>
        <w:trPr>
          <w:cantSplit/>
          <w:trHeight w:hRule="auto" w:val="0"/>
          <w:tblHeader/>
        </w:trPr>
        <w:tc>
          <w:tcPr>
            <w:tcW w:w="345" w:type="dxa"/>
            <w:vMerge/>
            <w:tcBorders>
              <w:top w:val="nil"/>
              <w:left w:val="single" w:sz="2" w:space="0" w:color="000000"/>
              <w:bottom w:val="nil"/>
              <w:right w:val="nil"/>
            </w:tcBorders>
          </w:tcPr>
          <w:p>
            <w:pPr>
              <w:keepNext/>
              <w:pageBreakBefore w:val="0"/>
            </w:pPr>
          </w:p>
        </w:tc>
        <w:tc>
          <w:tcPr>
            <w:tcW w:w="720" w:type="dxa"/>
            <w:vMerge/>
            <w:tcBorders>
              <w:top w:val="nil"/>
              <w:left w:val="single" w:sz="4" w:space="0" w:color="FFFFFF"/>
              <w:bottom w:val="nil"/>
              <w:right w:val="nil"/>
            </w:tcBorders>
          </w:tcPr>
          <w:p>
            <w:pPr>
              <w:keepNext/>
              <w:pageBreakBefore w:val="0"/>
            </w:pPr>
          </w:p>
        </w:tc>
        <w:tc>
          <w:tcPr>
            <w:tcW w:w="1725" w:type="dxa"/>
            <w:vMerge/>
            <w:tcBorders>
              <w:top w:val="nil"/>
              <w:left w:val="single" w:sz="4" w:space="0" w:color="FFFFFF"/>
              <w:bottom w:val="nil"/>
              <w:right w:val="nil"/>
            </w:tcBorders>
          </w:tcPr>
          <w:p>
            <w:pPr>
              <w:keepNext/>
              <w:pageBreakBefore w:val="0"/>
            </w:pPr>
          </w:p>
        </w:tc>
        <w:tc>
          <w:tcPr>
            <w:tcW w:w="156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88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single" w:sz="4" w:space="0" w:color="FFFFFF"/>
            </w:tcBorders>
          </w:tcPr>
          <w:p>
            <w:pPr>
              <w:keepNext/>
              <w:pageBreakBefore w:val="0"/>
            </w:pPr>
          </w:p>
        </w:tc>
        <w:tc>
          <w:tcPr>
            <w:tcW w:w="193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64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129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64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2030" w:type="dxa"/>
          <w:tblInd w:w="1417" w:type="dxa"/>
          <w:tblLayout w:type="fixed"/>
        </w:tblPrEx>
        <w:trPr>
          <w:cantSplit/>
          <w:trHeight w:hRule="auto" w:val="0"/>
          <w:tblHeader/>
        </w:trPr>
        <w:tc>
          <w:tcPr>
            <w:tcW w:w="345" w:type="dxa"/>
            <w:vMerge/>
            <w:tcBorders>
              <w:top w:val="nil"/>
              <w:left w:val="single" w:sz="2" w:space="0" w:color="000000"/>
              <w:bottom w:val="nil"/>
              <w:right w:val="nil"/>
            </w:tcBorders>
          </w:tcPr>
          <w:p>
            <w:pPr>
              <w:keepNext/>
              <w:pageBreakBefore w:val="0"/>
            </w:pPr>
          </w:p>
        </w:tc>
        <w:tc>
          <w:tcPr>
            <w:tcW w:w="720" w:type="dxa"/>
            <w:vMerge/>
            <w:tcBorders>
              <w:top w:val="nil"/>
              <w:left w:val="single" w:sz="4" w:space="0" w:color="FFFFFF"/>
              <w:bottom w:val="nil"/>
              <w:right w:val="nil"/>
            </w:tcBorders>
          </w:tcPr>
          <w:p>
            <w:pPr>
              <w:keepNext/>
              <w:pageBreakBefore w:val="0"/>
            </w:pPr>
          </w:p>
        </w:tc>
        <w:tc>
          <w:tcPr>
            <w:tcW w:w="1725" w:type="dxa"/>
            <w:vMerge/>
            <w:tcBorders>
              <w:top w:val="nil"/>
              <w:left w:val="single" w:sz="4" w:space="0" w:color="FFFFFF"/>
              <w:bottom w:val="nil"/>
              <w:right w:val="nil"/>
            </w:tcBorders>
          </w:tcPr>
          <w:p>
            <w:pPr>
              <w:keepNext/>
              <w:pageBreakBefore w:val="0"/>
            </w:pPr>
          </w:p>
        </w:tc>
        <w:tc>
          <w:tcPr>
            <w:tcW w:w="156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88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 hasta 3 años</w:t>
            </w:r>
          </w:p>
        </w:tc>
        <w:tc>
          <w:tcPr>
            <w:tcW w:w="64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r>
      <w:tr>
        <w:tblPrEx>
          <w:tblW w:w="12030" w:type="dxa"/>
          <w:tblInd w:w="1417" w:type="dxa"/>
          <w:tblLayout w:type="fixed"/>
        </w:tblPrEx>
        <w:trPr>
          <w:cantSplit/>
          <w:trHeight w:hRule="auto" w:val="0"/>
          <w:tblHeader/>
        </w:trPr>
        <w:tc>
          <w:tcPr>
            <w:tcW w:w="345" w:type="dxa"/>
            <w:vMerge/>
            <w:tcBorders>
              <w:top w:val="nil"/>
              <w:left w:val="single" w:sz="2" w:space="0" w:color="000000"/>
              <w:bottom w:val="single" w:sz="2" w:space="0" w:color="000000"/>
              <w:right w:val="nil"/>
            </w:tcBorders>
          </w:tcPr>
          <w:p>
            <w:pPr>
              <w:keepNext/>
              <w:pageBreakBefore w:val="0"/>
            </w:pPr>
          </w:p>
        </w:tc>
        <w:tc>
          <w:tcPr>
            <w:tcW w:w="720" w:type="dxa"/>
            <w:vMerge/>
            <w:tcBorders>
              <w:top w:val="nil"/>
              <w:left w:val="single" w:sz="4" w:space="0" w:color="FFFFFF"/>
              <w:bottom w:val="single" w:sz="2" w:space="0" w:color="000000"/>
              <w:right w:val="nil"/>
            </w:tcBorders>
          </w:tcPr>
          <w:p>
            <w:pPr>
              <w:keepNext/>
              <w:pageBreakBefore w:val="0"/>
            </w:pPr>
          </w:p>
        </w:tc>
        <w:tc>
          <w:tcPr>
            <w:tcW w:w="1725" w:type="dxa"/>
            <w:vMerge/>
            <w:tcBorders>
              <w:top w:val="nil"/>
              <w:left w:val="single" w:sz="4" w:space="0" w:color="FFFFFF"/>
              <w:bottom w:val="single" w:sz="2" w:space="0" w:color="000000"/>
              <w:right w:val="nil"/>
            </w:tcBorders>
          </w:tcPr>
          <w:p>
            <w:pPr>
              <w:keepNext/>
              <w:pageBreakBefore w:val="0"/>
            </w:pPr>
          </w:p>
        </w:tc>
        <w:tc>
          <w:tcPr>
            <w:tcW w:w="1560"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88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2030" w:type="dxa"/>
          <w:tblInd w:w="1417" w:type="dxa"/>
          <w:tblLayout w:type="fixed"/>
        </w:tblPrEx>
        <w:trPr>
          <w:cantSplit/>
          <w:trHeight w:hRule="exact" w:val="60"/>
        </w:trPr>
        <w:tc>
          <w:tcPr>
            <w:tcW w:w="3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6,28 %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6,28 %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1.611.343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1.611.343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6,56 %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6,05 %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77.000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7.500.000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7.577.000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6,11 %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6,11 %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16.368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16.368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2.200.000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2.200.000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6,12 %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5,62 %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3.434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2.001.494</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2.004.928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5,69 %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5,69 %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19.516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1.686.039</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1.705.555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5,69 %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5,69 %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12.816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1.107.209</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1.120.025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5,76 %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5,76 %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66.513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5.467.080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5.533.593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6,91 %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6,00 %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26.076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2.733.540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2.759.616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7,01 %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6,10 %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1.195.687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1.195.687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5,97 %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5,97 %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761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998.137</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998.898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6,75%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5,84%</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651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979.132</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979.783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6,95%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6,04%</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17.407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3.644.720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3.662.127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BICE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6,74%</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5,84%</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7.398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1.549.006</w:t>
            </w:r>
          </w:p>
        </w:tc>
        <w:tc>
          <w:tcPr>
            <w:tcW w:w="64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1.556.404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030" w:type="dxa"/>
          <w:tblInd w:w="1417" w:type="dxa"/>
          <w:tblLayout w:type="fixed"/>
        </w:tblPrEx>
        <w:trPr>
          <w:cantSplit/>
          <w:trHeight w:hRule="auto" w:val="0"/>
        </w:trPr>
        <w:tc>
          <w:tcPr>
            <w:tcW w:w="345" w:type="dxa"/>
            <w:tcBorders>
              <w:top w:val="single" w:sz="2" w:space="0" w:color="000000"/>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w:t>
            </w: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30" w:type="dxa"/>
          <w:tblInd w:w="1417" w:type="dxa"/>
          <w:tblLayout w:type="fixed"/>
        </w:tblPrEx>
        <w:trPr>
          <w:cantSplit/>
          <w:trHeight w:hRule="auto" w:val="0"/>
        </w:trPr>
        <w:tc>
          <w:tcPr>
            <w:tcW w:w="7515" w:type="dxa"/>
            <w:gridSpan w:val="9"/>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1.813.264</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1.241.706</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27.666.357</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30.721.327</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6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headerReference w:type="default" r:id="rId42"/>
          <w:footerReference w:type="default" r:id="rId43"/>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74" w:name="Section92"/>
      <w:bookmarkEnd w:id="174"/>
      <w:bookmarkStart w:id="175" w:name="c749c4b2efe34ddb812b013482081096"/>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5"/>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40"/>
        <w:gridCol w:w="1200"/>
        <w:gridCol w:w="1200"/>
        <w:gridCol w:w="1200"/>
        <w:gridCol w:w="1200"/>
      </w:tblGrid>
      <w:tr>
        <w:tblPrEx>
          <w:tblW w:w="9240" w:type="dxa"/>
          <w:tblInd w:w="720" w:type="dxa"/>
          <w:tblLayout w:type="fixed"/>
        </w:tblPrEx>
        <w:trPr>
          <w:cantSplit/>
          <w:trHeight w:hRule="auto" w:val="0"/>
        </w:trPr>
        <w:tc>
          <w:tcPr>
            <w:tcW w:w="44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40" w:type="dxa"/>
          <w:tblInd w:w="720" w:type="dxa"/>
          <w:tblLayout w:type="fixed"/>
        </w:tblPrEx>
        <w:trPr>
          <w:cantSplit/>
          <w:trHeight w:hRule="auto" w:val="0"/>
        </w:trPr>
        <w:tc>
          <w:tcPr>
            <w:tcW w:w="44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40" w:type="dxa"/>
          <w:tblInd w:w="720" w:type="dxa"/>
          <w:tblLayout w:type="fixed"/>
        </w:tblPrEx>
        <w:trPr>
          <w:cantSplit/>
          <w:trHeight w:hRule="auto" w:val="0"/>
        </w:trPr>
        <w:tc>
          <w:tcPr>
            <w:tcW w:w="44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energía y otros eléctricos.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3.166.057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4.160.660</w:t>
            </w: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1.140.855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Dividendos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308.332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(Ver nota 20.1)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692.368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6.682.573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importación.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9.422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1.717.624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20"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13.717.231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4.160.660</w:t>
            </w:r>
          </w:p>
        </w:tc>
      </w:tr>
    </w:tbl>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Ver Nota N° 4.3.-</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tienen proveedores de importancia cuyos pasivos superen el 10% de este ítem.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headerReference w:type="default" r:id="rId44"/>
          <w:footerReference w:type="default" r:id="rId45"/>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6" w:name="Section93"/>
      <w:bookmarkEnd w:id="176"/>
      <w:bookmarkStart w:id="177" w:name="5e6aa7ced8e0438b81900c0e76f75f71"/>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77"/>
    </w:p>
    <w:tbl>
      <w:tblPr>
        <w:tblW w:w="924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40"/>
        <w:gridCol w:w="1200"/>
        <w:gridCol w:w="1200"/>
        <w:gridCol w:w="1200"/>
        <w:gridCol w:w="1200"/>
      </w:tblGrid>
      <w:tr>
        <w:tblPrEx>
          <w:tblW w:w="9240" w:type="dxa"/>
          <w:tblInd w:w="731" w:type="dxa"/>
          <w:tblLayout w:type="fixed"/>
        </w:tblPrEx>
        <w:trPr>
          <w:cantSplit/>
          <w:trHeight w:hRule="auto" w:val="0"/>
        </w:trPr>
        <w:tc>
          <w:tcPr>
            <w:tcW w:w="44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acumulados (o devengados).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40" w:type="dxa"/>
          <w:tblInd w:w="731" w:type="dxa"/>
          <w:tblLayout w:type="fixed"/>
        </w:tblPrEx>
        <w:trPr>
          <w:cantSplit/>
          <w:trHeight w:hRule="auto" w:val="0"/>
        </w:trPr>
        <w:tc>
          <w:tcPr>
            <w:tcW w:w="44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40" w:type="dxa"/>
          <w:tblInd w:w="731" w:type="dxa"/>
          <w:tblLayout w:type="fixed"/>
        </w:tblPrEx>
        <w:trPr>
          <w:cantSplit/>
          <w:trHeight w:hRule="auto" w:val="0"/>
        </w:trPr>
        <w:tc>
          <w:tcPr>
            <w:tcW w:w="44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31"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678.442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31"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Bonificaciones de feriados.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13.926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31"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Aguinaldos.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31"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692.368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8" w:right="0" w:hanging="710"/>
        <w:jc w:val="both"/>
        <w:outlineLvl w:val="1"/>
        <w:rPr>
          <w:rFonts w:ascii="Times New Roman" w:eastAsia="Times New Roman" w:hAnsi="Times New Roman" w:cs="Times New Roman"/>
          <w:b/>
          <w:i w:val="0"/>
          <w:color w:val="000000"/>
          <w:sz w:val="24"/>
          <w:u w:val="none"/>
        </w:rPr>
      </w:pPr>
      <w:bookmarkStart w:id="178" w:name="Section94"/>
      <w:bookmarkEnd w:id="178"/>
      <w:bookmarkStart w:id="179" w:name="afbe0834beba44389fc8853acbb8a632"/>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9"/>
    </w:p>
    <w:tbl>
      <w:tblPr>
        <w:tblW w:w="924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40"/>
        <w:gridCol w:w="1200"/>
        <w:gridCol w:w="1200"/>
        <w:gridCol w:w="1200"/>
      </w:tblGrid>
      <w:tr>
        <w:tblPrEx>
          <w:tblW w:w="9240" w:type="dxa"/>
          <w:tblInd w:w="731" w:type="dxa"/>
          <w:tblLayout w:type="fixed"/>
        </w:tblPrEx>
        <w:trPr>
          <w:cantSplit/>
          <w:trHeight w:hRule="auto" w:val="0"/>
        </w:trPr>
        <w:tc>
          <w:tcPr>
            <w:tcW w:w="56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40" w:type="dxa"/>
          <w:tblInd w:w="731" w:type="dxa"/>
          <w:tblLayout w:type="fixed"/>
        </w:tblPrEx>
        <w:trPr>
          <w:cantSplit/>
          <w:trHeight w:hRule="auto" w:val="0"/>
        </w:trPr>
        <w:tc>
          <w:tcPr>
            <w:tcW w:w="56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9240" w:type="dxa"/>
          <w:tblInd w:w="731" w:type="dxa"/>
          <w:tblLayout w:type="fixed"/>
        </w:tblPrEx>
        <w:trPr>
          <w:cantSplit/>
          <w:trHeight w:hRule="auto" w:val="0"/>
        </w:trPr>
        <w:tc>
          <w:tcPr>
            <w:tcW w:w="56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31"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(326.607)</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(326.607)</w:t>
            </w:r>
          </w:p>
        </w:tc>
      </w:tr>
      <w:tr>
        <w:tblPrEx>
          <w:tblW w:w="9240" w:type="dxa"/>
          <w:tblInd w:w="731"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40" w:type="dxa"/>
          <w:tblInd w:w="731"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91 y 120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40" w:type="dxa"/>
          <w:tblInd w:w="731"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40" w:type="dxa"/>
          <w:tblInd w:w="731" w:type="dxa"/>
          <w:tblLayout w:type="fixed"/>
        </w:tblPrEx>
        <w:trPr>
          <w:cantSplit/>
          <w:trHeight w:hRule="auto" w:val="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1200"/>
        <w:gridCol w:w="1200"/>
        <w:gridCol w:w="1200"/>
      </w:tblGrid>
      <w:tr>
        <w:tblPrEx>
          <w:tblW w:w="9255" w:type="dxa"/>
          <w:tblInd w:w="709" w:type="dxa"/>
          <w:tblLayout w:type="fixed"/>
        </w:tblPrEx>
        <w:trPr>
          <w:cantSplit/>
          <w:trHeight w:hRule="exact" w:val="420"/>
        </w:trPr>
        <w:tc>
          <w:tcPr>
            <w:tcW w:w="56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9.858.051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1.585.351</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11.443.402</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695.060</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695.060</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4.160.660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4.160.660</w:t>
            </w:r>
          </w:p>
        </w:tc>
      </w:tr>
      <w:tr>
        <w:tblPrEx>
          <w:tblW w:w="92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14.018.711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3.859.180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17.877.891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cuentas por pagar comerciales con plazos vencidos.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80" w:name="Section95"/>
      <w:bookmarkEnd w:id="180"/>
      <w:bookmarkStart w:id="181" w:name="d834e3635ec24b719d37431ff0899b84"/>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1"/>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2" w:name="Section96"/>
      <w:bookmarkEnd w:id="182"/>
      <w:bookmarkStart w:id="183" w:name="8ca144f6374f4693a187cd2fb05be6b1"/>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 saldos.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8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 de provisiones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utilidades y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284.749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284.749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136</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Provisiones de reclamaciones legales.</w:t>
      </w: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40" w:lineRule="exact"/>
        <w:ind w:left="21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montos corresponden a la provisión para ciertas demandas legales contra la sociedad. Los plazos para utilizar los saldos de las provisiones están acotados a los plazos normales de los procesos judiciales.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utilidades y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provisión para la participación de los empleados en las utilidades y de los bonos de desempeño se paga al mes siguiente de la aprobación de los estados financieros.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4" w:name="Section97"/>
      <w:bookmarkEnd w:id="184"/>
      <w:bookmarkStart w:id="185" w:name="0a86c606684e4cd0886f2bfeb0505366"/>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 de las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5"/>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402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reclamaciones legales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20" w:type="dxa"/>
          <w:tblInd w:w="1417" w:type="dxa"/>
          <w:tblLayout w:type="fixed"/>
        </w:tblPrEx>
        <w:trPr>
          <w:cantSplit/>
          <w:trHeight w:hRule="auto" w:val="0"/>
        </w:trPr>
        <w:tc>
          <w:tcPr>
            <w:tcW w:w="45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284.749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284.885</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(59)</w:t>
            </w: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(59)</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284.749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284.826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402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reclamaciones legales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17" w:type="dxa"/>
          <w:tblLayout w:type="fixed"/>
        </w:tblPrEx>
        <w:trPr>
          <w:cantSplit/>
          <w:trHeight w:hRule="auto" w:val="0"/>
        </w:trPr>
        <w:tc>
          <w:tcPr>
            <w:tcW w:w="45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305.585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306.011</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Provisiones nuevas.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388.161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(290)</w:t>
            </w: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387.871</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(408.997)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(408.997)</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(20.836)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(21.126)</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31 de diciembre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284.749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284.885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86" w:name="Section98"/>
      <w:bookmarkEnd w:id="186"/>
      <w:bookmarkStart w:id="187" w:name="89ce4bc520894e918b977ac2eec65e54"/>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7"/>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8" w:name="Section99"/>
      <w:bookmarkEnd w:id="188"/>
      <w:bookmarkStart w:id="189" w:name="4f21b44a2bd344079a8a304478d4b8ef"/>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9"/>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20"/>
        <w:gridCol w:w="1200"/>
        <w:gridCol w:w="1200"/>
        <w:gridCol w:w="1200"/>
        <w:gridCol w:w="1200"/>
      </w:tblGrid>
      <w:tr>
        <w:tblPrEx>
          <w:tblW w:w="8520" w:type="dxa"/>
          <w:tblInd w:w="1451" w:type="dxa"/>
          <w:tblLayout w:type="fixed"/>
        </w:tblPrEx>
        <w:trPr>
          <w:cantSplit/>
          <w:trHeight w:hRule="auto" w:val="0"/>
        </w:trPr>
        <w:tc>
          <w:tcPr>
            <w:tcW w:w="37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20" w:type="dxa"/>
          <w:tblInd w:w="1451" w:type="dxa"/>
          <w:tblLayout w:type="fixed"/>
        </w:tblPrEx>
        <w:trPr>
          <w:cantSplit/>
          <w:trHeight w:hRule="auto" w:val="0"/>
        </w:trPr>
        <w:tc>
          <w:tcPr>
            <w:tcW w:w="37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51" w:type="dxa"/>
          <w:tblLayout w:type="fixed"/>
        </w:tblPrEx>
        <w:trPr>
          <w:cantSplit/>
          <w:trHeight w:hRule="auto" w:val="0"/>
        </w:trPr>
        <w:tc>
          <w:tcPr>
            <w:tcW w:w="37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51" w:type="dxa"/>
          <w:tblLayout w:type="fixed"/>
        </w:tblPrEx>
        <w:trPr>
          <w:cantSplit/>
          <w:trHeight w:hRule="auto" w:val="0"/>
        </w:trPr>
        <w:tc>
          <w:tcPr>
            <w:tcW w:w="3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2.403.031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2.291.863</w:t>
            </w:r>
          </w:p>
        </w:tc>
      </w:tr>
      <w:tr>
        <w:tblPrEx>
          <w:tblW w:w="8520" w:type="dxa"/>
          <w:tblInd w:w="1451" w:type="dxa"/>
          <w:tblLayout w:type="fixed"/>
        </w:tblPrEx>
        <w:trPr>
          <w:cantSplit/>
          <w:trHeight w:hRule="auto" w:val="0"/>
        </w:trPr>
        <w:tc>
          <w:tcPr>
            <w:tcW w:w="3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43.867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44.472</w:t>
            </w:r>
          </w:p>
        </w:tc>
      </w:tr>
      <w:tr>
        <w:tblPrEx>
          <w:tblW w:w="8520" w:type="dxa"/>
          <w:tblInd w:w="1451" w:type="dxa"/>
          <w:tblLayout w:type="fixed"/>
        </w:tblPrEx>
        <w:trPr>
          <w:cantSplit/>
          <w:trHeight w:hRule="auto" w:val="0"/>
        </w:trPr>
        <w:tc>
          <w:tcPr>
            <w:tcW w:w="3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2.446.898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2.336.335</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0" w:name="Section100"/>
      <w:bookmarkEnd w:id="190"/>
      <w:bookmarkStart w:id="191" w:name="c1e0faec3d85454a9ddfc13fc28eb17e"/>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1"/>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40"/>
        <w:gridCol w:w="795"/>
        <w:gridCol w:w="795"/>
        <w:gridCol w:w="795"/>
        <w:gridCol w:w="795"/>
      </w:tblGrid>
      <w:tr>
        <w:tblPrEx>
          <w:tblW w:w="8520" w:type="dxa"/>
          <w:tblInd w:w="1451" w:type="dxa"/>
          <w:tblLayout w:type="fixed"/>
        </w:tblPrEx>
        <w:trPr>
          <w:cantSplit/>
          <w:trHeight w:hRule="auto" w:val="0"/>
        </w:trPr>
        <w:tc>
          <w:tcPr>
            <w:tcW w:w="53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presente de las obligaciones post empleo y similar</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r>
      <w:tr>
        <w:tblPrEx>
          <w:tblW w:w="8520" w:type="dxa"/>
          <w:tblInd w:w="1451" w:type="dxa"/>
          <w:tblLayout w:type="fixed"/>
        </w:tblPrEx>
        <w:trPr>
          <w:cantSplit/>
          <w:trHeight w:hRule="auto" w:val="0"/>
        </w:trPr>
        <w:tc>
          <w:tcPr>
            <w:tcW w:w="534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20" w:type="dxa"/>
          <w:tblInd w:w="1451" w:type="dxa"/>
          <w:tblLayout w:type="fixed"/>
        </w:tblPrEx>
        <w:trPr>
          <w:cantSplit/>
          <w:trHeight w:hRule="auto" w:val="0"/>
        </w:trPr>
        <w:tc>
          <w:tcPr>
            <w:tcW w:w="534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51" w:type="dxa"/>
          <w:tblLayout w:type="fixed"/>
        </w:tblPrEx>
        <w:trPr>
          <w:cantSplit/>
          <w:trHeight w:hRule="exact" w:val="60"/>
        </w:trPr>
        <w:tc>
          <w:tcPr>
            <w:tcW w:w="53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Valor presente obligación, saldo inicial </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2.291.863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2.413.954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44.472</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61.723</w:t>
            </w: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obligación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33.680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131.305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2.002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(5.722)</w:t>
            </w: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por obligación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38.929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146.759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744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3.196</w:t>
            </w: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Ganancias pérdidas actuariales obligación planes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38.559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(30.648)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Liquidaciones obligación plan de beneficios definidos y transferencia de obligaciones por traspaso de personal desde empresas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(369.507)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(3.351)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(14.725)</w:t>
            </w: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 en provisiones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111.168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(122.091)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(605)</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(17.251)</w:t>
            </w:r>
          </w:p>
        </w:tc>
      </w:tr>
      <w:tr>
        <w:tblPrEx>
          <w:tblW w:w="8520" w:type="dxa"/>
          <w:tblInd w:w="1451" w:type="dxa"/>
          <w:tblLayout w:type="fixed"/>
        </w:tblPrEx>
        <w:trPr>
          <w:cantSplit/>
          <w:trHeight w:hRule="auto" w:val="0"/>
        </w:trPr>
        <w:tc>
          <w:tcPr>
            <w:tcW w:w="53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2.403.031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2.291.863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43.867</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44.472</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2" w:name="Section101"/>
      <w:bookmarkEnd w:id="192"/>
      <w:bookmarkStart w:id="193" w:name="4f4f746ee0ca4f3eb0fd8309bb74f49b"/>
      <w:r>
        <w:rPr>
          <w:rFonts w:ascii="Calibri" w:eastAsia="Calibri" w:hAnsi="Calibri" w:cs="Calibri"/>
          <w:b/>
          <w:i w:val="0"/>
          <w:color w:val="000000"/>
          <w:sz w:val="20"/>
          <w:u w:val="none"/>
        </w:rPr>
        <w:t>22.3.-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3"/>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40"/>
        <w:gridCol w:w="795"/>
        <w:gridCol w:w="795"/>
        <w:gridCol w:w="795"/>
        <w:gridCol w:w="795"/>
      </w:tblGrid>
      <w:tr>
        <w:tblPrEx>
          <w:tblW w:w="8520" w:type="dxa"/>
          <w:tblInd w:w="1451" w:type="dxa"/>
          <w:tblLayout w:type="fixed"/>
        </w:tblPrEx>
        <w:trPr>
          <w:cantSplit/>
          <w:trHeight w:hRule="auto" w:val="0"/>
        </w:trPr>
        <w:tc>
          <w:tcPr>
            <w:tcW w:w="53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Balance plan de beneficios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r>
      <w:tr>
        <w:tblPrEx>
          <w:tblW w:w="8520" w:type="dxa"/>
          <w:tblInd w:w="1451" w:type="dxa"/>
          <w:tblLayout w:type="fixed"/>
        </w:tblPrEx>
        <w:trPr>
          <w:cantSplit/>
          <w:trHeight w:hRule="auto" w:val="0"/>
        </w:trPr>
        <w:tc>
          <w:tcPr>
            <w:tcW w:w="534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20" w:type="dxa"/>
          <w:tblInd w:w="1451" w:type="dxa"/>
          <w:tblLayout w:type="fixed"/>
        </w:tblPrEx>
        <w:trPr>
          <w:cantSplit/>
          <w:trHeight w:hRule="auto" w:val="0"/>
        </w:trPr>
        <w:tc>
          <w:tcPr>
            <w:tcW w:w="534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Obligación presente sin fondos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2.403.031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2.291.863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43.867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44.472</w:t>
            </w:r>
          </w:p>
        </w:tc>
      </w:tr>
      <w:tr>
        <w:tblPrEx>
          <w:tblW w:w="8520" w:type="dxa"/>
          <w:tblInd w:w="1451"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2.403.031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2.291.863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43.867</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44.472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4" w:name="Section102"/>
      <w:bookmarkEnd w:id="194"/>
      <w:bookmarkStart w:id="195" w:name="69fc2a73bf1449318c38cc2d005c4883"/>
      <w:r>
        <w:rPr>
          <w:rFonts w:ascii="Calibri" w:eastAsia="Calibri" w:hAnsi="Calibri" w:cs="Calibri"/>
          <w:b/>
          <w:i w:val="0"/>
          <w:color w:val="000000"/>
          <w:sz w:val="20"/>
          <w:u w:val="none"/>
        </w:rPr>
        <w:t>22.4.-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5"/>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65"/>
        <w:gridCol w:w="795"/>
        <w:gridCol w:w="795"/>
        <w:gridCol w:w="795"/>
        <w:gridCol w:w="795"/>
        <w:gridCol w:w="2475"/>
      </w:tblGrid>
      <w:tr>
        <w:tblPrEx>
          <w:tblW w:w="8520" w:type="dxa"/>
          <w:tblInd w:w="1451" w:type="dxa"/>
          <w:tblLayout w:type="fixed"/>
        </w:tblPrEx>
        <w:trPr>
          <w:cantSplit/>
          <w:trHeight w:hRule="auto" w:val="0"/>
        </w:trPr>
        <w:tc>
          <w:tcPr>
            <w:tcW w:w="28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Gastos reconocidos en el estado de resultados por función</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247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Línea del estado de resultados</w:t>
            </w:r>
          </w:p>
        </w:tc>
      </w:tr>
      <w:tr>
        <w:tblPrEx>
          <w:tblW w:w="8520" w:type="dxa"/>
          <w:tblInd w:w="1451" w:type="dxa"/>
          <w:tblLayout w:type="fixed"/>
        </w:tblPrEx>
        <w:trPr>
          <w:cantSplit/>
          <w:trHeight w:hRule="auto" w:val="0"/>
        </w:trPr>
        <w:tc>
          <w:tcPr>
            <w:tcW w:w="286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2475" w:type="dxa"/>
            <w:vMerge/>
            <w:tcBorders>
              <w:top w:val="nil"/>
              <w:left w:val="single" w:sz="4" w:space="0" w:color="FFFFFF"/>
              <w:bottom w:val="nil"/>
              <w:right w:val="single" w:sz="2" w:space="0" w:color="000000"/>
            </w:tcBorders>
          </w:tcPr>
          <w:p>
            <w:pPr>
              <w:keepNext/>
              <w:pageBreakBefore w:val="0"/>
            </w:pPr>
          </w:p>
        </w:tc>
      </w:tr>
      <w:tr>
        <w:tblPrEx>
          <w:tblW w:w="8520" w:type="dxa"/>
          <w:tblInd w:w="1451" w:type="dxa"/>
          <w:tblLayout w:type="fixed"/>
        </w:tblPrEx>
        <w:trPr>
          <w:cantSplit/>
          <w:trHeight w:hRule="auto" w:val="0"/>
        </w:trPr>
        <w:tc>
          <w:tcPr>
            <w:tcW w:w="286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2475" w:type="dxa"/>
            <w:vMerge/>
            <w:tcBorders>
              <w:top w:val="nil"/>
              <w:left w:val="single" w:sz="4" w:space="0" w:color="FFFFFF"/>
              <w:bottom w:val="nil"/>
              <w:right w:val="single" w:sz="2" w:space="0" w:color="000000"/>
            </w:tcBorders>
          </w:tcPr>
          <w:p>
            <w:pPr>
              <w:keepNext/>
              <w:pageBreakBefore w:val="0"/>
            </w:pPr>
          </w:p>
        </w:tc>
      </w:tr>
      <w:tr>
        <w:tblPrEx>
          <w:tblW w:w="8520" w:type="dxa"/>
          <w:tblInd w:w="1451" w:type="dxa"/>
          <w:tblLayout w:type="fixed"/>
        </w:tblPrEx>
        <w:trPr>
          <w:cantSplit/>
          <w:trHeight w:hRule="auto" w:val="0"/>
        </w:trPr>
        <w:tc>
          <w:tcPr>
            <w:tcW w:w="2865"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2475" w:type="dxa"/>
            <w:vMerge/>
            <w:tcBorders>
              <w:top w:val="nil"/>
              <w:left w:val="single" w:sz="4" w:space="0" w:color="FFFFFF"/>
              <w:bottom w:val="single" w:sz="2" w:space="0" w:color="000000"/>
              <w:right w:val="single" w:sz="2" w:space="0" w:color="000000"/>
            </w:tcBorders>
          </w:tcPr>
          <w:p>
            <w:pPr>
              <w:keepNext/>
              <w:pageBreakBefore w:val="0"/>
            </w:pPr>
          </w:p>
        </w:tc>
      </w:tr>
      <w:tr>
        <w:tblPrEx>
          <w:tblW w:w="8520" w:type="dxa"/>
          <w:tblInd w:w="1451" w:type="dxa"/>
          <w:tblLayout w:type="fixed"/>
        </w:tblPrEx>
        <w:trPr>
          <w:cantSplit/>
          <w:trHeight w:hRule="exact" w:val="225"/>
        </w:trPr>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2"/>
                <w:u w:val="none"/>
              </w:rPr>
              <w:t>Costo del servicio corriente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33.680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34.069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1.105</w:t>
            </w:r>
          </w:p>
        </w:tc>
        <w:tc>
          <w:tcPr>
            <w:tcW w:w="247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 - gastos de administración.</w:t>
            </w:r>
          </w:p>
        </w:tc>
      </w:tr>
      <w:tr>
        <w:tblPrEx>
          <w:tblW w:w="8520" w:type="dxa"/>
          <w:tblInd w:w="1451" w:type="dxa"/>
          <w:tblLayout w:type="fixed"/>
        </w:tblPrEx>
        <w:trPr>
          <w:cantSplit/>
          <w:trHeight w:hRule="exact" w:val="225"/>
        </w:trPr>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2"/>
                <w:u w:val="none"/>
              </w:rPr>
              <w:t>Costo por intereses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38.929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33.881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816</w:t>
            </w:r>
          </w:p>
        </w:tc>
        <w:tc>
          <w:tcPr>
            <w:tcW w:w="247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Costos Financieros.</w:t>
            </w:r>
          </w:p>
        </w:tc>
      </w:tr>
      <w:tr>
        <w:tblPrEx>
          <w:tblW w:w="8520" w:type="dxa"/>
          <w:tblInd w:w="1451" w:type="dxa"/>
          <w:tblLayout w:type="fixed"/>
        </w:tblPrEx>
        <w:trPr>
          <w:cantSplit/>
          <w:trHeight w:hRule="auto" w:val="0"/>
        </w:trPr>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72.609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67.950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2.746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1.921</w:t>
            </w:r>
          </w:p>
        </w:tc>
        <w:tc>
          <w:tcPr>
            <w:tcW w:w="247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tabs>
          <w:tab w:val="left" w:pos="140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400"/>
        </w:tabs>
        <w:spacing w:before="0" w:after="0" w:line="288" w:lineRule="auto"/>
        <w:ind w:left="0" w:right="0" w:firstLine="0"/>
        <w:jc w:val="center"/>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96" w:name="Section103"/>
      <w:bookmarkEnd w:id="196"/>
      <w:bookmarkStart w:id="197" w:name="ef48b00518bd4c4da0994f68be647a65"/>
      <w:r>
        <w:rPr>
          <w:rFonts w:ascii="Calibri" w:eastAsia="Calibri" w:hAnsi="Calibri" w:cs="Calibri"/>
          <w:b/>
          <w:i w:val="0"/>
          <w:color w:val="000000"/>
          <w:sz w:val="20"/>
          <w:u w:val="none"/>
        </w:rPr>
        <w:t>22.5.-</w:t>
      </w:r>
      <w:r>
        <w:rPr>
          <w:rFonts w:ascii="Calibri" w:eastAsia="Calibri" w:hAnsi="Calibri" w:cs="Calibri"/>
          <w:b/>
          <w:i w:val="0"/>
          <w:color w:val="000000"/>
          <w:sz w:val="20"/>
          <w:u w:val="none"/>
        </w:rPr>
        <w:tab/>
      </w:r>
      <w:r>
        <w:rPr>
          <w:rFonts w:ascii="Calibri" w:eastAsia="Calibri" w:hAnsi="Calibri" w:cs="Calibri"/>
          <w:b/>
          <w:i w:val="0"/>
          <w:color w:val="000000"/>
          <w:sz w:val="20"/>
          <w:highlight w:val="white"/>
          <w:u w:val="none"/>
        </w:rPr>
        <w:t>Hipótesis actuariales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han sido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5625"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2385"/>
      </w:tblGrid>
      <w:tr>
        <w:tblPrEx>
          <w:tblW w:w="5625" w:type="dxa"/>
          <w:tblInd w:w="1451" w:type="dxa"/>
          <w:tblLayout w:type="fixed"/>
        </w:tblPrEx>
        <w:trPr>
          <w:cantSplit/>
          <w:trHeight w:hRule="auto" w:val="0"/>
        </w:trPr>
        <w:tc>
          <w:tcPr>
            <w:tcW w:w="562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5625" w:type="dxa"/>
          <w:tblInd w:w="1451" w:type="dxa"/>
          <w:tblLayout w:type="fixed"/>
        </w:tblPrEx>
        <w:trPr>
          <w:cantSplit/>
          <w:trHeight w:hRule="auto" w:val="0"/>
        </w:trPr>
        <w:tc>
          <w:tcPr>
            <w:tcW w:w="324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2,33 %</w:t>
            </w:r>
          </w:p>
        </w:tc>
      </w:tr>
      <w:tr>
        <w:tblPrEx>
          <w:tblW w:w="5625" w:type="dxa"/>
          <w:tblInd w:w="1451"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4,40 %</w:t>
            </w:r>
          </w:p>
        </w:tc>
      </w:tr>
      <w:tr>
        <w:tblPrEx>
          <w:tblW w:w="5625" w:type="dxa"/>
          <w:tblInd w:w="1451"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5625" w:type="dxa"/>
          <w:tblInd w:w="1451"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tabs>
          <w:tab w:val="right" w:pos="7280"/>
          <w:tab w:val="right" w:pos="854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se aplicó la misma metodología utilizada en el ejercicio anterior. Respecto a lo anterior, la subsidiaria Edelmag S.A. contrató a Mercer (Argentina) S.A., para la determinación de las obligaciones por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8520" w:type="dxa"/>
          <w:tblInd w:w="1451"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193.905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(171.064)</w:t>
            </w:r>
          </w:p>
        </w:tc>
      </w:tr>
    </w:tbl>
    <w:p>
      <w:pPr>
        <w:keepNext w:val="0"/>
        <w:keepLines/>
        <w:pageBreakBefore w:val="0"/>
        <w:widowControl w:val="0"/>
        <w:numPr>
          <w:ilvl w:val="0"/>
          <w:numId w:val="0"/>
        </w:numPr>
        <w:spacing w:before="0" w:after="0" w:line="300" w:lineRule="auto"/>
        <w:ind w:left="701" w:right="0" w:firstLine="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300" w:lineRule="auto"/>
        <w:ind w:left="701" w:right="0" w:firstLine="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8" w:name="Section104"/>
      <w:bookmarkEnd w:id="198"/>
      <w:bookmarkStart w:id="199" w:name="3e9c9ae957944ca4bea8f6ee822e8d22"/>
      <w:r>
        <w:rPr>
          <w:rFonts w:ascii="Calibri" w:eastAsia="Calibri" w:hAnsi="Calibri" w:cs="Calibri"/>
          <w:b/>
          <w:i w:val="0"/>
          <w:color w:val="000000"/>
          <w:sz w:val="20"/>
          <w:u w:val="none"/>
        </w:rPr>
        <w:t>22.6.-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flujo previsto de prestaciones para los próximos años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51" w:type="dxa"/>
          <w:tblLayout w:type="fixed"/>
        </w:tblPrEx>
        <w:trPr>
          <w:cantSplit/>
          <w:trHeight w:hRule="auto" w:val="0"/>
        </w:trPr>
        <w:tc>
          <w:tcPr>
            <w:tcW w:w="49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20" w:type="dxa"/>
          <w:tblInd w:w="1451"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20" w:type="dxa"/>
          <w:tblInd w:w="1451"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51"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148.743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150.889</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172.130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7.828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179.958</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123.796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1.245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125.041</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311.812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313.956</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89.560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6.695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96.255</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726.882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13.767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740.649</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830.108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10.042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840.150</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2.403.031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43.867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2.446.898</w:t>
            </w:r>
          </w:p>
        </w:tc>
      </w:tr>
    </w:tbl>
    <w:p>
      <w:pPr>
        <w:keepNext w:val="0"/>
        <w:keepLines/>
        <w:pageBreakBefore w:val="0"/>
        <w:widowControl w:val="0"/>
        <w:numPr>
          <w:ilvl w:val="0"/>
          <w:numId w:val="0"/>
        </w:numPr>
        <w:tabs>
          <w:tab w:val="right" w:pos="7280"/>
          <w:tab w:val="right" w:pos="8540"/>
        </w:tabs>
        <w:spacing w:before="0" w:after="0" w:line="288" w:lineRule="auto"/>
        <w:ind w:left="851" w:right="0" w:firstLine="567"/>
        <w:jc w:val="both"/>
        <w:outlineLvl w:val="9"/>
        <w:rPr>
          <w:rFonts w:ascii="Calibri" w:eastAsia="Calibri" w:hAnsi="Calibri" w:cs="Calibri"/>
          <w:b w:val="0"/>
          <w:i w:val="0"/>
          <w:color w:val="000000"/>
          <w:sz w:val="20"/>
          <w:u w:val="none"/>
        </w:rPr>
      </w:pPr>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51" w:type="dxa"/>
          <w:tblLayout w:type="fixed"/>
        </w:tblPrEx>
        <w:trPr>
          <w:cantSplit/>
          <w:trHeight w:hRule="auto" w:val="0"/>
        </w:trPr>
        <w:tc>
          <w:tcPr>
            <w:tcW w:w="49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20" w:type="dxa"/>
          <w:tblInd w:w="1451"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51"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51"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103.796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3.310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107.106</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206.536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7.735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214.271</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119.822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2.826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122.648</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273.871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275.737</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114.652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4.812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119.464</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597.681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13.522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611.203</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875.505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10.401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885.906</w:t>
            </w:r>
          </w:p>
        </w:tc>
      </w:tr>
      <w:tr>
        <w:tblPrEx>
          <w:tblW w:w="8520" w:type="dxa"/>
          <w:tblInd w:w="1451"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2.291.863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44.472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2.336.335</w:t>
            </w:r>
          </w:p>
        </w:tc>
      </w:tr>
    </w:tbl>
    <w:p>
      <w:pPr>
        <w:keepNext w:val="0"/>
        <w:keepLines/>
        <w:pageBreakBefore w:val="0"/>
        <w:widowControl w:val="0"/>
        <w:numPr>
          <w:ilvl w:val="0"/>
          <w:numId w:val="0"/>
        </w:numPr>
        <w:tabs>
          <w:tab w:val="right" w:pos="7280"/>
          <w:tab w:val="right" w:pos="8540"/>
        </w:tabs>
        <w:spacing w:before="0" w:after="0" w:line="288" w:lineRule="auto"/>
        <w:ind w:left="2160" w:right="0" w:hanging="709"/>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right" w:pos="7280"/>
          <w:tab w:val="right" w:pos="8540"/>
        </w:tabs>
        <w:spacing w:before="0" w:after="0" w:line="288" w:lineRule="auto"/>
        <w:ind w:left="2160" w:right="0" w:hanging="709"/>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00" w:name="Section105"/>
      <w:bookmarkEnd w:id="200"/>
      <w:bookmarkStart w:id="201" w:name="24839323b1d9415bbb3afbab96737fdf"/>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1"/>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pasivos no financieros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168.461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Garantías recibidas en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178.878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347.339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val="0"/>
        <w:keepLines/>
        <w:pageBreakBefore w:val="0"/>
        <w:widowControl w:val="0"/>
        <w:numPr>
          <w:ilvl w:val="0"/>
          <w:numId w:val="0"/>
        </w:numPr>
        <w:spacing w:before="0" w:after="0" w:line="288" w:lineRule="auto"/>
        <w:ind w:left="709" w:right="0" w:firstLine="0"/>
        <w:jc w:val="both"/>
        <w:outlineLvl w:val="1"/>
        <w:rPr>
          <w:rFonts w:ascii="Calibri" w:eastAsia="Calibri" w:hAnsi="Calibri" w:cs="Calibri"/>
          <w:b/>
          <w:i w:val="0"/>
          <w:color w:val="000000"/>
          <w:sz w:val="20"/>
          <w:u w:val="none"/>
        </w:rPr>
      </w:pPr>
      <w:bookmarkStart w:id="202" w:name="Section106"/>
      <w:bookmarkEnd w:id="202"/>
      <w:bookmarkStart w:id="203" w:name="6e97d0531aad4a86a0ded1f7783ed0a3"/>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03"/>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20"/>
        <w:gridCol w:w="1200"/>
        <w:gridCol w:w="1200"/>
        <w:gridCol w:w="1200"/>
        <w:gridCol w:w="1200"/>
      </w:tblGrid>
      <w:tr>
        <w:tblPrEx>
          <w:tblW w:w="8520" w:type="dxa"/>
          <w:tblInd w:w="1417" w:type="dxa"/>
          <w:tblLayout w:type="fixed"/>
        </w:tblPrEx>
        <w:trPr>
          <w:cantSplit/>
          <w:trHeight w:hRule="auto" w:val="0"/>
        </w:trPr>
        <w:tc>
          <w:tcPr>
            <w:tcW w:w="37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Detalle de los ingresos diferidos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20" w:type="dxa"/>
          <w:tblInd w:w="1417" w:type="dxa"/>
          <w:tblLayout w:type="fixed"/>
        </w:tblPrEx>
        <w:trPr>
          <w:cantSplit/>
          <w:trHeight w:hRule="auto" w:val="0"/>
        </w:trPr>
        <w:tc>
          <w:tcPr>
            <w:tcW w:w="37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37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3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por obras de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168.461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17" w:type="dxa"/>
          <w:tblLayout w:type="fixed"/>
        </w:tblPrEx>
        <w:trPr>
          <w:cantSplit/>
          <w:trHeight w:hRule="auto" w:val="0"/>
        </w:trPr>
        <w:tc>
          <w:tcPr>
            <w:tcW w:w="3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168.461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El movimiento de este rubro al</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w:t>
      </w:r>
      <w:r>
        <w:rPr>
          <w:rFonts w:ascii="Calibri" w:eastAsia="Calibri" w:hAnsi="Calibri" w:cs="Calibri"/>
          <w:b w:val="0"/>
          <w:i w:val="0"/>
          <w:sz w:val="20"/>
        </w:rPr>
        <w:t>iguiente:</w:t>
      </w:r>
    </w:p>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17"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del período ingresos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 inicial ingresos diferidos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168.461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48.841</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Adiciones.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(148.378)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493.512</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Imputación a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(20.083)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(373.892)</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168.461</w:t>
            </w:r>
          </w:p>
        </w:tc>
      </w:tr>
    </w:tbl>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04" w:name="Section107"/>
      <w:bookmarkEnd w:id="204"/>
      <w:bookmarkStart w:id="205" w:name="5ed6d4c868724b2a9f7e1267300c5f82"/>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205"/>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6" w:name="Section108"/>
      <w:bookmarkEnd w:id="206"/>
      <w:bookmarkStart w:id="207" w:name="fd69f611cfc643a1b5ec846a9eee55d3"/>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arrendamientos.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207"/>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las obligaciones por arrendamiento y sus plazos de vencimiento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1065"/>
        <w:gridCol w:w="1065"/>
        <w:gridCol w:w="1065"/>
        <w:gridCol w:w="1065"/>
        <w:gridCol w:w="1065"/>
        <w:gridCol w:w="1065"/>
      </w:tblGrid>
      <w:tr>
        <w:tblPrEx>
          <w:tblW w:w="8550" w:type="dxa"/>
          <w:tblInd w:w="1417" w:type="dxa"/>
          <w:tblLayout w:type="fixed"/>
        </w:tblPrEx>
        <w:trPr>
          <w:cantSplit/>
          <w:trHeight w:hRule="auto" w:val="0"/>
        </w:trPr>
        <w:tc>
          <w:tcPr>
            <w:tcW w:w="21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Pagos mínimos a pagar por arrendamiento, obligaciones por arrendamientos</w:t>
            </w:r>
          </w:p>
        </w:tc>
        <w:tc>
          <w:tcPr>
            <w:tcW w:w="319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19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160" w:type="dxa"/>
            <w:vMerge/>
            <w:tcBorders>
              <w:top w:val="nil"/>
              <w:left w:val="single" w:sz="2" w:space="0" w:color="000000"/>
              <w:bottom w:val="nil"/>
              <w:right w:val="nil"/>
            </w:tcBorders>
          </w:tcPr>
          <w:p>
            <w:pPr>
              <w:keepNext/>
              <w:pageBreakBefore w:val="0"/>
            </w:pPr>
          </w:p>
        </w:tc>
        <w:tc>
          <w:tcPr>
            <w:tcW w:w="10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c>
          <w:tcPr>
            <w:tcW w:w="10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6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r>
      <w:tr>
        <w:tblPrEx>
          <w:tblW w:w="8550" w:type="dxa"/>
          <w:tblInd w:w="1417" w:type="dxa"/>
          <w:tblLayout w:type="fixed"/>
        </w:tblPrEx>
        <w:trPr>
          <w:cantSplit/>
          <w:trHeight w:hRule="auto" w:val="0"/>
        </w:trPr>
        <w:tc>
          <w:tcPr>
            <w:tcW w:w="2160" w:type="dxa"/>
            <w:vMerge/>
            <w:tcBorders>
              <w:top w:val="nil"/>
              <w:left w:val="single" w:sz="2" w:space="0" w:color="000000"/>
              <w:bottom w:val="single" w:sz="2" w:space="0" w:color="000000"/>
              <w:right w:val="nil"/>
            </w:tcBorders>
          </w:tcPr>
          <w:p>
            <w:pPr>
              <w:keepNext/>
              <w:pageBreakBefore w:val="0"/>
            </w:pP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Hasta 90 días.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27.221</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(2.888)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24.333</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40.716</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(5.087)</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35.629</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90 días hasta 1 año.</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136.107</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(8.019)</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128.088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122.147</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(9.627)</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112.520</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1 año hasta 2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16.137</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(1.217)</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14.920</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58.818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(2.564)</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56.254</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2 años hasta 3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17.538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(500)</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17.038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15.476</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(397)</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15.079</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3 años hasta 4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197.003</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(12.624)</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184.379</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237.157</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(17.675)</w:t>
            </w:r>
          </w:p>
        </w:tc>
        <w:tc>
          <w:tcPr>
            <w:tcW w:w="10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219.482</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financieros por intereses devengados producto de estas obligaciones se revelan en ítem detallado en nota 28.</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tasas de interés aplicadas nominal anual para contrato por tipo de bien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son las siguientes: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16"/>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sujeto a arrendamiento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Tasas de interés</w:t>
            </w:r>
          </w:p>
        </w:tc>
      </w:tr>
      <w:tr>
        <w:tblPrEx>
          <w:tblW w:w="8550" w:type="dxa"/>
          <w:tblInd w:w="1417" w:type="dxa"/>
          <w:tblLayout w:type="fixed"/>
        </w:tblPrEx>
        <w:trPr>
          <w:cantSplit/>
          <w:trHeight w:hRule="exact" w:val="255"/>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Equipamiento de tecnologías de la información bajo arrendamientos.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7,84 %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7,02 %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Vehículos de motor, bajo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r>
    </w:tbl>
    <w:p>
      <w:pPr>
        <w:keepNext w:val="0"/>
        <w:keepLines/>
        <w:pageBreakBefore w:val="0"/>
        <w:widowControl w:val="0"/>
        <w:numPr>
          <w:ilvl w:val="0"/>
          <w:numId w:val="0"/>
        </w:numPr>
        <w:spacing w:before="0" w:after="0" w:line="288" w:lineRule="auto"/>
        <w:ind w:left="1440"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la Sociedad posee pasivos por arrendamientos con entidades relacionadas por M$ 626.282 y 31 de diciembre de 2024 por M$ 701.641 indicados en Nota 9.1.2, "Cuentas por pagar a entidades relacionadas".</w:t>
      </w:r>
    </w:p>
    <w:p>
      <w:pPr>
        <w:keepNext w:val="0"/>
        <w:keepLines/>
        <w:pageBreakBefore w:val="0"/>
        <w:widowControl w:val="0"/>
        <w:numPr>
          <w:ilvl w:val="0"/>
          <w:numId w:val="0"/>
        </w:numPr>
        <w:spacing w:before="0" w:after="0" w:line="288" w:lineRule="auto"/>
        <w:ind w:left="1418"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hanging="709"/>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8" w:name="Section109"/>
      <w:bookmarkEnd w:id="208"/>
      <w:bookmarkStart w:id="209" w:name="20958bd05e1e43e09cd7a5fa38acd4dc"/>
      <w:r>
        <w:rPr>
          <w:rFonts w:ascii="Calibri" w:eastAsia="Calibri" w:hAnsi="Calibri" w:cs="Calibri"/>
          <w:b/>
          <w:i w:val="0"/>
          <w:color w:val="000000"/>
          <w:sz w:val="20"/>
          <w:u w:val="none"/>
        </w:rPr>
        <w:t>24.2.-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por derecho de uso.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09"/>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bienes arrendados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885"/>
        <w:gridCol w:w="885"/>
        <w:gridCol w:w="885"/>
        <w:gridCol w:w="885"/>
        <w:gridCol w:w="885"/>
        <w:gridCol w:w="885"/>
      </w:tblGrid>
      <w:tr>
        <w:tblPrEx>
          <w:tblW w:w="8550" w:type="dxa"/>
          <w:tblInd w:w="1417" w:type="dxa"/>
          <w:tblLayout w:type="fixed"/>
        </w:tblPrEx>
        <w:trPr>
          <w:cantSplit/>
          <w:trHeight w:hRule="auto" w:val="0"/>
        </w:trPr>
        <w:tc>
          <w:tcPr>
            <w:tcW w:w="3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655"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65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32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Propiedades, planta y equipos en arrendamiento, neto</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r>
      <w:tr>
        <w:tblPrEx>
          <w:tblW w:w="8550" w:type="dxa"/>
          <w:tblInd w:w="1417" w:type="dxa"/>
          <w:tblLayout w:type="fixed"/>
        </w:tblPrEx>
        <w:trPr>
          <w:cantSplit/>
          <w:trHeight w:hRule="auto" w:val="0"/>
        </w:trPr>
        <w:tc>
          <w:tcPr>
            <w:tcW w:w="3240" w:type="dxa"/>
            <w:vMerge/>
            <w:tcBorders>
              <w:top w:val="nil"/>
              <w:left w:val="single" w:sz="2" w:space="0" w:color="000000"/>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Equipamiento de tecnologías de la información bajo arrendamientos.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757.368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(218.998)</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538.370</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Vehículos de motor, bajo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493.006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(324.236)</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168.770</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1.250.374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(543.234)</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707.140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se deprecian en el plazo remanente de los contratos. La depreciación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543.234</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bienes arrendados por la subsidiaria Edelmag S.A. corresponden a software asociado a la medición inteligente y a la flota de vehículos ubicados en: Punta Arenas, Porvenir, Puerto Williams, donde la flota de vehículos asciende a</w:t>
      </w:r>
      <w:r>
        <w:rPr>
          <w:rFonts w:ascii="Calibri" w:eastAsia="Calibri" w:hAnsi="Calibri" w:cs="Calibri"/>
          <w:b w:val="0"/>
          <w:i w:val="0"/>
          <w:color w:val="000000"/>
          <w:sz w:val="20"/>
          <w:highlight w:val="white"/>
          <w:u w:val="none"/>
        </w:rPr>
        <w:t xml:space="preserve"> 22 unidades utiliz</w:t>
      </w:r>
      <w:r>
        <w:rPr>
          <w:rFonts w:ascii="Calibri" w:eastAsia="Calibri" w:hAnsi="Calibri" w:cs="Calibri"/>
          <w:b w:val="0"/>
          <w:i w:val="0"/>
          <w:color w:val="000000"/>
          <w:sz w:val="20"/>
          <w:u w:val="none"/>
        </w:rPr>
        <w:t>adas en la operación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los movimientos por clase de activos originados 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825"/>
        <w:gridCol w:w="780"/>
        <w:gridCol w:w="780"/>
      </w:tblGrid>
      <w:tr>
        <w:tblPrEx>
          <w:tblW w:w="8550" w:type="dxa"/>
          <w:tblInd w:w="1417" w:type="dxa"/>
          <w:tblLayout w:type="fixed"/>
        </w:tblPrEx>
        <w:trPr>
          <w:cantSplit/>
          <w:trHeight w:hRule="auto" w:val="0"/>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538.370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168.770</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707.140</w:t>
            </w: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Adiciones distintas de las obtenidas mediante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(27.375)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(29.917)</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(57.292)</w:t>
            </w: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510.995</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138.853</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649.848</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tbl>
      <w:tblPr>
        <w:tblW w:w="8535" w:type="dxa"/>
        <w:tblInd w:w="1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810"/>
        <w:gridCol w:w="780"/>
        <w:gridCol w:w="780"/>
      </w:tblGrid>
      <w:tr>
        <w:tblPrEx>
          <w:tblW w:w="8535" w:type="dxa"/>
          <w:tblInd w:w="1429" w:type="dxa"/>
          <w:tblLayout w:type="fixed"/>
        </w:tblPrEx>
        <w:trPr>
          <w:cantSplit/>
          <w:trHeight w:hRule="auto" w:val="0"/>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81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35" w:type="dxa"/>
          <w:tblInd w:w="1429"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81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35" w:type="dxa"/>
          <w:tblInd w:w="1429"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29"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647.869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264.469</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912.338</w:t>
            </w:r>
          </w:p>
        </w:tc>
      </w:tr>
      <w:tr>
        <w:tblPrEx>
          <w:tblW w:w="8535" w:type="dxa"/>
          <w:tblInd w:w="1429"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Adiciones distintas de las obtenidas mediante combinaciones de negocios.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19.404</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19.404</w:t>
            </w:r>
          </w:p>
        </w:tc>
      </w:tr>
      <w:tr>
        <w:tblPrEx>
          <w:tblW w:w="8535" w:type="dxa"/>
          <w:tblInd w:w="1429"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(109.499)</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(115.103)</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(224.602)</w:t>
            </w:r>
          </w:p>
        </w:tc>
      </w:tr>
      <w:tr>
        <w:tblPrEx>
          <w:tblW w:w="8535" w:type="dxa"/>
          <w:tblInd w:w="1429"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538.370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168.770</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707.140</w:t>
            </w:r>
          </w:p>
        </w:tc>
      </w:tr>
    </w:tbl>
    <w:p>
      <w:pPr>
        <w:keepNext w:val="0"/>
        <w:keepLines/>
        <w:pageBreakBefore w:val="0"/>
        <w:widowControl w:val="0"/>
        <w:numPr>
          <w:ilvl w:val="0"/>
          <w:numId w:val="0"/>
        </w:numPr>
        <w:spacing w:before="0" w:after="0" w:line="288" w:lineRule="auto"/>
        <w:ind w:left="2138"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38" w:right="0" w:hanging="709"/>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10" w:name="Section110"/>
      <w:bookmarkEnd w:id="210"/>
      <w:bookmarkStart w:id="211" w:name="77a92e39f8bc459a9ee05d9cd85cd104"/>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1"/>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2" w:name="Section111"/>
      <w:bookmarkEnd w:id="212"/>
      <w:bookmarkStart w:id="213" w:name="eafa4c58b48c41a7b3fbf8709dce3851"/>
      <w:r>
        <w:rPr>
          <w:rFonts w:ascii="Calibri" w:eastAsia="Calibri" w:hAnsi="Calibri" w:cs="Calibri"/>
          <w:b/>
          <w:i w:val="0"/>
          <w:color w:val="000000"/>
          <w:sz w:val="20"/>
          <w:u w:val="none"/>
        </w:rPr>
        <w:t>25.1.-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la Sociedad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Consistente con la industria, la Sociedad monitorea su capital sobre la base del ratio de apalancamiento. Este ratio se calcula dividiendo la deuda neta por el capital total. La deuda neta corresponde al total del endeudamiento (incluyendo el endeudamiento corriente y no corriente) menos el efectivo y equivalentes de efectivo. El capital total corresponde al patrimonio tal y como se muestra en el estado de situación financiera más la deuda neta.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la Sociedad ha combinado distintas fuentes de financiamiento tales como: aumentos de capital, flujos de la operación y créditos bancarios.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14" w:name="Section112"/>
      <w:bookmarkEnd w:id="214"/>
      <w:bookmarkStart w:id="215" w:name="412b259708ef47fba0183c35eb2fbaee"/>
      <w:r>
        <w:rPr>
          <w:rFonts w:ascii="Calibri" w:eastAsia="Calibri" w:hAnsi="Calibri" w:cs="Calibri"/>
          <w:b/>
          <w:i w:val="0"/>
          <w:color w:val="000000"/>
          <w:sz w:val="20"/>
          <w:u w:val="none"/>
        </w:rPr>
        <w:t>25.2.-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5"/>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el capital social autorizado, suscrito y pagado asciende a M$ </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6" w:name="Section113"/>
      <w:bookmarkEnd w:id="216"/>
      <w:bookmarkStart w:id="217" w:name="d311c1d47a084ada81dcc1990f440a95"/>
      <w:r>
        <w:rPr>
          <w:rFonts w:ascii="Calibri" w:eastAsia="Calibri" w:hAnsi="Calibri" w:cs="Calibri"/>
          <w:b/>
          <w:i w:val="0"/>
          <w:color w:val="000000"/>
          <w:sz w:val="20"/>
          <w:u w:val="none"/>
        </w:rPr>
        <w:t>25.3.-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el capital de la Sociedad está representado por </w:t>
      </w:r>
      <w:r>
        <w:rPr>
          <w:rFonts w:ascii="Calibri" w:eastAsia="Calibri" w:hAnsi="Calibri" w:cs="Calibri"/>
          <w:b w:val="0"/>
          <w:i w:val="0"/>
          <w:color w:val="000000"/>
          <w:sz w:val="20"/>
          <w:u w:val="none"/>
        </w:rPr>
        <w:t>158.218.430</w:t>
      </w:r>
      <w:r>
        <w:rPr>
          <w:rFonts w:ascii="Calibri" w:eastAsia="Calibri" w:hAnsi="Calibri" w:cs="Calibri"/>
          <w:b w:val="0"/>
          <w:i w:val="0"/>
          <w:color w:val="000000"/>
          <w:sz w:val="20"/>
          <w:u w:val="none"/>
        </w:rPr>
        <w:t xml:space="preserve"> acciones sin valor nominal, de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8" w:name="Section114"/>
      <w:bookmarkEnd w:id="218"/>
      <w:bookmarkStart w:id="219" w:name="dc9c47e9d92142ce85c8dfc947f277fc"/>
      <w:r>
        <w:rPr>
          <w:rFonts w:ascii="Calibri" w:eastAsia="Calibri" w:hAnsi="Calibri" w:cs="Calibri"/>
          <w:b/>
          <w:i w:val="0"/>
          <w:color w:val="000000"/>
          <w:sz w:val="20"/>
          <w:u w:val="none"/>
        </w:rPr>
        <w:t>25.4.-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dividendos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Junta Ordinaria de Accionistas de la Sociedad, celebrada en abril de 2025, se informó acerca de la política de reparto de dividendos aprobada por el Directorio para el ejercicio 2025 consistente en la intención de distribuir no menos del 30% de las utilidades líquidas del ejercicio. Además, se espera proponer un dividendo definitivo a la Junta Ordinaria de Accionistas a celebrarse en el 2026.</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cumplimiento del programa antes señalado quedará condicionado a las utilidades que realmente se obtengan, como, asimismo, a la situación de caja, a los resultados que señalen las proyecciones que periódicamente efectúa la empresa, o a la existencia de determinadas condiciones, según corresponda, todo lo cual será resuelto por el Directorio.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highlight w:val="white"/>
          <w:u w:val="none"/>
        </w:rPr>
      </w:pPr>
      <w:bookmarkStart w:id="220" w:name="Section115"/>
      <w:bookmarkEnd w:id="220"/>
      <w:bookmarkStart w:id="221" w:name="048620afd0a84748865d4466239d9ec3"/>
      <w:r>
        <w:rPr>
          <w:rFonts w:ascii="Calibri" w:eastAsia="Calibri" w:hAnsi="Calibri" w:cs="Calibri"/>
          <w:b/>
          <w:i w:val="0"/>
          <w:color w:val="000000"/>
          <w:sz w:val="20"/>
          <w:highlight w:val="white"/>
          <w:u w:val="none"/>
        </w:rPr>
        <w:t>25.5.-</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Dividendos.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bookmarkEnd w:id="22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Junta Ordinaria de Accionistas de la Sociedad, celebrada en abril de 2024, se aprobó el pago del dividendo definitivo N° 54 de $ 19,20 por acción con cargo a las utilidades del ejercicio 2023, el cual se pagó con fecha 6 de mayo de 2024, por un total de M$ 3.037.794.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junta Ordinaria de Accionista de la Sociedad, celebrada en abril de 2025, se aprobó el pago del dividendo definitivo N ° 55 de $ 27,00 por acción con cargo a las utilidades del ejercicio 2024, el cual se pagó con fecha 8 de mayo de 2025, por un total de M$ 4.271.898.</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 acuerdo a la política de dividendos de la Sociedad al 31 de diciembre de 2025, se provisionó un dividendo equivalente al 30% sobre las utilidades del ejercicio por un monto de M$ 1.824.733.</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2" w:name="Section116"/>
      <w:bookmarkEnd w:id="222"/>
      <w:bookmarkStart w:id="223" w:name="09c7278388aa428597d29c8c4ce3d4ff"/>
      <w:r>
        <w:rPr>
          <w:rFonts w:ascii="Calibri" w:eastAsia="Calibri" w:hAnsi="Calibri" w:cs="Calibri"/>
          <w:b/>
          <w:i w:val="0"/>
          <w:color w:val="000000"/>
          <w:sz w:val="20"/>
          <w:u w:val="none"/>
        </w:rPr>
        <w:t>25.6.-</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25.6.1.-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 resultado integral,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 a M$</w:t>
      </w:r>
      <w:r>
        <w:rPr>
          <w:rFonts w:ascii="Calibri" w:eastAsia="Calibri" w:hAnsi="Calibri" w:cs="Calibri"/>
          <w:b w:val="0"/>
          <w:i w:val="0"/>
          <w:color w:val="000000"/>
          <w:sz w:val="20"/>
          <w:u w:val="none"/>
        </w:rPr>
        <w:t>(279.990)</w:t>
      </w:r>
      <w:r>
        <w:rPr>
          <w:rFonts w:ascii="Calibri" w:eastAsia="Calibri" w:hAnsi="Calibri" w:cs="Calibri"/>
          <w:b w:val="0"/>
          <w:i w:val="0"/>
          <w:color w:val="000000"/>
          <w:sz w:val="20"/>
          <w:u w:val="none"/>
        </w:rPr>
        <w:t xml:space="preserve"> y M$</w:t>
      </w:r>
      <w:r>
        <w:rPr>
          <w:rFonts w:ascii="Calibri" w:eastAsia="Calibri" w:hAnsi="Calibri" w:cs="Calibri"/>
          <w:b w:val="0"/>
          <w:i w:val="0"/>
          <w:color w:val="000000"/>
          <w:sz w:val="20"/>
          <w:u w:val="none"/>
        </w:rPr>
        <w:t>(166.899)</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ambos netos de impuestos diferidos.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25.6.2.-</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Otras reservas.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este rubro se incluyen otras reservas que se reconocen de inversiones en su subsidiaria.</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19"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24" w:name="Section117"/>
      <w:bookmarkEnd w:id="224"/>
      <w:bookmarkStart w:id="225" w:name="c2665725f79a4c82a2dd73f7aecac386"/>
      <w:r>
        <w:rPr>
          <w:rFonts w:ascii="Calibri" w:eastAsia="Calibri" w:hAnsi="Calibri" w:cs="Calibri"/>
          <w:b/>
          <w:i w:val="0"/>
          <w:color w:val="000000"/>
          <w:sz w:val="20"/>
          <w:u w:val="none"/>
        </w:rPr>
        <w:t>25.7.-</w:t>
      </w:r>
      <w:r>
        <w:rPr>
          <w:rFonts w:ascii="Calibri" w:eastAsia="Calibri" w:hAnsi="Calibri" w:cs="Calibri"/>
          <w:b/>
          <w:i w:val="0"/>
          <w:color w:val="000000"/>
          <w:sz w:val="20"/>
          <w:u w:val="none"/>
        </w:rPr>
        <w:tab/>
      </w:r>
      <w:r>
        <w:rPr>
          <w:rFonts w:ascii="Calibri" w:eastAsia="Calibri" w:hAnsi="Calibri" w:cs="Calibri"/>
          <w:b/>
          <w:i w:val="0"/>
          <w:color w:val="000000"/>
          <w:sz w:val="20"/>
          <w:u w:val="none"/>
        </w:rPr>
        <w:t>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5"/>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siguientes son las participaciones no controladoras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28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20"/>
        <w:gridCol w:w="3465"/>
        <w:gridCol w:w="600"/>
        <w:gridCol w:w="1200"/>
        <w:gridCol w:w="1200"/>
        <w:gridCol w:w="1200"/>
        <w:gridCol w:w="1200"/>
        <w:gridCol w:w="1200"/>
        <w:gridCol w:w="1200"/>
      </w:tblGrid>
      <w:tr>
        <w:tblPrEx>
          <w:tblW w:w="12285" w:type="dxa"/>
          <w:tblInd w:w="1417" w:type="dxa"/>
          <w:tblLayout w:type="fixed"/>
        </w:tblPrEx>
        <w:trPr>
          <w:cantSplit/>
          <w:trHeight w:hRule="auto" w:val="0"/>
        </w:trPr>
        <w:tc>
          <w:tcPr>
            <w:tcW w:w="10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34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 la subsidiaria</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de participación en subsidiarias de la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no controladora en patrimonio</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 (pérdida) atribuible 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no controladora en patrimonio</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 (pérdida) atribuible a participación no controladora</w:t>
            </w:r>
          </w:p>
        </w:tc>
      </w:tr>
      <w:tr>
        <w:tblPrEx>
          <w:tblW w:w="12285" w:type="dxa"/>
          <w:tblInd w:w="1417" w:type="dxa"/>
          <w:tblLayout w:type="fixed"/>
        </w:tblPrEx>
        <w:trPr>
          <w:cantSplit/>
          <w:trHeight w:hRule="auto" w:val="0"/>
        </w:trPr>
        <w:tc>
          <w:tcPr>
            <w:tcW w:w="1020" w:type="dxa"/>
            <w:vMerge/>
            <w:tcBorders>
              <w:top w:val="nil"/>
              <w:left w:val="single" w:sz="2" w:space="0" w:color="000000"/>
              <w:bottom w:val="nil"/>
              <w:right w:val="nil"/>
            </w:tcBorders>
          </w:tcPr>
          <w:p>
            <w:pPr>
              <w:keepNext/>
              <w:pageBreakBefore w:val="0"/>
            </w:pPr>
          </w:p>
        </w:tc>
        <w:tc>
          <w:tcPr>
            <w:tcW w:w="346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24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40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285" w:type="dxa"/>
          <w:tblInd w:w="1417" w:type="dxa"/>
          <w:tblLayout w:type="fixed"/>
        </w:tblPrEx>
        <w:trPr>
          <w:cantSplit/>
          <w:trHeight w:hRule="auto" w:val="0"/>
        </w:trPr>
        <w:tc>
          <w:tcPr>
            <w:tcW w:w="1020" w:type="dxa"/>
            <w:vMerge/>
            <w:tcBorders>
              <w:top w:val="nil"/>
              <w:left w:val="single" w:sz="2" w:space="0" w:color="000000"/>
              <w:bottom w:val="single" w:sz="2" w:space="0" w:color="000000"/>
              <w:right w:val="nil"/>
            </w:tcBorders>
          </w:tcPr>
          <w:p>
            <w:pPr>
              <w:keepNext/>
              <w:pageBreakBefore w:val="0"/>
            </w:pPr>
          </w:p>
        </w:tc>
        <w:tc>
          <w:tcPr>
            <w:tcW w:w="346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285" w:type="dxa"/>
          <w:tblInd w:w="1417" w:type="dxa"/>
          <w:tblLayout w:type="fixed"/>
        </w:tblPrEx>
        <w:trPr>
          <w:cantSplit/>
          <w:trHeight w:hRule="auto" w:val="0"/>
        </w:trPr>
        <w:tc>
          <w:tcPr>
            <w:tcW w:w="10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88.221.200-9</w:t>
            </w:r>
          </w:p>
        </w:tc>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Empresa Eléctrica de Magallanes S.A.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33"/>
              </w:tabs>
              <w:spacing w:before="0" w:after="0" w:line="240" w:lineRule="auto"/>
              <w:jc w:val="right"/>
            </w:pPr>
            <w:r>
              <w:rPr>
                <w:rFonts w:ascii="Calibri" w:eastAsia="Calibri" w:hAnsi="Calibri" w:cs="Calibri"/>
                <w:b w:val="0"/>
                <w:i w:val="0"/>
                <w:color w:val="000000"/>
                <w:sz w:val="14"/>
                <w:u w:val="none"/>
              </w:rPr>
              <w:tab/>
              <w:t>44,89179</w:t>
              <w:tab/>
              <w:t>%</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33"/>
              </w:tabs>
              <w:spacing w:before="0" w:after="0" w:line="240" w:lineRule="auto"/>
              <w:jc w:val="right"/>
            </w:pPr>
            <w:r>
              <w:rPr>
                <w:rFonts w:ascii="Calibri" w:eastAsia="Calibri" w:hAnsi="Calibri" w:cs="Calibri"/>
                <w:b w:val="0"/>
                <w:i w:val="0"/>
                <w:color w:val="000000"/>
                <w:sz w:val="14"/>
                <w:u w:val="none"/>
              </w:rPr>
              <w:tab/>
              <w:t>44,89179</w:t>
              <w:tab/>
              <w:t>%</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21.081.944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5.143.745</w:t>
            </w:r>
          </w:p>
        </w:tc>
      </w:tr>
      <w:tr>
        <w:tblPrEx>
          <w:tblW w:w="12285" w:type="dxa"/>
          <w:tblInd w:w="1417" w:type="dxa"/>
          <w:tblLayout w:type="fixed"/>
        </w:tblPrEx>
        <w:trPr>
          <w:cantSplit/>
          <w:trHeight w:hRule="auto" w:val="0"/>
        </w:trPr>
        <w:tc>
          <w:tcPr>
            <w:tcW w:w="7485"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21.081.944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5.143.745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headerReference w:type="default" r:id="rId46"/>
          <w:footerReference w:type="default" r:id="rId47"/>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26" w:name="Section118"/>
      <w:bookmarkEnd w:id="226"/>
      <w:bookmarkStart w:id="227" w:name="e92d815d0b0a42ce88ee9da888a80772"/>
      <w:r>
        <w:rPr>
          <w:rFonts w:ascii="Calibri" w:eastAsia="Calibri" w:hAnsi="Calibri" w:cs="Calibri"/>
          <w:b/>
          <w:i w:val="0"/>
          <w:color w:val="000000"/>
          <w:sz w:val="20"/>
          <w:u w:val="none"/>
        </w:rPr>
        <w:t>25.8.-</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7"/>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75"/>
        <w:gridCol w:w="675"/>
        <w:gridCol w:w="675"/>
        <w:gridCol w:w="675"/>
        <w:gridCol w:w="675"/>
        <w:gridCol w:w="675"/>
        <w:gridCol w:w="675"/>
        <w:gridCol w:w="675"/>
        <w:gridCol w:w="675"/>
        <w:gridCol w:w="675"/>
      </w:tblGrid>
      <w:tr>
        <w:tblPrEx>
          <w:tblW w:w="8550" w:type="dxa"/>
          <w:tblInd w:w="1417" w:type="dxa"/>
          <w:tblLayout w:type="fixed"/>
        </w:tblPrEx>
        <w:trPr>
          <w:cantSplit/>
          <w:trHeight w:hRule="auto" w:val="0"/>
          <w:tblHeader/>
        </w:trPr>
        <w:tc>
          <w:tcPr>
            <w:tcW w:w="247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blHeader/>
        </w:trPr>
        <w:tc>
          <w:tcPr>
            <w:tcW w:w="247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50" w:type="dxa"/>
          <w:tblInd w:w="1417" w:type="dxa"/>
          <w:tblLayout w:type="fixed"/>
        </w:tblPrEx>
        <w:trPr>
          <w:cantSplit/>
          <w:trHeight w:hRule="auto" w:val="0"/>
          <w:tblHeader/>
        </w:trPr>
        <w:tc>
          <w:tcPr>
            <w:tcW w:w="24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exact" w:val="6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754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(203.899)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(203.145)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1.082.434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(292.257)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790.177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2.411.961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(854.925)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1.557.036</w:t>
            </w: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754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(203.899)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(203.145)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1.082.434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(292.257)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790.177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2.411.961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(854.925)</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1.557.036</w:t>
            </w:r>
          </w:p>
        </w:tc>
      </w:tr>
      <w:tr>
        <w:tblPrEx>
          <w:tblW w:w="8550" w:type="dxa"/>
          <w:tblInd w:w="1417" w:type="dxa"/>
          <w:tblLayout w:type="fixed"/>
        </w:tblPrEx>
        <w:trPr>
          <w:cantSplit/>
          <w:trHeight w:hRule="auto" w:val="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(203.145)</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790.177</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1.557.036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75"/>
        <w:gridCol w:w="675"/>
        <w:gridCol w:w="675"/>
        <w:gridCol w:w="675"/>
        <w:gridCol w:w="675"/>
        <w:gridCol w:w="675"/>
        <w:gridCol w:w="675"/>
        <w:gridCol w:w="675"/>
        <w:gridCol w:w="675"/>
        <w:gridCol w:w="675"/>
      </w:tblGrid>
      <w:tr>
        <w:tblPrEx>
          <w:tblW w:w="8550" w:type="dxa"/>
          <w:tblInd w:w="1417" w:type="dxa"/>
          <w:tblLayout w:type="fixed"/>
        </w:tblPrEx>
        <w:trPr>
          <w:cantSplit/>
          <w:trHeight w:hRule="auto" w:val="0"/>
          <w:tblHeader/>
        </w:trPr>
        <w:tc>
          <w:tcPr>
            <w:tcW w:w="247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blHeader/>
        </w:trPr>
        <w:tc>
          <w:tcPr>
            <w:tcW w:w="247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50" w:type="dxa"/>
          <w:tblInd w:w="1417" w:type="dxa"/>
          <w:tblLayout w:type="fixed"/>
        </w:tblPrEx>
        <w:trPr>
          <w:cantSplit/>
          <w:trHeight w:hRule="auto" w:val="0"/>
          <w:tblHeader/>
        </w:trPr>
        <w:tc>
          <w:tcPr>
            <w:tcW w:w="24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2.652.915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2.238.497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4.891.412</w:t>
            </w:r>
          </w:p>
        </w:tc>
      </w:tr>
      <w:tr>
        <w:tblPrEx>
          <w:tblW w:w="8550" w:type="dxa"/>
          <w:tblInd w:w="1417" w:type="dxa"/>
          <w:tblLayout w:type="fixed"/>
        </w:tblPrEx>
        <w:trPr>
          <w:cantSplit/>
          <w:trHeight w:hRule="exact" w:val="6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150.587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(40.659)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109.928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122.643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(33.114)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89.529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423.783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(114.421)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309.362</w:t>
            </w: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150.587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(40.659)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109.928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122.643</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(33.114)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89.529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423.783</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(114.421)</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309.362</w:t>
            </w:r>
          </w:p>
        </w:tc>
      </w:tr>
      <w:tr>
        <w:tblPrEx>
          <w:tblW w:w="8550" w:type="dxa"/>
          <w:tblInd w:w="1417" w:type="dxa"/>
          <w:tblLayout w:type="fixed"/>
        </w:tblPrEx>
        <w:trPr>
          <w:cantSplit/>
          <w:trHeight w:hRule="auto" w:val="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2.762.843</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2.328.026</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5.200.774</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headerReference w:type="default" r:id="rId48"/>
          <w:footerReference w:type="default" r:id="rId49"/>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28" w:name="Section119"/>
      <w:bookmarkEnd w:id="228"/>
      <w:bookmarkStart w:id="229" w:name="42503a2913d34d94b6b7255612bf163b"/>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9"/>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0" w:name="Section120"/>
      <w:bookmarkEnd w:id="230"/>
      <w:bookmarkStart w:id="231" w:name="eda3fc0d45ea4ee095214754cccc78e3"/>
      <w:r>
        <w:rPr>
          <w:rFonts w:ascii="Calibri" w:eastAsia="Calibri" w:hAnsi="Calibri" w:cs="Calibri"/>
          <w:b/>
          <w:i w:val="0"/>
          <w:color w:val="000000"/>
          <w:sz w:val="20"/>
          <w:u w:val="none"/>
        </w:rPr>
        <w:t>26.1.-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de actividades ordinarias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Ventas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28.856.774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energía, peajes y transmisión.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28.856.774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Prestaciones de servicios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1.045.837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y recargos regulados.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306.180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Arriendo de equipos de medida.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91.414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de mantenimiento de equipos a clientes.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Apoyos en postación.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47.017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de construcción de obras e instalaciones eléctricas.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600.869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29.902.611</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 clientes con los cuales registre ventas que representen el 10% o más de sus ingresos ordinarios 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32" w:name="Section121"/>
      <w:bookmarkEnd w:id="232"/>
      <w:bookmarkStart w:id="233" w:name="d819829818564b11bcb3d7677d7239b7"/>
      <w:r>
        <w:rPr>
          <w:rFonts w:ascii="Calibri" w:eastAsia="Calibri" w:hAnsi="Calibri" w:cs="Calibri"/>
          <w:b/>
          <w:i w:val="0"/>
          <w:color w:val="000000"/>
          <w:sz w:val="20"/>
          <w:u w:val="none"/>
        </w:rPr>
        <w:t>26.2.-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ingresos, por función.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ingresos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Arriendo de oficinas a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41.337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de operación.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4.297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45.634</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Los otros ingresos de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corresponde a indemnizaciones por daños percibidas de terceros.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34" w:name="Section122"/>
      <w:bookmarkEnd w:id="234"/>
      <w:bookmarkStart w:id="235" w:name="27261537fab74cf0bff69cc964857127"/>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235"/>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27.1, 27.2, 27.3 y 27.4.</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09" w:type="dxa"/>
          <w:tblLayout w:type="fixed"/>
        </w:tblPrEx>
        <w:trPr>
          <w:cantSplit/>
          <w:trHeight w:hRule="auto" w:val="0"/>
        </w:trPr>
        <w:tc>
          <w:tcPr>
            <w:tcW w:w="6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por naturaleza del 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09"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09"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09"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18.896.629</w:t>
            </w:r>
          </w:p>
        </w:tc>
      </w:tr>
      <w:tr>
        <w:tblPrEx>
          <w:tblW w:w="9240" w:type="dxa"/>
          <w:tblInd w:w="709"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3.752.998</w:t>
            </w:r>
          </w:p>
        </w:tc>
      </w:tr>
      <w:tr>
        <w:tblPrEx>
          <w:tblW w:w="9240" w:type="dxa"/>
          <w:tblInd w:w="709"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40.736</w:t>
            </w:r>
          </w:p>
        </w:tc>
      </w:tr>
      <w:tr>
        <w:tblPrEx>
          <w:tblW w:w="9240" w:type="dxa"/>
          <w:tblInd w:w="709"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22.690.363</w:t>
            </w:r>
          </w:p>
        </w:tc>
      </w:tr>
    </w:tbl>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6" w:name="Section123"/>
      <w:bookmarkEnd w:id="236"/>
      <w:bookmarkStart w:id="237" w:name="e503fb99043f4762a83f3e2cbbb989e8"/>
      <w:r>
        <w:rPr>
          <w:rFonts w:ascii="Calibri" w:eastAsia="Calibri" w:hAnsi="Calibri" w:cs="Calibri"/>
          <w:b/>
          <w:i w:val="0"/>
          <w:color w:val="000000"/>
          <w:sz w:val="20"/>
          <w:u w:val="none"/>
        </w:rPr>
        <w:t>27.1.-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Apertura de gastos por naturaleza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 de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3.180.858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 de gas.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8.004.929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2.464.635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Gastos de operación y mantenimiento.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3.303.447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2.597.466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Provisión de incobrables.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40.736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3.063.449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34.843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22.690.363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8" w:name="Section124"/>
      <w:bookmarkEnd w:id="238"/>
      <w:bookmarkStart w:id="239" w:name="0e50e1a8d85c45a4af0281aa790ab1bc"/>
      <w:r>
        <w:rPr>
          <w:rFonts w:ascii="Calibri" w:eastAsia="Calibri" w:hAnsi="Calibri" w:cs="Calibri"/>
          <w:b/>
          <w:i w:val="0"/>
          <w:color w:val="000000"/>
          <w:sz w:val="20"/>
          <w:u w:val="none"/>
        </w:rPr>
        <w:t>27.2.-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de personal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Sueldos y salarios.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1.038.768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2.147.267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a corto plazo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50.408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186.100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por terminación.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33.680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131.268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1.122.856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2.464.635</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40" w:name="Section125"/>
      <w:bookmarkEnd w:id="240"/>
      <w:bookmarkStart w:id="241" w:name="983831968f4e4380a4bab2297d98d04b"/>
      <w:r>
        <w:rPr>
          <w:rFonts w:ascii="Calibri" w:eastAsia="Calibri" w:hAnsi="Calibri" w:cs="Calibri"/>
          <w:b/>
          <w:i w:val="0"/>
          <w:color w:val="000000"/>
          <w:sz w:val="20"/>
          <w:u w:val="none"/>
        </w:rPr>
        <w:t>27.3.-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4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Depreciación y retiros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3.004.126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59.323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22.889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depreciación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3.086.338</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Amortización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34.843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amortización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34.843</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3.121.181</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42" w:name="Section126"/>
      <w:bookmarkEnd w:id="242"/>
      <w:bookmarkStart w:id="243" w:name="64d29adb86e64f51bb82c9d6b5896631"/>
      <w:r>
        <w:rPr>
          <w:rFonts w:ascii="Calibri" w:eastAsia="Calibri" w:hAnsi="Calibri" w:cs="Calibri"/>
          <w:b/>
          <w:i w:val="0"/>
          <w:color w:val="000000"/>
          <w:sz w:val="20"/>
          <w:u w:val="none"/>
        </w:rPr>
        <w:t>27.4.-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43"/>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Castigos o retiros de propiedades, planta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(22.889)</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chatarra.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Juicios o arbitrajes.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Remuneraciones del directorio.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(73.360)</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Indemnizaciones percibidas.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(66.349)</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Cambios en el valor razonable en propiedad de inversión.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Aportes de terceros para financiar obras propias.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(162.598)</w:t>
            </w:r>
          </w:p>
        </w:tc>
      </w:tr>
    </w:tbl>
    <w:p>
      <w:pPr>
        <w:keepNext/>
        <w:keepLines/>
        <w:pageBreakBefore w:val="0"/>
        <w:widowControl w:val="0"/>
        <w:numPr>
          <w:ilvl w:val="0"/>
          <w:numId w:val="0"/>
        </w:numPr>
        <w:tabs>
          <w:tab w:val="left" w:pos="2260"/>
        </w:tabs>
        <w:spacing w:before="0" w:after="0" w:line="288" w:lineRule="auto"/>
        <w:ind w:left="709" w:right="0" w:hanging="709"/>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226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El ítem otras ganancias (perdidas) del 31 de diciembre de 2025 corresponden principalmente a pagos de decreto de operaciones del sistema mediano sobre indisponibilidad por M$ 234.525 y M$ 5.830 a otros desembolsos. El ítem otras (perdidas) ganancias del 31 de diciembre de 2024 corresponden principalmente a pagos de decreto de operaciones del sistema mediano sobre indisponibilidad M$ 154.934 y M$ 15.635 a otros desembolsos.</w:t>
      </w:r>
    </w:p>
    <w:p>
      <w:pPr>
        <w:keepNext/>
        <w:keepLines/>
        <w:pageBreakBefore w:val="0"/>
        <w:widowControl w:val="0"/>
        <w:numPr>
          <w:ilvl w:val="0"/>
          <w:numId w:val="0"/>
        </w:numPr>
        <w:tabs>
          <w:tab w:val="left" w:pos="2260"/>
        </w:tabs>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keepLines/>
        <w:pageBreakBefore w:val="0"/>
        <w:widowControl w:val="0"/>
        <w:numPr>
          <w:ilvl w:val="0"/>
          <w:numId w:val="0"/>
        </w:numPr>
        <w:tabs>
          <w:tab w:val="left" w:pos="226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El ítem Cambios en el valor razonable en propiedades de inversión al 31 de diciembre de 2025 corresponde principalmente a la revaluación de edificios y terrenos que fueron transferidos desde Propiedades plata y equipo por $ 1.289.641.</w:t>
      </w:r>
    </w:p>
    <w:p>
      <w:pPr>
        <w:keepNext/>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44" w:name="Section127"/>
      <w:bookmarkEnd w:id="244"/>
      <w:bookmarkStart w:id="245" w:name="53e53d750fd5417e81d915d38d8aab4a"/>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5"/>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630"/>
        <w:gridCol w:w="1305"/>
        <w:gridCol w:w="1305"/>
      </w:tblGrid>
      <w:tr>
        <w:tblPrEx>
          <w:tblW w:w="9240" w:type="dxa"/>
          <w:tblInd w:w="720" w:type="dxa"/>
          <w:tblLayout w:type="fixed"/>
        </w:tblPrEx>
        <w:trPr>
          <w:cantSplit/>
          <w:trHeight w:hRule="auto" w:val="0"/>
        </w:trPr>
        <w:tc>
          <w:tcPr>
            <w:tcW w:w="66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3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3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20" w:type="dxa"/>
          <w:tblLayout w:type="fixed"/>
        </w:tblPrEx>
        <w:trPr>
          <w:cantSplit/>
          <w:trHeight w:hRule="auto" w:val="0"/>
        </w:trPr>
        <w:tc>
          <w:tcPr>
            <w:tcW w:w="6630" w:type="dxa"/>
            <w:vMerge/>
            <w:tcBorders>
              <w:top w:val="nil"/>
              <w:left w:val="single" w:sz="2" w:space="0" w:color="000000"/>
              <w:bottom w:val="nil"/>
              <w:right w:val="nil"/>
            </w:tcBorders>
          </w:tcPr>
          <w:p>
            <w:pPr>
              <w:keepNext/>
              <w:pageBreakBefore w:val="0"/>
            </w:pPr>
          </w:p>
        </w:tc>
        <w:tc>
          <w:tcPr>
            <w:tcW w:w="13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3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20" w:type="dxa"/>
          <w:tblLayout w:type="fixed"/>
        </w:tblPrEx>
        <w:trPr>
          <w:cantSplit/>
          <w:trHeight w:hRule="auto" w:val="0"/>
        </w:trPr>
        <w:tc>
          <w:tcPr>
            <w:tcW w:w="6630" w:type="dxa"/>
            <w:vMerge/>
            <w:tcBorders>
              <w:top w:val="nil"/>
              <w:left w:val="single" w:sz="2" w:space="0" w:color="000000"/>
              <w:bottom w:val="single" w:sz="2" w:space="0" w:color="000000"/>
              <w:right w:val="nil"/>
            </w:tcBorders>
          </w:tcPr>
          <w:p>
            <w:pPr>
              <w:keepNext/>
              <w:pageBreakBefore w:val="0"/>
            </w:pPr>
          </w:p>
        </w:tc>
        <w:tc>
          <w:tcPr>
            <w:tcW w:w="13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3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exact" w:val="60"/>
        </w:trPr>
        <w:tc>
          <w:tcPr>
            <w:tcW w:w="6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3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comerciales.</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32.377</w:t>
            </w: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40.796</w:t>
            </w: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financieros.  (*)</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134.356</w:t>
            </w: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207.529</w:t>
            </w:r>
          </w:p>
        </w:tc>
      </w:tr>
      <w:tr>
        <w:tblPrEx>
          <w:tblW w:w="9240" w:type="dxa"/>
          <w:tblInd w:w="720" w:type="dxa"/>
          <w:tblLayout w:type="fixed"/>
        </w:tblPrEx>
        <w:trPr>
          <w:cantSplit/>
          <w:trHeight w:hRule="auto" w:val="0"/>
        </w:trPr>
        <w:tc>
          <w:tcPr>
            <w:tcW w:w="6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3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préstamos bancarios.</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(1.033.733)</w:t>
            </w: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arrendamientos financieros.</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(41.366)</w:t>
            </w: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tesorería centralizada.</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(20.062)</w:t>
            </w: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(90.167)</w:t>
            </w: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(1.185.328)</w:t>
            </w:r>
          </w:p>
        </w:tc>
      </w:tr>
      <w:tr>
        <w:tblPrEx>
          <w:tblW w:w="9240" w:type="dxa"/>
          <w:tblInd w:w="720" w:type="dxa"/>
          <w:tblLayout w:type="fixed"/>
        </w:tblPrEx>
        <w:trPr>
          <w:cantSplit/>
          <w:trHeight w:hRule="auto" w:val="0"/>
        </w:trPr>
        <w:tc>
          <w:tcPr>
            <w:tcW w:w="6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ganancias (pérdidas) de cambio en moneda extranjera (Nota 28.1)</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460.449</w:t>
            </w:r>
          </w:p>
        </w:tc>
      </w:tr>
      <w:tr>
        <w:tblPrEx>
          <w:tblW w:w="9240" w:type="dxa"/>
          <w:tblInd w:w="720" w:type="dxa"/>
          <w:tblLayout w:type="fixed"/>
        </w:tblPrEx>
        <w:trPr>
          <w:cantSplit/>
          <w:trHeight w:hRule="auto" w:val="0"/>
        </w:trPr>
        <w:tc>
          <w:tcPr>
            <w:tcW w:w="6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resultados por unidades de reajuste (Nota 28.2) </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(7.476)</w:t>
            </w:r>
          </w:p>
        </w:tc>
      </w:tr>
      <w:tr>
        <w:tblPrEx>
          <w:tblW w:w="9240" w:type="dxa"/>
          <w:tblInd w:w="720" w:type="dxa"/>
          <w:tblLayout w:type="fixed"/>
        </w:tblPrEx>
        <w:trPr>
          <w:cantSplit/>
          <w:trHeight w:hRule="auto" w:val="0"/>
        </w:trPr>
        <w:tc>
          <w:tcPr>
            <w:tcW w:w="6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(524.826)</w:t>
            </w:r>
          </w:p>
        </w:tc>
      </w:tr>
    </w:tbl>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 El ítem otros ingresos financieros 31 de diciembre de 2025 está compuesto por intereses de convenios a largo plazo por M$ 18.183, intereses del mecanismo de estabilización de precios por M$ 197.092 y M$ 503.182 por intereses del valor agregado de distribución (VAD). Al 31 de diciembre de 2024 está compuesto por intereses de convenios a largo plazo por MS 51.853, intereses del mecanismo de estabilización de precios por M$ 1.217.374 y M$ 494.064 por intereses del valor agregado de distribución (VAD).</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El ítem otros gastos de los costos financieros al 31 de diciembre de 2025 está compuesto por costos de intereses de beneficios al personal en base a NIC 19 por M$ 149.955, costo interés de reliquidación de M$ 11.460 y por otros gastos M$ 14.034. Al 31 de diciembre de 2024 dicho ítem se compone por costos de intereses de beneficios al personal en base a NIC 19 por M$ 161.376, costo interés de reliquidación de M$ 31.141 y por otros gastos por M$ 29.117.</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46" w:name="Section128"/>
      <w:bookmarkEnd w:id="246"/>
      <w:bookmarkStart w:id="247" w:name="239faa276a1f44ed8c6c45db7f47d2f1"/>
      <w:r>
        <w:rPr>
          <w:rFonts w:ascii="Calibri" w:eastAsia="Calibri" w:hAnsi="Calibri" w:cs="Calibri"/>
          <w:b/>
          <w:i w:val="0"/>
          <w:color w:val="000000"/>
          <w:sz w:val="20"/>
          <w:u w:val="none"/>
        </w:rPr>
        <w:t>28.1.-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Ganancias (pérdidas) de cambio en moneda extranjera.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47"/>
    </w:p>
    <w:tbl>
      <w:tblPr>
        <w:tblW w:w="924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31" w:type="dxa"/>
          <w:tblLayout w:type="fixed"/>
        </w:tblPrEx>
        <w:trPr>
          <w:cantSplit/>
          <w:trHeight w:hRule="auto" w:val="0"/>
        </w:trPr>
        <w:tc>
          <w:tcPr>
            <w:tcW w:w="6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31"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31"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31"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Diferencias de cambio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Efectivo y equivalentes al efectivo.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83.529</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(1.125.001)</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diferencias de cambio por activos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(1.041.472)</w:t>
            </w:r>
          </w:p>
        </w:tc>
      </w:tr>
      <w:tr>
        <w:tblPrEx>
          <w:tblW w:w="9240" w:type="dxa"/>
          <w:tblInd w:w="731"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Diferencias de cambio por pasivos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1.168.399</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333.522</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diferencias de cambio por pasivos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1.501.921</w:t>
            </w:r>
          </w:p>
        </w:tc>
      </w:tr>
      <w:tr>
        <w:tblPrEx>
          <w:tblW w:w="9240" w:type="dxa"/>
          <w:tblInd w:w="731"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460.449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 Las ganancias (pérdidas) de cambio en moneda extranjera del ítem Deudores comerciales y otras cuentas por cobrar y cuentas por pagar comerciales y otras cuentas por pagar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2024 corresponde a la actualización del mecanismo de estabilización de tarifas.</w:t>
      </w:r>
    </w:p>
    <w:p>
      <w:pPr>
        <w:keepNext/>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48" w:name="Section129"/>
      <w:bookmarkEnd w:id="248"/>
      <w:bookmarkStart w:id="249" w:name="1d9c547b68364f11be4a27bb518e0975"/>
      <w:r>
        <w:rPr>
          <w:rFonts w:ascii="Calibri" w:eastAsia="Calibri" w:hAnsi="Calibri" w:cs="Calibri"/>
          <w:b/>
          <w:i w:val="0"/>
          <w:color w:val="000000"/>
          <w:sz w:val="20"/>
          <w:u w:val="none"/>
        </w:rPr>
        <w:t>28.2.-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49"/>
    </w:p>
    <w:tbl>
      <w:tblPr>
        <w:tblW w:w="924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31" w:type="dxa"/>
          <w:tblLayout w:type="fixed"/>
        </w:tblPrEx>
        <w:trPr>
          <w:cantSplit/>
          <w:trHeight w:hRule="auto" w:val="0"/>
        </w:trPr>
        <w:tc>
          <w:tcPr>
            <w:tcW w:w="6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31"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31"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31"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Unidades de reajuste por activos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Deudores comerciales y otras cuentas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12.187</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Activos por impuestos.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1.165</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unidades de reajuste por activos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13.352</w:t>
            </w:r>
          </w:p>
        </w:tc>
      </w:tr>
      <w:tr>
        <w:tblPrEx>
          <w:tblW w:w="9240" w:type="dxa"/>
          <w:tblInd w:w="731"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Unidades de reajuste por pasivos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(21.602)</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774</w:t>
            </w: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unidades de reajuste por pasivos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(20.828)</w:t>
            </w:r>
          </w:p>
        </w:tc>
      </w:tr>
      <w:tr>
        <w:tblPrEx>
          <w:tblW w:w="9240" w:type="dxa"/>
          <w:tblInd w:w="731"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31"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(7.476)</w:t>
            </w:r>
          </w:p>
        </w:tc>
      </w:tr>
    </w:tbl>
    <w:p>
      <w:pPr>
        <w:pStyle w:val="Normal-wk"/>
        <w:keepNext w:val="0"/>
        <w:keepLines/>
        <w:pageBreakBefore w:val="0"/>
        <w:widowControl w:val="0"/>
        <w:numPr>
          <w:ilvl w:val="0"/>
          <w:numId w:val="0"/>
        </w:numPr>
        <w:spacing w:before="0" w:after="0" w:line="288" w:lineRule="auto"/>
        <w:ind w:left="1418"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1418" w:right="0" w:hanging="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50" w:name="Section130"/>
      <w:bookmarkEnd w:id="250"/>
      <w:bookmarkStart w:id="251" w:name="b809eac38d5d44e48dd228ebb9ee9e84"/>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1"/>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52" w:name="Section131"/>
      <w:bookmarkEnd w:id="252"/>
      <w:bookmarkStart w:id="253" w:name="a98821b087ef4e35a29733566bd80a89"/>
      <w:r>
        <w:rPr>
          <w:rFonts w:ascii="Calibri" w:eastAsia="Calibri" w:hAnsi="Calibri" w:cs="Calibri"/>
          <w:b/>
          <w:i w:val="0"/>
          <w:color w:val="000000"/>
          <w:sz w:val="20"/>
          <w:u w:val="none"/>
        </w:rPr>
        <w:t>29.1.-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originó un </w:t>
      </w:r>
      <w:r>
        <w:rPr>
          <w:rFonts w:ascii="Calibri" w:eastAsia="Calibri" w:hAnsi="Calibri" w:cs="Calibri"/>
          <w:b w:val="0"/>
          <w:i w:val="0"/>
          <w:color w:val="000000"/>
          <w:sz w:val="20"/>
          <w:u w:val="none"/>
        </w:rPr>
        <w:t>cargo</w:t>
      </w:r>
      <w:r>
        <w:rPr>
          <w:rFonts w:ascii="Calibri" w:eastAsia="Calibri" w:hAnsi="Calibri" w:cs="Calibri"/>
          <w:b w:val="0"/>
          <w:i w:val="0"/>
          <w:color w:val="000000"/>
          <w:sz w:val="20"/>
          <w:u w:val="none"/>
        </w:rPr>
        <w:t xml:space="preserve"> a resultados por impuesto a las ganancias ascendente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1.679.185</w:t>
      </w:r>
      <w:r>
        <w:rPr>
          <w:rFonts w:ascii="Calibri" w:eastAsia="Calibri" w:hAnsi="Calibri" w:cs="Calibri"/>
          <w:b w:val="0"/>
          <w:i w:val="0"/>
          <w:color w:val="000000"/>
          <w:sz w:val="20"/>
          <w:u w:val="none"/>
        </w:rPr>
        <w:t>,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51" w:type="dxa"/>
          <w:tblLayout w:type="fixed"/>
        </w:tblPrEx>
        <w:trPr>
          <w:cantSplit/>
          <w:trHeight w:hRule="exact" w:val="255"/>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51" w:type="dxa"/>
          <w:tblLayout w:type="fixed"/>
        </w:tblPrEx>
        <w:trPr>
          <w:cantSplit/>
          <w:trHeight w:hRule="exact" w:val="255"/>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51" w:type="dxa"/>
          <w:tblLayout w:type="fixed"/>
        </w:tblPrEx>
        <w:trPr>
          <w:cantSplit/>
          <w:trHeight w:hRule="exact" w:val="255"/>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51"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Impuestos corrientes a las ganancias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 ingreso por impuestos corrientes.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(859.758)</w:t>
            </w: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Ajustes al impuesto corriente de períodos anteriores.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gasto por impuestos corrientes a las ganancias, neto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(859.758)</w:t>
            </w:r>
          </w:p>
        </w:tc>
      </w:tr>
      <w:tr>
        <w:tblPrEx>
          <w:tblW w:w="8520" w:type="dxa"/>
          <w:tblInd w:w="1451"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Impuestos diferidos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exact" w:val="40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 ingreso por impuestos diferidos relacionado con el nacimiento y reversión de diferencias temporarias.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(865.394)</w:t>
            </w: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Ajustes por impuestos diferidos de periodos anteriores.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45.967</w:t>
            </w: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(gasto) ingreso por impuestos diferidos , neto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(819.427)</w:t>
            </w:r>
          </w:p>
        </w:tc>
      </w:tr>
      <w:tr>
        <w:tblPrEx>
          <w:tblW w:w="8520" w:type="dxa"/>
          <w:tblInd w:w="1451"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cargo</w:t>
            </w: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51"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(1.679.185)</w:t>
            </w:r>
          </w:p>
        </w:tc>
      </w:tr>
    </w:tbl>
    <w:p>
      <w:pPr>
        <w:keepNext w:val="0"/>
        <w:keepLines/>
        <w:pageBreakBefore w:val="0"/>
        <w:widowControl w:val="0"/>
        <w:numPr>
          <w:ilvl w:val="0"/>
          <w:numId w:val="0"/>
        </w:numPr>
        <w:spacing w:before="0" w:after="0" w:line="288" w:lineRule="auto"/>
        <w:ind w:left="2160"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60" w:right="0" w:hanging="709"/>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4" w:name="Section132"/>
      <w:bookmarkEnd w:id="254"/>
      <w:bookmarkStart w:id="255" w:name="78dff72996a54b08a8b81d91b8a8fec8"/>
      <w:r>
        <w:rPr>
          <w:rFonts w:ascii="Calibri" w:eastAsia="Calibri" w:hAnsi="Calibri" w:cs="Calibri"/>
          <w:b/>
          <w:i w:val="0"/>
          <w:color w:val="000000"/>
          <w:sz w:val="20"/>
          <w:u w:val="none"/>
        </w:rPr>
        <w:t>29.2.-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Conciliación del gasto por impuestos utilizando la tasa legal con el gasto por impuestos utilizando la tasa efectiva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contable</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6.570.597</w:t>
            </w: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Total de (gasto) ingreso por impuestos a la tasa impositiva aplicable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16"/>
              </w:tabs>
              <w:spacing w:before="0" w:after="0" w:line="240" w:lineRule="auto"/>
              <w:jc w:val="right"/>
            </w:pPr>
            <w:r>
              <w:rPr>
                <w:rFonts w:ascii="Calibri" w:eastAsia="Calibri" w:hAnsi="Calibri" w:cs="Calibri"/>
                <w:b/>
                <w:i w:val="0"/>
                <w:color w:val="FFFFFF"/>
                <w:sz w:val="12"/>
                <w:u w:val="none"/>
              </w:rPr>
              <w:tab/>
              <w:t>27,0</w:t>
              <w:tab/>
              <w:t>%</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(1.774.061)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53"/>
              </w:tabs>
              <w:spacing w:before="0" w:after="0" w:line="240" w:lineRule="auto"/>
              <w:jc w:val="right"/>
            </w:pPr>
            <w:r>
              <w:rPr>
                <w:rFonts w:ascii="Calibri" w:eastAsia="Calibri" w:hAnsi="Calibri" w:cs="Calibri"/>
                <w:b/>
                <w:i w:val="0"/>
                <w:color w:val="FFFFFF"/>
                <w:sz w:val="12"/>
                <w:u w:val="none"/>
              </w:rPr>
              <w:tab/>
              <w:t>27,0</w:t>
              <w:tab/>
              <w:t>%</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Efecto fiscal de ingresos de actividades ordinarias exentos de tributación.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101"/>
              </w:tabs>
              <w:spacing w:before="0" w:after="0" w:line="240" w:lineRule="auto"/>
              <w:jc w:val="right"/>
            </w:pPr>
            <w:r>
              <w:rPr>
                <w:rFonts w:ascii="Calibri" w:eastAsia="Calibri" w:hAnsi="Calibri" w:cs="Calibri"/>
                <w:b w:val="0"/>
                <w:i w:val="0"/>
                <w:color w:val="000000"/>
                <w:sz w:val="12"/>
                <w:u w:val="none"/>
              </w:rPr>
              <w:tab/>
              <w:t>–</w:t>
              <w:tab/>
              <w:t>%</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Efecto fiscal de gastos no deducibles para la determinación de la ganancia (pérdida) tributable.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87.418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29"/>
              </w:tabs>
              <w:spacing w:before="0" w:after="0" w:line="240" w:lineRule="auto"/>
              <w:jc w:val="right"/>
            </w:pPr>
            <w:r>
              <w:rPr>
                <w:rFonts w:ascii="Calibri" w:eastAsia="Calibri" w:hAnsi="Calibri" w:cs="Calibri"/>
                <w:b w:val="0"/>
                <w:i w:val="0"/>
                <w:color w:val="000000"/>
                <w:sz w:val="12"/>
                <w:u w:val="none"/>
              </w:rPr>
              <w:tab/>
              <w:t>(1,3)</w:t>
              <w:tab/>
              <w:t>%</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Efecto fiscal de pérdidas fiscales.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(39.870)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193"/>
              </w:tabs>
              <w:spacing w:before="0" w:after="0" w:line="240" w:lineRule="auto"/>
              <w:jc w:val="right"/>
            </w:pPr>
            <w:r>
              <w:rPr>
                <w:rFonts w:ascii="Calibri" w:eastAsia="Calibri" w:hAnsi="Calibri" w:cs="Calibri"/>
                <w:b w:val="0"/>
                <w:i w:val="0"/>
                <w:color w:val="000000"/>
                <w:sz w:val="12"/>
                <w:u w:val="none"/>
              </w:rPr>
              <w:tab/>
              <w:t>0,6</w:t>
              <w:tab/>
              <w:t>%</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efectos fiscales por conciliación entre la ganancia contable y gasto por impuestos (ingreso).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47.291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29"/>
              </w:tabs>
              <w:spacing w:before="0" w:after="0" w:line="240" w:lineRule="auto"/>
              <w:jc w:val="right"/>
            </w:pPr>
            <w:r>
              <w:rPr>
                <w:rFonts w:ascii="Calibri" w:eastAsia="Calibri" w:hAnsi="Calibri" w:cs="Calibri"/>
                <w:b w:val="0"/>
                <w:i w:val="0"/>
                <w:color w:val="000000"/>
                <w:sz w:val="12"/>
                <w:u w:val="none"/>
              </w:rPr>
              <w:tab/>
              <w:t>(0,7)</w:t>
              <w:tab/>
              <w:t>%</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Total ajustes al gasto por impuestos utilizando la tasa legal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#DIV/0!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94.876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30"/>
              </w:tabs>
              <w:spacing w:before="0" w:after="0" w:line="240" w:lineRule="auto"/>
              <w:jc w:val="right"/>
            </w:pPr>
            <w:r>
              <w:rPr>
                <w:rFonts w:ascii="Calibri" w:eastAsia="Calibri" w:hAnsi="Calibri" w:cs="Calibri"/>
                <w:b/>
                <w:i w:val="0"/>
                <w:color w:val="FFFFFF"/>
                <w:sz w:val="12"/>
                <w:u w:val="none"/>
              </w:rPr>
              <w:tab/>
              <w:t>(0,1)</w:t>
              <w:tab/>
              <w:t>%</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(Gasto) ingreso por impuestos a las ganancias, operaciones continuadas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2"/>
                <w:u w:val="none"/>
              </w:rPr>
              <w:t>#DIV/0!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(1.679.185)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253"/>
              </w:tabs>
              <w:spacing w:before="0" w:after="0" w:line="240" w:lineRule="auto"/>
              <w:jc w:val="right"/>
            </w:pPr>
            <w:r>
              <w:rPr>
                <w:rFonts w:ascii="Calibri" w:eastAsia="Calibri" w:hAnsi="Calibri" w:cs="Calibri"/>
                <w:b/>
                <w:i w:val="0"/>
                <w:color w:val="FFFFFF"/>
                <w:sz w:val="12"/>
                <w:u w:val="none"/>
              </w:rPr>
              <w:tab/>
              <w:t>26,9</w:t>
              <w:tab/>
              <w:t>%</w:t>
            </w:r>
          </w:p>
        </w:tc>
      </w:tr>
    </w:tbl>
    <w:p>
      <w:pPr>
        <w:keepNext w:val="0"/>
        <w:keepLines/>
        <w:pageBreakBefore w:val="0"/>
        <w:widowControl w:val="0"/>
        <w:numPr>
          <w:ilvl w:val="0"/>
          <w:numId w:val="0"/>
        </w:numPr>
        <w:spacing w:before="0" w:after="0" w:line="288" w:lineRule="auto"/>
        <w:ind w:left="1440"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detalle del efecto fiscal de gastos no deducibles para la determinación de la ganancia (pérdida) tributable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Detalle Efecto fiscal de gastos no deducibles para la determinación de la ganancia (pérdida) tributable.</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Correcciones monetarias. (Capital propio tributario - Inversiones)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6.379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50.985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Multas fiscales.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diferencias permanentes.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(6.755)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(3.276)</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47.709</w:t>
            </w:r>
          </w:p>
        </w:tc>
      </w:tr>
    </w:tbl>
    <w:p>
      <w:pPr>
        <w:keepNext w:val="0"/>
        <w:keepLines/>
        <w:pageBreakBefore w:val="0"/>
        <w:widowControl w:val="0"/>
        <w:numPr>
          <w:ilvl w:val="0"/>
          <w:numId w:val="0"/>
        </w:numPr>
        <w:spacing w:before="0" w:after="0" w:line="288" w:lineRule="auto"/>
        <w:ind w:left="1416" w:right="0" w:firstLine="2"/>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2"/>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56" w:name="Section133"/>
      <w:bookmarkEnd w:id="256"/>
      <w:bookmarkStart w:id="257" w:name="3279a609aa164a1fa42b37ab2fb1e645"/>
      <w:r>
        <w:rPr>
          <w:rFonts w:ascii="Calibri" w:eastAsia="Calibri" w:hAnsi="Calibri" w:cs="Calibri"/>
          <w:b/>
          <w:i w:val="0"/>
          <w:color w:val="000000"/>
          <w:sz w:val="20"/>
          <w:u w:val="none"/>
        </w:rPr>
        <w:t>29.3.-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el resultado integral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7"/>
    </w:p>
    <w:tbl>
      <w:tblPr>
        <w:tblW w:w="924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80"/>
        <w:gridCol w:w="960"/>
        <w:gridCol w:w="960"/>
        <w:gridCol w:w="960"/>
        <w:gridCol w:w="960"/>
        <w:gridCol w:w="960"/>
        <w:gridCol w:w="960"/>
      </w:tblGrid>
      <w:tr>
        <w:tblPrEx>
          <w:tblW w:w="9240" w:type="dxa"/>
          <w:tblInd w:w="731" w:type="dxa"/>
          <w:tblLayout w:type="fixed"/>
        </w:tblPrEx>
        <w:trPr>
          <w:cantSplit/>
          <w:trHeight w:hRule="auto" w:val="0"/>
        </w:trPr>
        <w:tc>
          <w:tcPr>
            <w:tcW w:w="34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Importes antes de impuestos</w:t>
            </w:r>
          </w:p>
        </w:tc>
        <w:tc>
          <w:tcPr>
            <w:tcW w:w="2880"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2880"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9240" w:type="dxa"/>
          <w:tblInd w:w="731" w:type="dxa"/>
          <w:tblLayout w:type="fixed"/>
        </w:tblPrEx>
        <w:trPr>
          <w:cantSplit/>
          <w:trHeight w:hRule="auto" w:val="0"/>
        </w:trPr>
        <w:tc>
          <w:tcPr>
            <w:tcW w:w="3480" w:type="dxa"/>
            <w:vMerge/>
            <w:tcBorders>
              <w:top w:val="nil"/>
              <w:left w:val="single" w:sz="2" w:space="0" w:color="000000"/>
              <w:bottom w:val="nil"/>
              <w:right w:val="single" w:sz="4" w:space="0" w:color="FFFFFF"/>
            </w:tcBorders>
          </w:tcPr>
          <w:p>
            <w:pPr>
              <w:keepNext/>
              <w:pageBreakBefore w:val="0"/>
            </w:pPr>
          </w:p>
        </w:tc>
        <w:tc>
          <w:tcPr>
            <w:tcW w:w="2880"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2880"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9240" w:type="dxa"/>
          <w:tblInd w:w="731" w:type="dxa"/>
          <w:tblLayout w:type="fixed"/>
        </w:tblPrEx>
        <w:trPr>
          <w:cantSplit/>
          <w:trHeight w:hRule="auto" w:val="0"/>
        </w:trPr>
        <w:tc>
          <w:tcPr>
            <w:tcW w:w="3480" w:type="dxa"/>
            <w:vMerge/>
            <w:tcBorders>
              <w:top w:val="nil"/>
              <w:left w:val="single" w:sz="2" w:space="0" w:color="000000"/>
              <w:bottom w:val="nil"/>
              <w:right w:val="nil"/>
            </w:tcBorders>
          </w:tcPr>
          <w:p>
            <w:pPr>
              <w:keepNext/>
              <w:pageBreakBefore w:val="0"/>
            </w:pPr>
          </w:p>
        </w:tc>
        <w:tc>
          <w:tcPr>
            <w:tcW w:w="96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antes de impuestos</w:t>
            </w:r>
          </w:p>
        </w:tc>
        <w:tc>
          <w:tcPr>
            <w:tcW w:w="96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Gasto (ingreso) por impuesto a las ganancias</w:t>
            </w:r>
          </w:p>
        </w:tc>
        <w:tc>
          <w:tcPr>
            <w:tcW w:w="96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después de impuestos</w:t>
            </w:r>
          </w:p>
        </w:tc>
        <w:tc>
          <w:tcPr>
            <w:tcW w:w="96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antes de impuestos</w:t>
            </w:r>
          </w:p>
        </w:tc>
        <w:tc>
          <w:tcPr>
            <w:tcW w:w="96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Gasto (ingreso) por impuesto a las ganancias</w:t>
            </w:r>
          </w:p>
        </w:tc>
        <w:tc>
          <w:tcPr>
            <w:tcW w:w="96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después de impuestos</w:t>
            </w:r>
          </w:p>
        </w:tc>
      </w:tr>
      <w:tr>
        <w:tblPrEx>
          <w:tblW w:w="9240" w:type="dxa"/>
          <w:tblInd w:w="731" w:type="dxa"/>
          <w:tblLayout w:type="fixed"/>
        </w:tblPrEx>
        <w:trPr>
          <w:cantSplit/>
          <w:trHeight w:hRule="auto" w:val="0"/>
        </w:trPr>
        <w:tc>
          <w:tcPr>
            <w:tcW w:w="3480" w:type="dxa"/>
            <w:vMerge/>
            <w:tcBorders>
              <w:top w:val="nil"/>
              <w:left w:val="single" w:sz="2" w:space="0" w:color="000000"/>
              <w:bottom w:val="single" w:sz="2" w:space="0" w:color="000000"/>
              <w:right w:val="nil"/>
            </w:tcBorders>
          </w:tcPr>
          <w:p>
            <w:pPr>
              <w:keepNext/>
              <w:pageBreakBefore w:val="0"/>
            </w:pP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6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9240" w:type="dxa"/>
          <w:tblInd w:w="731" w:type="dxa"/>
          <w:tblLayout w:type="fixed"/>
        </w:tblPrEx>
        <w:trPr>
          <w:cantSplit/>
          <w:trHeight w:hRule="auto" w:val="0"/>
        </w:trPr>
        <w:tc>
          <w:tcPr>
            <w:tcW w:w="3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Ganancias (pérdidas) actuariales por planes de beneficios definidos.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1.083.188</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(496.156)</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587.032</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273.230</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(73.773)</w:t>
            </w: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199.457</w:t>
            </w:r>
          </w:p>
        </w:tc>
      </w:tr>
      <w:tr>
        <w:tblPrEx>
          <w:tblW w:w="9240" w:type="dxa"/>
          <w:tblInd w:w="731" w:type="dxa"/>
          <w:tblLayout w:type="fixed"/>
        </w:tblPrEx>
        <w:trPr>
          <w:cantSplit/>
          <w:trHeight w:hRule="auto" w:val="0"/>
        </w:trPr>
        <w:tc>
          <w:tcPr>
            <w:tcW w:w="3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96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(496.156)</w:t>
            </w:r>
          </w:p>
        </w:tc>
        <w:tc>
          <w:tcPr>
            <w:tcW w:w="96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6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(73.773)</w:t>
            </w:r>
          </w:p>
        </w:tc>
        <w:tc>
          <w:tcPr>
            <w:tcW w:w="96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58" w:name="Section134"/>
      <w:bookmarkEnd w:id="258"/>
      <w:bookmarkStart w:id="259" w:name="5a6811a73669418e97a85bd190aa5ee3"/>
      <w:r>
        <w:rPr>
          <w:rFonts w:ascii="Calibri" w:eastAsia="Calibri" w:hAnsi="Calibri" w:cs="Calibri"/>
          <w:b/>
          <w:i w:val="0"/>
          <w:color w:val="000000"/>
          <w:sz w:val="20"/>
          <w:u w:val="none"/>
        </w:rPr>
        <w:t>30.-</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9"/>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por acción básica se calcula dividiendo la utilidad atribuible a los accionistas de la Sociedad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20" w:type="dxa"/>
          <w:tblLayout w:type="fixed"/>
        </w:tblPrEx>
        <w:trPr>
          <w:cantSplit/>
          <w:trHeight w:hRule="auto" w:val="0"/>
        </w:trPr>
        <w:tc>
          <w:tcPr>
            <w:tcW w:w="6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20"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20"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Ganancia (pérdida) atribuible a los propietarios de la controladora.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2.652.915</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Ganancia (pérdida) por acción básica y diluidas en operaciones continuadas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16,77</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158.218.430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158.218.430</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keepLines/>
        <w:pageBreakBefore w:val="0"/>
        <w:widowControl w:val="0"/>
        <w:numPr>
          <w:ilvl w:val="0"/>
          <w:numId w:val="0"/>
        </w:numPr>
        <w:spacing w:before="0" w:after="160" w:line="300"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160" w:line="300"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60" w:name="Section135"/>
      <w:bookmarkEnd w:id="260"/>
      <w:bookmarkStart w:id="261" w:name="90e0203c502c4f349ad7bdbe758a4193"/>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61"/>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62" w:name="Section136"/>
      <w:bookmarkEnd w:id="262"/>
      <w:bookmarkStart w:id="263" w:name="af97effd8a874bdf8b00be4535b47a69"/>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3"/>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gerencia ha determinado los segmentos operativos sobre la base de los informes revisados por el comité ejecutivo estratégico. El comité considera el negocio desde una perspectiva asociada al tipo de servicio o producto vendido (generación, transmisión y distribución de electricidad).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Los segmentos operativos reportables derivan sus ingresos principalmente de la venta de energía eléctrica. En relación con las características del negocio de dichos segmentos. (Ver nota 2).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que se entrega al comité ejecutivo estratégico de los segmentos reportables a nivel de estado de situación, estado de resultados por función y el estado de flujo de efectivo, es la siguiente:</w:t>
      </w:r>
    </w:p>
    <w:p>
      <w:pPr>
        <w:pStyle w:val="Normal-wk"/>
        <w:keepNext w:val="0"/>
        <w:keepLines/>
        <w:pageBreakBefore w:val="0"/>
        <w:widowControl w:val="0"/>
        <w:numPr>
          <w:ilvl w:val="0"/>
          <w:numId w:val="0"/>
        </w:numPr>
        <w:spacing w:before="0" w:after="0" w:line="240" w:lineRule="exact"/>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64" w:name="Section137"/>
      <w:bookmarkEnd w:id="264"/>
      <w:bookmarkStart w:id="265" w:name="e38bf328a10d43e8919fa1cfd903e233"/>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patrimoniales.</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65"/>
    </w:p>
    <w:p>
      <w:pPr>
        <w:pStyle w:val="Normal-wk"/>
        <w:keepNext w:val="0"/>
        <w:keepLines/>
        <w:pageBreakBefore w:val="0"/>
        <w:widowControl w:val="0"/>
        <w:numPr>
          <w:ilvl w:val="0"/>
          <w:numId w:val="0"/>
        </w:numPr>
        <w:tabs>
          <w:tab w:val="left" w:pos="700"/>
        </w:tabs>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segmentos.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15"/>
        <w:gridCol w:w="1005"/>
        <w:gridCol w:w="1005"/>
        <w:gridCol w:w="1005"/>
        <w:gridCol w:w="1005"/>
        <w:gridCol w:w="1005"/>
        <w:gridCol w:w="1005"/>
        <w:gridCol w:w="1005"/>
        <w:gridCol w:w="1005"/>
      </w:tblGrid>
      <w:tr>
        <w:tblPrEx>
          <w:tblW w:w="12855" w:type="dxa"/>
          <w:tblInd w:w="709" w:type="dxa"/>
          <w:tblLayout w:type="fixed"/>
        </w:tblPrEx>
        <w:trPr>
          <w:cantSplit/>
          <w:trHeight w:hRule="auto" w:val="0"/>
          <w:tblHeader/>
        </w:trPr>
        <w:tc>
          <w:tcPr>
            <w:tcW w:w="481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2010" w:type="dxa"/>
            <w:gridSpan w:val="2"/>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Inversiones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auto" w:val="0"/>
          <w:tblHeader/>
        </w:trPr>
        <w:tc>
          <w:tcPr>
            <w:tcW w:w="481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855" w:type="dxa"/>
          <w:tblInd w:w="709" w:type="dxa"/>
          <w:tblLayout w:type="fixed"/>
        </w:tblPrEx>
        <w:trPr>
          <w:cantSplit/>
          <w:trHeight w:hRule="auto" w:val="0"/>
          <w:tblHeader/>
        </w:trPr>
        <w:tc>
          <w:tcPr>
            <w:tcW w:w="481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exact" w:val="60"/>
          <w:tblHeader/>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477.266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477.266</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162.525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162.525</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15.737.335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15.737.335</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965.321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484.282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1.449.603</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Inventarios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4.452.597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4.452.597</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700.362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700.362</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22.495.406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1.780.307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22.979.688</w:t>
            </w:r>
          </w:p>
        </w:tc>
      </w:tr>
      <w:tr>
        <w:tblPrEx>
          <w:tblW w:w="12855" w:type="dxa"/>
          <w:tblInd w:w="709" w:type="dxa"/>
          <w:tblLayout w:type="fixed"/>
        </w:tblPrEx>
        <w:trPr>
          <w:cantSplit/>
          <w:trHeight w:hRule="auto" w:val="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30.041.470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30.041.470</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Inversiones contabilizadas utilizando el método de la participación.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25.879.612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(25.879.612)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intangibles distintos de la plusvalía.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168.045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168.045</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59.998.078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59.998.078</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1.666.385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1.666.385</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derecho de uso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707.140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707.140</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92.581.118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25.879.612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(25.879.612)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92.581.118</w:t>
            </w:r>
          </w:p>
        </w:tc>
      </w:tr>
      <w:tr>
        <w:tblPrEx>
          <w:tblW w:w="12855" w:type="dxa"/>
          <w:tblInd w:w="709" w:type="dxa"/>
          <w:tblLayout w:type="fixed"/>
        </w:tblPrEx>
        <w:trPr>
          <w:cantSplit/>
          <w:trHeight w:hRule="auto" w:val="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115.076.524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27.659.919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(25.879.612)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115.560.806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y Patrimonio por segmentos.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15"/>
        <w:gridCol w:w="1005"/>
        <w:gridCol w:w="1005"/>
        <w:gridCol w:w="1005"/>
        <w:gridCol w:w="1005"/>
        <w:gridCol w:w="1005"/>
        <w:gridCol w:w="1005"/>
        <w:gridCol w:w="1005"/>
        <w:gridCol w:w="1005"/>
      </w:tblGrid>
      <w:tr>
        <w:tblPrEx>
          <w:tblW w:w="12855" w:type="dxa"/>
          <w:tblInd w:w="709" w:type="dxa"/>
          <w:tblLayout w:type="fixed"/>
        </w:tblPrEx>
        <w:trPr>
          <w:cantSplit/>
          <w:trHeight w:hRule="auto" w:val="0"/>
          <w:tblHeader/>
        </w:trPr>
        <w:tc>
          <w:tcPr>
            <w:tcW w:w="481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2010" w:type="dxa"/>
            <w:gridSpan w:val="2"/>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Inversiones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auto" w:val="0"/>
          <w:tblHeader/>
        </w:trPr>
        <w:tc>
          <w:tcPr>
            <w:tcW w:w="481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855" w:type="dxa"/>
          <w:tblInd w:w="709" w:type="dxa"/>
          <w:tblLayout w:type="fixed"/>
        </w:tblPrEx>
        <w:trPr>
          <w:cantSplit/>
          <w:trHeight w:hRule="auto" w:val="0"/>
          <w:tblHeader/>
        </w:trPr>
        <w:tc>
          <w:tcPr>
            <w:tcW w:w="481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exact" w:val="60"/>
          <w:tblHeader/>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30.721.327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30.721.327</w:t>
            </w:r>
          </w:p>
        </w:tc>
      </w:tr>
      <w:tr>
        <w:tblPrEx>
          <w:tblW w:w="12855" w:type="dxa"/>
          <w:tblInd w:w="709" w:type="dxa"/>
          <w:tblLayout w:type="fixed"/>
        </w:tblPrEx>
        <w:trPr>
          <w:cantSplit/>
          <w:trHeight w:hRule="auto" w:val="0"/>
          <w:tblHeader/>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148.149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148.149</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13.711.297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13.717.231</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188.846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1.822.814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2.011.660</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provisiones a corto plazo.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284.749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284.749</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347.339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347.339</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pasivos corrientes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45.401.707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1.828.748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47.230.455</w:t>
            </w:r>
          </w:p>
        </w:tc>
      </w:tr>
      <w:tr>
        <w:tblPrEx>
          <w:tblW w:w="12855" w:type="dxa"/>
          <w:tblInd w:w="709" w:type="dxa"/>
          <w:tblLayout w:type="fixed"/>
        </w:tblPrEx>
        <w:trPr>
          <w:cantSplit/>
          <w:trHeight w:hRule="auto" w:val="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2.200.000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2.200.000</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71.333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71.333</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4.160.660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4.160.660</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519.187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519.187</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provisiones a largo plazo.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136</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13.425.610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13.425.610</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Provisiones no corrientes por beneficios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2.336.335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2.336.335</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22.713.125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22.713.261</w:t>
            </w:r>
          </w:p>
        </w:tc>
      </w:tr>
      <w:tr>
        <w:tblPrEx>
          <w:tblW w:w="12855" w:type="dxa"/>
          <w:tblInd w:w="709" w:type="dxa"/>
          <w:tblLayout w:type="fixed"/>
        </w:tblPrEx>
        <w:trPr>
          <w:cantSplit/>
          <w:trHeight w:hRule="auto" w:val="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68.114.832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1.828.748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69.943.716</w:t>
            </w:r>
          </w:p>
        </w:tc>
      </w:tr>
      <w:tr>
        <w:tblPrEx>
          <w:tblW w:w="12855" w:type="dxa"/>
          <w:tblInd w:w="709" w:type="dxa"/>
          <w:tblLayout w:type="fixed"/>
        </w:tblPrEx>
        <w:trPr>
          <w:cantSplit/>
          <w:trHeight w:hRule="auto" w:val="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Capital emitido y pagado.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15.664.524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11.576.501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(15.664.524)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11.576.501</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acumuladas.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33.056.547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13.509.923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(33.056.547)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13.509.923</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Primas de emisión.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0</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reservas.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(1.760.181)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(551.278)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1.760.181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(551.278)</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atribuible a los propietarios de la controladora.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46.961.692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24.535.146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(41.302.394)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24.535.146</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Participaciones no controladoras.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21.081.944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21.081.944</w:t>
            </w: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46.961.692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24.535.146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(20.220.450)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45.617.090</w:t>
            </w:r>
          </w:p>
        </w:tc>
      </w:tr>
      <w:tr>
        <w:tblPrEx>
          <w:tblW w:w="12855" w:type="dxa"/>
          <w:tblInd w:w="709" w:type="dxa"/>
          <w:tblLayout w:type="fixed"/>
        </w:tblPrEx>
        <w:trPr>
          <w:cantSplit/>
          <w:trHeight w:hRule="auto" w:val="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PASIVOS Y PATRIMONIO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115.076.524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26.363.894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(20.220.314)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115.560.806</w:t>
            </w:r>
          </w:p>
        </w:tc>
      </w:tr>
    </w:tbl>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
          <w:u w:val="none"/>
        </w:rPr>
        <w:sectPr>
          <w:headerReference w:type="default" r:id="rId50"/>
          <w:footerReference w:type="default" r:id="rId51"/>
          <w:type w:val="continuous"/>
          <w:pgSz w:w="15840" w:h="12240" w:orient="landscape"/>
          <w:pgMar w:top="1134" w:right="1134" w:bottom="1134" w:left="1134" w:header="0" w:footer="38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66" w:name="Section138"/>
      <w:bookmarkEnd w:id="266"/>
      <w:bookmarkStart w:id="267" w:name="20a7bbd25f5349d7978e2331a966d50d"/>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67"/>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15"/>
        <w:gridCol w:w="1005"/>
        <w:gridCol w:w="1005"/>
        <w:gridCol w:w="1005"/>
        <w:gridCol w:w="1005"/>
        <w:gridCol w:w="1005"/>
        <w:gridCol w:w="1005"/>
        <w:gridCol w:w="1005"/>
        <w:gridCol w:w="1005"/>
      </w:tblGrid>
      <w:tr>
        <w:tblPrEx>
          <w:tblW w:w="12855" w:type="dxa"/>
          <w:tblInd w:w="709" w:type="dxa"/>
          <w:tblLayout w:type="fixed"/>
        </w:tblPrEx>
        <w:trPr>
          <w:cantSplit/>
          <w:trHeight w:hRule="exact" w:val="225"/>
          <w:tblHeader/>
        </w:trPr>
        <w:tc>
          <w:tcPr>
            <w:tcW w:w="481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RESULTADOS POR FUNCIÓN</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Inversiones</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01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exact" w:val="225"/>
          <w:tblHeader/>
        </w:trPr>
        <w:tc>
          <w:tcPr>
            <w:tcW w:w="481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12855" w:type="dxa"/>
          <w:tblInd w:w="709" w:type="dxa"/>
          <w:tblLayout w:type="fixed"/>
        </w:tblPrEx>
        <w:trPr>
          <w:cantSplit/>
          <w:trHeight w:hRule="exact" w:val="225"/>
          <w:tblHeader/>
        </w:trPr>
        <w:tc>
          <w:tcPr>
            <w:tcW w:w="481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12855" w:type="dxa"/>
          <w:tblInd w:w="709" w:type="dxa"/>
          <w:tblLayout w:type="fixed"/>
        </w:tblPrEx>
        <w:trPr>
          <w:cantSplit/>
          <w:trHeight w:hRule="exact" w:val="225"/>
          <w:tblHeader/>
        </w:trPr>
        <w:tc>
          <w:tcPr>
            <w:tcW w:w="481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de actividades ordinarias.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29.902.611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29.902.611</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(18.896.629)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(18.896.629)</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bruta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11.005.982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11.005.982</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ingresos.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45.634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45.634</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(3.752.998)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(3.752.998)</w:t>
            </w:r>
          </w:p>
        </w:tc>
      </w:tr>
      <w:tr>
        <w:tblPrEx>
          <w:tblW w:w="12855" w:type="dxa"/>
          <w:tblInd w:w="709" w:type="dxa"/>
          <w:tblLayout w:type="fixed"/>
        </w:tblPrEx>
        <w:trPr>
          <w:cantSplit/>
          <w:trHeight w:hRule="exact" w:val="37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Deterioro de valor de ganancias y reversión de pérdidas por deterioro de valor (pérdidas por deterioro de valor) determinado de acuerdo con la NIIF 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(40.736)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(40.736)</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(162.598)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(162.598)</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Ganancias (pérdidas) de actividades operacionales.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7.095.284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7.095.284</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207.529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207.529</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(1.185.328)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(1.185.328)</w:t>
            </w:r>
          </w:p>
        </w:tc>
      </w:tr>
      <w:tr>
        <w:tblPrEx>
          <w:tblW w:w="12855" w:type="dxa"/>
          <w:tblInd w:w="709" w:type="dxa"/>
          <w:tblLayout w:type="fixed"/>
        </w:tblPrEx>
        <w:trPr>
          <w:cantSplit/>
          <w:trHeight w:hRule="exact" w:val="37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Participación en ganancia (pérdida) de asociadas y negocios conjuntos que se contabilicen utilizando el método de la participación.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2.748.070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(1.271.761)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1.476.309</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de cambio en moneda extranjera.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460.449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460.449</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Resultados por unidades de reajuste.</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(7.476)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(7.476)</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antes de impuesto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9.318.528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(1.271.761)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8.046.767</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 (gasto) por impuestos a las ganancias.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(1.679.185)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(1.679.185)</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procedente de operaciones continuadas.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7.639.343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(1.271.761)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6.367.582</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 procedente de operaciones discontinuadas.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7.639.343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(1.271.761)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6.367.582</w:t>
            </w:r>
          </w:p>
        </w:tc>
      </w:tr>
      <w:tr>
        <w:tblPrEx>
          <w:tblW w:w="12855" w:type="dxa"/>
          <w:tblInd w:w="709" w:type="dxa"/>
          <w:tblLayout w:type="fixed"/>
        </w:tblPrEx>
        <w:trPr>
          <w:cantSplit/>
          <w:trHeight w:hRule="exact" w:val="6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atribuible a</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 atribuible a los propietarios de la controladora.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7.639.343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(2.307.753)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5.331.590</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 atribuible a participaciones no controladoras.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1.035.992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1.035.992</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7.639.343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(1.271.761)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6.367.582</w:t>
            </w:r>
          </w:p>
        </w:tc>
      </w:tr>
      <w:tr>
        <w:tblPrEx>
          <w:tblW w:w="12855" w:type="dxa"/>
          <w:tblInd w:w="709" w:type="dxa"/>
          <w:tblLayout w:type="fixed"/>
        </w:tblPrEx>
        <w:trPr>
          <w:cantSplit/>
          <w:trHeight w:hRule="exact" w:val="6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19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60"/>
        </w:trPr>
        <w:tc>
          <w:tcPr>
            <w:tcW w:w="48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 y retiros.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3.086.338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3.086.338</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Amortización.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34.843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34.843</w:t>
            </w:r>
          </w:p>
        </w:tc>
      </w:tr>
      <w:tr>
        <w:tblPrEx>
          <w:tblW w:w="12855" w:type="dxa"/>
          <w:tblInd w:w="709" w:type="dxa"/>
          <w:tblLayout w:type="fixed"/>
        </w:tblPrEx>
        <w:trPr>
          <w:cantSplit/>
          <w:trHeight w:hRule="exact" w:val="225"/>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EBITDA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10.216.465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10.216.465</w:t>
            </w:r>
          </w:p>
        </w:tc>
      </w:tr>
    </w:tbl>
    <w:p>
      <w:pPr>
        <w:keepNext/>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sz w:val="2"/>
        </w:rPr>
      </w:pPr>
    </w:p>
    <w:p>
      <w:pPr>
        <w:keepNext/>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sz w:val="2"/>
        </w:rPr>
        <w:sectPr>
          <w:pgSz w:w="15840" w:h="12240" w:orient="landscape"/>
          <w:pgMar w:top="1134" w:right="1134" w:bottom="1134" w:left="1134" w:header="0" w:footer="38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68" w:name="Section139"/>
      <w:bookmarkEnd w:id="268"/>
      <w:bookmarkStart w:id="269" w:name="30916a1434f44f9284f1362a1214575e"/>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69"/>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75"/>
        <w:gridCol w:w="960"/>
        <w:gridCol w:w="960"/>
        <w:gridCol w:w="960"/>
        <w:gridCol w:w="960"/>
        <w:gridCol w:w="960"/>
        <w:gridCol w:w="960"/>
        <w:gridCol w:w="960"/>
        <w:gridCol w:w="960"/>
      </w:tblGrid>
      <w:tr>
        <w:tblPrEx>
          <w:tblW w:w="12855" w:type="dxa"/>
          <w:tblInd w:w="709" w:type="dxa"/>
          <w:tblLayout w:type="fixed"/>
        </w:tblPrEx>
        <w:trPr>
          <w:cantSplit/>
          <w:trHeight w:hRule="auto" w:val="0"/>
        </w:trPr>
        <w:tc>
          <w:tcPr>
            <w:tcW w:w="517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FLUJO DE EFECTIVO POR MÉTODO DIRECTO</w:t>
            </w:r>
          </w:p>
        </w:tc>
        <w:tc>
          <w:tcPr>
            <w:tcW w:w="192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192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Inversiones</w:t>
            </w:r>
          </w:p>
        </w:tc>
        <w:tc>
          <w:tcPr>
            <w:tcW w:w="192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192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auto" w:val="0"/>
        </w:trPr>
        <w:tc>
          <w:tcPr>
            <w:tcW w:w="5175" w:type="dxa"/>
            <w:vMerge/>
            <w:tcBorders>
              <w:top w:val="nil"/>
              <w:left w:val="single" w:sz="2" w:space="0" w:color="000000"/>
              <w:bottom w:val="nil"/>
              <w:right w:val="nil"/>
            </w:tcBorders>
          </w:tcPr>
          <w:p>
            <w:pPr>
              <w:keepNext/>
              <w:pageBreakBefore w:val="0"/>
            </w:pP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6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12855" w:type="dxa"/>
          <w:tblInd w:w="709" w:type="dxa"/>
          <w:tblLayout w:type="fixed"/>
        </w:tblPrEx>
        <w:trPr>
          <w:cantSplit/>
          <w:trHeight w:hRule="auto" w:val="0"/>
        </w:trPr>
        <w:tc>
          <w:tcPr>
            <w:tcW w:w="5175" w:type="dxa"/>
            <w:vMerge/>
            <w:tcBorders>
              <w:top w:val="nil"/>
              <w:left w:val="single" w:sz="2" w:space="0" w:color="000000"/>
              <w:bottom w:val="nil"/>
              <w:right w:val="nil"/>
            </w:tcBorders>
          </w:tcPr>
          <w:p>
            <w:pPr>
              <w:keepNext/>
              <w:pageBreakBefore w:val="0"/>
            </w:pP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6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12855" w:type="dxa"/>
          <w:tblInd w:w="709" w:type="dxa"/>
          <w:tblLayout w:type="fixed"/>
        </w:tblPrEx>
        <w:trPr>
          <w:cantSplit/>
          <w:trHeight w:hRule="auto" w:val="0"/>
        </w:trPr>
        <w:tc>
          <w:tcPr>
            <w:tcW w:w="5175" w:type="dxa"/>
            <w:vMerge/>
            <w:tcBorders>
              <w:top w:val="nil"/>
              <w:left w:val="single" w:sz="2" w:space="0" w:color="000000"/>
              <w:bottom w:val="single" w:sz="2" w:space="0" w:color="000000"/>
              <w:right w:val="nil"/>
            </w:tcBorders>
          </w:tcPr>
          <w:p>
            <w:pPr>
              <w:keepNext/>
              <w:pageBreakBefore w:val="0"/>
            </w:pP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Flujos de efectivo netos procedentes de (utilizados en) actividades de operación.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7.810.125</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1.176.094</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8.986.219</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Flujos de efectivo netos procedentes de (utilizados en) actividades de inversión.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(2.851.519)</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1.780.307</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(1.071.212)</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Flujos de efectivo netos procedentes de (utilizados en) actividades de financiación.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(4.407.521)</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(2.956.401)</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(7.363.922)</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 antes del efecto de los cambios en la tasa de cambio</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551.085</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551.085</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Efectos de la variación en la tasa de cambio sobre el efectivo y equivalentes al efectivo.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83.529</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83.529</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634.614</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634.614</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Efectivo y equivalentes al efectivo al principio del período o ejercicio.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664.872</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664.872</w:t>
            </w:r>
          </w:p>
        </w:tc>
      </w:tr>
      <w:tr>
        <w:tblPrEx>
          <w:tblW w:w="12855" w:type="dxa"/>
          <w:tblInd w:w="709"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Efectivo y equivalentes al efectivo al final del período o ejercicio</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1.299.486</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1.299.486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38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70" w:name="Section140"/>
      <w:bookmarkEnd w:id="270"/>
      <w:bookmarkStart w:id="271" w:name="3459ca2867be4d148d50f230a453bd12"/>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71"/>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5840" w:h="12240" w:orient="landscape"/>
          <w:pgMar w:top="1134" w:right="1134" w:bottom="1134" w:left="1134" w:header="0" w:footer="38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2" w:name="Section141"/>
      <w:bookmarkEnd w:id="272"/>
      <w:bookmarkStart w:id="273" w:name="b9a9239f119140fca1f6ccee5dbcbcfd"/>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3"/>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31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95"/>
        <w:gridCol w:w="855"/>
        <w:gridCol w:w="1005"/>
        <w:gridCol w:w="900"/>
        <w:gridCol w:w="900"/>
        <w:gridCol w:w="900"/>
        <w:gridCol w:w="900"/>
        <w:gridCol w:w="900"/>
        <w:gridCol w:w="900"/>
        <w:gridCol w:w="900"/>
        <w:gridCol w:w="60"/>
        <w:gridCol w:w="900"/>
      </w:tblGrid>
      <w:tr>
        <w:tblPrEx>
          <w:tblW w:w="12315" w:type="dxa"/>
          <w:tblInd w:w="709" w:type="dxa"/>
          <w:tblLayout w:type="fixed"/>
        </w:tblPrEx>
        <w:trPr>
          <w:cantSplit/>
          <w:trHeight w:hRule="auto" w:val="0"/>
        </w:trPr>
        <w:tc>
          <w:tcPr>
            <w:tcW w:w="31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85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360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2315" w:type="dxa"/>
          <w:tblInd w:w="709" w:type="dxa"/>
          <w:tblLayout w:type="fixed"/>
        </w:tblPrEx>
        <w:trPr>
          <w:cantSplit/>
          <w:trHeight w:hRule="auto" w:val="0"/>
        </w:trPr>
        <w:tc>
          <w:tcPr>
            <w:tcW w:w="3195" w:type="dxa"/>
            <w:vMerge/>
            <w:tcBorders>
              <w:top w:val="nil"/>
              <w:left w:val="single" w:sz="2" w:space="0" w:color="000000"/>
              <w:bottom w:val="nil"/>
              <w:right w:val="nil"/>
            </w:tcBorders>
          </w:tcPr>
          <w:p>
            <w:pPr>
              <w:keepNext/>
              <w:pageBreakBefore w:val="0"/>
            </w:pPr>
          </w:p>
        </w:tc>
        <w:tc>
          <w:tcPr>
            <w:tcW w:w="85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5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315" w:type="dxa"/>
          <w:tblInd w:w="709" w:type="dxa"/>
          <w:tblLayout w:type="fixed"/>
        </w:tblPrEx>
        <w:trPr>
          <w:cantSplit/>
          <w:trHeight w:hRule="auto" w:val="0"/>
        </w:trPr>
        <w:tc>
          <w:tcPr>
            <w:tcW w:w="3195" w:type="dxa"/>
            <w:vMerge/>
            <w:tcBorders>
              <w:top w:val="nil"/>
              <w:left w:val="single" w:sz="2" w:space="0" w:color="000000"/>
              <w:bottom w:val="single" w:sz="2" w:space="0" w:color="000000"/>
              <w:right w:val="nil"/>
            </w:tcBorders>
          </w:tcPr>
          <w:p>
            <w:pPr>
              <w:keepNext/>
              <w:pageBreakBefore w:val="0"/>
            </w:pPr>
          </w:p>
        </w:tc>
        <w:tc>
          <w:tcPr>
            <w:tcW w:w="85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315" w:type="dxa"/>
          <w:tblInd w:w="709" w:type="dxa"/>
          <w:tblLayout w:type="fixed"/>
        </w:tblPrEx>
        <w:trPr>
          <w:cantSplit/>
          <w:trHeight w:hRule="exact" w:val="6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15"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Activos corrientes </w:t>
            </w:r>
          </w:p>
        </w:tc>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r>
      <w:tr>
        <w:tblPrEx>
          <w:tblW w:w="12315"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no corrientes </w:t>
            </w:r>
          </w:p>
        </w:tc>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r>
      <w:tr>
        <w:tblPrEx>
          <w:tblW w:w="12315" w:type="dxa"/>
          <w:tblInd w:w="709" w:type="dxa"/>
          <w:tblLayout w:type="fixed"/>
        </w:tblPrEx>
        <w:trPr>
          <w:cantSplit/>
          <w:trHeight w:hRule="auto" w:val="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15"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 Total activos en moneda extranjera </w:t>
            </w:r>
          </w:p>
        </w:tc>
        <w:tc>
          <w:tcPr>
            <w:tcW w:w="85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25.781.445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25.781.445</w:t>
            </w:r>
          </w:p>
        </w:tc>
      </w:tr>
      <w:tr>
        <w:tblPrEx>
          <w:tblW w:w="12315" w:type="dxa"/>
          <w:tblInd w:w="709" w:type="dxa"/>
          <w:tblLayout w:type="fixed"/>
        </w:tblPrEx>
        <w:trPr>
          <w:cantSplit/>
          <w:trHeight w:hRule="auto" w:val="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15"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Pasivos corrientes </w:t>
            </w:r>
          </w:p>
        </w:tc>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21.570.962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5.452.005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16.118.957</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21.570.962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21.570.962</w:t>
            </w:r>
          </w:p>
        </w:tc>
      </w:tr>
      <w:tr>
        <w:tblPrEx>
          <w:tblW w:w="12315"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no corrientes </w:t>
            </w:r>
          </w:p>
        </w:tc>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1.624.497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1.624.497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1.624.497</w:t>
            </w:r>
          </w:p>
        </w:tc>
      </w:tr>
      <w:tr>
        <w:tblPrEx>
          <w:tblW w:w="12315" w:type="dxa"/>
          <w:tblInd w:w="709" w:type="dxa"/>
          <w:tblLayout w:type="fixed"/>
        </w:tblPrEx>
        <w:trPr>
          <w:cantSplit/>
          <w:trHeight w:hRule="auto" w:val="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15"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 xml:space="preserve"> Total pasivos en moneda extranjera </w:t>
            </w:r>
          </w:p>
        </w:tc>
        <w:tc>
          <w:tcPr>
            <w:tcW w:w="85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23.195.459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5.452.005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16.118.957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21.570.962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1.624.497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23.195.459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30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95"/>
        <w:gridCol w:w="840"/>
        <w:gridCol w:w="1005"/>
        <w:gridCol w:w="900"/>
        <w:gridCol w:w="900"/>
        <w:gridCol w:w="900"/>
        <w:gridCol w:w="900"/>
        <w:gridCol w:w="900"/>
        <w:gridCol w:w="900"/>
        <w:gridCol w:w="900"/>
        <w:gridCol w:w="60"/>
        <w:gridCol w:w="900"/>
      </w:tblGrid>
      <w:tr>
        <w:tblPrEx>
          <w:tblW w:w="12300" w:type="dxa"/>
          <w:tblInd w:w="709" w:type="dxa"/>
          <w:tblLayout w:type="fixed"/>
        </w:tblPrEx>
        <w:trPr>
          <w:cantSplit/>
          <w:trHeight w:hRule="auto" w:val="0"/>
        </w:trPr>
        <w:tc>
          <w:tcPr>
            <w:tcW w:w="31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84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360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2300" w:type="dxa"/>
          <w:tblInd w:w="709" w:type="dxa"/>
          <w:tblLayout w:type="fixed"/>
        </w:tblPrEx>
        <w:trPr>
          <w:cantSplit/>
          <w:trHeight w:hRule="auto" w:val="0"/>
        </w:trPr>
        <w:tc>
          <w:tcPr>
            <w:tcW w:w="3195" w:type="dxa"/>
            <w:vMerge/>
            <w:tcBorders>
              <w:top w:val="nil"/>
              <w:left w:val="single" w:sz="2" w:space="0" w:color="000000"/>
              <w:bottom w:val="nil"/>
              <w:right w:val="nil"/>
            </w:tcBorders>
          </w:tcPr>
          <w:p>
            <w:pPr>
              <w:keepNext/>
              <w:pageBreakBefore w:val="0"/>
            </w:pPr>
          </w:p>
        </w:tc>
        <w:tc>
          <w:tcPr>
            <w:tcW w:w="840"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5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300" w:type="dxa"/>
          <w:tblInd w:w="709" w:type="dxa"/>
          <w:tblLayout w:type="fixed"/>
        </w:tblPrEx>
        <w:trPr>
          <w:cantSplit/>
          <w:trHeight w:hRule="auto" w:val="0"/>
        </w:trPr>
        <w:tc>
          <w:tcPr>
            <w:tcW w:w="3195" w:type="dxa"/>
            <w:vMerge/>
            <w:tcBorders>
              <w:top w:val="nil"/>
              <w:left w:val="single" w:sz="2" w:space="0" w:color="000000"/>
              <w:bottom w:val="single" w:sz="2" w:space="0" w:color="000000"/>
              <w:right w:val="nil"/>
            </w:tcBorders>
          </w:tcPr>
          <w:p>
            <w:pPr>
              <w:keepNext/>
              <w:pageBreakBefore w:val="0"/>
            </w:pPr>
          </w:p>
        </w:tc>
        <w:tc>
          <w:tcPr>
            <w:tcW w:w="84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300" w:type="dxa"/>
          <w:tblInd w:w="709" w:type="dxa"/>
          <w:tblLayout w:type="fixed"/>
        </w:tblPrEx>
        <w:trPr>
          <w:cantSplit/>
          <w:trHeight w:hRule="exact" w:val="6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00"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Activos corrientes </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3.224.744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3.224.327</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3.224.744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3.224.744</w:t>
            </w:r>
          </w:p>
        </w:tc>
      </w:tr>
      <w:tr>
        <w:tblPrEx>
          <w:tblW w:w="12300"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no corrientes </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22.710.186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22.710.186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22.710.186</w:t>
            </w:r>
          </w:p>
        </w:tc>
      </w:tr>
      <w:tr>
        <w:tblPrEx>
          <w:tblW w:w="12300" w:type="dxa"/>
          <w:tblInd w:w="709" w:type="dxa"/>
          <w:tblLayout w:type="fixed"/>
        </w:tblPrEx>
        <w:trPr>
          <w:cantSplit/>
          <w:trHeight w:hRule="auto" w:val="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00"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 Total activos en moneda extranjera </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25.934.930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3.224.327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3.224.744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22.710.186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25.934.930</w:t>
            </w:r>
          </w:p>
        </w:tc>
      </w:tr>
      <w:tr>
        <w:tblPrEx>
          <w:tblW w:w="12300" w:type="dxa"/>
          <w:tblInd w:w="709" w:type="dxa"/>
          <w:tblLayout w:type="fixed"/>
        </w:tblPrEx>
        <w:trPr>
          <w:cantSplit/>
          <w:trHeight w:hRule="auto" w:val="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00"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Pasivos corrientes </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22.743.704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2.970.263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19.773.441</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22.743.704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22.743.704</w:t>
            </w:r>
          </w:p>
        </w:tc>
      </w:tr>
      <w:tr>
        <w:tblPrEx>
          <w:tblW w:w="12300"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no corrientes </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4.160.660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4.160.660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4.160.660</w:t>
            </w:r>
          </w:p>
        </w:tc>
      </w:tr>
      <w:tr>
        <w:tblPrEx>
          <w:tblW w:w="12300" w:type="dxa"/>
          <w:tblInd w:w="709" w:type="dxa"/>
          <w:tblLayout w:type="fixed"/>
        </w:tblPrEx>
        <w:trPr>
          <w:cantSplit/>
          <w:trHeight w:hRule="auto" w:val="0"/>
        </w:trPr>
        <w:tc>
          <w:tcPr>
            <w:tcW w:w="31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00" w:type="dxa"/>
          <w:tblInd w:w="709" w:type="dxa"/>
          <w:tblLayout w:type="fixed"/>
        </w:tblPrEx>
        <w:trPr>
          <w:cantSplit/>
          <w:trHeight w:hRule="auto" w:val="0"/>
        </w:trPr>
        <w:tc>
          <w:tcPr>
            <w:tcW w:w="31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 xml:space="preserve"> Total pasivos en moneda extranjera </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26.904.364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2.970.263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19.773.441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22.743.704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4.160.660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26.904.364</w:t>
            </w:r>
          </w:p>
        </w:tc>
      </w:tr>
    </w:tbl>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38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4" w:name="Section142"/>
      <w:bookmarkEnd w:id="274"/>
      <w:bookmarkStart w:id="275" w:name="625b191d378042aab4180e6544723d69"/>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5"/>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00"/>
        <w:gridCol w:w="660"/>
        <w:gridCol w:w="1005"/>
        <w:gridCol w:w="1005"/>
        <w:gridCol w:w="1005"/>
        <w:gridCol w:w="1005"/>
        <w:gridCol w:w="1005"/>
        <w:gridCol w:w="1005"/>
        <w:gridCol w:w="60"/>
        <w:gridCol w:w="1005"/>
      </w:tblGrid>
      <w:tr>
        <w:tblPrEx>
          <w:tblW w:w="12855" w:type="dxa"/>
          <w:tblInd w:w="709" w:type="dxa"/>
          <w:tblLayout w:type="fixed"/>
        </w:tblPrEx>
        <w:trPr>
          <w:cantSplit/>
          <w:trHeight w:hRule="auto" w:val="0"/>
          <w:tblHeader/>
        </w:trPr>
        <w:tc>
          <w:tcPr>
            <w:tcW w:w="51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r>
      <w:tr>
        <w:tblPrEx>
          <w:tblW w:w="12855" w:type="dxa"/>
          <w:tblInd w:w="709" w:type="dxa"/>
          <w:tblLayout w:type="fixed"/>
        </w:tblPrEx>
        <w:trPr>
          <w:cantSplit/>
          <w:trHeight w:hRule="auto" w:val="0"/>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activos en moneda extranjera </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25.781.445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3.058.312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3.058.312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22.723.133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25.781.445</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00"/>
        <w:gridCol w:w="660"/>
        <w:gridCol w:w="1005"/>
        <w:gridCol w:w="1005"/>
        <w:gridCol w:w="1005"/>
        <w:gridCol w:w="1005"/>
        <w:gridCol w:w="1005"/>
        <w:gridCol w:w="1005"/>
        <w:gridCol w:w="60"/>
        <w:gridCol w:w="1005"/>
      </w:tblGrid>
      <w:tr>
        <w:tblPrEx>
          <w:tblW w:w="12855" w:type="dxa"/>
          <w:tblInd w:w="709" w:type="dxa"/>
          <w:tblLayout w:type="fixed"/>
        </w:tblPrEx>
        <w:trPr>
          <w:cantSplit/>
          <w:trHeight w:hRule="auto" w:val="0"/>
          <w:tblHeader/>
        </w:trPr>
        <w:tc>
          <w:tcPr>
            <w:tcW w:w="51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417</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3.224.327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3.224.327</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3.224.327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3.224.327</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22.710.186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22.710.186</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22.710.186</w:t>
            </w:r>
          </w:p>
        </w:tc>
      </w:tr>
      <w:tr>
        <w:tblPrEx>
          <w:tblW w:w="12855" w:type="dxa"/>
          <w:tblInd w:w="709" w:type="dxa"/>
          <w:tblLayout w:type="fixed"/>
        </w:tblPrEx>
        <w:trPr>
          <w:cantSplit/>
          <w:trHeight w:hRule="auto" w:val="0"/>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25.934.930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3.224.327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3.224.744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22.710.186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25.934.930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pgSz w:w="15840" w:h="12240" w:orient="landscape"/>
          <w:pgMar w:top="1134" w:right="1134" w:bottom="1134" w:left="1134" w:header="0" w:footer="38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6" w:name="Section143"/>
      <w:bookmarkEnd w:id="276"/>
      <w:bookmarkStart w:id="277" w:name="1a7a8ede2a75470bad6d1ccdcb43533c"/>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pasivos.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7"/>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30"/>
        <w:gridCol w:w="660"/>
        <w:gridCol w:w="975"/>
        <w:gridCol w:w="975"/>
        <w:gridCol w:w="975"/>
        <w:gridCol w:w="975"/>
        <w:gridCol w:w="975"/>
        <w:gridCol w:w="975"/>
        <w:gridCol w:w="975"/>
        <w:gridCol w:w="60"/>
        <w:gridCol w:w="975"/>
      </w:tblGrid>
      <w:tr>
        <w:tblPrEx>
          <w:tblW w:w="12150" w:type="dxa"/>
          <w:tblInd w:w="1417" w:type="dxa"/>
          <w:tblLayout w:type="fixed"/>
        </w:tblPrEx>
        <w:trPr>
          <w:cantSplit/>
          <w:trHeight w:hRule="auto" w:val="0"/>
          <w:tblHeader/>
        </w:trPr>
        <w:tc>
          <w:tcPr>
            <w:tcW w:w="36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97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2150" w:type="dxa"/>
          <w:tblInd w:w="1417" w:type="dxa"/>
          <w:tblLayout w:type="fixed"/>
        </w:tblPrEx>
        <w:trPr>
          <w:cantSplit/>
          <w:trHeight w:hRule="auto" w:val="0"/>
          <w:tblHeader/>
        </w:trPr>
        <w:tc>
          <w:tcPr>
            <w:tcW w:w="3630"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150" w:type="dxa"/>
          <w:tblInd w:w="1417" w:type="dxa"/>
          <w:tblLayout w:type="fixed"/>
        </w:tblPrEx>
        <w:trPr>
          <w:cantSplit/>
          <w:trHeight w:hRule="auto" w:val="0"/>
          <w:tblHeader/>
        </w:trPr>
        <w:tc>
          <w:tcPr>
            <w:tcW w:w="3630"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150" w:type="dxa"/>
          <w:tblInd w:w="1417" w:type="dxa"/>
          <w:tblLayout w:type="fixed"/>
        </w:tblPrEx>
        <w:trPr>
          <w:cantSplit/>
          <w:trHeight w:hRule="exact" w:val="60"/>
        </w:trPr>
        <w:tc>
          <w:tcPr>
            <w:tcW w:w="3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3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22.513.357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5.452.005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15.436.855</w:t>
            </w: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20.888.860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1.624.497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22.513.357</w:t>
            </w:r>
          </w:p>
        </w:tc>
      </w:tr>
      <w:tr>
        <w:tblPrEx>
          <w:tblW w:w="12150" w:type="dxa"/>
          <w:tblInd w:w="1417" w:type="dxa"/>
          <w:tblLayout w:type="fixed"/>
        </w:tblPrEx>
        <w:trPr>
          <w:cantSplit/>
          <w:trHeight w:hRule="auto" w:val="0"/>
        </w:trPr>
        <w:tc>
          <w:tcPr>
            <w:tcW w:w="3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682.102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682.102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682.102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682.102</w:t>
            </w:r>
          </w:p>
        </w:tc>
      </w:tr>
      <w:tr>
        <w:tblPrEx>
          <w:tblW w:w="12150" w:type="dxa"/>
          <w:tblInd w:w="1417" w:type="dxa"/>
          <w:tblLayout w:type="fixed"/>
        </w:tblPrEx>
        <w:trPr>
          <w:cantSplit/>
          <w:trHeight w:hRule="auto" w:val="0"/>
        </w:trPr>
        <w:tc>
          <w:tcPr>
            <w:tcW w:w="3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150" w:type="dxa"/>
          <w:tblInd w:w="1417" w:type="dxa"/>
          <w:tblLayout w:type="fixed"/>
        </w:tblPrEx>
        <w:trPr>
          <w:cantSplit/>
          <w:trHeight w:hRule="auto" w:val="0"/>
        </w:trPr>
        <w:tc>
          <w:tcPr>
            <w:tcW w:w="3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3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23.195.459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5.452.005</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16.118.957</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21.570.962</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1.624.497</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23.195.459</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30"/>
        <w:gridCol w:w="660"/>
        <w:gridCol w:w="975"/>
        <w:gridCol w:w="975"/>
        <w:gridCol w:w="975"/>
        <w:gridCol w:w="975"/>
        <w:gridCol w:w="975"/>
        <w:gridCol w:w="975"/>
        <w:gridCol w:w="975"/>
        <w:gridCol w:w="60"/>
        <w:gridCol w:w="975"/>
      </w:tblGrid>
      <w:tr>
        <w:tblPrEx>
          <w:tblW w:w="12150" w:type="dxa"/>
          <w:tblInd w:w="1417" w:type="dxa"/>
          <w:tblLayout w:type="fixed"/>
        </w:tblPrEx>
        <w:trPr>
          <w:cantSplit/>
          <w:trHeight w:hRule="auto" w:val="0"/>
          <w:tblHeader/>
        </w:trPr>
        <w:tc>
          <w:tcPr>
            <w:tcW w:w="36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97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2150" w:type="dxa"/>
          <w:tblInd w:w="1417" w:type="dxa"/>
          <w:tblLayout w:type="fixed"/>
        </w:tblPrEx>
        <w:trPr>
          <w:cantSplit/>
          <w:trHeight w:hRule="auto" w:val="0"/>
          <w:tblHeader/>
        </w:trPr>
        <w:tc>
          <w:tcPr>
            <w:tcW w:w="3630"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150" w:type="dxa"/>
          <w:tblInd w:w="1417" w:type="dxa"/>
          <w:tblLayout w:type="fixed"/>
        </w:tblPrEx>
        <w:trPr>
          <w:cantSplit/>
          <w:trHeight w:hRule="auto" w:val="0"/>
          <w:tblHeader/>
        </w:trPr>
        <w:tc>
          <w:tcPr>
            <w:tcW w:w="3630"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150" w:type="dxa"/>
          <w:tblInd w:w="1417" w:type="dxa"/>
          <w:tblLayout w:type="fixed"/>
        </w:tblPrEx>
        <w:trPr>
          <w:cantSplit/>
          <w:trHeight w:hRule="exact" w:val="60"/>
        </w:trPr>
        <w:tc>
          <w:tcPr>
            <w:tcW w:w="3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3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22.129.061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2.960.841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19.168.220</w:t>
            </w: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22.129.061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22.129.061</w:t>
            </w:r>
          </w:p>
        </w:tc>
      </w:tr>
      <w:tr>
        <w:tblPrEx>
          <w:tblW w:w="12150" w:type="dxa"/>
          <w:tblInd w:w="1417" w:type="dxa"/>
          <w:tblLayout w:type="fixed"/>
        </w:tblPrEx>
        <w:trPr>
          <w:cantSplit/>
          <w:trHeight w:hRule="auto" w:val="0"/>
        </w:trPr>
        <w:tc>
          <w:tcPr>
            <w:tcW w:w="3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614.643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9.422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605.221</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614.643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614.643</w:t>
            </w:r>
          </w:p>
        </w:tc>
      </w:tr>
      <w:tr>
        <w:tblPrEx>
          <w:tblW w:w="12150" w:type="dxa"/>
          <w:tblInd w:w="1417" w:type="dxa"/>
          <w:tblLayout w:type="fixed"/>
        </w:tblPrEx>
        <w:trPr>
          <w:cantSplit/>
          <w:trHeight w:hRule="auto" w:val="0"/>
        </w:trPr>
        <w:tc>
          <w:tcPr>
            <w:tcW w:w="36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4.160.660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4.160.660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4.160.660</w:t>
            </w:r>
          </w:p>
        </w:tc>
      </w:tr>
      <w:tr>
        <w:tblPrEx>
          <w:tblW w:w="12150" w:type="dxa"/>
          <w:tblInd w:w="1417" w:type="dxa"/>
          <w:tblLayout w:type="fixed"/>
        </w:tblPrEx>
        <w:trPr>
          <w:cantSplit/>
          <w:trHeight w:hRule="auto" w:val="0"/>
        </w:trPr>
        <w:tc>
          <w:tcPr>
            <w:tcW w:w="36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290"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26.904.364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2.970.263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19.773.441</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22.743.704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4.160.660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26.904.364</w:t>
            </w:r>
          </w:p>
        </w:tc>
      </w:tr>
    </w:tbl>
    <w:p>
      <w:pPr>
        <w:keepNext w:val="0"/>
        <w:keepLines/>
        <w:pageBreakBefore w:val="0"/>
        <w:widowControl w:val="0"/>
        <w:numPr>
          <w:ilvl w:val="0"/>
          <w:numId w:val="0"/>
        </w:numPr>
        <w:spacing w:before="0" w:after="0" w:line="264"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1418" w:right="0" w:firstLine="0"/>
        <w:jc w:val="both"/>
        <w:outlineLvl w:val="9"/>
        <w:rPr>
          <w:rFonts w:ascii="Calibri" w:eastAsia="Calibri" w:hAnsi="Calibri" w:cs="Calibri"/>
          <w:b w:val="0"/>
          <w:i w:val="0"/>
          <w:color w:val="000000"/>
          <w:sz w:val="20"/>
          <w:u w:val="none"/>
        </w:rPr>
        <w:sectPr>
          <w:headerReference w:type="default" r:id="rId52"/>
          <w:pgSz w:w="15840" w:h="12240" w:orient="landscape"/>
          <w:pgMar w:top="1134" w:right="1134" w:bottom="1134" w:left="1134" w:header="0" w:footer="38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0"/>
        <w:jc w:val="both"/>
        <w:outlineLvl w:val="0"/>
        <w:rPr>
          <w:rFonts w:ascii="Times New Roman" w:eastAsia="Times New Roman" w:hAnsi="Times New Roman" w:cs="Times New Roman"/>
          <w:b/>
          <w:i w:val="0"/>
          <w:color w:val="000000"/>
          <w:sz w:val="24"/>
          <w:u w:val="none"/>
        </w:rPr>
      </w:pPr>
      <w:bookmarkStart w:id="278" w:name="Section144"/>
      <w:bookmarkEnd w:id="278"/>
      <w:bookmarkStart w:id="279" w:name="bf862c72cc3344228a941044262ffdf7"/>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pPr>
      <w:bookmarkEnd w:id="279"/>
    </w:p>
    <w:p>
      <w:pPr>
        <w:keepNext w:val="0"/>
        <w:keepLines/>
        <w:pageBreakBefore w:val="0"/>
        <w:widowControl w:val="0"/>
        <w:numPr>
          <w:ilvl w:val="0"/>
          <w:numId w:val="0"/>
        </w:numPr>
        <w:spacing w:before="0" w:after="0" w:line="264" w:lineRule="auto"/>
        <w:ind w:left="0" w:right="0" w:firstLine="0"/>
        <w:jc w:val="both"/>
        <w:outlineLvl w:val="9"/>
        <w:sectPr>
          <w:headerReference w:type="default" r:id="rId53"/>
          <w:footerReference w:type="default" r:id="rId54"/>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0" w:name="Section145"/>
      <w:bookmarkEnd w:id="280"/>
      <w:bookmarkStart w:id="281" w:name="fbf792c490094fdd80f8306a5c133d09"/>
      <w:r>
        <w:rPr>
          <w:rFonts w:ascii="Calibri" w:eastAsia="Calibri" w:hAnsi="Calibri" w:cs="Calibri"/>
          <w:b/>
          <w:i w:val="0"/>
          <w:color w:val="000000"/>
          <w:sz w:val="20"/>
          <w:u w:val="none"/>
        </w:rPr>
        <w:t>33.1.-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1"/>
    </w:p>
    <w:tbl>
      <w:tblPr>
        <w:tblW w:w="8550" w:type="dxa"/>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95"/>
        <w:gridCol w:w="1620"/>
        <w:gridCol w:w="285"/>
        <w:gridCol w:w="5850"/>
      </w:tblGrid>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32.1.1.-</w:t>
            </w: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Nombre del Juicio</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“Layana con Edelmag.”</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Fecha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31 de mayo de 2023.</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Tribunal</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2° Juzgado de Letras de Punta Arenas.</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Rol Nº</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439-2023.</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Materia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Indemnización de perjuicios extracontractual.</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Cuantía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M$ 101.195.</w:t>
            </w:r>
          </w:p>
        </w:tc>
      </w:tr>
      <w:tr>
        <w:tblPrEx>
          <w:tblW w:w="8550" w:type="dxa"/>
          <w:tblInd w:w="1418" w:type="dxa"/>
          <w:tblLayout w:type="fixed"/>
        </w:tblPrEx>
        <w:trPr>
          <w:cantSplit/>
          <w:trHeight w:hRule="exact" w:val="49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top"/>
          </w:tcPr>
          <w:p>
            <w:pPr>
              <w:keepNext/>
              <w:pageBreakBefore w:val="0"/>
              <w:spacing w:before="53" w:after="30" w:line="240" w:lineRule="auto"/>
              <w:jc w:val="left"/>
            </w:pPr>
            <w:r>
              <w:rPr>
                <w:rFonts w:ascii="Calibri" w:eastAsia="Calibri" w:hAnsi="Calibri" w:cs="Calibri"/>
                <w:b w:val="0"/>
                <w:i w:val="0"/>
                <w:color w:val="000000"/>
                <w:sz w:val="20"/>
                <w:u w:val="none"/>
              </w:rPr>
              <w:t>Estado</w:t>
            </w:r>
          </w:p>
        </w:tc>
        <w:tc>
          <w:tcPr>
            <w:tcW w:w="285" w:type="dxa"/>
            <w:tcBorders>
              <w:top w:val="nil"/>
              <w:left w:val="nil"/>
              <w:bottom w:val="nil"/>
              <w:right w:val="nil"/>
            </w:tcBorders>
            <w:tcMar>
              <w:top w:w="0" w:type="dxa"/>
              <w:left w:w="53" w:type="dxa"/>
              <w:bottom w:w="0" w:type="dxa"/>
              <w:right w:w="53" w:type="dxa"/>
            </w:tcMar>
            <w:vAlign w:val="top"/>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both"/>
            </w:pPr>
            <w:r>
              <w:rPr>
                <w:rFonts w:ascii="Calibri" w:eastAsia="Calibri" w:hAnsi="Calibri" w:cs="Calibri"/>
                <w:b w:val="0"/>
                <w:i w:val="0"/>
                <w:color w:val="000000"/>
                <w:sz w:val="20"/>
                <w:u w:val="none"/>
              </w:rPr>
              <w:t>La demandante presentó un recurso extraordinario de casación con fecha 20 de octubre de 2025</w:t>
            </w:r>
          </w:p>
        </w:tc>
      </w:tr>
      <w:tr>
        <w:tblPrEx>
          <w:tblW w:w="8550" w:type="dxa"/>
          <w:tblInd w:w="1418" w:type="dxa"/>
          <w:tblLayout w:type="fixed"/>
        </w:tblPrEx>
        <w:trPr>
          <w:cantSplit/>
          <w:trHeight w:hRule="exact" w:val="180"/>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2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58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32.1.2.-</w:t>
            </w: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Nombre del Juicio</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“Consorcio con Edelmag.”</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Fecha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10 de julio de 2024.</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Tribunal</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1° Juzgado de Letras de Punta Arenas.</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Rol Nº</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112-2024.</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Materia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Indemnización de perjuicios extracontractual.</w:t>
            </w:r>
          </w:p>
        </w:tc>
      </w:tr>
      <w:tr>
        <w:tblPrEx>
          <w:tblW w:w="8550" w:type="dxa"/>
          <w:tblInd w:w="1418"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Cuantía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UF 717,21.</w:t>
            </w:r>
          </w:p>
        </w:tc>
      </w:tr>
      <w:tr>
        <w:tblPrEx>
          <w:tblW w:w="8550" w:type="dxa"/>
          <w:tblInd w:w="1418" w:type="dxa"/>
          <w:tblLayout w:type="fixed"/>
        </w:tblPrEx>
        <w:trPr>
          <w:cantSplit/>
          <w:trHeight w:hRule="exact" w:val="495"/>
        </w:trPr>
        <w:tc>
          <w:tcPr>
            <w:tcW w:w="7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20"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left"/>
            </w:pPr>
            <w:r>
              <w:rPr>
                <w:rFonts w:ascii="Calibri" w:eastAsia="Calibri" w:hAnsi="Calibri" w:cs="Calibri"/>
                <w:b w:val="0"/>
                <w:i w:val="0"/>
                <w:color w:val="000000"/>
                <w:sz w:val="20"/>
                <w:u w:val="none"/>
              </w:rPr>
              <w:t>Estado</w:t>
            </w:r>
          </w:p>
        </w:tc>
        <w:tc>
          <w:tcPr>
            <w:tcW w:w="285"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both"/>
            </w:pPr>
            <w:r>
              <w:rPr>
                <w:rFonts w:ascii="Calibri" w:eastAsia="Calibri" w:hAnsi="Calibri" w:cs="Calibri"/>
                <w:b w:val="0"/>
                <w:i w:val="0"/>
                <w:color w:val="000000"/>
                <w:sz w:val="20"/>
                <w:u w:val="none"/>
              </w:rPr>
              <w:t>Con fecha 19 de noviembre de 2025 se certificó el vencimiento del término probatorio en la causa.</w:t>
            </w:r>
          </w:p>
        </w:tc>
      </w:tr>
    </w:tbl>
    <w:p>
      <w:pPr>
        <w:keepNext w:val="0"/>
        <w:keepLines/>
        <w:pageBreakBefore w:val="0"/>
        <w:widowControl w:val="0"/>
        <w:numPr>
          <w:ilvl w:val="0"/>
          <w:numId w:val="0"/>
        </w:numPr>
        <w:spacing w:before="0" w:after="0" w:line="264" w:lineRule="auto"/>
        <w:ind w:left="2269" w:right="0" w:hanging="85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2269" w:right="0" w:hanging="851"/>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2" w:name="Section146"/>
      <w:bookmarkEnd w:id="282"/>
      <w:bookmarkStart w:id="283" w:name="718b8ba5ce5e4ef1a81cf20140b46401"/>
      <w:r>
        <w:rPr>
          <w:rFonts w:ascii="Calibri" w:eastAsia="Calibri" w:hAnsi="Calibri" w:cs="Calibri"/>
          <w:b/>
          <w:i w:val="0"/>
          <w:color w:val="000000"/>
          <w:sz w:val="20"/>
          <w:u w:val="none"/>
        </w:rPr>
        <w:t>33.2.-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Sanciones. </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83"/>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la Comisión para el Mercado Financiero.</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los Directores y Ejecutivos de la subsidiaria, no han sido sancionados por la Comisión para el Mercado Financiero 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otras autoridades administrativas.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Directores y Ejecutivos de la Sociedad o su subsidiaria no han sido sancionados por otras autoridades administrativas 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64" w:lineRule="auto"/>
        <w:ind w:left="0"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0" w:right="0" w:firstLine="708"/>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4" w:name="Section147"/>
      <w:bookmarkEnd w:id="284"/>
      <w:bookmarkStart w:id="285" w:name="42caf5b7f9e941dda5743f68a235281b"/>
      <w:r>
        <w:rPr>
          <w:rFonts w:ascii="Calibri" w:eastAsia="Calibri" w:hAnsi="Calibri" w:cs="Calibri"/>
          <w:b/>
          <w:i w:val="0"/>
          <w:color w:val="000000"/>
          <w:sz w:val="20"/>
          <w:u w:val="none"/>
        </w:rPr>
        <w:t>33.3.-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285"/>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del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no ha convenido covenants financieros.</w:t>
      </w:r>
    </w:p>
    <w:p>
      <w:pPr>
        <w:keepNext w:val="0"/>
        <w:keepLines/>
        <w:pageBreakBefore w:val="0"/>
        <w:widowControl w:val="0"/>
        <w:numPr>
          <w:ilvl w:val="0"/>
          <w:numId w:val="0"/>
        </w:numPr>
        <w:spacing w:before="0" w:after="0" w:line="264" w:lineRule="auto"/>
        <w:ind w:left="0"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0" w:right="0" w:firstLine="708"/>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705" w:right="0" w:hanging="705"/>
        <w:jc w:val="both"/>
        <w:outlineLvl w:val="0"/>
        <w:rPr>
          <w:rFonts w:ascii="Cambria" w:eastAsia="Cambria" w:hAnsi="Cambria" w:cs="Cambria"/>
          <w:b/>
          <w:i w:val="0"/>
          <w:color w:val="365F91"/>
          <w:sz w:val="28"/>
          <w:u w:val="none"/>
        </w:rPr>
      </w:pPr>
      <w:bookmarkStart w:id="286" w:name="Section148"/>
      <w:bookmarkEnd w:id="286"/>
      <w:bookmarkStart w:id="287" w:name="fdfd5b4c4e094a1799b42a1284c79787"/>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GARANTÍAS COMPROMETIDAS CON TERCEROS, OTROS ACTIVOS Y PASIVOS CONTINGENTES Y OTROS COMPROMISOS.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bookmarkEnd w:id="287"/>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no registran garantías materiales comprometidas con terceros.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88" w:name="Section149"/>
      <w:bookmarkEnd w:id="288"/>
      <w:bookmarkStart w:id="289" w:name="1b3b24f8f8e84922a90477980bea30ab"/>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9"/>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la subsidiaria Edelmag S.A. para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gridCol w:w="1095"/>
      </w:tblGrid>
      <w:tr>
        <w:tblPrEx>
          <w:tblW w:w="9240" w:type="dxa"/>
          <w:tblInd w:w="720"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Área </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Promedio del ejercicio </w:t>
            </w:r>
          </w:p>
        </w:tc>
      </w:tr>
      <w:tr>
        <w:tblPrEx>
          <w:tblW w:w="9240" w:type="dxa"/>
          <w:tblInd w:w="720"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Gerentes y ejecutivos principales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Profesionales y técnicos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Trabajadores y otros </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Total </w:t>
            </w:r>
          </w:p>
        </w:tc>
        <w:tc>
          <w:tcPr>
            <w:tcW w:w="1095" w:type="dxa"/>
            <w:vMerge/>
            <w:tcBorders>
              <w:top w:val="nil"/>
              <w:left w:val="nil"/>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40" w:type="dxa"/>
          <w:tblInd w:w="720"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Puerto Natales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095" w:type="dxa"/>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10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Puerto Porvenir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09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Puerto Williams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09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Punta Arenas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33</w:t>
            </w:r>
          </w:p>
        </w:tc>
        <w:tc>
          <w:tcPr>
            <w:tcW w:w="1095" w:type="dxa"/>
            <w:tcBorders>
              <w:top w:val="single" w:sz="4" w:space="0" w:color="FFFFFF"/>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102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99</w:t>
            </w:r>
          </w:p>
        </w:tc>
      </w:tr>
      <w:tr>
        <w:tblPrEx>
          <w:tblW w:w="9240" w:type="dxa"/>
          <w:tblInd w:w="720" w:type="dxa"/>
          <w:tblLayout w:type="fixed"/>
        </w:tblPrEx>
        <w:trPr>
          <w:cantSplit/>
          <w:trHeight w:hRule="auto" w:val="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7</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70</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55</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132</w:t>
            </w:r>
          </w:p>
        </w:tc>
        <w:tc>
          <w:tcPr>
            <w:tcW w:w="109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130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gridCol w:w="1095"/>
      </w:tblGrid>
      <w:tr>
        <w:tblPrEx>
          <w:tblW w:w="9240" w:type="dxa"/>
          <w:tblInd w:w="720"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Área </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Promedio del ejercicio </w:t>
            </w:r>
          </w:p>
        </w:tc>
      </w:tr>
      <w:tr>
        <w:tblPrEx>
          <w:tblW w:w="9240" w:type="dxa"/>
          <w:tblInd w:w="720"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Gerentes y ejecutivos principales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Profesionales y técnicos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Trabajadores y otros </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Total </w:t>
            </w:r>
          </w:p>
        </w:tc>
        <w:tc>
          <w:tcPr>
            <w:tcW w:w="1095" w:type="dxa"/>
            <w:vMerge/>
            <w:tcBorders>
              <w:top w:val="nil"/>
              <w:left w:val="nil"/>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40" w:type="dxa"/>
          <w:tblInd w:w="720"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Puerto Natales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095" w:type="dxa"/>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10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Puerto Porvenir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09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Puerto Williams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09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Punta Arenas </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33</w:t>
            </w:r>
          </w:p>
        </w:tc>
        <w:tc>
          <w:tcPr>
            <w:tcW w:w="1095" w:type="dxa"/>
            <w:tcBorders>
              <w:top w:val="single" w:sz="4" w:space="0" w:color="FFFFFF"/>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102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99</w:t>
            </w:r>
          </w:p>
        </w:tc>
      </w:tr>
      <w:tr>
        <w:tblPrEx>
          <w:tblW w:w="9240" w:type="dxa"/>
          <w:tblInd w:w="720" w:type="dxa"/>
          <w:tblLayout w:type="fixed"/>
        </w:tblPrEx>
        <w:trPr>
          <w:cantSplit/>
          <w:trHeight w:hRule="auto" w:val="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7</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64</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57</w:t>
            </w:r>
          </w:p>
        </w:tc>
        <w:tc>
          <w:tcPr>
            <w:tcW w:w="10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128</w:t>
            </w:r>
          </w:p>
        </w:tc>
        <w:tc>
          <w:tcPr>
            <w:tcW w:w="109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126</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highlight w:val="white"/>
          <w:u w:val="none"/>
        </w:rPr>
      </w:pPr>
      <w:bookmarkStart w:id="290" w:name="Section150"/>
      <w:bookmarkEnd w:id="290"/>
      <w:bookmarkStart w:id="291" w:name="c81497de4140474fb91db014586155ef"/>
      <w:r>
        <w:rPr>
          <w:rFonts w:ascii="Calibri" w:eastAsia="Calibri" w:hAnsi="Calibri" w:cs="Calibri"/>
          <w:b/>
          <w:i w:val="0"/>
          <w:color w:val="000000"/>
          <w:sz w:val="20"/>
          <w:highlight w:val="white"/>
          <w:u w:val="none"/>
        </w:rPr>
        <w:t>36.-</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MEDIO AMBIENTE.</w:t>
      </w:r>
    </w:p>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color w:val="000000"/>
          <w:sz w:val="20"/>
          <w:u w:val="none"/>
        </w:rPr>
      </w:pPr>
      <w:bookmarkEnd w:id="291"/>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Edelmag S.A. participa en el mercado de la generación y distribución de energía eléctrica estos negocios por su naturaleza involucran la entrega de un servicio que no altera de manera importante las condiciones medioambientales.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Además de lo anterior, todos los proyectos en que la empresa participa cumplen cabalmente con la normativa y reglamentación existente sobre la materia, los cuales incluyen, en proyectos que así lo requieran, estudios de impacto ambiental.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los desembolsos efectuados con normas de medioambiente para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80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95"/>
        <w:gridCol w:w="2115"/>
        <w:gridCol w:w="2595"/>
        <w:gridCol w:w="900"/>
        <w:gridCol w:w="1800"/>
        <w:gridCol w:w="900"/>
        <w:gridCol w:w="1200"/>
      </w:tblGrid>
      <w:tr>
        <w:tblPrEx>
          <w:tblW w:w="11805" w:type="dxa"/>
          <w:tblInd w:w="720" w:type="dxa"/>
          <w:tblLayout w:type="fixed"/>
        </w:tblPrEx>
        <w:trPr>
          <w:cantSplit/>
          <w:trHeight w:hRule="auto" w:val="0"/>
          <w:tblHeader/>
        </w:trPr>
        <w:tc>
          <w:tcPr>
            <w:tcW w:w="22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1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25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18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20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1805" w:type="dxa"/>
          <w:tblInd w:w="720" w:type="dxa"/>
          <w:tblLayout w:type="fixed"/>
        </w:tblPrEx>
        <w:trPr>
          <w:cantSplit/>
          <w:trHeight w:hRule="auto" w:val="0"/>
          <w:tblHeader/>
        </w:trPr>
        <w:tc>
          <w:tcPr>
            <w:tcW w:w="2295" w:type="dxa"/>
            <w:vMerge/>
            <w:tcBorders>
              <w:top w:val="nil"/>
              <w:left w:val="single" w:sz="2" w:space="0" w:color="000000"/>
              <w:bottom w:val="single" w:sz="2" w:space="0" w:color="000000"/>
              <w:right w:val="nil"/>
            </w:tcBorders>
          </w:tcPr>
          <w:p>
            <w:pPr>
              <w:pageBreakBefore w:val="0"/>
            </w:pPr>
          </w:p>
        </w:tc>
        <w:tc>
          <w:tcPr>
            <w:tcW w:w="2115" w:type="dxa"/>
            <w:vMerge/>
            <w:tcBorders>
              <w:top w:val="nil"/>
              <w:left w:val="single" w:sz="4" w:space="0" w:color="FFFFFF"/>
              <w:bottom w:val="single" w:sz="2" w:space="0" w:color="000000"/>
              <w:right w:val="nil"/>
            </w:tcBorders>
          </w:tcPr>
          <w:p>
            <w:pPr>
              <w:pageBreakBefore w:val="0"/>
            </w:pPr>
          </w:p>
        </w:tc>
        <w:tc>
          <w:tcPr>
            <w:tcW w:w="2595" w:type="dxa"/>
            <w:vMerge/>
            <w:tcBorders>
              <w:top w:val="nil"/>
              <w:left w:val="single" w:sz="4" w:space="0" w:color="FFFFFF"/>
              <w:bottom w:val="single" w:sz="2" w:space="0" w:color="000000"/>
              <w:right w:val="nil"/>
            </w:tcBorders>
          </w:tcPr>
          <w:p>
            <w:pPr>
              <w:pageBreakBefore w:val="0"/>
            </w:pPr>
          </w:p>
        </w:tc>
        <w:tc>
          <w:tcPr>
            <w:tcW w:w="900" w:type="dxa"/>
            <w:vMerge/>
            <w:tcBorders>
              <w:top w:val="nil"/>
              <w:left w:val="single" w:sz="4" w:space="0" w:color="FFFFFF"/>
              <w:bottom w:val="single" w:sz="2" w:space="0" w:color="000000"/>
              <w:right w:val="nil"/>
            </w:tcBorders>
          </w:tcPr>
          <w:p>
            <w:pPr>
              <w:pageBreakBefore w:val="0"/>
            </w:pPr>
          </w:p>
        </w:tc>
        <w:tc>
          <w:tcPr>
            <w:tcW w:w="1800" w:type="dxa"/>
            <w:vMerge/>
            <w:tcBorders>
              <w:top w:val="nil"/>
              <w:left w:val="single" w:sz="4" w:space="0" w:color="FFFFFF"/>
              <w:bottom w:val="single" w:sz="2" w:space="0" w:color="000000"/>
              <w:right w:val="nil"/>
            </w:tcBorders>
          </w:tcPr>
          <w:p>
            <w:pPr>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200" w:type="dxa"/>
            <w:vMerge/>
            <w:tcBorders>
              <w:top w:val="nil"/>
              <w:left w:val="single" w:sz="4" w:space="0" w:color="FFFFFF"/>
              <w:bottom w:val="single" w:sz="2" w:space="0" w:color="000000"/>
              <w:right w:val="single" w:sz="2" w:space="0" w:color="000000"/>
            </w:tcBorders>
          </w:tcPr>
          <w:p>
            <w:pPr>
              <w:pageBreakBefore w:val="0"/>
            </w:pP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4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5.514</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19-01-2026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17-01-2026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validación de datos CEMS IV trimestre 2026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3.260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mantención equipo SCR central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6.436</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validación de datos CEMS Año 2026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1.589</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474</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23-03-2026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Estudio medio ambiente avistamiento Avi fauna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Estudio medio ambiente avistamiento Avi fauna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5.441</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PAS 157 - declaración impacto ambiental Guerrico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Asesoría técnica medio ambiental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7.857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final DIA proyecto Guerrico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Asesoría técnica medio ambiental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13.885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27-03-2026</w:t>
            </w:r>
          </w:p>
        </w:tc>
      </w:tr>
      <w:tr>
        <w:tblPrEx>
          <w:tblW w:w="11805" w:type="dxa"/>
          <w:tblInd w:w="720"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técnico legal - Medio ambiente DIA Guerrico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técnico legal - medio ambiente DIA Guerrico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7.371</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06-04-2026</w:t>
            </w:r>
          </w:p>
        </w:tc>
      </w:tr>
      <w:tr>
        <w:tblPrEx>
          <w:tblW w:w="11805" w:type="dxa"/>
          <w:tblInd w:w="720" w:type="dxa"/>
          <w:tblLayout w:type="fixed"/>
        </w:tblPrEx>
        <w:trPr>
          <w:cantSplit/>
          <w:trHeight w:hRule="auto" w:val="0"/>
        </w:trPr>
        <w:tc>
          <w:tcPr>
            <w:tcW w:w="2295"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2115"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2595"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900"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67.675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160" w:line="300"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82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25"/>
        <w:gridCol w:w="2115"/>
        <w:gridCol w:w="2595"/>
        <w:gridCol w:w="900"/>
        <w:gridCol w:w="1800"/>
        <w:gridCol w:w="900"/>
        <w:gridCol w:w="1185"/>
      </w:tblGrid>
      <w:tr>
        <w:tblPrEx>
          <w:tblW w:w="11820" w:type="dxa"/>
          <w:tblInd w:w="709" w:type="dxa"/>
          <w:tblLayout w:type="fixed"/>
        </w:tblPrEx>
        <w:trPr>
          <w:cantSplit/>
          <w:trHeight w:hRule="auto" w:val="0"/>
          <w:tblHeader/>
        </w:trPr>
        <w:tc>
          <w:tcPr>
            <w:tcW w:w="23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1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25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18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1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1820" w:type="dxa"/>
          <w:tblInd w:w="709" w:type="dxa"/>
          <w:tblLayout w:type="fixed"/>
        </w:tblPrEx>
        <w:trPr>
          <w:cantSplit/>
          <w:trHeight w:hRule="auto" w:val="0"/>
          <w:tblHeader/>
        </w:trPr>
        <w:tc>
          <w:tcPr>
            <w:tcW w:w="2325" w:type="dxa"/>
            <w:vMerge/>
            <w:tcBorders>
              <w:top w:val="nil"/>
              <w:left w:val="single" w:sz="2" w:space="0" w:color="000000"/>
              <w:bottom w:val="single" w:sz="2" w:space="0" w:color="000000"/>
              <w:right w:val="nil"/>
            </w:tcBorders>
          </w:tcPr>
          <w:p>
            <w:pPr>
              <w:pageBreakBefore w:val="0"/>
            </w:pPr>
          </w:p>
        </w:tc>
        <w:tc>
          <w:tcPr>
            <w:tcW w:w="2115" w:type="dxa"/>
            <w:vMerge/>
            <w:tcBorders>
              <w:top w:val="nil"/>
              <w:left w:val="single" w:sz="4" w:space="0" w:color="FFFFFF"/>
              <w:bottom w:val="single" w:sz="2" w:space="0" w:color="000000"/>
              <w:right w:val="nil"/>
            </w:tcBorders>
          </w:tcPr>
          <w:p>
            <w:pPr>
              <w:pageBreakBefore w:val="0"/>
            </w:pPr>
          </w:p>
        </w:tc>
        <w:tc>
          <w:tcPr>
            <w:tcW w:w="2595" w:type="dxa"/>
            <w:vMerge/>
            <w:tcBorders>
              <w:top w:val="nil"/>
              <w:left w:val="single" w:sz="4" w:space="0" w:color="FFFFFF"/>
              <w:bottom w:val="single" w:sz="2" w:space="0" w:color="000000"/>
              <w:right w:val="nil"/>
            </w:tcBorders>
          </w:tcPr>
          <w:p>
            <w:pPr>
              <w:pageBreakBefore w:val="0"/>
            </w:pPr>
          </w:p>
        </w:tc>
        <w:tc>
          <w:tcPr>
            <w:tcW w:w="900" w:type="dxa"/>
            <w:vMerge/>
            <w:tcBorders>
              <w:top w:val="nil"/>
              <w:left w:val="single" w:sz="4" w:space="0" w:color="FFFFFF"/>
              <w:bottom w:val="single" w:sz="2" w:space="0" w:color="000000"/>
              <w:right w:val="nil"/>
            </w:tcBorders>
          </w:tcPr>
          <w:p>
            <w:pPr>
              <w:pageBreakBefore w:val="0"/>
            </w:pPr>
          </w:p>
        </w:tc>
        <w:tc>
          <w:tcPr>
            <w:tcW w:w="1800" w:type="dxa"/>
            <w:vMerge/>
            <w:tcBorders>
              <w:top w:val="nil"/>
              <w:left w:val="single" w:sz="4" w:space="0" w:color="FFFFFF"/>
              <w:bottom w:val="single" w:sz="2" w:space="0" w:color="000000"/>
              <w:right w:val="nil"/>
            </w:tcBorders>
          </w:tcPr>
          <w:p>
            <w:pPr>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185" w:type="dxa"/>
            <w:vMerge/>
            <w:tcBorders>
              <w:top w:val="nil"/>
              <w:left w:val="single" w:sz="4" w:space="0" w:color="FFFFFF"/>
              <w:bottom w:val="single" w:sz="2" w:space="0" w:color="000000"/>
              <w:right w:val="single" w:sz="2" w:space="0" w:color="000000"/>
            </w:tcBorders>
          </w:tcPr>
          <w:p>
            <w:pPr>
              <w:pageBreakBefore w:val="0"/>
            </w:pP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HP3 Ingreso DIA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40.217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Modificación planos restitución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282</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4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5.329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Letrero DIA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Certificado de vigencia poder JR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Certificados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5.579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17-02-2025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Viaje por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482</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25-02-2025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8.110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Proyecto Eólico PUQ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Proyecto Eólico PNT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20-03-2025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7.079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26-03-2025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revisión DIA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15.169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17.189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1.891</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proyectos generación 2024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5.601</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463</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 N°1 - 50% Estudios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12.445</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09-04-2025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Registro SISAT (correcciones UGE CPN y CPO)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verificación y corrección de datos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518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19.250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1 2025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5.423</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465</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6.878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13-05-2025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traslado UGE CAT</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4.310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Respuesta resolución exenta N° 576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2.938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2.034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8.214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Sistema mitigación de emisiones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Mantenimiento equipos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13.658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HP1 ING.CAM - 30% Inicio de trabajos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2.017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06-06-2025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1.990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8.614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7.687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HP2 ING.CAM - 50% entrega ingeniería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3.475</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HP3 ING.CAM - 20% ingeniería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1.382</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Adquisición gases patrones Nacionales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2.979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Consultas procedimiento pago impuesto a emisiones periodo 2023 CPN (junio 2025)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1.470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2 2025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5.438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4.425</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Desarrollo estructuras para instalación de silenciadores TG N°4 y TG N°9 y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Desarrollo  de estructuras para instalaciones de silenciadores TG N°4 y TG N°9 y mano de obra interna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7.828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calibración SCR Porvenir INERCO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CEMS tercer trimestre 2025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393</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 N°2 - 50% Estudios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12.795</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1.812</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3.475</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técnico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6.042</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Honorarios julio agosto 2025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3.818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3.988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por estructura y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por estructura y mano de obra interna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3.574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hito N°1 de contrato por entrega de planos de montaje con Cofama S.A. más pago de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hito N°1 de Contrato por entrega de planos de montaje con Cofama S.A. más pago de mano de obra interna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14.188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8.686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31-08-2025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de ruido CPA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1.379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de ruido CPN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Monitoreo calidad de aire CPA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17.633</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Monitoreo calidad de aire CPN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17.633</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11.857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 y externa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 y externa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8.822</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servicio de ingeniería mano de obra interna y externa.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servicio de ingeniería mano de obra interna y externa.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7.254</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calibración SCR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1.072</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anual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6.149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50.230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14-10-2025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hito N°2 de contrato por entrega de planos de montaje con Cofama S.A. más pago de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motor portátil CAT 3512 UG N°14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14.386</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28-10-2025</w:t>
            </w:r>
          </w:p>
        </w:tc>
      </w:tr>
      <w:tr>
        <w:tblPrEx>
          <w:tblW w:w="11820" w:type="dxa"/>
          <w:tblInd w:w="709" w:type="dxa"/>
          <w:tblLayout w:type="fixed"/>
        </w:tblPrEx>
        <w:trPr>
          <w:cantSplit/>
          <w:trHeight w:hRule="exact" w:val="42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reparación Servidor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395</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31-10-2025</w:t>
            </w:r>
          </w:p>
        </w:tc>
      </w:tr>
      <w:tr>
        <w:tblPrEx>
          <w:tblW w:w="11820" w:type="dxa"/>
          <w:tblInd w:w="709" w:type="dxa"/>
          <w:tblLayout w:type="fixed"/>
        </w:tblPrEx>
        <w:trPr>
          <w:cantSplit/>
          <w:trHeight w:hRule="exact" w:val="48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30.397</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DSS 50% estudio meteorológico PEPN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1.909</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03-11-2025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GEO4D levantamiento topográfico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4.150</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03-11-2025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3 2025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5.501</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10-11-2025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471</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11-11-2025</w:t>
            </w:r>
          </w:p>
        </w:tc>
      </w:tr>
      <w:tr>
        <w:tblPrEx>
          <w:tblW w:w="11820" w:type="dxa"/>
          <w:tblInd w:w="709" w:type="dxa"/>
          <w:tblLayout w:type="fixed"/>
        </w:tblPrEx>
        <w:trPr>
          <w:cantSplit/>
          <w:trHeight w:hRule="auto" w:val="0"/>
        </w:trPr>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- 2025/10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193</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21-11-2025</w:t>
            </w:r>
          </w:p>
        </w:tc>
      </w:tr>
      <w:tr>
        <w:tblPrEx>
          <w:tblW w:w="11820" w:type="dxa"/>
          <w:tblInd w:w="709" w:type="dxa"/>
          <w:tblLayout w:type="fixed"/>
        </w:tblPrEx>
        <w:trPr>
          <w:cantSplit/>
          <w:trHeight w:hRule="auto" w:val="0"/>
        </w:trPr>
        <w:tc>
          <w:tcPr>
            <w:tcW w:w="2325"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2115"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2595"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900" w:type="dxa"/>
            <w:tcBorders>
              <w:top w:val="single" w:sz="2" w:space="0" w:color="000000"/>
              <w:left w:val="nil"/>
              <w:bottom w:val="nil"/>
              <w:right w:val="nil"/>
            </w:tcBorders>
            <w:tcMar>
              <w:top w:w="0" w:type="dxa"/>
              <w:left w:w="53" w:type="dxa"/>
              <w:bottom w:w="0" w:type="dxa"/>
              <w:right w:w="53" w:type="dxa"/>
            </w:tcMar>
            <w:vAlign w:val="bottom"/>
          </w:tcPr>
          <w:p>
            <w:pPr>
              <w:pageBreakBefore w:val="0"/>
              <w:spacing w:before="38" w:after="20" w:line="240" w:lineRule="auto"/>
              <w:jc w:val="left"/>
            </w:pP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586.502</w:t>
            </w:r>
          </w:p>
        </w:tc>
        <w:tc>
          <w:tcPr>
            <w:tcW w:w="1185" w:type="dxa"/>
            <w:tcBorders>
              <w:top w:val="single" w:sz="2" w:space="0" w:color="000000"/>
              <w:left w:val="single" w:sz="2" w:space="0" w:color="000000"/>
              <w:bottom w:val="nil"/>
              <w:right w:val="nil"/>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55"/>
          <w:footerReference w:type="default" r:id="rId56"/>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92" w:name="Section151"/>
      <w:bookmarkEnd w:id="292"/>
      <w:bookmarkStart w:id="293" w:name="3f427ca645af4f59b2900572f4c7771f"/>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93"/>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conformidad a lo establecido en el artículo 192° de la Ley General de Servicios Eléctricos, con fecha 09 de febrero de 2026, la Superintendencia de Electricidad y Combustibles emitió la Resolución Exenta Electrónica         N° 37.613, mediante la cual se establecen el plazo, la forma y condiciones en que las empresas concesionarias de distribución de electricidad deberán abonar o cargar a las cuentas de sus usuarios las diferencias tarifarias producidas por la entrada en vigencia del Decreto Tarifario 5T/2024. Dicho decreto fijó las fórmulas tarifarias aplicables a los suministros sujetos a precios regulados para el cuadrienio 2020-2024, particularmente para los consumos correspondientes al periodo comprendido entre noviembre de 2020 y mayo de 2024, y fue publicado en el Diario Oficial y tomada razón por la Contraloría General de la República con fecha 21 de abril de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Resolución establece que el proceso de reliquidación deberá iniciarse a contar del 1 de abril de 2026. En este contexto, la Compañía se encuentra ejecutando y evaluando los procesos necesarios para dar cumplimiento a lo instruido por la autoridad, incluyendo el análisis de los potenciales efectos en las cuentas a cobrar a clientes, los pasivos asociados y los flujos de efectivo futuros, los cuales serán reconocidos en el período en que se materialice su aplicación.</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fecha de cierre de los estados financieros consolidados, y su fecha de presentación, no han ocurrido otros hechos significativos de carácter financiero-contable que pudieran afectar el patrimonio de la Sociedad o la interpretación de éstos.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sectPr>
      <w:headerReference w:type="default" r:id="rId57"/>
      <w:footerReference w:type="default" r:id="rId58"/>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498.9pt;height:1.98pt">
          <v:imagedata r:id="rId1" o:title=""/>
          <o:lock v:ext="edit" aspectratio="t"/>
        </v:shape>
      </w:pict>
    </w:r>
  </w:p>
  <w:p>
    <w:pPr>
      <w:pStyle w:val="Estndar"/>
      <w:keepNext w:val="0"/>
      <w:keepLines/>
      <w:pageBreakBefore w:val="0"/>
      <w:widowControl w:val="0"/>
      <w:numPr>
        <w:ilvl w:val="0"/>
        <w:numId w:val="0"/>
      </w:numPr>
      <w:tabs>
        <w:tab w:val="right" w:pos="940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0"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498.9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23</w:t>
    </w:r>
    <w:r>
      <w:rPr>
        <w:rFonts w:ascii="Calibri" w:eastAsia="Calibri" w:hAnsi="Calibri" w:cs="Calibri"/>
        <w:b w:val="0"/>
        <w:i w:val="0"/>
        <w:sz w:val="20"/>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277"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77" w:right="-198"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24</w:t>
    </w:r>
    <w:r>
      <w:rPr>
        <w:rFonts w:ascii="Calibri" w:eastAsia="Calibri" w:hAnsi="Calibri" w:cs="Calibri"/>
        <w:b w:val="0"/>
        <w:i w:val="0"/>
        <w:sz w:val="20"/>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498.9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48</w:t>
    </w:r>
    <w:r>
      <w:rPr>
        <w:rFonts w:ascii="Calibri" w:eastAsia="Calibri" w:hAnsi="Calibri" w:cs="Calibri"/>
        <w:b w:val="0"/>
        <w:i w:val="0"/>
        <w:sz w:val="20"/>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277"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77" w:right="-198"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49</w:t>
    </w:r>
    <w:r>
      <w:rPr>
        <w:rFonts w:ascii="Calibri" w:eastAsia="Calibri" w:hAnsi="Calibri" w:cs="Calibri"/>
        <w:b w:val="0"/>
        <w:i w:val="0"/>
        <w:sz w:val="20"/>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498.9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52</w:t>
    </w:r>
    <w:r>
      <w:rPr>
        <w:rFonts w:ascii="Calibri" w:eastAsia="Calibri" w:hAnsi="Calibri" w:cs="Calibri"/>
        <w:b w:val="0"/>
        <w:i w:val="0"/>
        <w:sz w:val="20"/>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277" w:right="737"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77" w:right="737"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53</w:t>
    </w:r>
    <w:r>
      <w:rPr>
        <w:rFonts w:ascii="Calibri" w:eastAsia="Calibri" w:hAnsi="Calibri" w:cs="Calibri"/>
        <w:b w:val="0"/>
        <w:i w:val="0"/>
        <w:sz w:val="20"/>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56</w:t>
    </w:r>
    <w:r>
      <w:rPr>
        <w:rFonts w:ascii="Calibri" w:eastAsia="Calibri" w:hAnsi="Calibri" w:cs="Calibri"/>
        <w:b w:val="0"/>
        <w:i w:val="0"/>
        <w:sz w:val="20"/>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278"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78" w:right="-198"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w:t>
    </w:r>
    <w:r>
      <w:rPr>
        <w:rFonts w:ascii="Calibri" w:eastAsia="Calibri" w:hAnsi="Calibri" w:cs="Calibri"/>
        <w:b w:val="0"/>
        <w:i w:val="0"/>
        <w:sz w:val="20"/>
      </w:rPr>
      <w:tab/>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58</w:t>
    </w:r>
    <w:r>
      <w:rPr>
        <w:rFonts w:ascii="Calibri" w:eastAsia="Calibri" w:hAnsi="Calibri" w:cs="Calibri"/>
        <w:b w:val="0"/>
        <w:i w:val="0"/>
        <w:sz w:val="20"/>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1"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59</w:t>
    </w:r>
    <w:r>
      <w:rPr>
        <w:rFonts w:ascii="Calibri" w:eastAsia="Calibri" w:hAnsi="Calibri" w:cs="Calibri"/>
        <w:b w:val="0"/>
        <w:i w:val="0"/>
        <w:sz w:val="20"/>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2"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60</w:t>
    </w:r>
    <w:r>
      <w:rPr>
        <w:rFonts w:ascii="Calibri" w:eastAsia="Calibri" w:hAnsi="Calibri" w:cs="Calibri"/>
        <w:b w:val="0"/>
        <w:i w:val="0"/>
        <w:sz w:val="20"/>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277"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3"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77" w:right="-198"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62</w:t>
    </w:r>
    <w:r>
      <w:rPr>
        <w:rFonts w:ascii="Calibri" w:eastAsia="Calibri" w:hAnsi="Calibri" w:cs="Calibri"/>
        <w:b w:val="0"/>
        <w:i w:val="0"/>
        <w:sz w:val="20"/>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68</w:t>
    </w:r>
    <w:r>
      <w:rPr>
        <w:rFonts w:ascii="Calibri" w:eastAsia="Calibri" w:hAnsi="Calibri" w:cs="Calibri"/>
        <w:b w:val="0"/>
        <w:i w:val="0"/>
        <w:sz w:val="20"/>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5"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69</w:t>
    </w:r>
    <w:r>
      <w:rPr>
        <w:rFonts w:ascii="Calibri" w:eastAsia="Calibri" w:hAnsi="Calibri" w:cs="Calibri"/>
        <w:b w:val="0"/>
        <w:i w:val="0"/>
        <w:sz w:val="20"/>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6"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74</w:t>
    </w:r>
    <w:r>
      <w:rPr>
        <w:rFonts w:ascii="Calibri" w:eastAsia="Calibri" w:hAnsi="Calibri" w:cs="Calibri"/>
        <w:b w:val="0"/>
        <w:i w:val="0"/>
        <w:sz w:val="20"/>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7"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115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76</w:t>
    </w:r>
    <w:r>
      <w:rPr>
        <w:rFonts w:ascii="Calibri" w:eastAsia="Calibri" w:hAnsi="Calibri" w:cs="Calibri"/>
        <w:b w:val="0"/>
        <w:i w:val="0"/>
        <w:sz w:val="20"/>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8"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84</w:t>
    </w:r>
    <w:r>
      <w:rPr>
        <w:rFonts w:ascii="Calibri" w:eastAsia="Calibri" w:hAnsi="Calibri" w:cs="Calibri"/>
        <w:b w:val="0"/>
        <w:i w:val="0"/>
        <w:sz w:val="20"/>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9"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2240" w:right="0" w:firstLine="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85</w:t>
    </w:r>
    <w:r>
      <w:rPr>
        <w:rFonts w:ascii="Calibri" w:eastAsia="Calibri" w:hAnsi="Calibri" w:cs="Calibri"/>
        <w:b w:val="0"/>
        <w:i w:val="0"/>
        <w:sz w:val="20"/>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0"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92</w:t>
    </w:r>
    <w:r>
      <w:rPr>
        <w:rFonts w:ascii="Calibri" w:eastAsia="Calibri" w:hAnsi="Calibri" w:cs="Calibri"/>
        <w:b w:val="0"/>
        <w:i w:val="0"/>
        <w:sz w:val="20"/>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234"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1"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34" w:right="-198"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99</w:t>
    </w:r>
    <w:r>
      <w:rPr>
        <w:rFonts w:ascii="Calibri" w:eastAsia="Calibri" w:hAnsi="Calibri" w:cs="Calibri"/>
        <w:b w:val="0"/>
        <w:i w:val="0"/>
        <w:sz w:val="20"/>
      </w:rPr>
      <w:fldChar w:fldCharType="end"/>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2"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7920" w:right="0" w:firstLine="720"/>
      <w:jc w:val="both"/>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          Página</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101</w:t>
    </w:r>
    <w:r>
      <w:rPr>
        <w:rFonts w:ascii="Calibri" w:eastAsia="Calibri" w:hAnsi="Calibri" w:cs="Calibri"/>
        <w:b w:val="0"/>
        <w:i w:val="0"/>
        <w:sz w:val="20"/>
      </w:rP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277"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3" type="#_x0000_t75" style="width:677.48pt;height:1.98pt">
          <v:imagedata r:id="rId1" o:title=""/>
          <o:lock v:ext="edit" aspectratio="t"/>
        </v:shape>
      </w:pict>
    </w:r>
  </w:p>
  <w:p>
    <w:pPr>
      <w:keepNext w:val="0"/>
      <w:keepLines/>
      <w:pageBreakBefore w:val="0"/>
      <w:widowControl w:val="0"/>
      <w:numPr>
        <w:ilvl w:val="0"/>
        <w:numId w:val="0"/>
      </w:numPr>
      <w:tabs>
        <w:tab w:val="right" w:pos="12760"/>
      </w:tabs>
      <w:spacing w:before="0" w:after="0" w:line="240" w:lineRule="exact"/>
      <w:ind w:left="277" w:right="-198" w:firstLine="72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106</w:t>
    </w:r>
    <w:r>
      <w:rPr>
        <w:rFonts w:ascii="Calibri" w:eastAsia="Calibri" w:hAnsi="Calibri" w:cs="Calibri"/>
        <w:b w:val="0"/>
        <w:i w:val="0"/>
        <w:sz w:val="20"/>
      </w:rPr>
      <w:fldChar w:fldCharType="end"/>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4"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107</w:t>
    </w:r>
    <w:r>
      <w:rPr>
        <w:rFonts w:ascii="Calibri" w:eastAsia="Calibri" w:hAnsi="Calibri" w:cs="Calibri"/>
        <w:b w:val="0"/>
        <w:i w:val="0"/>
        <w:sz w:val="20"/>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right" w:pos="8500"/>
      </w:tabs>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right" w:pos="8500"/>
      </w:tabs>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24.72pt;height:69.35pt">
          <v:imagedata r:id="rId1" o:title=""/>
          <o:lock v:ext="edit" aspectratio="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left" w:pos="2580"/>
        <w:tab w:val="center" w:pos="4240"/>
        <w:tab w:val="left" w:pos="5880"/>
        <w:tab w:val="center" w:pos="6720"/>
        <w:tab w:val="right" w:pos="8500"/>
        <w:tab w:val="right" w:pos="8820"/>
        <w:tab w:val="left" w:pos="10840"/>
      </w:tabs>
      <w:spacing w:before="0" w:after="24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left" w:pos="2580"/>
        <w:tab w:val="center" w:pos="4240"/>
        <w:tab w:val="left" w:pos="5880"/>
        <w:tab w:val="center" w:pos="6720"/>
        <w:tab w:val="right" w:pos="8500"/>
        <w:tab w:val="right" w:pos="8820"/>
        <w:tab w:val="left" w:pos="10840"/>
      </w:tabs>
      <w:spacing w:before="0" w:after="24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567"/>
        </w:tabs>
        <w:ind w:left="720" w:hanging="360"/>
      </w:pPr>
      <w:rPr>
        <w:rFonts w:ascii="Calibri" w:eastAsia="Calibri" w:hAnsi="Calibri" w:cs="Calibri"/>
        <w:b/>
        <w:i w:val="0"/>
        <w:strike w:val="0"/>
        <w:color w:val="000000"/>
        <w:sz w:val="20"/>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hybridMultilevel"/>
    <w:tmpl w:val="0000000E"/>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multilevel"/>
    <w:tmpl w:val="00000002"/>
    <w:lvl w:ilvl="0">
      <w:start w:val="1"/>
      <w:numFmt w:val="decimal"/>
      <w:lvlText w:val="%1."/>
      <w:lvlJc w:val="left"/>
      <w:pPr>
        <w:tabs>
          <w:tab w:val="num" w:pos="1776"/>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04"/>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23">
    <w:nsid w:val="00000018"/>
    <w:multiLevelType w:val="multilevel"/>
    <w:tmpl w:val="00000004"/>
    <w:lvl w:ilvl="0">
      <w:start w:val="2"/>
      <w:numFmt w:val="lowerLetter"/>
      <w:lvlText w:val="%1)"/>
      <w:lvlJc w:val="left"/>
      <w:pPr>
        <w:tabs>
          <w:tab w:val="num" w:pos="2127"/>
        </w:tabs>
        <w:ind w:left="720" w:hanging="360"/>
      </w:pPr>
      <w:rPr>
        <w:rFonts w:ascii="Calibri" w:eastAsia="Calibri" w:hAnsi="Calibri" w:cs="Calibri"/>
        <w:b w:val="0"/>
        <w:i w:val="0"/>
        <w:strike w:val="0"/>
        <w:color w:val="000000"/>
        <w:sz w:val="20"/>
        <w:highlight w:val="white"/>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3.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header" Target="header6.xml" /><Relationship Id="rId15" Type="http://schemas.openxmlformats.org/officeDocument/2006/relationships/footer" Target="footer5.xml" /><Relationship Id="rId16" Type="http://schemas.openxmlformats.org/officeDocument/2006/relationships/header" Target="header7.xml" /><Relationship Id="rId17" Type="http://schemas.openxmlformats.org/officeDocument/2006/relationships/footer" Target="footer6.xml" /><Relationship Id="rId18" Type="http://schemas.openxmlformats.org/officeDocument/2006/relationships/header" Target="header8.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footer" Target="footer8.xml" /><Relationship Id="rId22" Type="http://schemas.openxmlformats.org/officeDocument/2006/relationships/header" Target="header10.xml" /><Relationship Id="rId23" Type="http://schemas.openxmlformats.org/officeDocument/2006/relationships/footer" Target="footer9.xml" /><Relationship Id="rId24" Type="http://schemas.openxmlformats.org/officeDocument/2006/relationships/header" Target="header11.xml" /><Relationship Id="rId25" Type="http://schemas.openxmlformats.org/officeDocument/2006/relationships/footer" Target="footer10.xml" /><Relationship Id="rId26" Type="http://schemas.openxmlformats.org/officeDocument/2006/relationships/header" Target="header12.xml" /><Relationship Id="rId27" Type="http://schemas.openxmlformats.org/officeDocument/2006/relationships/footer" Target="footer11.xml" /><Relationship Id="rId28" Type="http://schemas.openxmlformats.org/officeDocument/2006/relationships/header" Target="header13.xml" /><Relationship Id="rId29" Type="http://schemas.openxmlformats.org/officeDocument/2006/relationships/footer" Target="footer12.xml" /><Relationship Id="rId3" Type="http://schemas.openxmlformats.org/officeDocument/2006/relationships/fontTable" Target="fontTable.xml" /><Relationship Id="rId30" Type="http://schemas.openxmlformats.org/officeDocument/2006/relationships/header" Target="header14.xml" /><Relationship Id="rId31" Type="http://schemas.openxmlformats.org/officeDocument/2006/relationships/footer" Target="footer13.xml" /><Relationship Id="rId32" Type="http://schemas.openxmlformats.org/officeDocument/2006/relationships/header" Target="header15.xml" /><Relationship Id="rId33" Type="http://schemas.openxmlformats.org/officeDocument/2006/relationships/footer" Target="footer14.xml" /><Relationship Id="rId34" Type="http://schemas.openxmlformats.org/officeDocument/2006/relationships/header" Target="header16.xml" /><Relationship Id="rId35" Type="http://schemas.openxmlformats.org/officeDocument/2006/relationships/footer" Target="footer15.xml" /><Relationship Id="rId36" Type="http://schemas.openxmlformats.org/officeDocument/2006/relationships/header" Target="header17.xml" /><Relationship Id="rId37" Type="http://schemas.openxmlformats.org/officeDocument/2006/relationships/footer" Target="footer16.xml" /><Relationship Id="rId38" Type="http://schemas.openxmlformats.org/officeDocument/2006/relationships/header" Target="header18.xml" /><Relationship Id="rId39" Type="http://schemas.openxmlformats.org/officeDocument/2006/relationships/footer" Target="footer17.xml" /><Relationship Id="rId4" Type="http://schemas.openxmlformats.org/officeDocument/2006/relationships/header" Target="header1.xml" /><Relationship Id="rId40" Type="http://schemas.openxmlformats.org/officeDocument/2006/relationships/header" Target="header19.xml" /><Relationship Id="rId41" Type="http://schemas.openxmlformats.org/officeDocument/2006/relationships/footer" Target="footer18.xml" /><Relationship Id="rId42" Type="http://schemas.openxmlformats.org/officeDocument/2006/relationships/header" Target="header20.xml" /><Relationship Id="rId43" Type="http://schemas.openxmlformats.org/officeDocument/2006/relationships/footer" Target="footer19.xml" /><Relationship Id="rId44" Type="http://schemas.openxmlformats.org/officeDocument/2006/relationships/header" Target="header21.xml" /><Relationship Id="rId45" Type="http://schemas.openxmlformats.org/officeDocument/2006/relationships/footer" Target="footer20.xml" /><Relationship Id="rId46" Type="http://schemas.openxmlformats.org/officeDocument/2006/relationships/header" Target="header22.xml" /><Relationship Id="rId47" Type="http://schemas.openxmlformats.org/officeDocument/2006/relationships/footer" Target="footer21.xml" /><Relationship Id="rId48" Type="http://schemas.openxmlformats.org/officeDocument/2006/relationships/header" Target="header23.xml" /><Relationship Id="rId49" Type="http://schemas.openxmlformats.org/officeDocument/2006/relationships/footer" Target="footer22.xml" /><Relationship Id="rId5" Type="http://schemas.openxmlformats.org/officeDocument/2006/relationships/footer" Target="footer1.xml" /><Relationship Id="rId50" Type="http://schemas.openxmlformats.org/officeDocument/2006/relationships/header" Target="header24.xml" /><Relationship Id="rId51" Type="http://schemas.openxmlformats.org/officeDocument/2006/relationships/footer" Target="footer23.xml" /><Relationship Id="rId52" Type="http://schemas.openxmlformats.org/officeDocument/2006/relationships/header" Target="header25.xml" /><Relationship Id="rId53" Type="http://schemas.openxmlformats.org/officeDocument/2006/relationships/header" Target="header26.xml" /><Relationship Id="rId54" Type="http://schemas.openxmlformats.org/officeDocument/2006/relationships/footer" Target="footer24.xml" /><Relationship Id="rId55" Type="http://schemas.openxmlformats.org/officeDocument/2006/relationships/header" Target="header27.xml" /><Relationship Id="rId56" Type="http://schemas.openxmlformats.org/officeDocument/2006/relationships/footer" Target="footer25.xml" /><Relationship Id="rId57" Type="http://schemas.openxmlformats.org/officeDocument/2006/relationships/header" Target="header28.xml" /><Relationship Id="rId58" Type="http://schemas.openxmlformats.org/officeDocument/2006/relationships/footer" Target="footer26.xml" /><Relationship Id="rId59" Type="http://schemas.openxmlformats.org/officeDocument/2006/relationships/theme" Target="theme/theme1.xml" /><Relationship Id="rId6" Type="http://schemas.openxmlformats.org/officeDocument/2006/relationships/header" Target="header2.xml" /><Relationship Id="rId60" Type="http://schemas.openxmlformats.org/officeDocument/2006/relationships/numbering" Target="numbering.xml" /><Relationship Id="rId61" Type="http://schemas.openxmlformats.org/officeDocument/2006/relationships/styles" Target="styles.xml" /><Relationship Id="rId7" Type="http://schemas.openxmlformats.org/officeDocument/2006/relationships/image" Target="media/image2.png" /><Relationship Id="rId8" Type="http://schemas.openxmlformats.org/officeDocument/2006/relationships/header" Target="header3.xml" /><Relationship Id="rId9" Type="http://schemas.openxmlformats.org/officeDocument/2006/relationships/footer" Target="footer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s>
</file>

<file path=word/_rels/footer3.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footer14.xml.rels><?xml version="1.0" encoding="utf-8" standalone="yes"?><Relationships xmlns="http://schemas.openxmlformats.org/package/2006/relationships"><Relationship Id="rId1" Type="http://schemas.openxmlformats.org/officeDocument/2006/relationships/image" Target="media/image2.png" /></Relationships>
</file>

<file path=word/_rels/footer15.xml.rels><?xml version="1.0" encoding="utf-8" standalone="yes"?><Relationships xmlns="http://schemas.openxmlformats.org/package/2006/relationships"><Relationship Id="rId1" Type="http://schemas.openxmlformats.org/officeDocument/2006/relationships/image" Target="media/image2.png" /></Relationships>
</file>

<file path=word/_rels/footer16.xml.rels><?xml version="1.0" encoding="utf-8" standalone="yes"?><Relationships xmlns="http://schemas.openxmlformats.org/package/2006/relationships"><Relationship Id="rId1" Type="http://schemas.openxmlformats.org/officeDocument/2006/relationships/image" Target="media/image2.png" /></Relationships>
</file>

<file path=word/_rels/footer17.xml.rels><?xml version="1.0" encoding="utf-8" standalone="yes"?><Relationships xmlns="http://schemas.openxmlformats.org/package/2006/relationships"><Relationship Id="rId1" Type="http://schemas.openxmlformats.org/officeDocument/2006/relationships/image" Target="media/image2.png" /></Relationships>
</file>

<file path=word/_rels/footer18.xml.rels><?xml version="1.0" encoding="utf-8" standalone="yes"?><Relationships xmlns="http://schemas.openxmlformats.org/package/2006/relationships"><Relationship Id="rId1" Type="http://schemas.openxmlformats.org/officeDocument/2006/relationships/image" Target="media/image2.png" /></Relationships>
</file>

<file path=word/_rels/footer19.xml.rels><?xml version="1.0" encoding="utf-8" standalone="yes"?><Relationships xmlns="http://schemas.openxmlformats.org/package/2006/relationships"><Relationship Id="rId1" Type="http://schemas.openxmlformats.org/officeDocument/2006/relationships/image" Target="media/image2.png" /></Relationships>
</file>

<file path=word/_rels/footer20.xml.rels><?xml version="1.0" encoding="utf-8" standalone="yes"?><Relationships xmlns="http://schemas.openxmlformats.org/package/2006/relationships"><Relationship Id="rId1" Type="http://schemas.openxmlformats.org/officeDocument/2006/relationships/image" Target="media/image2.png" /></Relationships>
</file>

<file path=word/_rels/footer21.xml.rels><?xml version="1.0" encoding="utf-8" standalone="yes"?><Relationships xmlns="http://schemas.openxmlformats.org/package/2006/relationships"><Relationship Id="rId1" Type="http://schemas.openxmlformats.org/officeDocument/2006/relationships/image" Target="media/image2.png" /></Relationships>
</file>

<file path=word/_rels/footer22.xml.rels><?xml version="1.0" encoding="utf-8" standalone="yes"?><Relationships xmlns="http://schemas.openxmlformats.org/package/2006/relationships"><Relationship Id="rId1" Type="http://schemas.openxmlformats.org/officeDocument/2006/relationships/image" Target="media/image2.png" /></Relationships>
</file>

<file path=word/_rels/footer23.xml.rels><?xml version="1.0" encoding="utf-8" standalone="yes"?><Relationships xmlns="http://schemas.openxmlformats.org/package/2006/relationships"><Relationship Id="rId1" Type="http://schemas.openxmlformats.org/officeDocument/2006/relationships/image" Target="media/image2.png" /></Relationships>
</file>

<file path=word/_rels/footer24.xml.rels><?xml version="1.0" encoding="utf-8" standalone="yes"?><Relationships xmlns="http://schemas.openxmlformats.org/package/2006/relationships"><Relationship Id="rId1" Type="http://schemas.openxmlformats.org/officeDocument/2006/relationships/image" Target="media/image2.png" /></Relationships>
</file>

<file path=word/_rels/footer25.xml.rels><?xml version="1.0" encoding="utf-8" standalone="yes"?><Relationships xmlns="http://schemas.openxmlformats.org/package/2006/relationships"><Relationship Id="rId1" Type="http://schemas.openxmlformats.org/officeDocument/2006/relationships/image" Target="media/image2.png" /></Relationships>
</file>

<file path=word/_rels/footer26.xml.rels><?xml version="1.0" encoding="utf-8" standalone="yes"?><Relationships xmlns="http://schemas.openxmlformats.org/package/2006/relationships"><Relationship Id="rId1"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109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E110 (ESP) - EE.FF 06-2026 - CGE Magallanes S.A.</dc:title>
  <cp:revision>1</cp:revision>
</cp:coreProperties>
</file>