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bookmarkStart w:id="0" w:name="Section1"/>
      <w:bookmarkEnd w:id="0"/>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3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30"/>
          <w:u w:val="none"/>
        </w:rPr>
      </w:pPr>
    </w:p>
    <w:p w:rsidR="00A77B3E">
      <w:pPr>
        <w:pStyle w:val="Normal-wk"/>
        <w:keepNext w:val="0"/>
        <w:keepLines/>
        <w:pageBreakBefore w:val="0"/>
        <w:widowControl w:val="0"/>
        <w:numPr>
          <w:ilvl w:val="0"/>
          <w:numId w:val="0"/>
        </w:numPr>
        <w:tabs>
          <w:tab w:val="left" w:pos="1340"/>
        </w:tabs>
        <w:spacing w:before="0" w:after="0" w:line="480" w:lineRule="exact"/>
        <w:ind w:left="0" w:right="0" w:firstLine="0"/>
        <w:jc w:val="center"/>
        <w:outlineLvl w:val="0"/>
        <w:rPr>
          <w:rFonts w:ascii="Calibri" w:eastAsia="Calibri" w:hAnsi="Calibri" w:cs="Calibri"/>
          <w:b w:val="0"/>
          <w:i w:val="0"/>
          <w:color w:val="000000"/>
          <w:sz w:val="40"/>
          <w:u w:val="none"/>
        </w:rPr>
      </w:pPr>
      <w:r>
        <w:rPr>
          <w:rFonts w:ascii="Calibri" w:eastAsia="Calibri" w:hAnsi="Calibri" w:cs="Calibri"/>
          <w:b/>
          <w:i w:val="0"/>
          <w:color w:val="000000"/>
          <w:sz w:val="40"/>
          <w:u w:val="none"/>
        </w:rPr>
        <w:t>COMPAÑÍA GENERAL DE ELECTRICIDAD S.A.</w:t>
      </w:r>
    </w:p>
    <w:p w:rsidR="00A77B3E">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40"/>
          <w:u w:val="none"/>
        </w:rPr>
      </w:pPr>
      <w:r>
        <w:rPr>
          <w:rFonts w:ascii="Calibri" w:eastAsia="Calibri" w:hAnsi="Calibri" w:cs="Calibri"/>
          <w:b/>
          <w:i w:val="0"/>
          <w:color w:val="000000"/>
          <w:sz w:val="40"/>
          <w:u w:val="none"/>
        </w:rPr>
        <w:t>Y SUBSIDIARIAS</w:t>
      </w: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sz w:val="20"/>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Arial" w:eastAsia="Arial" w:hAnsi="Arial" w:cs="Arial"/>
          <w:b w:val="0"/>
          <w:i w:val="0"/>
          <w:color w:val="000000"/>
          <w:sz w:val="22"/>
          <w:u w:val="none"/>
        </w:rPr>
      </w:pPr>
      <w:r>
        <w:rPr>
          <w:rFonts w:ascii="Calibri" w:eastAsia="Calibri" w:hAnsi="Calibri" w:cs="Calibri"/>
          <w:b/>
          <w:i w:val="0"/>
          <w:sz w:val="36"/>
        </w:rPr>
        <w:t xml:space="preserve">ESTADOS FINANCIEROS CONSOLIDADOS INTERMEDIOS </w:t>
      </w:r>
    </w:p>
    <w:p w:rsidR="00A77B3E">
      <w:pPr>
        <w:keepNext w:val="0"/>
        <w:keepLines/>
        <w:pageBreakBefore w:val="0"/>
        <w:widowControl w:val="0"/>
        <w:numPr>
          <w:ilvl w:val="0"/>
          <w:numId w:val="0"/>
        </w:numPr>
        <w:spacing w:before="0" w:after="0" w:line="288" w:lineRule="auto"/>
        <w:ind w:left="0" w:right="0" w:firstLine="0"/>
        <w:jc w:val="center"/>
        <w:outlineLvl w:val="9"/>
        <w:rPr>
          <w:rFonts w:ascii="Arial" w:eastAsia="Arial" w:hAnsi="Arial" w:cs="Arial"/>
          <w:b w:val="0"/>
          <w:i w:val="0"/>
          <w:sz w:val="22"/>
        </w:rPr>
      </w:pPr>
      <w:r>
        <w:rPr>
          <w:rFonts w:ascii="Calibri" w:eastAsia="Calibri" w:hAnsi="Calibri" w:cs="Calibri"/>
          <w:b/>
          <w:i w:val="0"/>
          <w:sz w:val="24"/>
        </w:rPr>
        <w:t>(Expresados en miles de pesos chilenos)</w:t>
      </w:r>
    </w:p>
    <w:p w:rsidR="00A77B3E">
      <w:pPr>
        <w:keepNext w:val="0"/>
        <w:keepLines/>
        <w:pageBreakBefore w:val="0"/>
        <w:widowControl w:val="0"/>
        <w:numPr>
          <w:ilvl w:val="0"/>
          <w:numId w:val="0"/>
        </w:numPr>
        <w:spacing w:before="0" w:after="0" w:line="288" w:lineRule="exact"/>
        <w:ind w:left="0" w:right="0" w:firstLine="0"/>
        <w:jc w:val="center"/>
        <w:outlineLvl w:val="9"/>
        <w:rPr>
          <w:rFonts w:ascii="Arial" w:eastAsia="Arial" w:hAnsi="Arial" w:cs="Arial"/>
          <w:b/>
          <w:i w:val="0"/>
          <w:sz w:val="22"/>
        </w:rPr>
      </w:pPr>
      <w:r>
        <w:rPr>
          <w:rFonts w:ascii="Calibri" w:eastAsia="Calibri" w:hAnsi="Calibri" w:cs="Calibri"/>
          <w:b/>
          <w:i w:val="0"/>
          <w:sz w:val="24"/>
        </w:rPr>
        <w:t>Correspondientes a los períodos terminados al</w:t>
      </w: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30 de junio de 2026 y 2025</w:t>
      </w:r>
    </w:p>
    <w:p w:rsidR="00A77B3E">
      <w:pPr>
        <w:keepNext w:val="0"/>
        <w:keepLines/>
        <w:pageBreakBefore w:val="0"/>
        <w:widowControl w:val="0"/>
        <w:numPr>
          <w:ilvl w:val="0"/>
          <w:numId w:val="0"/>
        </w:numPr>
        <w:spacing w:before="0" w:after="0" w:line="288" w:lineRule="auto"/>
        <w:ind w:left="0" w:right="0" w:firstLine="0"/>
        <w:jc w:val="center"/>
        <w:outlineLvl w:val="9"/>
        <w:sectPr>
          <w:headerReference w:type="default" r:id="rId4"/>
          <w:footerReference w:type="default" r:id="rId5"/>
          <w:headerReference w:type="first" r:id="rId6"/>
          <w:footerReference w:type="first" r:id="rId7"/>
          <w:pgSz w:w="12240" w:h="15840"/>
          <w:pgMar w:top="1134" w:right="1134" w:bottom="1134" w:left="1134" w:header="595" w:footer="0" w:gutter="0"/>
          <w:cols w:space="708"/>
          <w:titlePg/>
          <w:docGrid w:linePitch="360"/>
        </w:sectPr>
      </w:pP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bookmarkStart w:id="1" w:name="Section2"/>
      <w:bookmarkEnd w:id="1"/>
    </w:p>
    <w:p>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i w:val="0"/>
          <w:color w:val="000000"/>
          <w:sz w:val="28"/>
          <w:u w:val="none"/>
        </w:rPr>
        <w:t>CONTENIDO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Normal-wk"/>
        <w:keepNext w:val="0"/>
        <w:keepLines/>
        <w:pageBreakBefore w:val="0"/>
        <w:widowControl w:val="0"/>
        <w:numPr>
          <w:ilvl w:val="0"/>
          <w:numId w:val="13"/>
        </w:numPr>
        <w:spacing w:before="0" w:after="0" w:line="288" w:lineRule="auto"/>
        <w:ind w:left="720"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ESTADOS FINANCIEROS CONSOLIDADOS INTERMEDIOS.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INTERMEDIO DE SITUACIÓN FINANCIERA CLASIFICADO.</w:t>
      </w: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w:t>
      </w: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y pasivos.</w:t>
      </w: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INTERMEDIO DE RESULTADOS POR FUNCIÓN.</w:t>
      </w: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INTERMEDIO DE RESULTADO INTEGRAL.</w:t>
      </w: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INTERMEDIO DE CAMBIOS EN EL PATRIMONIO NETO.</w:t>
      </w: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CONSOLIDADO INTERMEDIO DE FLUJO DE EFECTIVO DIRECTO.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3"/>
        </w:numPr>
        <w:spacing w:before="0" w:after="0" w:line="288" w:lineRule="auto"/>
        <w:ind w:left="720"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NOTAS A LOS ESTADOS FINANCIEROS CONSOLIDADOS INTERMEDIOS.</w:t>
      </w:r>
    </w:p>
    <w:p>
      <w:pPr>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4"/>
          <w:u w:val="none"/>
        </w:rPr>
      </w:pPr>
    </w:p>
    <w:p>
      <w:pPr>
        <w:pStyle w:val="Normal-wk"/>
        <w:keepNext w:val="0"/>
        <w:keepLines/>
        <w:pageBreakBefore w:val="0"/>
        <w:widowControl w:val="0"/>
        <w:numPr>
          <w:ilvl w:val="0"/>
          <w:numId w:val="0"/>
        </w:numPr>
        <w:tabs>
          <w:tab w:val="left" w:pos="700"/>
        </w:tabs>
        <w:spacing w:before="0" w:after="0" w:line="288" w:lineRule="auto"/>
        <w:ind w:left="108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4"/>
          <w:u w:val="none"/>
        </w:rPr>
        <w:tab/>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pPr>
        <w:pStyle w:val="Normal-wk"/>
        <w:keepNext w:val="0"/>
        <w:keepLines/>
        <w:pageBreakBefore w:val="0"/>
        <w:widowControl w:val="0"/>
        <w:numPr>
          <w:ilvl w:val="0"/>
          <w:numId w:val="0"/>
        </w:numPr>
        <w:tabs>
          <w:tab w:val="left" w:pos="700"/>
        </w:tabs>
        <w:spacing w:before="0" w:after="0" w:line="240" w:lineRule="exact"/>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EUR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Euro.</w:t>
      </w:r>
    </w:p>
    <w:p>
      <w:pPr>
        <w:pStyle w:val="Normal-wk"/>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CNH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Yuan chino.</w:t>
      </w:r>
    </w:p>
    <w:p>
      <w:pPr>
        <w:pStyle w:val="Normal-wk"/>
        <w:keepNext w:val="0"/>
        <w:keepLines/>
        <w:pageBreakBefore w:val="0"/>
        <w:widowControl w:val="0"/>
        <w:numPr>
          <w:ilvl w:val="0"/>
          <w:numId w:val="0"/>
        </w:numPr>
        <w:spacing w:before="0" w:after="0" w:line="288" w:lineRule="auto"/>
        <w:ind w:left="0" w:right="0" w:firstLine="709"/>
        <w:jc w:val="both"/>
        <w:outlineLvl w:val="9"/>
        <w:sectPr>
          <w:headerReference w:type="default" r:id="rId8"/>
          <w:footerReference w:type="default" r:id="rId9"/>
          <w:headerReference w:type="first" r:id="rId10"/>
          <w:footerReference w:type="first" r:id="rId11"/>
          <w:pgSz w:w="12240" w:h="15840"/>
          <w:pgMar w:top="1134" w:right="1134" w:bottom="1134" w:left="1559" w:header="0" w:footer="0"/>
          <w:cols w:space="708"/>
          <w:titlePg/>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COMPAÑÍA GENERAL DE ELECTRICIDAD S.A. Y SUBSIDIARIAS</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ESTADO CONSOLIDADO INTERMEDIO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w:t>
      </w:r>
      <w:r>
        <w:rPr>
          <w:rFonts w:ascii="Calibri" w:eastAsia="Calibri" w:hAnsi="Calibri" w:cs="Calibri"/>
          <w:b/>
          <w:i w:val="0"/>
          <w:color w:val="000000"/>
          <w:sz w:val="20"/>
          <w:u w:val="none"/>
        </w:rPr>
        <w:t xml:space="preserve"> (no auditado)</w:t>
      </w:r>
      <w:r>
        <w:rPr>
          <w:rFonts w:ascii="Calibri" w:eastAsia="Calibri" w:hAnsi="Calibri" w:cs="Calibri"/>
          <w:b/>
          <w:i w:val="0"/>
          <w:sz w:val="20"/>
        </w:rPr>
        <w:t xml:space="preserve"> y </w:t>
      </w:r>
      <w:r>
        <w:rPr>
          <w:rFonts w:ascii="Calibri" w:eastAsia="Calibri" w:hAnsi="Calibri" w:cs="Calibri"/>
          <w:b/>
          <w:i w:val="0"/>
          <w:color w:val="000000"/>
          <w:sz w:val="20"/>
          <w:u w:val="none"/>
        </w:rPr>
        <w:t>31 de diciembre de 2025</w:t>
      </w:r>
      <w:r>
        <w:rPr>
          <w:rFonts w:ascii="Calibri" w:eastAsia="Calibri" w:hAnsi="Calibri" w:cs="Calibri"/>
          <w:b/>
          <w:i w:val="0"/>
          <w:sz w:val="20"/>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55"/>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55"/>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28.288.013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3.079.196</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812.364.214</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1.867.591</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4.452.597</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1.034.244</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851.085.855</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financieros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2.706.041</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8.280</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681.214.603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617.500.991</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161.446.233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1.724.853.142</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 de inversión.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10.854.348</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derecho de uso.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28.309.893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39.334.666</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3.266.228.197</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4.117.314.052</w:t>
            </w:r>
          </w:p>
        </w:tc>
      </w:tr>
    </w:tbl>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COMPAÑÍA GENERAL DE ELECTRICIDAD S.A. Y SUBSIDIARIAS</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SITUACIÓN FINANCIERA CLASIFICADO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w:t>
      </w:r>
      <w:r>
        <w:rPr>
          <w:rFonts w:ascii="Calibri" w:eastAsia="Calibri" w:hAnsi="Calibri" w:cs="Calibri"/>
          <w:b/>
          <w:i w:val="0"/>
          <w:sz w:val="20"/>
        </w:rPr>
        <w:t xml:space="preserve"> (no auditado) y </w:t>
      </w:r>
      <w:r>
        <w:rPr>
          <w:rFonts w:ascii="Calibri" w:eastAsia="Calibri" w:hAnsi="Calibri" w:cs="Calibri"/>
          <w:b/>
          <w:i w:val="0"/>
          <w:color w:val="000000"/>
          <w:sz w:val="20"/>
          <w:u w:val="none"/>
        </w:rPr>
        <w:t>31 de diciembre de 2025</w:t>
      </w:r>
      <w:r>
        <w:rPr>
          <w:rFonts w:ascii="Calibri" w:eastAsia="Calibri" w:hAnsi="Calibri" w:cs="Calibri"/>
          <w:b/>
          <w:i w:val="0"/>
          <w:sz w:val="20"/>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12" o:title=""/>
            <o:lock v:ext="edit" aspectratio="t"/>
          </v:shape>
        </w:pic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65"/>
        <w:gridCol w:w="495"/>
        <w:gridCol w:w="1200"/>
        <w:gridCol w:w="1200"/>
      </w:tblGrid>
      <w:tr>
        <w:tblPrEx>
          <w:tblW w:w="9960" w:type="dxa"/>
          <w:tblInd w:w="0" w:type="dxa"/>
          <w:tblLayout w:type="fixed"/>
        </w:tblPrEx>
        <w:trPr>
          <w:cantSplit/>
          <w:trHeight w:hRule="auto" w:val="0"/>
        </w:trPr>
        <w:tc>
          <w:tcPr>
            <w:tcW w:w="7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4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auto" w:val="0"/>
        </w:trPr>
        <w:tc>
          <w:tcPr>
            <w:tcW w:w="7065" w:type="dxa"/>
            <w:vMerge/>
            <w:tcBorders>
              <w:top w:val="nil"/>
              <w:left w:val="single" w:sz="2" w:space="0" w:color="000000"/>
              <w:bottom w:val="single" w:sz="2" w:space="0" w:color="000000"/>
              <w:right w:val="nil"/>
            </w:tcBorders>
          </w:tcPr>
          <w:p>
            <w:pPr>
              <w:keepNext/>
              <w:pageBreakBefore w:val="0"/>
            </w:pPr>
          </w:p>
        </w:tc>
        <w:tc>
          <w:tcPr>
            <w:tcW w:w="495"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417.410.666</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6.395.674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633.060.459</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75.008.242</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corto plazo.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49.979.342</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no financieros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19.323.078</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1.201.177.461</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no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800.219.162</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no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6.707.935</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no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219.508.836</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no corrientes.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328.320.729</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 por impuestos diferidos.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28.593.670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26.828.878</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1.410.179.210</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2.611.356.671</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1.232.423.425</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342.940.327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(108.847.247)</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atribuible a los propietarios de la controladora</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1.466.516.505</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Participaciones no controladoras.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39.440.876</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1.505.957.381</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49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4.117.314.052</w:t>
            </w:r>
          </w:p>
        </w:tc>
      </w:tr>
    </w:tbl>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COMPAÑÍA GENERAL DE ELECTRICIDAD S.A. Y SUBSIDIARIAS</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w:t>
      </w:r>
      <w:r>
        <w:rPr>
          <w:rFonts w:ascii="Calibri" w:eastAsia="Calibri" w:hAnsi="Calibri" w:cs="Calibri"/>
          <w:b/>
          <w:i w:val="0"/>
          <w:color w:val="000000"/>
          <w:sz w:val="20"/>
          <w:u w:val="none"/>
        </w:rPr>
        <w:t>O INTERMEDIO DE RESULTADOS POR FUNCIÓN</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w:t>
      </w:r>
      <w:r>
        <w:rPr>
          <w:rFonts w:ascii="Calibri" w:eastAsia="Calibri" w:hAnsi="Calibri" w:cs="Calibri"/>
          <w:b/>
          <w:i w:val="0"/>
          <w:color w:val="000000"/>
          <w:sz w:val="20"/>
          <w:u w:val="none"/>
        </w:rPr>
        <w:t>is</w:t>
      </w:r>
      <w:r>
        <w:rPr>
          <w:rFonts w:ascii="Calibri" w:eastAsia="Calibri" w:hAnsi="Calibri" w:cs="Calibri"/>
          <w:b/>
          <w:i w:val="0"/>
          <w:color w:val="000000"/>
          <w:sz w:val="20"/>
          <w:u w:val="none"/>
        </w:rPr>
        <w:t xml:space="preserve"> y tres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65"/>
        <w:gridCol w:w="495"/>
        <w:gridCol w:w="1200"/>
        <w:gridCol w:w="1200"/>
        <w:gridCol w:w="1200"/>
        <w:gridCol w:w="1200"/>
      </w:tblGrid>
      <w:tr>
        <w:tblPrEx>
          <w:tblW w:w="9960" w:type="dxa"/>
          <w:tblInd w:w="0" w:type="dxa"/>
          <w:tblLayout w:type="fixed"/>
        </w:tblPrEx>
        <w:trPr>
          <w:cantSplit/>
          <w:trHeight w:hRule="exact" w:val="255"/>
        </w:trPr>
        <w:tc>
          <w:tcPr>
            <w:tcW w:w="46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960" w:type="dxa"/>
          <w:tblInd w:w="0" w:type="dxa"/>
          <w:tblLayout w:type="fixed"/>
        </w:tblPrEx>
        <w:trPr>
          <w:cantSplit/>
          <w:trHeight w:hRule="exact" w:val="255"/>
        </w:trPr>
        <w:tc>
          <w:tcPr>
            <w:tcW w:w="466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55"/>
        </w:trPr>
        <w:tc>
          <w:tcPr>
            <w:tcW w:w="4665" w:type="dxa"/>
            <w:vMerge/>
            <w:tcBorders>
              <w:top w:val="nil"/>
              <w:left w:val="single" w:sz="2" w:space="0" w:color="000000"/>
              <w:bottom w:val="single" w:sz="2" w:space="0" w:color="000000"/>
              <w:right w:val="nil"/>
            </w:tcBorders>
          </w:tcPr>
          <w:p>
            <w:pPr>
              <w:keepNext/>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1.204.770.238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(578.077.177)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608.746.686</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(1.070.087.625)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507.431.667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(544.846.614)</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134.682.613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(70.645.510)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63.900.072</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6.929.117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(3.474.374)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3.521.950</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(64.697.402)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33.457.596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(33.414.407)</w:t>
            </w:r>
          </w:p>
        </w:tc>
      </w:tr>
      <w:tr>
        <w:tblPrEx>
          <w:tblW w:w="9960" w:type="dxa"/>
          <w:tblInd w:w="0" w:type="dxa"/>
          <w:tblLayout w:type="fixed"/>
        </w:tblPrEx>
        <w:trPr>
          <w:cantSplit/>
          <w:trHeight w:hRule="exact" w:val="58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(22.589.058)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(823.867)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(8.595.596)</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(4.899.016)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528.670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(612.456)</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49.426.254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(40.957.485)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24.799.563</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10.203.834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(11.808.892)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5.534.292</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(37.615.745)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22.975.432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(19.714.577)</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561.101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6.040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204.033</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(17.157.669)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2.414.725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(7.549.428)</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5.417.775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(27.370.180)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3.273.883</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3.237.318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7.054.174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1.003.427</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8.655.093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(20.316.006)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4.277.310</w:t>
            </w: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 los propietarios de la controladora</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6.419.662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(19.019.619)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(19.019.619)</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atribuible a participaciones no controladoras.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2.235.431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(1.296.387)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(1.296.387)</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8.655.093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(20.316.006)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4.277.310</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por acción</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(9,42)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1,52</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(9,42)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1,52</w:t>
            </w:r>
          </w:p>
        </w:tc>
      </w:tr>
    </w:tbl>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COMPAÑÍA GENERAL DE ELECTRICIDAD S.A.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RESULTADO INTEGRAL</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seis</w:t>
      </w:r>
      <w:r>
        <w:rPr>
          <w:rFonts w:ascii="Calibri" w:eastAsia="Calibri" w:hAnsi="Calibri" w:cs="Calibri"/>
          <w:b/>
          <w:i w:val="0"/>
          <w:color w:val="000000"/>
          <w:sz w:val="20"/>
          <w:u w:val="none"/>
        </w:rPr>
        <w:t xml:space="preserve"> </w:t>
      </w:r>
      <w:r>
        <w:rPr>
          <w:rFonts w:ascii="Calibri" w:eastAsia="Calibri" w:hAnsi="Calibri" w:cs="Calibri"/>
          <w:b/>
          <w:i w:val="0"/>
          <w:color w:val="000000"/>
          <w:sz w:val="20"/>
          <w:u w:val="none"/>
        </w:rPr>
        <w:t xml:space="preserve">y tres </w:t>
      </w:r>
      <w:r>
        <w:rPr>
          <w:rFonts w:ascii="Calibri" w:eastAsia="Calibri" w:hAnsi="Calibri" w:cs="Calibri"/>
          <w:b/>
          <w:i w:val="0"/>
          <w:color w:val="000000"/>
          <w:sz w:val="20"/>
          <w:u w:val="none"/>
        </w:rPr>
        <w:t xml:space="preserve">meses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65"/>
        <w:gridCol w:w="495"/>
        <w:gridCol w:w="1200"/>
        <w:gridCol w:w="1200"/>
        <w:gridCol w:w="1200"/>
        <w:gridCol w:w="1200"/>
      </w:tblGrid>
      <w:tr>
        <w:tblPrEx>
          <w:tblW w:w="9960" w:type="dxa"/>
          <w:tblInd w:w="0" w:type="dxa"/>
          <w:tblLayout w:type="fixed"/>
        </w:tblPrEx>
        <w:trPr>
          <w:cantSplit/>
          <w:trHeight w:hRule="auto" w:val="0"/>
          <w:tblHeader/>
        </w:trPr>
        <w:tc>
          <w:tcPr>
            <w:tcW w:w="46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960" w:type="dxa"/>
          <w:tblInd w:w="0" w:type="dxa"/>
          <w:tblLayout w:type="fixed"/>
        </w:tblPrEx>
        <w:trPr>
          <w:cantSplit/>
          <w:trHeight w:hRule="auto" w:val="0"/>
          <w:tblHeader/>
        </w:trPr>
        <w:tc>
          <w:tcPr>
            <w:tcW w:w="466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4665" w:type="dxa"/>
            <w:vMerge/>
            <w:tcBorders>
              <w:top w:val="nil"/>
              <w:left w:val="single" w:sz="2" w:space="0" w:color="000000"/>
              <w:bottom w:val="single" w:sz="2" w:space="0" w:color="000000"/>
              <w:right w:val="nil"/>
            </w:tcBorders>
          </w:tcPr>
          <w:p>
            <w:pPr>
              <w:keepNext/>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8.655.093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(20.316.006)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4.277.310</w:t>
            </w: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2.388.152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1.217.908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2.716.653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(501.239)</w:t>
            </w: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 que no se reclasificará al resultado del periodo, antes de impuestos.</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2.388.152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1.217.908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2.716.653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(501.239)</w:t>
            </w:r>
          </w:p>
        </w:tc>
      </w:tr>
      <w:tr>
        <w:tblPrEx>
          <w:tblW w:w="9960" w:type="dxa"/>
          <w:tblInd w:w="0"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se reclasificarán al resultado del período, antes de impuestos.</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nil"/>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Coberturas del flujo de efectivo.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40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por coberturas de flujos de efectivo, antes de impuestos.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1.094.892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(392.427)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(627.883)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(1.487.320)</w:t>
            </w: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 antes de impuestos, coberturas del flujo de efectivo.</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1.094.892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(392.427)</w:t>
            </w:r>
          </w:p>
        </w:tc>
        <w:tc>
          <w:tcPr>
            <w:tcW w:w="12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(627.883)</w:t>
            </w:r>
          </w:p>
        </w:tc>
        <w:tc>
          <w:tcPr>
            <w:tcW w:w="1200" w:type="dxa"/>
            <w:tcBorders>
              <w:top w:val="single" w:sz="2" w:space="0" w:color="000000"/>
              <w:left w:val="single" w:sz="2" w:space="0" w:color="000000"/>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(1.487.320)</w:t>
            </w: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40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 que se reclasificará al resultado del periodo, antes de impuestos.</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1.094.892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(392.427)</w:t>
            </w: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(627.883)</w:t>
            </w:r>
          </w:p>
        </w:tc>
        <w:tc>
          <w:tcPr>
            <w:tcW w:w="1200" w:type="dxa"/>
            <w:tcBorders>
              <w:top w:val="nil"/>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(1.487.320)</w:t>
            </w:r>
          </w:p>
        </w:tc>
      </w:tr>
      <w:tr>
        <w:tblPrEx>
          <w:tblW w:w="9960" w:type="dxa"/>
          <w:tblInd w:w="0" w:type="dxa"/>
          <w:tblLayout w:type="fixed"/>
        </w:tblPrEx>
        <w:trPr>
          <w:cantSplit/>
          <w:trHeight w:hRule="exact" w:val="6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componentes de otro resultado integral, antes de impuestos.</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3.483.044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825.481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2.088.770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(1.988.559)</w:t>
            </w:r>
          </w:p>
        </w:tc>
      </w:tr>
      <w:tr>
        <w:tblPrEx>
          <w:tblW w:w="9960" w:type="dxa"/>
          <w:tblInd w:w="0"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no se reclasificará al resultado del periodo.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exact" w:val="40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(848.495)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(328.835)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(937.191)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135.333</w:t>
            </w: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acumulados relativos a componentes de otro resultado integral que no se reclasificarán al resultado del periodo.</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(848.495)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(328.835)</w:t>
            </w:r>
          </w:p>
        </w:tc>
        <w:tc>
          <w:tcPr>
            <w:tcW w:w="12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(937.191)</w:t>
            </w:r>
          </w:p>
        </w:tc>
        <w:tc>
          <w:tcPr>
            <w:tcW w:w="1200" w:type="dxa"/>
            <w:tcBorders>
              <w:top w:val="single" w:sz="2" w:space="0" w:color="000000"/>
              <w:left w:val="single" w:sz="2" w:space="0" w:color="000000"/>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135.333</w:t>
            </w:r>
          </w:p>
        </w:tc>
      </w:tr>
      <w:tr>
        <w:tblPrEx>
          <w:tblW w:w="9960" w:type="dxa"/>
          <w:tblInd w:w="0"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se reclasificará al resultado del periodo.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coberturas de flujos de efectivo de otro resultado integral.</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(295.622)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105.955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169.528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401.576</w:t>
            </w:r>
          </w:p>
        </w:tc>
      </w:tr>
      <w:tr>
        <w:tblPrEx>
          <w:tblW w:w="9960" w:type="dxa"/>
          <w:tblInd w:w="0" w:type="dxa"/>
          <w:tblLayout w:type="fixed"/>
        </w:tblPrEx>
        <w:trPr>
          <w:cantSplit/>
          <w:trHeight w:hRule="exact" w:val="40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acumulados relativos a componentes de otro resultado integral que se reclasificarán al resultado del periodo.</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(295.622)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105.955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169.528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401.576</w:t>
            </w:r>
          </w:p>
        </w:tc>
      </w:tr>
      <w:tr>
        <w:tblPrEx>
          <w:tblW w:w="9960" w:type="dxa"/>
          <w:tblInd w:w="0"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2.338.927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602.601</w:t>
            </w: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1.321.107</w:t>
            </w:r>
          </w:p>
        </w:tc>
        <w:tc>
          <w:tcPr>
            <w:tcW w:w="1200" w:type="dxa"/>
            <w:tcBorders>
              <w:top w:val="nil"/>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(1.451.650)</w:t>
            </w:r>
          </w:p>
        </w:tc>
      </w:tr>
      <w:tr>
        <w:tblPrEx>
          <w:tblW w:w="9960" w:type="dxa"/>
          <w:tblInd w:w="0"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total.</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2.338.927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9.257.694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(18.994.899)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2.825.660</w:t>
            </w:r>
          </w:p>
        </w:tc>
      </w:tr>
      <w:tr>
        <w:tblPrEx>
          <w:tblW w:w="9960" w:type="dxa"/>
          <w:tblInd w:w="0"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w:t>
            </w:r>
          </w:p>
        </w:tc>
        <w:tc>
          <w:tcPr>
            <w:tcW w:w="4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 los propietarios de la controladora.</w:t>
            </w:r>
          </w:p>
        </w:tc>
        <w:tc>
          <w:tcPr>
            <w:tcW w:w="4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2.016.611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6.932.871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(18.033.446)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1.573.086</w:t>
            </w:r>
          </w:p>
        </w:tc>
      </w:tr>
      <w:tr>
        <w:tblPrEx>
          <w:tblW w:w="9960" w:type="dxa"/>
          <w:tblInd w:w="0" w:type="dxa"/>
          <w:tblLayout w:type="fixed"/>
        </w:tblPrEx>
        <w:trPr>
          <w:cantSplit/>
          <w:trHeight w:hRule="exact" w:val="255"/>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 integral atribuible a participaciones no controladoras.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1.283.769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2.324.823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1.252.574</w:t>
            </w:r>
          </w:p>
        </w:tc>
      </w:tr>
      <w:tr>
        <w:tblPrEx>
          <w:tblW w:w="9960" w:type="dxa"/>
          <w:tblInd w:w="0" w:type="dxa"/>
          <w:tblLayout w:type="fixed"/>
        </w:tblPrEx>
        <w:trPr>
          <w:cantSplit/>
          <w:trHeight w:hRule="auto" w:val="0"/>
        </w:trPr>
        <w:tc>
          <w:tcPr>
            <w:tcW w:w="4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Resultado integral total.</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3.300.380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9.257.694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(18.033.446)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2.825.660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13"/>
          <w:footerReference w:type="default" r:id="rId14"/>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COMPAÑÍA GENERAL DE ELECTRICIDAD S.A.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CAMBIOS EN EL PATRIMONIO NETO</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Por los períodos de</w:t>
      </w:r>
      <w:r>
        <w:rPr>
          <w:rFonts w:ascii="Calibri" w:eastAsia="Calibri" w:hAnsi="Calibri" w:cs="Calibri"/>
          <w:b/>
          <w:i w:val="0"/>
          <w:color w:val="000000"/>
          <w:sz w:val="20"/>
          <w:u w:val="none"/>
        </w:rPr>
        <w:t xml:space="preserve"> seis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9" type="#_x0000_t75" style="width:677.48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gridCol w:w="1095"/>
      </w:tblGrid>
      <w:tr>
        <w:tblPrEx>
          <w:tblW w:w="13560"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560"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 de coberturas de flujo de efectivo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560"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1.232.423.425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(2.398.553)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(2.663.022)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(103.785.672)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(108.847.247)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342.940.327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1.466.516.505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39.440.876</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1.505.957.381</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1.257.625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(227.187)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1.030.438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1.030.438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1.283.769</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2.314.207</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1.257.625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(227.187)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1.030.438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1.030.438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1.283.769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2.314.207</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1.257.625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(227.187)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1.030.438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1.030.438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1.283.769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2.314.207</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1.232.423.425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(1.140.928)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(2.890.209)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(103.785.672)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(107.816.809)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342.940.327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1.467.546.943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40.724.645</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1.508.271.588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COMPAÑÍA GENERAL DE ELECTRICIDAD S.A.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CAMBIOS EN EL PATRIMONIO NETO</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seis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0" type="#_x0000_t75" style="width:677.48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05"/>
        <w:gridCol w:w="1095"/>
        <w:gridCol w:w="1095"/>
        <w:gridCol w:w="1095"/>
        <w:gridCol w:w="1095"/>
        <w:gridCol w:w="1095"/>
        <w:gridCol w:w="1095"/>
        <w:gridCol w:w="1095"/>
        <w:gridCol w:w="1095"/>
        <w:gridCol w:w="1095"/>
      </w:tblGrid>
      <w:tr>
        <w:tblPrEx>
          <w:tblW w:w="13560" w:type="dxa"/>
          <w:tblInd w:w="0" w:type="dxa"/>
          <w:tblLayout w:type="fixed"/>
        </w:tblPrEx>
        <w:trPr>
          <w:cantSplit/>
          <w:trHeight w:hRule="exact" w:val="225"/>
        </w:trPr>
        <w:tc>
          <w:tcPr>
            <w:tcW w:w="37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09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328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560" w:type="dxa"/>
          <w:tblInd w:w="0" w:type="dxa"/>
          <w:tblLayout w:type="fixed"/>
        </w:tblPrEx>
        <w:trPr>
          <w:cantSplit/>
          <w:trHeight w:hRule="auto" w:val="0"/>
        </w:trPr>
        <w:tc>
          <w:tcPr>
            <w:tcW w:w="370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 de coberturas de flujo de efectivo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560" w:type="dxa"/>
          <w:tblInd w:w="0" w:type="dxa"/>
          <w:tblLayout w:type="fixed"/>
        </w:tblPrEx>
        <w:trPr>
          <w:cantSplit/>
          <w:trHeight w:hRule="exact" w:val="225"/>
        </w:trPr>
        <w:tc>
          <w:tcPr>
            <w:tcW w:w="370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1.232.423.425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(302.803)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(2.770.161)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(103.785.672)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(106.858.636)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334.691.725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1.460.256.514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36.905.745</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1.497.162.259</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exact" w:val="225"/>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6.419.662</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6.419.662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2.235.431</w:t>
            </w: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8.655.093</w:t>
            </w: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(286.471)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799.680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513.209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513.209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89.392</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602.601</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(286.471)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799.680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513.209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6.419.662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6.932.871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2.324.823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9.257.694</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(151.342)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(151.342)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(1.045.764)</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(1.197.106)</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(286.471)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799.680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513.209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6.268.320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6.781.529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1.279.059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8.060.588</w:t>
            </w:r>
          </w:p>
        </w:tc>
      </w:tr>
      <w:tr>
        <w:tblPrEx>
          <w:tblW w:w="13560" w:type="dxa"/>
          <w:tblInd w:w="0" w:type="dxa"/>
          <w:tblLayout w:type="fixed"/>
        </w:tblPrEx>
        <w:trPr>
          <w:cantSplit/>
          <w:trHeight w:hRule="exact" w:val="60"/>
        </w:trPr>
        <w:tc>
          <w:tcPr>
            <w:tcW w:w="3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3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1.232.423.425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(589.274)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(1.970.481)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(103.785.672)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(106.345.427)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340.960.045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1.467.038.043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38.184.804</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1.505.222.847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5"/>
          <w:footerReference w:type="default" r:id="rId16"/>
          <w:type w:val="continuous"/>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COMPAÑÍA GENERAL DE ELECTRICIDAD S.A.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CONSOLIDADO INTERMEDIO DE FLUJO DE EFECTIVO DIRECTO</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períodos de </w:t>
      </w:r>
      <w:r>
        <w:rPr>
          <w:rFonts w:ascii="Calibri" w:eastAsia="Calibri" w:hAnsi="Calibri" w:cs="Calibri"/>
          <w:b/>
          <w:i w:val="0"/>
          <w:color w:val="000000"/>
          <w:sz w:val="20"/>
          <w:u w:val="none"/>
        </w:rPr>
        <w:t>seis</w:t>
      </w:r>
      <w:r>
        <w:rPr>
          <w:rFonts w:ascii="Calibri" w:eastAsia="Calibri" w:hAnsi="Calibri" w:cs="Calibri"/>
          <w:b/>
          <w:i w:val="0"/>
          <w:color w:val="000000"/>
          <w:sz w:val="20"/>
          <w:u w:val="none"/>
        </w:rPr>
        <w:t xml:space="preserve"> meses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(no auditados)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65"/>
        <w:gridCol w:w="495"/>
        <w:gridCol w:w="1200"/>
        <w:gridCol w:w="1200"/>
      </w:tblGrid>
      <w:tr>
        <w:tblPrEx>
          <w:tblW w:w="9960" w:type="dxa"/>
          <w:tblInd w:w="0" w:type="dxa"/>
          <w:tblLayout w:type="fixed"/>
        </w:tblPrEx>
        <w:trPr>
          <w:cantSplit/>
          <w:trHeight w:hRule="auto" w:val="0"/>
          <w:tblHeader/>
        </w:trPr>
        <w:tc>
          <w:tcPr>
            <w:tcW w:w="70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4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nil"/>
              <w:right w:val="nil"/>
            </w:tcBorders>
          </w:tcPr>
          <w:p>
            <w:pPr>
              <w:keepNext/>
              <w:pageBreakBefore w:val="0"/>
            </w:pPr>
          </w:p>
        </w:tc>
        <w:tc>
          <w:tcPr>
            <w:tcW w:w="4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65" w:type="dxa"/>
            <w:vMerge/>
            <w:tcBorders>
              <w:top w:val="nil"/>
              <w:left w:val="single" w:sz="2" w:space="0" w:color="000000"/>
              <w:bottom w:val="single" w:sz="2" w:space="0" w:color="000000"/>
              <w:right w:val="nil"/>
            </w:tcBorders>
          </w:tcPr>
          <w:p>
            <w:pPr>
              <w:pageBreakBefore w:val="0"/>
            </w:pPr>
          </w:p>
        </w:tc>
        <w:tc>
          <w:tcPr>
            <w:tcW w:w="49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4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49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exact" w:val="6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1.477.689.327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Otros cobros por actividades de operación.</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252.624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Clases de pagos</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(1.409.114.528)</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(27.142.001)</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(2.254.917)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Intereses recibidos.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1.890.506</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(62.394)</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(686.089)</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40.572.528</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Préstamos a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Importes procedentes de la venta de propiedades, planta y equipo.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486.589</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(97.990.356)</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Compras de activos intangibles.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(1.354.760)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Importes procedentes de subvenciones del gobierno.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84.355</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Cobros a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27.101.027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Intereses recibidos.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649.615</w:t>
            </w:r>
          </w:p>
        </w:tc>
      </w:tr>
      <w:tr>
        <w:tblPrEx>
          <w:tblW w:w="9960" w:type="dxa"/>
          <w:tblInd w:w="0" w:type="dxa"/>
          <w:tblLayout w:type="fixed"/>
        </w:tblPrEx>
        <w:trPr>
          <w:cantSplit/>
          <w:trHeight w:hRule="exact" w:val="255"/>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(71.023.530)</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49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importes procedentes de préstamos</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132.496.883</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xml:space="preserve">          - Importes procedentes de préstamos de largo plazo.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132.496.883</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Préstamos de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89.216.949</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Reembolsos de préstamos.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(116.382.272)</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Pagos de pasivos por arrendamientos.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(5.904.577)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Pagos de préstamos de entidades relacionadas.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Intereses recibidos.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9.827.866</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Intereses pagados.</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(39.190.467)</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1.320.088</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49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43.910.504</w:t>
            </w:r>
          </w:p>
        </w:tc>
      </w:tr>
      <w:tr>
        <w:tblPrEx>
          <w:tblW w:w="9960" w:type="dxa"/>
          <w:tblInd w:w="0" w:type="dxa"/>
          <w:tblLayout w:type="fixed"/>
        </w:tblPrEx>
        <w:trPr>
          <w:cantSplit/>
          <w:trHeight w:hRule="auto" w:val="0"/>
        </w:trPr>
        <w:tc>
          <w:tcPr>
            <w:tcW w:w="706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49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 antes del efecto de los cambios en la tasa de cambio</w:t>
            </w:r>
          </w:p>
        </w:tc>
        <w:tc>
          <w:tcPr>
            <w:tcW w:w="495"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13.459.502</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Efectos de la variación en la tasa de cambio sobre el efectivo y equivalentes al efectivo.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524.538</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49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13.984.040</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58.863.189</w:t>
            </w:r>
          </w:p>
        </w:tc>
      </w:tr>
      <w:tr>
        <w:tblPrEx>
          <w:tblW w:w="9960" w:type="dxa"/>
          <w:tblInd w:w="0" w:type="dxa"/>
          <w:tblLayout w:type="fixed"/>
        </w:tblPrEx>
        <w:trPr>
          <w:cantSplit/>
          <w:trHeight w:hRule="auto" w:val="0"/>
        </w:trPr>
        <w:tc>
          <w:tcPr>
            <w:tcW w:w="70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4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72.847.229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7"/>
          <w:footerReference w:type="default" r:id="rId18"/>
          <w:type w:val="continuous"/>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40" w:lineRule="exact"/>
        <w:ind w:left="0" w:right="0" w:firstLine="0"/>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COMPAÑÍA GENERAL DE ELECTRICIDAD S.A. Y SUBSIDIARIAS</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ÍNDICE A LAS NOTAS DE LOS ESTADOS FINANCIEROS CONSOLIDADOS INTERMEDIOS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12" o:title=""/>
            <o:lock v:ext="edit" aspectratio="t"/>
          </v:shape>
        </w:pict>
      </w: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0ecc44b3fba4493acdba8e83578a603"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0ecc44b3fba4493acdba8e83578a603"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05e728dab4845448b84ca17605dce1c" w:history="1">
              <w:r>
                <w:rPr>
                  <w:rFonts w:ascii="Calibri" w:eastAsia="Calibri" w:hAnsi="Calibri" w:cs="Calibri"/>
                  <w:b w:val="0"/>
                  <w:i w:val="0"/>
                  <w:color w:val="000000"/>
                  <w:sz w:val="20"/>
                  <w:u w:val="none"/>
                  <w:shd w:val="clear" w:color="auto" w:fill="auto"/>
                </w:rPr>
                <w:t>2.-</w:t>
                <w:tab/>
                <w:t>DESCRIPCIÓN DE LOS SECTORES DONDE PARTICIPA LA SOCIEDAD Y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05e728dab4845448b84ca17605dce1c"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80c82e58d3f4a42ba3b0793f64bd7d9" w:history="1">
              <w:r>
                <w:rPr>
                  <w:rFonts w:ascii="Calibri" w:eastAsia="Calibri" w:hAnsi="Calibri" w:cs="Calibri"/>
                  <w:b w:val="0"/>
                  <w:i w:val="0"/>
                  <w:color w:val="000000"/>
                  <w:sz w:val="20"/>
                  <w:u w:val="none"/>
                  <w:shd w:val="clear" w:color="auto" w:fill="auto"/>
                </w:rPr>
                <w:t>2.1.-</w:t>
                <w:tab/>
                <w:t>Sector electricidad.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80c82e58d3f4a42ba3b0793f64bd7d9"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211a31fff484ea6b125e7910d6f1751" w:history="1">
              <w:r>
                <w:rPr>
                  <w:rFonts w:ascii="Calibri" w:eastAsia="Calibri" w:hAnsi="Calibri" w:cs="Calibri"/>
                  <w:b w:val="0"/>
                  <w:i w:val="0"/>
                  <w:color w:val="000000"/>
                  <w:sz w:val="20"/>
                  <w:u w:val="none"/>
                  <w:shd w:val="clear" w:color="auto" w:fill="auto"/>
                </w:rPr>
                <w:t>3.-</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211a31fff484ea6b125e7910d6f1751"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4a634ae33c6430bb7b951e4282be342" w:history="1">
              <w:r>
                <w:rPr>
                  <w:rFonts w:ascii="Calibri" w:eastAsia="Calibri" w:hAnsi="Calibri" w:cs="Calibri"/>
                  <w:b w:val="0"/>
                  <w:i w:val="0"/>
                  <w:color w:val="000000"/>
                  <w:sz w:val="20"/>
                  <w:u w:val="none"/>
                  <w:shd w:val="clear" w:color="auto" w:fill="auto"/>
                </w:rPr>
                <w:t>3.1.-</w:t>
                <w:tab/>
                <w:t xml:space="preserve">Bases de preparación de los estados financieros consolidados intermedios.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4a634ae33c6430bb7b951e4282be342"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1469ef617e24522855bf4ca68559521" w:history="1">
              <w:r>
                <w:rPr>
                  <w:rFonts w:ascii="Calibri" w:eastAsia="Calibri" w:hAnsi="Calibri" w:cs="Calibri"/>
                  <w:b w:val="0"/>
                  <w:i w:val="0"/>
                  <w:color w:val="000000"/>
                  <w:sz w:val="20"/>
                  <w:u w:val="none"/>
                  <w:shd w:val="clear" w:color="auto" w:fill="auto"/>
                </w:rPr>
                <w:t>3.2.-</w:t>
                <w:tab/>
                <w:t>Nuevos estándares, interpretaciones y enmiendas adoptadas por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1469ef617e24522855bf4ca68559521"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6eabb6e3b1342ffa1b715982b9c6164" w:history="1">
              <w:r>
                <w:rPr>
                  <w:rFonts w:ascii="Calibri" w:eastAsia="Calibri" w:hAnsi="Calibri" w:cs="Calibri"/>
                  <w:b w:val="0"/>
                  <w:i w:val="0"/>
                  <w:color w:val="000000"/>
                  <w:sz w:val="20"/>
                  <w:u w:val="none"/>
                  <w:shd w:val="clear" w:color="auto" w:fill="auto"/>
                </w:rPr>
                <w:t>3.3.-</w:t>
                <w:tab/>
                <w:t>Nuevas normas, interpretaciones y enmiendas emitidas, no vigentes para el ejercicio 2026,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6eabb6e3b1342ffa1b715982b9c6164"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61a3783e54948a2a2cc923325a3286f" w:history="1">
              <w:r>
                <w:rPr>
                  <w:rFonts w:ascii="Calibri" w:eastAsia="Calibri" w:hAnsi="Calibri" w:cs="Calibri"/>
                  <w:b w:val="0"/>
                  <w:i w:val="0"/>
                  <w:color w:val="000000"/>
                  <w:sz w:val="20"/>
                  <w:u w:val="none"/>
                  <w:shd w:val="clear" w:color="auto" w:fill="auto"/>
                </w:rPr>
                <w:t>3.4.-</w:t>
                <w:tab/>
                <w:t>Bases de consolidación.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61a3783e54948a2a2cc923325a3286f"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730eda772ec4e20810092df8367b758" w:history="1">
              <w:r>
                <w:rPr>
                  <w:rFonts w:ascii="Calibri" w:eastAsia="Calibri" w:hAnsi="Calibri" w:cs="Calibri"/>
                  <w:b w:val="0"/>
                  <w:i w:val="0"/>
                  <w:color w:val="000000"/>
                  <w:sz w:val="20"/>
                  <w:u w:val="none"/>
                  <w:shd w:val="clear" w:color="auto" w:fill="auto"/>
                </w:rPr>
                <w:t>3.5.-</w:t>
                <w:tab/>
                <w:t>Entidades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730eda772ec4e20810092df8367b758"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bdac3a34eba45c5a97b91c63d03cc5f" w:history="1">
              <w:r>
                <w:rPr>
                  <w:rFonts w:ascii="Calibri" w:eastAsia="Calibri" w:hAnsi="Calibri" w:cs="Calibri"/>
                  <w:b w:val="0"/>
                  <w:i w:val="0"/>
                  <w:color w:val="000000"/>
                  <w:sz w:val="20"/>
                  <w:u w:val="none"/>
                  <w:shd w:val="clear" w:color="auto" w:fill="auto"/>
                </w:rPr>
                <w:t>3.6.-</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bdac3a34eba45c5a97b91c63d03cc5f"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4901c4e1ccd4dd1b5642b22d9102e0e" w:history="1">
              <w:r>
                <w:rPr>
                  <w:rFonts w:ascii="Calibri" w:eastAsia="Calibri" w:hAnsi="Calibri" w:cs="Calibri"/>
                  <w:b w:val="0"/>
                  <w:i w:val="0"/>
                  <w:color w:val="000000"/>
                  <w:sz w:val="20"/>
                  <w:u w:val="none"/>
                  <w:shd w:val="clear" w:color="auto" w:fill="auto"/>
                </w:rPr>
                <w:t>3.7.-</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4901c4e1ccd4dd1b5642b22d9102e0e"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bb8fb4768c4b92ad18896b47a328a3" w:history="1">
              <w:r>
                <w:rPr>
                  <w:rFonts w:ascii="Calibri" w:eastAsia="Calibri" w:hAnsi="Calibri" w:cs="Calibri"/>
                  <w:b w:val="0"/>
                  <w:i w:val="0"/>
                  <w:color w:val="000000"/>
                  <w:sz w:val="20"/>
                  <w:u w:val="none"/>
                  <w:shd w:val="clear" w:color="auto" w:fill="auto"/>
                </w:rPr>
                <w:t>3.8.-</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bb8fb4768c4b92ad18896b47a328a3"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1d232be700d42adbd96c526db9b9cb5" w:history="1">
              <w:r>
                <w:rPr>
                  <w:rFonts w:ascii="Calibri" w:eastAsia="Calibri" w:hAnsi="Calibri" w:cs="Calibri"/>
                  <w:b w:val="0"/>
                  <w:i w:val="0"/>
                  <w:color w:val="000000"/>
                  <w:sz w:val="20"/>
                  <w:u w:val="none"/>
                  <w:shd w:val="clear" w:color="auto" w:fill="auto"/>
                </w:rPr>
                <w:t>3.9.-</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1d232be700d42adbd96c526db9b9cb5"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ca88b242d614717b829d4421e20638a" w:history="1">
              <w:r>
                <w:rPr>
                  <w:rFonts w:ascii="Calibri" w:eastAsia="Calibri" w:hAnsi="Calibri" w:cs="Calibri"/>
                  <w:b w:val="0"/>
                  <w:i w:val="0"/>
                  <w:color w:val="000000"/>
                  <w:sz w:val="20"/>
                  <w:u w:val="none"/>
                  <w:shd w:val="clear" w:color="auto" w:fill="auto"/>
                </w:rPr>
                <w:t>3.10.-</w:t>
                <w:tab/>
                <w:t>Menor valor o plusvalía comprada (Goodwill).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ca88b242d614717b829d4421e20638a"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f453dc5f61a4330ba1acd7968c179fc" w:history="1">
              <w:r>
                <w:rPr>
                  <w:rFonts w:ascii="Calibri" w:eastAsia="Calibri" w:hAnsi="Calibri" w:cs="Calibri"/>
                  <w:b w:val="0"/>
                  <w:i w:val="0"/>
                  <w:color w:val="000000"/>
                  <w:sz w:val="20"/>
                  <w:u w:val="none"/>
                  <w:shd w:val="clear" w:color="auto" w:fill="auto"/>
                </w:rPr>
                <w:t>3.11.-</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f453dc5f61a4330ba1acd7968c179fc"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e0a75a087044c1c9a8572fd44835821" w:history="1">
              <w:r>
                <w:rPr>
                  <w:rFonts w:ascii="Calibri" w:eastAsia="Calibri" w:hAnsi="Calibri" w:cs="Calibri"/>
                  <w:b w:val="0"/>
                  <w:i w:val="0"/>
                  <w:color w:val="000000"/>
                  <w:sz w:val="20"/>
                  <w:u w:val="none"/>
                  <w:shd w:val="clear" w:color="auto" w:fill="auto"/>
                </w:rPr>
                <w:t>3.12.-</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e0a75a087044c1c9a8572fd44835821"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8ec1c35ca98474880f7a427824ac07e" w:history="1">
              <w:r>
                <w:rPr>
                  <w:rFonts w:ascii="Calibri" w:eastAsia="Calibri" w:hAnsi="Calibri" w:cs="Calibri"/>
                  <w:b w:val="0"/>
                  <w:i w:val="0"/>
                  <w:color w:val="000000"/>
                  <w:sz w:val="20"/>
                  <w:u w:val="none"/>
                  <w:shd w:val="clear" w:color="auto" w:fill="auto"/>
                </w:rPr>
                <w:t>3.13.-</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8ec1c35ca98474880f7a427824ac07e"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f0f0836838e42e69c668117ab4f2f75" w:history="1">
              <w:r>
                <w:rPr>
                  <w:rFonts w:ascii="Calibri" w:eastAsia="Calibri" w:hAnsi="Calibri" w:cs="Calibri"/>
                  <w:b w:val="0"/>
                  <w:i w:val="0"/>
                  <w:color w:val="000000"/>
                  <w:sz w:val="20"/>
                  <w:u w:val="none"/>
                  <w:shd w:val="clear" w:color="auto" w:fill="auto"/>
                </w:rPr>
                <w:t>3.14.-</w:t>
                <w:tab/>
                <w:t>Activos no corrientes mantenidos para la venta y grupos en disposición.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f0f0836838e42e69c668117ab4f2f75"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d6abaa99384925a76d43fb5ffa7cd4" w:history="1">
              <w:r>
                <w:rPr>
                  <w:rFonts w:ascii="Calibri" w:eastAsia="Calibri" w:hAnsi="Calibri" w:cs="Calibri"/>
                  <w:b w:val="0"/>
                  <w:i w:val="0"/>
                  <w:color w:val="000000"/>
                  <w:sz w:val="20"/>
                  <w:u w:val="none"/>
                  <w:shd w:val="clear" w:color="auto" w:fill="auto"/>
                </w:rPr>
                <w:t>3.15.-</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d6abaa99384925a76d43fb5ffa7cd4"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86f63bbcc62480ab52c75594bdcac40" w:history="1">
              <w:r>
                <w:rPr>
                  <w:rFonts w:ascii="Calibri" w:eastAsia="Calibri" w:hAnsi="Calibri" w:cs="Calibri"/>
                  <w:b w:val="0"/>
                  <w:i w:val="0"/>
                  <w:color w:val="000000"/>
                  <w:sz w:val="20"/>
                  <w:u w:val="none"/>
                  <w:shd w:val="clear" w:color="auto" w:fill="auto"/>
                </w:rPr>
                <w:t>3.16.-</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86f63bbcc62480ab52c75594bdcac40"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285044e07e14794bfe99e0f40a36240" w:history="1">
              <w:r>
                <w:rPr>
                  <w:rFonts w:ascii="Calibri" w:eastAsia="Calibri" w:hAnsi="Calibri" w:cs="Calibri"/>
                  <w:b w:val="0"/>
                  <w:i w:val="0"/>
                  <w:color w:val="000000"/>
                  <w:sz w:val="20"/>
                  <w:u w:val="none"/>
                  <w:shd w:val="clear" w:color="auto" w:fill="auto"/>
                </w:rPr>
                <w:t>3.17.-</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285044e07e14794bfe99e0f40a36240"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d7a79ed158a43adab37612f4dd63758" w:history="1">
              <w:r>
                <w:rPr>
                  <w:rFonts w:ascii="Calibri" w:eastAsia="Calibri" w:hAnsi="Calibri" w:cs="Calibri"/>
                  <w:b w:val="0"/>
                  <w:i w:val="0"/>
                  <w:color w:val="000000"/>
                  <w:sz w:val="20"/>
                  <w:u w:val="none"/>
                  <w:shd w:val="clear" w:color="auto" w:fill="auto"/>
                </w:rPr>
                <w:t>3.18.-</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d7a79ed158a43adab37612f4dd63758"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1c7e8f2d3304b9c9b80a42ba4a473ad" w:history="1">
              <w:r>
                <w:rPr>
                  <w:rFonts w:ascii="Calibri" w:eastAsia="Calibri" w:hAnsi="Calibri" w:cs="Calibri"/>
                  <w:b w:val="0"/>
                  <w:i w:val="0"/>
                  <w:color w:val="000000"/>
                  <w:sz w:val="20"/>
                  <w:u w:val="none"/>
                  <w:shd w:val="clear" w:color="auto" w:fill="auto"/>
                </w:rPr>
                <w:t>3.19.-</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1c7e8f2d3304b9c9b80a42ba4a473ad"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d14e8bba8924a42a00e2de31be4cce2" w:history="1">
              <w:r>
                <w:rPr>
                  <w:rFonts w:ascii="Calibri" w:eastAsia="Calibri" w:hAnsi="Calibri" w:cs="Calibri"/>
                  <w:b w:val="0"/>
                  <w:i w:val="0"/>
                  <w:color w:val="000000"/>
                  <w:sz w:val="20"/>
                  <w:u w:val="none"/>
                  <w:shd w:val="clear" w:color="auto" w:fill="auto"/>
                </w:rPr>
                <w:t>3.20.-</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d14e8bba8924a42a00e2de31be4cce2"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50861ff99874a3985851af580437f7e" w:history="1">
              <w:r>
                <w:rPr>
                  <w:rFonts w:ascii="Calibri" w:eastAsia="Calibri" w:hAnsi="Calibri" w:cs="Calibri"/>
                  <w:b w:val="0"/>
                  <w:i w:val="0"/>
                  <w:color w:val="000000"/>
                  <w:sz w:val="20"/>
                  <w:u w:val="none"/>
                  <w:shd w:val="clear" w:color="auto" w:fill="auto"/>
                </w:rPr>
                <w:t>3.21.-</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50861ff99874a3985851af580437f7e"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041a7c0208f4902bb4374f7cf5fe541" w:history="1">
              <w:r>
                <w:rPr>
                  <w:rFonts w:ascii="Calibri" w:eastAsia="Calibri" w:hAnsi="Calibri" w:cs="Calibri"/>
                  <w:b w:val="0"/>
                  <w:i w:val="0"/>
                  <w:color w:val="000000"/>
                  <w:sz w:val="20"/>
                  <w:u w:val="none"/>
                  <w:shd w:val="clear" w:color="auto" w:fill="auto"/>
                </w:rPr>
                <w:t>3.22.-</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041a7c0208f4902bb4374f7cf5fe541"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cf6010f75344e52ad87fff29a7dc15a" w:history="1">
              <w:r>
                <w:rPr>
                  <w:rFonts w:ascii="Calibri" w:eastAsia="Calibri" w:hAnsi="Calibri" w:cs="Calibri"/>
                  <w:b w:val="0"/>
                  <w:i w:val="0"/>
                  <w:color w:val="000000"/>
                  <w:sz w:val="20"/>
                  <w:u w:val="none"/>
                  <w:shd w:val="clear" w:color="auto" w:fill="auto"/>
                </w:rPr>
                <w:t>3.23.-</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cf6010f75344e52ad87fff29a7dc15a" w:history="1">
              <w:r>
                <w:rPr>
                  <w:rFonts w:ascii="Calibri" w:eastAsia="Calibri" w:hAnsi="Calibri" w:cs="Calibri"/>
                  <w:b w:val="0"/>
                  <w:i w:val="0"/>
                  <w:color w:val="000000"/>
                  <w:sz w:val="20"/>
                  <w:u w:val="none"/>
                  <w:shd w:val="clear" w:color="auto" w:fill="auto"/>
                </w:rPr>
                <w:t>35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da428aaa4e41b58c902558af3ed3a2" w:history="1">
              <w:r>
                <w:rPr>
                  <w:rFonts w:ascii="Calibri" w:eastAsia="Calibri" w:hAnsi="Calibri" w:cs="Calibri"/>
                  <w:b w:val="0"/>
                  <w:i w:val="0"/>
                  <w:color w:val="000000"/>
                  <w:sz w:val="20"/>
                  <w:u w:val="none"/>
                  <w:shd w:val="clear" w:color="auto" w:fill="auto"/>
                </w:rPr>
                <w:t>3.24.-</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da428aaa4e41b58c902558af3ed3a2"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286db4f32704c04bb62876258a8d308" w:history="1">
              <w:r>
                <w:rPr>
                  <w:rFonts w:ascii="Calibri" w:eastAsia="Calibri" w:hAnsi="Calibri" w:cs="Calibri"/>
                  <w:b w:val="0"/>
                  <w:i w:val="0"/>
                  <w:color w:val="000000"/>
                  <w:sz w:val="20"/>
                  <w:u w:val="none"/>
                  <w:shd w:val="clear" w:color="auto" w:fill="auto"/>
                </w:rPr>
                <w:t>3.25.-</w:t>
                <w:tab/>
                <w:t>Subvenciones estatales.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286db4f32704c04bb62876258a8d308" w:history="1">
              <w:r>
                <w:rPr>
                  <w:rFonts w:ascii="Calibri" w:eastAsia="Calibri" w:hAnsi="Calibri" w:cs="Calibri"/>
                  <w:b w:val="0"/>
                  <w:i w:val="0"/>
                  <w:color w:val="000000"/>
                  <w:sz w:val="20"/>
                  <w:u w:val="none"/>
                  <w:shd w:val="clear" w:color="auto" w:fill="auto"/>
                </w:rPr>
                <w:t>36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677624bde81472fad28f693bd88ec6a" w:history="1">
              <w:r>
                <w:rPr>
                  <w:rFonts w:ascii="Calibri" w:eastAsia="Calibri" w:hAnsi="Calibri" w:cs="Calibri"/>
                  <w:b w:val="0"/>
                  <w:i w:val="0"/>
                  <w:color w:val="000000"/>
                  <w:sz w:val="20"/>
                  <w:u w:val="none"/>
                  <w:shd w:val="clear" w:color="auto" w:fill="auto"/>
                </w:rPr>
                <w:t>3.26.-</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677624bde81472fad28f693bd88ec6a"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b0bf8c995b84d01a1e01bd8238c4a90" w:history="1">
              <w:r>
                <w:rPr>
                  <w:rFonts w:ascii="Calibri" w:eastAsia="Calibri" w:hAnsi="Calibri" w:cs="Calibri"/>
                  <w:b w:val="0"/>
                  <w:i w:val="0"/>
                  <w:color w:val="000000"/>
                  <w:sz w:val="20"/>
                  <w:u w:val="none"/>
                  <w:shd w:val="clear" w:color="auto" w:fill="auto"/>
                </w:rPr>
                <w:t>3.27.-</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b0bf8c995b84d01a1e01bd8238c4a90"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806c1b926d74bccb25034ef23be345a" w:history="1">
              <w:r>
                <w:rPr>
                  <w:rFonts w:ascii="Calibri" w:eastAsia="Calibri" w:hAnsi="Calibri" w:cs="Calibri"/>
                  <w:b w:val="0"/>
                  <w:i w:val="0"/>
                  <w:color w:val="000000"/>
                  <w:sz w:val="20"/>
                  <w:u w:val="none"/>
                  <w:shd w:val="clear" w:color="auto" w:fill="auto"/>
                </w:rPr>
                <w:t>3.28.-</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806c1b926d74bccb25034ef23be345a"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c70c4033ef440c192004a1515b0ce5c" w:history="1">
              <w:r>
                <w:rPr>
                  <w:rFonts w:ascii="Calibri" w:eastAsia="Calibri" w:hAnsi="Calibri" w:cs="Calibri"/>
                  <w:b w:val="0"/>
                  <w:i w:val="0"/>
                  <w:color w:val="000000"/>
                  <w:sz w:val="20"/>
                  <w:u w:val="none"/>
                  <w:shd w:val="clear" w:color="auto" w:fill="auto"/>
                </w:rPr>
                <w:t>3.29.-</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c70c4033ef440c192004a1515b0ce5c"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0a7bbbf5254bd090ca1f6715ce48ca" w:history="1">
              <w:r>
                <w:rPr>
                  <w:rFonts w:ascii="Calibri" w:eastAsia="Calibri" w:hAnsi="Calibri" w:cs="Calibri"/>
                  <w:b w:val="0"/>
                  <w:i w:val="0"/>
                  <w:color w:val="000000"/>
                  <w:sz w:val="20"/>
                  <w:u w:val="none"/>
                  <w:shd w:val="clear" w:color="auto" w:fill="auto"/>
                </w:rPr>
                <w:t>3.30.-</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0a7bbbf5254bd090ca1f6715ce48ca"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9f57350ba764f0a8b62a86ec41908fb" w:history="1">
              <w:r>
                <w:rPr>
                  <w:rFonts w:ascii="Calibri" w:eastAsia="Calibri" w:hAnsi="Calibri" w:cs="Calibri"/>
                  <w:b w:val="0"/>
                  <w:i w:val="0"/>
                  <w:color w:val="000000"/>
                  <w:sz w:val="20"/>
                  <w:u w:val="none"/>
                  <w:shd w:val="clear" w:color="auto" w:fill="auto"/>
                </w:rPr>
                <w:t>3.31.-</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9f57350ba764f0a8b62a86ec41908fb"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f22f504031f4d54be5f32a39ac35f40" w:history="1">
              <w:r>
                <w:rPr>
                  <w:rFonts w:ascii="Calibri" w:eastAsia="Calibri" w:hAnsi="Calibri" w:cs="Calibri"/>
                  <w:b w:val="0"/>
                  <w:i w:val="0"/>
                  <w:color w:val="000000"/>
                  <w:sz w:val="20"/>
                  <w:u w:val="none"/>
                  <w:shd w:val="clear" w:color="auto" w:fill="auto"/>
                </w:rPr>
                <w:t>4.-</w:t>
                <w:tab/>
                <w:t>ESTIMACIONES Y JUICIOS O CRITERIOS CRÍTICOS DE LA ADMINISTRACIÓN.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f22f504031f4d54be5f32a39ac35f40"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caa1e9c94b946699b1a6d90711dbdaa" w:history="1">
              <w:r>
                <w:rPr>
                  <w:rFonts w:ascii="Calibri" w:eastAsia="Calibri" w:hAnsi="Calibri" w:cs="Calibri"/>
                  <w:b w:val="0"/>
                  <w:i w:val="0"/>
                  <w:color w:val="000000"/>
                  <w:sz w:val="20"/>
                  <w:u w:val="none"/>
                  <w:shd w:val="clear" w:color="auto" w:fill="auto"/>
                </w:rPr>
                <w:t>4.1.-</w:t>
                <w:tab/>
                <w:t xml:space="preserve">Estimación del deterioro de la plusvalía comprada y activos no corrientes de vida útil indefinida.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caa1e9c94b946699b1a6d90711dbdaa"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b9e571ee25744e1bcaca425187f40bb" w:history="1">
              <w:r>
                <w:rPr>
                  <w:rFonts w:ascii="Calibri" w:eastAsia="Calibri" w:hAnsi="Calibri" w:cs="Calibri"/>
                  <w:b w:val="0"/>
                  <w:i w:val="0"/>
                  <w:color w:val="000000"/>
                  <w:sz w:val="20"/>
                  <w:u w:val="none"/>
                  <w:shd w:val="clear" w:color="auto" w:fill="auto"/>
                </w:rPr>
                <w:t>4.2.-</w:t>
                <w:tab/>
                <w:t>Valor razonable de derivados y de otros instrumentos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b9e571ee25744e1bcaca425187f40bb"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b4c664389f14c54a7d09d35b46aeed8" w:history="1">
              <w:r>
                <w:rPr>
                  <w:rFonts w:ascii="Calibri" w:eastAsia="Calibri" w:hAnsi="Calibri" w:cs="Calibri"/>
                  <w:b w:val="0"/>
                  <w:i w:val="0"/>
                  <w:color w:val="000000"/>
                  <w:sz w:val="20"/>
                  <w:u w:val="none"/>
                  <w:shd w:val="clear" w:color="auto" w:fill="auto"/>
                </w:rPr>
                <w:t>4.3.-</w:t>
                <w:tab/>
                <w:t>Beneficios por Indemnizaciones por cese pactadas (PIAS) y premios por antigüedad.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b4c664389f14c54a7d09d35b46aeed8"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53009683d20424395e34d2de46c4974" w:history="1">
              <w:r>
                <w:rPr>
                  <w:rFonts w:ascii="Calibri" w:eastAsia="Calibri" w:hAnsi="Calibri" w:cs="Calibri"/>
                  <w:b w:val="0"/>
                  <w:i w:val="0"/>
                  <w:color w:val="000000"/>
                  <w:sz w:val="20"/>
                  <w:u w:val="none"/>
                  <w:shd w:val="clear" w:color="auto" w:fill="auto"/>
                </w:rPr>
                <w:t>4.4.-</w:t>
                <w:tab/>
                <w:t>Reconocimiento de ingresos y costos de energía - Efectos de Precios de Contratos de Suministro y de Precios de Transmisión.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53009683d20424395e34d2de46c4974"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48689a7a4a5496481b21a3c87a4de86" w:history="1">
              <w:r>
                <w:rPr>
                  <w:rFonts w:ascii="Calibri" w:eastAsia="Calibri" w:hAnsi="Calibri" w:cs="Calibri"/>
                  <w:b w:val="0"/>
                  <w:i w:val="0"/>
                  <w:color w:val="000000"/>
                  <w:sz w:val="20"/>
                  <w:u w:val="none"/>
                  <w:shd w:val="clear" w:color="auto" w:fill="auto"/>
                </w:rPr>
                <w:t>5.-</w:t>
                <w:tab/>
                <w:t>POLÍTICA DE GESTIÓN DE RIESGOS.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48689a7a4a5496481b21a3c87a4de86"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7a0e9f59b7847ae8d6ad6d1960954b7" w:history="1">
              <w:r>
                <w:rPr>
                  <w:rFonts w:ascii="Calibri" w:eastAsia="Calibri" w:hAnsi="Calibri" w:cs="Calibri"/>
                  <w:b w:val="0"/>
                  <w:i w:val="0"/>
                  <w:color w:val="000000"/>
                  <w:sz w:val="20"/>
                  <w:u w:val="none"/>
                  <w:shd w:val="clear" w:color="auto" w:fill="auto"/>
                </w:rPr>
                <w:t>5.1.-</w:t>
                <w:tab/>
                <w:t xml:space="preserve">Riesgo financiero.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7a0e9f59b7847ae8d6ad6d1960954b7"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a325b03dacb487596e98e3e678748b0" w:history="1">
              <w:r>
                <w:rPr>
                  <w:rFonts w:ascii="Calibri" w:eastAsia="Calibri" w:hAnsi="Calibri" w:cs="Calibri"/>
                  <w:b w:val="0"/>
                  <w:i w:val="0"/>
                  <w:color w:val="000000"/>
                  <w:sz w:val="20"/>
                  <w:u w:val="none"/>
                  <w:shd w:val="clear" w:color="auto" w:fill="auto"/>
                </w:rPr>
                <w:t>6.-</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a325b03dacb487596e98e3e678748b0"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3de65e40b8342689a1c3cef3a68112e" w:history="1">
              <w:r>
                <w:rPr>
                  <w:rFonts w:ascii="Calibri" w:eastAsia="Calibri" w:hAnsi="Calibri" w:cs="Calibri"/>
                  <w:b w:val="0"/>
                  <w:i w:val="0"/>
                  <w:color w:val="000000"/>
                  <w:sz w:val="20"/>
                  <w:u w:val="none"/>
                  <w:shd w:val="clear" w:color="auto" w:fill="auto"/>
                </w:rPr>
                <w:t>6.1.-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3de65e40b8342689a1c3cef3a68112e"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0762bf65cba4b2ba6d7e9b266357b97" w:history="1">
              <w:r>
                <w:rPr>
                  <w:rFonts w:ascii="Calibri" w:eastAsia="Calibri" w:hAnsi="Calibri" w:cs="Calibri"/>
                  <w:b w:val="0"/>
                  <w:i w:val="0"/>
                  <w:color w:val="000000"/>
                  <w:sz w:val="20"/>
                  <w:u w:val="none"/>
                  <w:shd w:val="clear" w:color="auto" w:fill="auto"/>
                </w:rPr>
                <w:t>6.2.-</w:t>
                <w:tab/>
                <w:t>Detalles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0762bf65cba4b2ba6d7e9b266357b97"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85b7117e32841cf80b57efcab5aaadd" w:history="1">
              <w:r>
                <w:rPr>
                  <w:rFonts w:ascii="Calibri" w:eastAsia="Calibri" w:hAnsi="Calibri" w:cs="Calibri"/>
                  <w:b w:val="0"/>
                  <w:i w:val="0"/>
                  <w:color w:val="000000"/>
                  <w:sz w:val="20"/>
                  <w:u w:val="none"/>
                  <w:shd w:val="clear" w:color="auto" w:fill="auto"/>
                </w:rPr>
                <w:t>6.3.-</w:t>
                <w:tab/>
                <w:t>Conciliación de los pasivos que surgen de las actividades de financiamiento.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85b7117e32841cf80b57efcab5aaadd"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9bb254510734a0299c44733418b1e5c" w:history="1">
              <w:r>
                <w:rPr>
                  <w:rFonts w:ascii="Calibri" w:eastAsia="Calibri" w:hAnsi="Calibri" w:cs="Calibri"/>
                  <w:b w:val="0"/>
                  <w:i w:val="0"/>
                  <w:color w:val="000000"/>
                  <w:sz w:val="20"/>
                  <w:u w:val="none"/>
                  <w:shd w:val="clear" w:color="auto" w:fill="auto"/>
                </w:rPr>
                <w:t>7.-</w:t>
                <w:tab/>
                <w:t>OTROS 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9bb254510734a0299c44733418b1e5c"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709332017f347b2bdd35b66b7578a65" w:history="1">
              <w:r>
                <w:rPr>
                  <w:rFonts w:ascii="Calibri" w:eastAsia="Calibri" w:hAnsi="Calibri" w:cs="Calibri"/>
                  <w:b w:val="0"/>
                  <w:i w:val="0"/>
                  <w:color w:val="000000"/>
                  <w:sz w:val="20"/>
                  <w:u w:val="none"/>
                  <w:shd w:val="clear" w:color="auto" w:fill="auto"/>
                </w:rPr>
                <w:t>7.1.-</w:t>
                <w:tab/>
                <w:t>Activos y pasivos de cobertura.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709332017f347b2bdd35b66b7578a65"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1ea6942172e4ffca7795799c6c3272e" w:history="1">
              <w:r>
                <w:rPr>
                  <w:rFonts w:ascii="Calibri" w:eastAsia="Calibri" w:hAnsi="Calibri" w:cs="Calibri"/>
                  <w:b w:val="0"/>
                  <w:i w:val="0"/>
                  <w:color w:val="000000"/>
                  <w:sz w:val="20"/>
                  <w:u w:val="none"/>
                  <w:shd w:val="clear" w:color="auto" w:fill="auto"/>
                </w:rPr>
                <w:t>7.2.-</w:t>
                <w:tab/>
                <w:t>Otros 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1ea6942172e4ffca7795799c6c3272e" w:history="1">
              <w:r>
                <w:rPr>
                  <w:rFonts w:ascii="Calibri" w:eastAsia="Calibri" w:hAnsi="Calibri" w:cs="Calibri"/>
                  <w:b w:val="0"/>
                  <w:i w:val="0"/>
                  <w:color w:val="000000"/>
                  <w:sz w:val="20"/>
                  <w:u w:val="none"/>
                  <w:shd w:val="clear" w:color="auto" w:fill="auto"/>
                </w:rPr>
                <w:t>59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3a4f3092794454290d4aacea5cc3969" w:history="1">
              <w:r>
                <w:rPr>
                  <w:rFonts w:ascii="Calibri" w:eastAsia="Calibri" w:hAnsi="Calibri" w:cs="Calibri"/>
                  <w:b w:val="0"/>
                  <w:i w:val="0"/>
                  <w:color w:val="000000"/>
                  <w:sz w:val="20"/>
                  <w:u w:val="none"/>
                  <w:shd w:val="clear" w:color="auto" w:fill="auto"/>
                </w:rPr>
                <w:t>7.3.-</w:t>
                <w:tab/>
                <w:t>Jerarquías del valor razonable.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3a4f3092794454290d4aacea5cc3969" w:history="1">
              <w:r>
                <w:rPr>
                  <w:rFonts w:ascii="Calibri" w:eastAsia="Calibri" w:hAnsi="Calibri" w:cs="Calibri"/>
                  <w:b w:val="0"/>
                  <w:i w:val="0"/>
                  <w:color w:val="000000"/>
                  <w:sz w:val="20"/>
                  <w:u w:val="none"/>
                  <w:shd w:val="clear" w:color="auto" w:fill="auto"/>
                </w:rPr>
                <w:t>59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d49b461bfc04a40be9d83110ea3f60a" w:history="1">
              <w:r>
                <w:rPr>
                  <w:rFonts w:ascii="Calibri" w:eastAsia="Calibri" w:hAnsi="Calibri" w:cs="Calibri"/>
                  <w:b w:val="0"/>
                  <w:i w:val="0"/>
                  <w:color w:val="000000"/>
                  <w:sz w:val="20"/>
                  <w:u w:val="none"/>
                  <w:shd w:val="clear" w:color="auto" w:fill="auto"/>
                </w:rPr>
                <w:t>7.4.-</w:t>
                <w:tab/>
                <w:t>Categorías de 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d49b461bfc04a40be9d83110ea3f60a" w:history="1">
              <w:r>
                <w:rPr>
                  <w:rFonts w:ascii="Calibri" w:eastAsia="Calibri" w:hAnsi="Calibri" w:cs="Calibri"/>
                  <w:b w:val="0"/>
                  <w:i w:val="0"/>
                  <w:color w:val="000000"/>
                  <w:sz w:val="20"/>
                  <w:u w:val="none"/>
                  <w:shd w:val="clear" w:color="auto" w:fill="auto"/>
                </w:rPr>
                <w:t>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53788a3d2df41c08d5768d104910aac" w:history="1">
              <w:r>
                <w:rPr>
                  <w:rFonts w:ascii="Calibri" w:eastAsia="Calibri" w:hAnsi="Calibri" w:cs="Calibri"/>
                  <w:b w:val="0"/>
                  <w:i w:val="0"/>
                  <w:color w:val="000000"/>
                  <w:sz w:val="20"/>
                  <w:u w:val="none"/>
                  <w:shd w:val="clear" w:color="auto" w:fill="auto"/>
                </w:rPr>
                <w:t>8.-</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53788a3d2df41c08d5768d104910aac"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1b8988844684cd38c2334dc9090ece7" w:history="1">
              <w:r>
                <w:rPr>
                  <w:rFonts w:ascii="Calibri" w:eastAsia="Calibri" w:hAnsi="Calibri" w:cs="Calibri"/>
                  <w:b w:val="0"/>
                  <w:i w:val="0"/>
                  <w:color w:val="000000"/>
                  <w:sz w:val="20"/>
                  <w:u w:val="none"/>
                  <w:shd w:val="clear" w:color="auto" w:fill="auto"/>
                </w:rPr>
                <w:t>8.1.-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1b8988844684cd38c2334dc9090ece7" w:history="1">
              <w:r>
                <w:rPr>
                  <w:rFonts w:ascii="Calibri" w:eastAsia="Calibri" w:hAnsi="Calibri" w:cs="Calibri"/>
                  <w:b w:val="0"/>
                  <w:i w:val="0"/>
                  <w:color w:val="000000"/>
                  <w:sz w:val="20"/>
                  <w:u w:val="none"/>
                  <w:shd w:val="clear" w:color="auto" w:fill="auto"/>
                </w:rPr>
                <w:t>62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470374219794fb3a3e425caef472ad5" w:history="1">
              <w:r>
                <w:rPr>
                  <w:rFonts w:ascii="Calibri" w:eastAsia="Calibri" w:hAnsi="Calibri" w:cs="Calibri"/>
                  <w:b w:val="0"/>
                  <w:i w:val="0"/>
                  <w:color w:val="000000"/>
                  <w:sz w:val="20"/>
                  <w:u w:val="none"/>
                  <w:shd w:val="clear" w:color="auto" w:fill="auto"/>
                </w:rPr>
                <w:t>8.2.-</w:t>
                <w:tab/>
                <w:t>Estratificación de la cartera.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470374219794fb3a3e425caef472ad5" w:history="1">
              <w:r>
                <w:rPr>
                  <w:rFonts w:ascii="Calibri" w:eastAsia="Calibri" w:hAnsi="Calibri" w:cs="Calibri"/>
                  <w:b w:val="0"/>
                  <w:i w:val="0"/>
                  <w:color w:val="000000"/>
                  <w:sz w:val="20"/>
                  <w:u w:val="none"/>
                  <w:shd w:val="clear" w:color="auto" w:fill="auto"/>
                </w:rPr>
                <w:t>65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c5c1115e6d54fe387fb5ed273edc813" w:history="1">
              <w:r>
                <w:rPr>
                  <w:rFonts w:ascii="Calibri" w:eastAsia="Calibri" w:hAnsi="Calibri" w:cs="Calibri"/>
                  <w:b w:val="0"/>
                  <w:i w:val="0"/>
                  <w:color w:val="000000"/>
                  <w:sz w:val="20"/>
                  <w:u w:val="none"/>
                  <w:shd w:val="clear" w:color="auto" w:fill="auto"/>
                </w:rPr>
                <w:t>8.3.-</w:t>
                <w:tab/>
                <w:t>Resumen de estratificación de la cartera deudores comerciales.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c5c1115e6d54fe387fb5ed273edc813" w:history="1">
              <w:r>
                <w:rPr>
                  <w:rFonts w:ascii="Calibri" w:eastAsia="Calibri" w:hAnsi="Calibri" w:cs="Calibri"/>
                  <w:b w:val="0"/>
                  <w:i w:val="0"/>
                  <w:color w:val="000000"/>
                  <w:sz w:val="20"/>
                  <w:u w:val="none"/>
                  <w:shd w:val="clear" w:color="auto" w:fill="auto"/>
                </w:rPr>
                <w:t>66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b582769b55c48399d2cd991b7f7d6d3" w:history="1">
              <w:r>
                <w:rPr>
                  <w:rFonts w:ascii="Calibri" w:eastAsia="Calibri" w:hAnsi="Calibri" w:cs="Calibri"/>
                  <w:b w:val="0"/>
                  <w:i w:val="0"/>
                  <w:color w:val="000000"/>
                  <w:sz w:val="20"/>
                  <w:u w:val="none"/>
                  <w:shd w:val="clear" w:color="auto" w:fill="auto"/>
                </w:rPr>
                <w:t>8.4.-</w:t>
                <w:tab/>
                <w:t>Cartera protestada y en cobranza judicial.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b582769b55c48399d2cd991b7f7d6d3"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68fc63c30314c629fd4af92d24e86d5" w:history="1">
              <w:r>
                <w:rPr>
                  <w:rFonts w:ascii="Calibri" w:eastAsia="Calibri" w:hAnsi="Calibri" w:cs="Calibri"/>
                  <w:b w:val="0"/>
                  <w:i w:val="0"/>
                  <w:color w:val="000000"/>
                  <w:sz w:val="20"/>
                  <w:u w:val="none"/>
                  <w:shd w:val="clear" w:color="auto" w:fill="auto"/>
                </w:rPr>
                <w:t xml:space="preserve">8.5.- </w:t>
                <w:tab/>
                <w:t>Provisión y castigos.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68fc63c30314c629fd4af92d24e86d5"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be62792723e46e88993f05af73e1a62" w:history="1">
              <w:r>
                <w:rPr>
                  <w:rFonts w:ascii="Calibri" w:eastAsia="Calibri" w:hAnsi="Calibri" w:cs="Calibri"/>
                  <w:b w:val="0"/>
                  <w:i w:val="0"/>
                  <w:color w:val="000000"/>
                  <w:sz w:val="20"/>
                  <w:u w:val="none"/>
                  <w:shd w:val="clear" w:color="auto" w:fill="auto"/>
                </w:rPr>
                <w:t xml:space="preserve">8.6.- </w:t>
                <w:tab/>
                <w:t>Número y monto de operaciones.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be62792723e46e88993f05af73e1a62" w:history="1">
              <w:r>
                <w:rPr>
                  <w:rFonts w:ascii="Calibri" w:eastAsia="Calibri" w:hAnsi="Calibri" w:cs="Calibri"/>
                  <w:b w:val="0"/>
                  <w:i w:val="0"/>
                  <w:color w:val="000000"/>
                  <w:sz w:val="20"/>
                  <w:u w:val="none"/>
                  <w:shd w:val="clear" w:color="auto" w:fill="auto"/>
                </w:rPr>
                <w:t>67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49f8ef9c5c145c69d57ad8baeb99393" w:history="1">
              <w:r>
                <w:rPr>
                  <w:rFonts w:ascii="Calibri" w:eastAsia="Calibri" w:hAnsi="Calibri" w:cs="Calibri"/>
                  <w:b w:val="0"/>
                  <w:i w:val="0"/>
                  <w:color w:val="000000"/>
                  <w:sz w:val="20"/>
                  <w:u w:val="none"/>
                  <w:shd w:val="clear" w:color="auto" w:fill="auto"/>
                </w:rPr>
                <w:t>9.-</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49f8ef9c5c145c69d57ad8baeb99393" w:history="1">
              <w:r>
                <w:rPr>
                  <w:rFonts w:ascii="Calibri" w:eastAsia="Calibri" w:hAnsi="Calibri" w:cs="Calibri"/>
                  <w:b w:val="0"/>
                  <w:i w:val="0"/>
                  <w:color w:val="000000"/>
                  <w:sz w:val="20"/>
                  <w:u w:val="none"/>
                  <w:shd w:val="clear" w:color="auto" w:fill="auto"/>
                </w:rPr>
                <w:t>68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0c9838cbb1041ddb5a362ca75333916" w:history="1">
              <w:r>
                <w:rPr>
                  <w:rFonts w:ascii="Calibri" w:eastAsia="Calibri" w:hAnsi="Calibri" w:cs="Calibri"/>
                  <w:b w:val="0"/>
                  <w:i w:val="0"/>
                  <w:color w:val="000000"/>
                  <w:sz w:val="20"/>
                  <w:u w:val="none"/>
                  <w:shd w:val="clear" w:color="auto" w:fill="auto"/>
                </w:rPr>
                <w:t>9.1.-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0c9838cbb1041ddb5a362ca75333916" w:history="1">
              <w:r>
                <w:rPr>
                  <w:rFonts w:ascii="Calibri" w:eastAsia="Calibri" w:hAnsi="Calibri" w:cs="Calibri"/>
                  <w:b w:val="0"/>
                  <w:i w:val="0"/>
                  <w:color w:val="000000"/>
                  <w:sz w:val="20"/>
                  <w:u w:val="none"/>
                  <w:shd w:val="clear" w:color="auto" w:fill="auto"/>
                </w:rPr>
                <w:t>71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f0d19e6546c46cc863a840eae14f3e0" w:history="1">
              <w:r>
                <w:rPr>
                  <w:rFonts w:ascii="Calibri" w:eastAsia="Calibri" w:hAnsi="Calibri" w:cs="Calibri"/>
                  <w:b w:val="0"/>
                  <w:i w:val="0"/>
                  <w:color w:val="000000"/>
                  <w:sz w:val="20"/>
                  <w:u w:val="none"/>
                  <w:shd w:val="clear" w:color="auto" w:fill="auto"/>
                </w:rPr>
                <w:t>9.2.-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f0d19e6546c46cc863a840eae14f3e0" w:history="1">
              <w:r>
                <w:rPr>
                  <w:rFonts w:ascii="Calibri" w:eastAsia="Calibri" w:hAnsi="Calibri" w:cs="Calibri"/>
                  <w:b w:val="0"/>
                  <w:i w:val="0"/>
                  <w:color w:val="000000"/>
                  <w:sz w:val="20"/>
                  <w:u w:val="none"/>
                  <w:shd w:val="clear" w:color="auto" w:fill="auto"/>
                </w:rPr>
                <w:t>78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066edcc448748ffaa5d634887617e8a" w:history="1">
              <w:r>
                <w:rPr>
                  <w:rFonts w:ascii="Calibri" w:eastAsia="Calibri" w:hAnsi="Calibri" w:cs="Calibri"/>
                  <w:b w:val="0"/>
                  <w:i w:val="0"/>
                  <w:color w:val="000000"/>
                  <w:sz w:val="20"/>
                  <w:u w:val="none"/>
                  <w:shd w:val="clear" w:color="auto" w:fill="auto"/>
                </w:rPr>
                <w:t>10.-</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066edcc448748ffaa5d634887617e8a"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3e4879ed31f4b3e87de8ad0884c9918" w:history="1">
              <w:r>
                <w:rPr>
                  <w:rFonts w:ascii="Calibri" w:eastAsia="Calibri" w:hAnsi="Calibri" w:cs="Calibri"/>
                  <w:b w:val="0"/>
                  <w:i w:val="0"/>
                  <w:color w:val="000000"/>
                  <w:sz w:val="20"/>
                  <w:u w:val="none"/>
                  <w:shd w:val="clear" w:color="auto" w:fill="auto"/>
                </w:rPr>
                <w:t>10.1.-</w:t>
                <w:tab/>
                <w:t>Información adicional de 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3e4879ed31f4b3e87de8ad0884c9918" w:history="1">
              <w:r>
                <w:rPr>
                  <w:rFonts w:ascii="Calibri" w:eastAsia="Calibri" w:hAnsi="Calibri" w:cs="Calibri"/>
                  <w:b w:val="0"/>
                  <w:i w:val="0"/>
                  <w:color w:val="000000"/>
                  <w:sz w:val="20"/>
                  <w:u w:val="none"/>
                  <w:shd w:val="clear" w:color="auto" w:fill="auto"/>
                </w:rPr>
                <w:t>79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37e1d8fb004452aa966aef37d004265" w:history="1">
              <w:r>
                <w:rPr>
                  <w:rFonts w:ascii="Calibri" w:eastAsia="Calibri" w:hAnsi="Calibri" w:cs="Calibri"/>
                  <w:b w:val="0"/>
                  <w:i w:val="0"/>
                  <w:color w:val="000000"/>
                  <w:sz w:val="20"/>
                  <w:u w:val="none"/>
                  <w:shd w:val="clear" w:color="auto" w:fill="auto"/>
                </w:rPr>
                <w:t>11.-</w:t>
                <w:tab/>
                <w:t>ACTIVOS, PASIVOS POR IMPUESTOS.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37e1d8fb004452aa966aef37d004265" w:history="1">
              <w:r>
                <w:rPr>
                  <w:rFonts w:ascii="Calibri" w:eastAsia="Calibri" w:hAnsi="Calibri" w:cs="Calibri"/>
                  <w:b w:val="0"/>
                  <w:i w:val="0"/>
                  <w:color w:val="000000"/>
                  <w:sz w:val="20"/>
                  <w:u w:val="none"/>
                  <w:shd w:val="clear" w:color="auto" w:fill="auto"/>
                </w:rPr>
                <w:t>80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47852f7c29a45d1ae3e7919e229a74b" w:history="1">
              <w:r>
                <w:rPr>
                  <w:rFonts w:ascii="Calibri" w:eastAsia="Calibri" w:hAnsi="Calibri" w:cs="Calibri"/>
                  <w:b w:val="0"/>
                  <w:i w:val="0"/>
                  <w:color w:val="000000"/>
                  <w:sz w:val="20"/>
                  <w:u w:val="none"/>
                  <w:shd w:val="clear" w:color="auto" w:fill="auto"/>
                </w:rPr>
                <w:t>12.-</w:t>
                <w:tab/>
                <w:t>OTROS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47852f7c29a45d1ae3e7919e229a74b" w:history="1">
              <w:r>
                <w:rPr>
                  <w:rFonts w:ascii="Calibri" w:eastAsia="Calibri" w:hAnsi="Calibri" w:cs="Calibri"/>
                  <w:b w:val="0"/>
                  <w:i w:val="0"/>
                  <w:color w:val="000000"/>
                  <w:sz w:val="20"/>
                  <w:u w:val="none"/>
                  <w:shd w:val="clear" w:color="auto" w:fill="auto"/>
                </w:rPr>
                <w:t>80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85d6edeb5054c369ae466a2483eb6c9" w:history="1">
              <w:r>
                <w:rPr>
                  <w:rFonts w:ascii="Calibri" w:eastAsia="Calibri" w:hAnsi="Calibri" w:cs="Calibri"/>
                  <w:b w:val="0"/>
                  <w:i w:val="0"/>
                  <w:color w:val="000000"/>
                  <w:sz w:val="20"/>
                  <w:u w:val="none"/>
                  <w:shd w:val="clear" w:color="auto" w:fill="auto"/>
                </w:rPr>
                <w:t>13.-</w:t>
                <w:tab/>
                <w:t>INVERSIONES CONTABILIZADAS UTILIZANDO EL MÉTODO DE LA PARTICIPACIÓN.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85d6edeb5054c369ae466a2483eb6c9"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4cea5e338e54366a8f718638051fce3" w:history="1">
              <w:r>
                <w:rPr>
                  <w:rFonts w:ascii="Calibri" w:eastAsia="Calibri" w:hAnsi="Calibri" w:cs="Calibri"/>
                  <w:b w:val="0"/>
                  <w:i w:val="0"/>
                  <w:color w:val="000000"/>
                  <w:sz w:val="20"/>
                  <w:u w:val="none"/>
                  <w:shd w:val="clear" w:color="auto" w:fill="auto"/>
                </w:rPr>
                <w:t xml:space="preserve">13.1.- </w:t>
                <w:tab/>
                <w:t>Inversiones en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4cea5e338e54366a8f718638051fce3" w:history="1">
              <w:r>
                <w:rPr>
                  <w:rFonts w:ascii="Calibri" w:eastAsia="Calibri" w:hAnsi="Calibri" w:cs="Calibri"/>
                  <w:b w:val="0"/>
                  <w:i w:val="0"/>
                  <w:color w:val="000000"/>
                  <w:sz w:val="20"/>
                  <w:u w:val="none"/>
                  <w:shd w:val="clear" w:color="auto" w:fill="auto"/>
                </w:rPr>
                <w:t>81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4d8859cd3094cf285ec654250c06c3a" w:history="1">
              <w:r>
                <w:rPr>
                  <w:rFonts w:ascii="Calibri" w:eastAsia="Calibri" w:hAnsi="Calibri" w:cs="Calibri"/>
                  <w:b w:val="0"/>
                  <w:i w:val="0"/>
                  <w:color w:val="000000"/>
                  <w:sz w:val="20"/>
                  <w:u w:val="none"/>
                  <w:shd w:val="clear" w:color="auto" w:fill="auto"/>
                </w:rPr>
                <w:t>14.-</w:t>
                <w:tab/>
                <w:t>ACTIVOS INTANGIBLES DISTINTO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4d8859cd3094cf285ec654250c06c3a"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91014035b18468083338b7780ea7234" w:history="1">
              <w:r>
                <w:rPr>
                  <w:rFonts w:ascii="Calibri" w:eastAsia="Calibri" w:hAnsi="Calibri" w:cs="Calibri"/>
                  <w:b w:val="0"/>
                  <w:i w:val="0"/>
                  <w:color w:val="000000"/>
                  <w:sz w:val="20"/>
                  <w:u w:val="none"/>
                  <w:shd w:val="clear" w:color="auto" w:fill="auto"/>
                </w:rPr>
                <w:t>14.1.-</w:t>
                <w:tab/>
                <w:t>Composición y movimientos de los activos intangibles.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91014035b18468083338b7780ea7234" w:history="1">
              <w:r>
                <w:rPr>
                  <w:rFonts w:ascii="Calibri" w:eastAsia="Calibri" w:hAnsi="Calibri" w:cs="Calibri"/>
                  <w:b w:val="0"/>
                  <w:i w:val="0"/>
                  <w:color w:val="000000"/>
                  <w:sz w:val="20"/>
                  <w:u w:val="none"/>
                  <w:shd w:val="clear" w:color="auto" w:fill="auto"/>
                </w:rPr>
                <w:t>83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1658b6bedec4396bdf38d076c1edb6b" w:history="1">
              <w:r>
                <w:rPr>
                  <w:rFonts w:ascii="Calibri" w:eastAsia="Calibri" w:hAnsi="Calibri" w:cs="Calibri"/>
                  <w:b w:val="0"/>
                  <w:i w:val="0"/>
                  <w:color w:val="000000"/>
                  <w:sz w:val="20"/>
                  <w:u w:val="none"/>
                  <w:shd w:val="clear" w:color="auto" w:fill="auto"/>
                </w:rPr>
                <w:t>14.2.-</w:t>
                <w:tab/>
                <w:t>Activos intangibles con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1658b6bedec4396bdf38d076c1edb6b" w:history="1">
              <w:r>
                <w:rPr>
                  <w:rFonts w:ascii="Calibri" w:eastAsia="Calibri" w:hAnsi="Calibri" w:cs="Calibri"/>
                  <w:b w:val="0"/>
                  <w:i w:val="0"/>
                  <w:color w:val="000000"/>
                  <w:sz w:val="20"/>
                  <w:u w:val="none"/>
                  <w:shd w:val="clear" w:color="auto" w:fill="auto"/>
                </w:rPr>
                <w:t>84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316eeeb3c404cc180a4e56fe5fee71e" w:history="1">
              <w:r>
                <w:rPr>
                  <w:rFonts w:ascii="Calibri" w:eastAsia="Calibri" w:hAnsi="Calibri" w:cs="Calibri"/>
                  <w:b w:val="0"/>
                  <w:i w:val="0"/>
                  <w:color w:val="000000"/>
                  <w:sz w:val="20"/>
                  <w:u w:val="none"/>
                  <w:shd w:val="clear" w:color="auto" w:fill="auto"/>
                </w:rPr>
                <w:t>15.-</w:t>
                <w:tab/>
                <w:t>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316eeeb3c404cc180a4e56fe5fee71e" w:history="1">
              <w:r>
                <w:rPr>
                  <w:rFonts w:ascii="Calibri" w:eastAsia="Calibri" w:hAnsi="Calibri" w:cs="Calibri"/>
                  <w:b w:val="0"/>
                  <w:i w:val="0"/>
                  <w:color w:val="000000"/>
                  <w:sz w:val="20"/>
                  <w:u w:val="none"/>
                  <w:shd w:val="clear" w:color="auto" w:fill="auto"/>
                </w:rPr>
                <w:t>85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6b3e94be6b04566bf41f43337e80971" w:history="1">
              <w:r>
                <w:rPr>
                  <w:rFonts w:ascii="Calibri" w:eastAsia="Calibri" w:hAnsi="Calibri" w:cs="Calibri"/>
                  <w:b w:val="0"/>
                  <w:i w:val="0"/>
                  <w:color w:val="000000"/>
                  <w:sz w:val="20"/>
                  <w:u w:val="none"/>
                  <w:shd w:val="clear" w:color="auto" w:fill="auto"/>
                </w:rPr>
                <w:t>16.-</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6b3e94be6b04566bf41f43337e80971"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cbe5653add64a59a5e9cb3160715610" w:history="1">
              <w:r>
                <w:rPr>
                  <w:rFonts w:ascii="Calibri" w:eastAsia="Calibri" w:hAnsi="Calibri" w:cs="Calibri"/>
                  <w:b w:val="0"/>
                  <w:i w:val="0"/>
                  <w:color w:val="000000"/>
                  <w:sz w:val="20"/>
                  <w:u w:val="none"/>
                  <w:shd w:val="clear" w:color="auto" w:fill="auto"/>
                </w:rPr>
                <w:t>16.1.-</w:t>
                <w:tab/>
                <w:t>Composición y movimientos de las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cbe5653add64a59a5e9cb3160715610"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a39927b2a4549e2b5bba445055e5ade" w:history="1">
              <w:r>
                <w:rPr>
                  <w:rFonts w:ascii="Calibri" w:eastAsia="Calibri" w:hAnsi="Calibri" w:cs="Calibri"/>
                  <w:b w:val="0"/>
                  <w:i w:val="0"/>
                  <w:color w:val="000000"/>
                  <w:sz w:val="20"/>
                  <w:u w:val="none"/>
                  <w:shd w:val="clear" w:color="auto" w:fill="auto"/>
                </w:rPr>
                <w:t>16.2.-</w:t>
                <w:tab/>
                <w:t>Ingresos y gastos de 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a39927b2a4549e2b5bba445055e5ade" w:history="1">
              <w:r>
                <w:rPr>
                  <w:rFonts w:ascii="Calibri" w:eastAsia="Calibri" w:hAnsi="Calibri" w:cs="Calibri"/>
                  <w:b w:val="0"/>
                  <w:i w:val="0"/>
                  <w:color w:val="000000"/>
                  <w:sz w:val="20"/>
                  <w:u w:val="none"/>
                  <w:shd w:val="clear" w:color="auto" w:fill="auto"/>
                </w:rPr>
                <w:t>86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871820832204734945d98a8544fcb56" w:history="1">
              <w:r>
                <w:rPr>
                  <w:rFonts w:ascii="Calibri" w:eastAsia="Calibri" w:hAnsi="Calibri" w:cs="Calibri"/>
                  <w:b w:val="0"/>
                  <w:i w:val="0"/>
                  <w:color w:val="000000"/>
                  <w:sz w:val="20"/>
                  <w:u w:val="none"/>
                  <w:shd w:val="clear" w:color="auto" w:fill="auto"/>
                </w:rPr>
                <w:t>17.-</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871820832204734945d98a8544fcb56"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861b9f573e64a1e8e2f99d10a501e2d" w:history="1">
              <w:r>
                <w:rPr>
                  <w:rFonts w:ascii="Calibri" w:eastAsia="Calibri" w:hAnsi="Calibri" w:cs="Calibri"/>
                  <w:b w:val="0"/>
                  <w:i w:val="0"/>
                  <w:color w:val="000000"/>
                  <w:sz w:val="20"/>
                  <w:u w:val="none"/>
                  <w:shd w:val="clear" w:color="auto" w:fill="auto"/>
                </w:rPr>
                <w:t>17.1.-</w:t>
                <w:tab/>
                <w:t>Vidas útiles.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861b9f573e64a1e8e2f99d10a501e2d"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43a993f314743ba8702d1e1d846c6e0" w:history="1">
              <w:r>
                <w:rPr>
                  <w:rFonts w:ascii="Calibri" w:eastAsia="Calibri" w:hAnsi="Calibri" w:cs="Calibri"/>
                  <w:b w:val="0"/>
                  <w:i w:val="0"/>
                  <w:color w:val="000000"/>
                  <w:sz w:val="20"/>
                  <w:u w:val="none"/>
                  <w:shd w:val="clear" w:color="auto" w:fill="auto"/>
                </w:rPr>
                <w:t>17.2.-</w:t>
                <w:tab/>
                <w:t>Detalle de los rubros.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43a993f314743ba8702d1e1d846c6e0" w:history="1">
              <w:r>
                <w:rPr>
                  <w:rFonts w:ascii="Calibri" w:eastAsia="Calibri" w:hAnsi="Calibri" w:cs="Calibri"/>
                  <w:b w:val="0"/>
                  <w:i w:val="0"/>
                  <w:color w:val="000000"/>
                  <w:sz w:val="20"/>
                  <w:u w:val="none"/>
                  <w:shd w:val="clear" w:color="auto" w:fill="auto"/>
                </w:rPr>
                <w:t>87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dd83a3bcd86490a826a3569b8640364" w:history="1">
              <w:r>
                <w:rPr>
                  <w:rFonts w:ascii="Calibri" w:eastAsia="Calibri" w:hAnsi="Calibri" w:cs="Calibri"/>
                  <w:b w:val="0"/>
                  <w:i w:val="0"/>
                  <w:color w:val="000000"/>
                  <w:sz w:val="20"/>
                  <w:u w:val="none"/>
                  <w:shd w:val="clear" w:color="auto" w:fill="auto"/>
                </w:rPr>
                <w:t>17.3.-</w:t>
                <w:tab/>
                <w:t>Reconciliación de cambios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dd83a3bcd86490a826a3569b8640364" w:history="1">
              <w:r>
                <w:rPr>
                  <w:rFonts w:ascii="Calibri" w:eastAsia="Calibri" w:hAnsi="Calibri" w:cs="Calibri"/>
                  <w:b w:val="0"/>
                  <w:i w:val="0"/>
                  <w:color w:val="000000"/>
                  <w:sz w:val="20"/>
                  <w:u w:val="none"/>
                  <w:shd w:val="clear" w:color="auto" w:fill="auto"/>
                </w:rPr>
                <w:t>89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68d1d0d42164d22b768a327c74ce8ac" w:history="1">
              <w:r>
                <w:rPr>
                  <w:rFonts w:ascii="Calibri" w:eastAsia="Calibri" w:hAnsi="Calibri" w:cs="Calibri"/>
                  <w:b w:val="0"/>
                  <w:i w:val="0"/>
                  <w:color w:val="000000"/>
                  <w:sz w:val="20"/>
                  <w:u w:val="none"/>
                  <w:shd w:val="clear" w:color="auto" w:fill="auto"/>
                </w:rPr>
                <w:t>17.4.-</w:t>
                <w:tab/>
                <w:t>Política de inversiones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68d1d0d42164d22b768a327c74ce8ac"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0489cfd71b74b71bd87d1b12bfab878" w:history="1">
              <w:r>
                <w:rPr>
                  <w:rFonts w:ascii="Calibri" w:eastAsia="Calibri" w:hAnsi="Calibri" w:cs="Calibri"/>
                  <w:b w:val="0"/>
                  <w:i w:val="0"/>
                  <w:color w:val="000000"/>
                  <w:sz w:val="20"/>
                  <w:u w:val="none"/>
                  <w:shd w:val="clear" w:color="auto" w:fill="auto"/>
                </w:rPr>
                <w:t>17.5.-</w:t>
                <w:tab/>
                <w:t>Costo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0489cfd71b74b71bd87d1b12bfab878"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9dbbf489c0a495ea48b5accf11f6622" w:history="1">
              <w:r>
                <w:rPr>
                  <w:rFonts w:ascii="Calibri" w:eastAsia="Calibri" w:hAnsi="Calibri" w:cs="Calibri"/>
                  <w:b w:val="0"/>
                  <w:i w:val="0"/>
                  <w:color w:val="000000"/>
                  <w:sz w:val="20"/>
                  <w:u w:val="none"/>
                  <w:shd w:val="clear" w:color="auto" w:fill="auto"/>
                </w:rPr>
                <w:t>18.-</w:t>
                <w:tab/>
                <w:t>DETERIORO DE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9dbbf489c0a495ea48b5accf11f6622"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7e261f0766144428c709a416867d318" w:history="1">
              <w:r>
                <w:rPr>
                  <w:rFonts w:ascii="Calibri" w:eastAsia="Calibri" w:hAnsi="Calibri" w:cs="Calibri"/>
                  <w:b w:val="0"/>
                  <w:i w:val="0"/>
                  <w:color w:val="000000"/>
                  <w:sz w:val="20"/>
                  <w:u w:val="none"/>
                  <w:shd w:val="clear" w:color="auto" w:fill="auto"/>
                </w:rPr>
                <w:t>18.1.-</w:t>
                <w:tab/>
                <w:t>Prueba de deterioro de propiedad, planta y equipos, plusvalía comprada y otros activos intangibles de vida útil indefinida.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7e261f0766144428c709a416867d318" w:history="1">
              <w:r>
                <w:rPr>
                  <w:rFonts w:ascii="Calibri" w:eastAsia="Calibri" w:hAnsi="Calibri" w:cs="Calibri"/>
                  <w:b w:val="0"/>
                  <w:i w:val="0"/>
                  <w:color w:val="000000"/>
                  <w:sz w:val="20"/>
                  <w:u w:val="none"/>
                  <w:shd w:val="clear" w:color="auto" w:fill="auto"/>
                </w:rPr>
                <w:t>91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bc8c55d5da24a1db9779b2b27275bdf" w:history="1">
              <w:r>
                <w:rPr>
                  <w:rFonts w:ascii="Calibri" w:eastAsia="Calibri" w:hAnsi="Calibri" w:cs="Calibri"/>
                  <w:b w:val="0"/>
                  <w:i w:val="0"/>
                  <w:color w:val="000000"/>
                  <w:sz w:val="20"/>
                  <w:u w:val="none"/>
                  <w:shd w:val="clear" w:color="auto" w:fill="auto"/>
                </w:rPr>
                <w:t>18.2.-</w:t>
                <w:tab/>
                <w:t>Pérdidas por deterioro del valor y reversión de las pérdidas por deterioro del valor.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bc8c55d5da24a1db9779b2b27275bdf" w:history="1">
              <w:r>
                <w:rPr>
                  <w:rFonts w:ascii="Calibri" w:eastAsia="Calibri" w:hAnsi="Calibri" w:cs="Calibri"/>
                  <w:b w:val="0"/>
                  <w:i w:val="0"/>
                  <w:color w:val="000000"/>
                  <w:sz w:val="20"/>
                  <w:u w:val="none"/>
                  <w:shd w:val="clear" w:color="auto" w:fill="auto"/>
                </w:rPr>
                <w:t>93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9e3454b48a84c5b8dc5964e724e8f2d" w:history="1">
              <w:r>
                <w:rPr>
                  <w:rFonts w:ascii="Calibri" w:eastAsia="Calibri" w:hAnsi="Calibri" w:cs="Calibri"/>
                  <w:b w:val="0"/>
                  <w:i w:val="0"/>
                  <w:color w:val="000000"/>
                  <w:sz w:val="20"/>
                  <w:u w:val="none"/>
                  <w:shd w:val="clear" w:color="auto" w:fill="auto"/>
                </w:rPr>
                <w:t>19.-</w:t>
                <w:tab/>
                <w:t>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9e3454b48a84c5b8dc5964e724e8f2d" w:history="1">
              <w:r>
                <w:rPr>
                  <w:rFonts w:ascii="Calibri" w:eastAsia="Calibri" w:hAnsi="Calibri" w:cs="Calibri"/>
                  <w:b w:val="0"/>
                  <w:i w:val="0"/>
                  <w:color w:val="000000"/>
                  <w:sz w:val="20"/>
                  <w:u w:val="none"/>
                  <w:shd w:val="clear" w:color="auto" w:fill="auto"/>
                </w:rPr>
                <w:t>93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af8ab05e94e4c17b3388270a539424c" w:history="1">
              <w:r>
                <w:rPr>
                  <w:rFonts w:ascii="Calibri" w:eastAsia="Calibri" w:hAnsi="Calibri" w:cs="Calibri"/>
                  <w:b w:val="0"/>
                  <w:i w:val="0"/>
                  <w:color w:val="000000"/>
                  <w:sz w:val="20"/>
                  <w:u w:val="none"/>
                  <w:shd w:val="clear" w:color="auto" w:fill="auto"/>
                </w:rPr>
                <w:t>19.1.-</w:t>
                <w:tab/>
                <w:t>Activos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af8ab05e94e4c17b3388270a539424c" w:history="1">
              <w:r>
                <w:rPr>
                  <w:rFonts w:ascii="Calibri" w:eastAsia="Calibri" w:hAnsi="Calibri" w:cs="Calibri"/>
                  <w:b w:val="0"/>
                  <w:i w:val="0"/>
                  <w:color w:val="000000"/>
                  <w:sz w:val="20"/>
                  <w:u w:val="none"/>
                  <w:shd w:val="clear" w:color="auto" w:fill="auto"/>
                </w:rPr>
                <w:t>93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2abeb89a0be4235ad3eb20e26c7a0e8" w:history="1">
              <w:r>
                <w:rPr>
                  <w:rFonts w:ascii="Calibri" w:eastAsia="Calibri" w:hAnsi="Calibri" w:cs="Calibri"/>
                  <w:b w:val="0"/>
                  <w:i w:val="0"/>
                  <w:color w:val="000000"/>
                  <w:sz w:val="20"/>
                  <w:u w:val="none"/>
                  <w:shd w:val="clear" w:color="auto" w:fill="auto"/>
                </w:rPr>
                <w:t>19.2.-</w:t>
                <w:tab/>
                <w:t>Pasivos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2abeb89a0be4235ad3eb20e26c7a0e8" w:history="1">
              <w:r>
                <w:rPr>
                  <w:rFonts w:ascii="Calibri" w:eastAsia="Calibri" w:hAnsi="Calibri" w:cs="Calibri"/>
                  <w:b w:val="0"/>
                  <w:i w:val="0"/>
                  <w:color w:val="000000"/>
                  <w:sz w:val="20"/>
                  <w:u w:val="none"/>
                  <w:shd w:val="clear" w:color="auto" w:fill="auto"/>
                </w:rPr>
                <w:t>94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088291d176f4213b97d817dd7c4e149" w:history="1">
              <w:r>
                <w:rPr>
                  <w:rFonts w:ascii="Calibri" w:eastAsia="Calibri" w:hAnsi="Calibri" w:cs="Calibri"/>
                  <w:b w:val="0"/>
                  <w:i w:val="0"/>
                  <w:color w:val="000000"/>
                  <w:sz w:val="20"/>
                  <w:u w:val="none"/>
                  <w:shd w:val="clear" w:color="auto" w:fill="auto"/>
                </w:rPr>
                <w:t>19.3.-</w:t>
                <w:tab/>
                <w:t>Movimientos de impuesto diferido del estado de situación financiera.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088291d176f4213b97d817dd7c4e149" w:history="1">
              <w:r>
                <w:rPr>
                  <w:rFonts w:ascii="Calibri" w:eastAsia="Calibri" w:hAnsi="Calibri" w:cs="Calibri"/>
                  <w:b w:val="0"/>
                  <w:i w:val="0"/>
                  <w:color w:val="000000"/>
                  <w:sz w:val="20"/>
                  <w:u w:val="none"/>
                  <w:shd w:val="clear" w:color="auto" w:fill="auto"/>
                </w:rPr>
                <w:t>94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3709297311e4513948afa489eef06ca" w:history="1">
              <w:r>
                <w:rPr>
                  <w:rFonts w:ascii="Calibri" w:eastAsia="Calibri" w:hAnsi="Calibri" w:cs="Calibri"/>
                  <w:b w:val="0"/>
                  <w:i w:val="0"/>
                  <w:color w:val="000000"/>
                  <w:sz w:val="20"/>
                  <w:u w:val="none"/>
                  <w:shd w:val="clear" w:color="auto" w:fill="auto"/>
                </w:rPr>
                <w:t>19.4.-</w:t>
                <w:tab/>
                <w:t>Compensación de partidas.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3709297311e4513948afa489eef06ca" w:history="1">
              <w:r>
                <w:rPr>
                  <w:rFonts w:ascii="Calibri" w:eastAsia="Calibri" w:hAnsi="Calibri" w:cs="Calibri"/>
                  <w:b w:val="0"/>
                  <w:i w:val="0"/>
                  <w:color w:val="000000"/>
                  <w:sz w:val="20"/>
                  <w:u w:val="none"/>
                  <w:shd w:val="clear" w:color="auto" w:fill="auto"/>
                </w:rPr>
                <w:t>94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42e5e9abc514d9fb3672152e51ec423" w:history="1">
              <w:r>
                <w:rPr>
                  <w:rFonts w:ascii="Calibri" w:eastAsia="Calibri" w:hAnsi="Calibri" w:cs="Calibri"/>
                  <w:b w:val="0"/>
                  <w:i w:val="0"/>
                  <w:color w:val="000000"/>
                  <w:sz w:val="20"/>
                  <w:u w:val="none"/>
                  <w:shd w:val="clear" w:color="auto" w:fill="auto"/>
                </w:rPr>
                <w:t>20.-</w:t>
                <w:tab/>
                <w:t>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42e5e9abc514d9fb3672152e51ec423" w:history="1">
              <w:r>
                <w:rPr>
                  <w:rFonts w:ascii="Calibri" w:eastAsia="Calibri" w:hAnsi="Calibri" w:cs="Calibri"/>
                  <w:b w:val="0"/>
                  <w:i w:val="0"/>
                  <w:color w:val="000000"/>
                  <w:sz w:val="20"/>
                  <w:u w:val="none"/>
                  <w:shd w:val="clear" w:color="auto" w:fill="auto"/>
                </w:rPr>
                <w:t>95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f2383f037a74e179abb3a6c6c711016" w:history="1">
              <w:r>
                <w:rPr>
                  <w:rFonts w:ascii="Calibri" w:eastAsia="Calibri" w:hAnsi="Calibri" w:cs="Calibri"/>
                  <w:b w:val="0"/>
                  <w:i w:val="0"/>
                  <w:color w:val="000000"/>
                  <w:sz w:val="20"/>
                  <w:u w:val="none"/>
                  <w:shd w:val="clear" w:color="auto" w:fill="auto"/>
                </w:rPr>
                <w:t>20.1.-</w:t>
                <w:tab/>
                <w:t xml:space="preserve">Clases de otros pasivos financieros.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f2383f037a74e179abb3a6c6c711016" w:history="1">
              <w:r>
                <w:rPr>
                  <w:rFonts w:ascii="Calibri" w:eastAsia="Calibri" w:hAnsi="Calibri" w:cs="Calibri"/>
                  <w:b w:val="0"/>
                  <w:i w:val="0"/>
                  <w:color w:val="000000"/>
                  <w:sz w:val="20"/>
                  <w:u w:val="none"/>
                  <w:shd w:val="clear" w:color="auto" w:fill="auto"/>
                </w:rPr>
                <w:t>95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af8340b3b5b440988dd5b08a6b9c634" w:history="1">
              <w:r>
                <w:rPr>
                  <w:rFonts w:ascii="Calibri" w:eastAsia="Calibri" w:hAnsi="Calibri" w:cs="Calibri"/>
                  <w:b w:val="0"/>
                  <w:i w:val="0"/>
                  <w:color w:val="000000"/>
                  <w:sz w:val="20"/>
                  <w:u w:val="none"/>
                  <w:shd w:val="clear" w:color="auto" w:fill="auto"/>
                </w:rPr>
                <w:t>20.2.-</w:t>
                <w:tab/>
                <w:t>Préstamos bancarios - desglose de monedas y vencimientos.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af8340b3b5b440988dd5b08a6b9c634" w:history="1">
              <w:r>
                <w:rPr>
                  <w:rFonts w:ascii="Calibri" w:eastAsia="Calibri" w:hAnsi="Calibri" w:cs="Calibri"/>
                  <w:b w:val="0"/>
                  <w:i w:val="0"/>
                  <w:color w:val="000000"/>
                  <w:sz w:val="20"/>
                  <w:u w:val="none"/>
                  <w:shd w:val="clear" w:color="auto" w:fill="auto"/>
                </w:rPr>
                <w:t>96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4ca455d4bb64342b6558e7f77a13b4d" w:history="1">
              <w:r>
                <w:rPr>
                  <w:rFonts w:ascii="Calibri" w:eastAsia="Calibri" w:hAnsi="Calibri" w:cs="Calibri"/>
                  <w:b w:val="0"/>
                  <w:i w:val="0"/>
                  <w:color w:val="000000"/>
                  <w:sz w:val="20"/>
                  <w:u w:val="none"/>
                  <w:shd w:val="clear" w:color="auto" w:fill="auto"/>
                </w:rPr>
                <w:t>20.3.-</w:t>
                <w:tab/>
                <w:t>Obligaciones con el público. (Bonos)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4ca455d4bb64342b6558e7f77a13b4d" w:history="1">
              <w:r>
                <w:rPr>
                  <w:rFonts w:ascii="Calibri" w:eastAsia="Calibri" w:hAnsi="Calibri" w:cs="Calibri"/>
                  <w:b w:val="0"/>
                  <w:i w:val="0"/>
                  <w:color w:val="000000"/>
                  <w:sz w:val="20"/>
                  <w:u w:val="none"/>
                  <w:shd w:val="clear" w:color="auto" w:fill="auto"/>
                </w:rPr>
                <w:t>98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0f61c43fde748ae9e876bc21102a97e" w:history="1">
              <w:r>
                <w:rPr>
                  <w:rFonts w:ascii="Calibri" w:eastAsia="Calibri" w:hAnsi="Calibri" w:cs="Calibri"/>
                  <w:b w:val="0"/>
                  <w:i w:val="0"/>
                  <w:color w:val="000000"/>
                  <w:sz w:val="20"/>
                  <w:u w:val="none"/>
                  <w:shd w:val="clear" w:color="auto" w:fill="auto"/>
                </w:rPr>
                <w:t>21.-</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0f61c43fde748ae9e876bc21102a97e"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bfae16b51cd404f954be8a3b3c87489" w:history="1">
              <w:r>
                <w:rPr>
                  <w:rFonts w:ascii="Calibri" w:eastAsia="Calibri" w:hAnsi="Calibri" w:cs="Calibri"/>
                  <w:b w:val="0"/>
                  <w:i w:val="0"/>
                  <w:color w:val="000000"/>
                  <w:sz w:val="20"/>
                  <w:u w:val="none"/>
                  <w:shd w:val="clear" w:color="auto" w:fill="auto"/>
                </w:rPr>
                <w:t>21.1.-</w:t>
                <w:tab/>
                <w:t>Pasivos acumulados (o devengados).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bfae16b51cd404f954be8a3b3c87489"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62467b998c1408a9d7041e0d517ce64" w:history="1">
              <w:r>
                <w:rPr>
                  <w:rFonts w:ascii="Calibri" w:eastAsia="Calibri" w:hAnsi="Calibri" w:cs="Calibri"/>
                  <w:b w:val="0"/>
                  <w:i w:val="0"/>
                  <w:color w:val="000000"/>
                  <w:sz w:val="20"/>
                  <w:u w:val="none"/>
                  <w:shd w:val="clear" w:color="auto" w:fill="auto"/>
                </w:rPr>
                <w:t>21.2.-</w:t>
                <w:tab/>
                <w:t>Información cuentas comerciales y otras cuentas por pagar con pagos al día y con plazos vencidos.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62467b998c1408a9d7041e0d517ce64" w:history="1">
              <w:r>
                <w:rPr>
                  <w:rFonts w:ascii="Calibri" w:eastAsia="Calibri" w:hAnsi="Calibri" w:cs="Calibri"/>
                  <w:b w:val="0"/>
                  <w:i w:val="0"/>
                  <w:color w:val="000000"/>
                  <w:sz w:val="20"/>
                  <w:u w:val="none"/>
                  <w:shd w:val="clear" w:color="auto" w:fill="auto"/>
                </w:rPr>
                <w:t>100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6d3b5150c9444a19504dad85928fc83" w:history="1">
              <w:r>
                <w:rPr>
                  <w:rFonts w:ascii="Calibri" w:eastAsia="Calibri" w:hAnsi="Calibri" w:cs="Calibri"/>
                  <w:b w:val="0"/>
                  <w:i w:val="0"/>
                  <w:color w:val="000000"/>
                  <w:sz w:val="20"/>
                  <w:u w:val="none"/>
                  <w:shd w:val="clear" w:color="auto" w:fill="auto"/>
                </w:rPr>
                <w:t>22.-</w:t>
                <w:tab/>
                <w:t>OTRAS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6d3b5150c9444a19504dad85928fc83" w:history="1">
              <w:r>
                <w:rPr>
                  <w:rFonts w:ascii="Calibri" w:eastAsia="Calibri" w:hAnsi="Calibri" w:cs="Calibri"/>
                  <w:b w:val="0"/>
                  <w:i w:val="0"/>
                  <w:color w:val="000000"/>
                  <w:sz w:val="20"/>
                  <w:u w:val="none"/>
                  <w:shd w:val="clear" w:color="auto" w:fill="auto"/>
                </w:rPr>
                <w:t>101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69ea082aae84d868a2877cd065268cf" w:history="1">
              <w:r>
                <w:rPr>
                  <w:rFonts w:ascii="Calibri" w:eastAsia="Calibri" w:hAnsi="Calibri" w:cs="Calibri"/>
                  <w:b w:val="0"/>
                  <w:i w:val="0"/>
                  <w:color w:val="000000"/>
                  <w:sz w:val="20"/>
                  <w:u w:val="none"/>
                  <w:shd w:val="clear" w:color="auto" w:fill="auto"/>
                </w:rPr>
                <w:t>22.1.-</w:t>
                <w:tab/>
                <w:t>Provisiones - saldos.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69ea082aae84d868a2877cd065268cf" w:history="1">
              <w:r>
                <w:rPr>
                  <w:rFonts w:ascii="Calibri" w:eastAsia="Calibri" w:hAnsi="Calibri" w:cs="Calibri"/>
                  <w:b w:val="0"/>
                  <w:i w:val="0"/>
                  <w:color w:val="000000"/>
                  <w:sz w:val="20"/>
                  <w:u w:val="none"/>
                  <w:shd w:val="clear" w:color="auto" w:fill="auto"/>
                </w:rPr>
                <w:t>101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a2d2b9bfcad40ae92d89c42b8a84330" w:history="1">
              <w:r>
                <w:rPr>
                  <w:rFonts w:ascii="Calibri" w:eastAsia="Calibri" w:hAnsi="Calibri" w:cs="Calibri"/>
                  <w:b w:val="0"/>
                  <w:i w:val="0"/>
                  <w:color w:val="000000"/>
                  <w:sz w:val="20"/>
                  <w:u w:val="none"/>
                  <w:shd w:val="clear" w:color="auto" w:fill="auto"/>
                </w:rPr>
                <w:t>22.2.-</w:t>
                <w:tab/>
                <w:t>Movimiento de las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a2d2b9bfcad40ae92d89c42b8a84330" w:history="1">
              <w:r>
                <w:rPr>
                  <w:rFonts w:ascii="Calibri" w:eastAsia="Calibri" w:hAnsi="Calibri" w:cs="Calibri"/>
                  <w:b w:val="0"/>
                  <w:i w:val="0"/>
                  <w:color w:val="000000"/>
                  <w:sz w:val="20"/>
                  <w:u w:val="none"/>
                  <w:shd w:val="clear" w:color="auto" w:fill="auto"/>
                </w:rPr>
                <w:t>102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d2cdfaf37284278b879758a56f6d65f" w:history="1">
              <w:r>
                <w:rPr>
                  <w:rFonts w:ascii="Calibri" w:eastAsia="Calibri" w:hAnsi="Calibri" w:cs="Calibri"/>
                  <w:b w:val="0"/>
                  <w:i w:val="0"/>
                  <w:color w:val="000000"/>
                  <w:sz w:val="20"/>
                  <w:u w:val="none"/>
                  <w:shd w:val="clear" w:color="auto" w:fill="auto"/>
                </w:rPr>
                <w:t>23.-</w:t>
                <w:tab/>
                <w:t>PROVISIONES POR BENEFICIOS A LOS EMPLEADOS.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d2cdfaf37284278b879758a56f6d65f" w:history="1">
              <w:r>
                <w:rPr>
                  <w:rFonts w:ascii="Calibri" w:eastAsia="Calibri" w:hAnsi="Calibri" w:cs="Calibri"/>
                  <w:b w:val="0"/>
                  <w:i w:val="0"/>
                  <w:color w:val="000000"/>
                  <w:sz w:val="20"/>
                  <w:u w:val="none"/>
                  <w:shd w:val="clear" w:color="auto" w:fill="auto"/>
                </w:rPr>
                <w:t>102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7b0ce2e091f4e588e02206bca321c22" w:history="1">
              <w:r>
                <w:rPr>
                  <w:rFonts w:ascii="Calibri" w:eastAsia="Calibri" w:hAnsi="Calibri" w:cs="Calibri"/>
                  <w:b w:val="0"/>
                  <w:i w:val="0"/>
                  <w:color w:val="000000"/>
                  <w:sz w:val="20"/>
                  <w:u w:val="none"/>
                  <w:shd w:val="clear" w:color="auto" w:fill="auto"/>
                </w:rPr>
                <w:t>23.1.-</w:t>
                <w:tab/>
                <w:t>Detalle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7b0ce2e091f4e588e02206bca321c22" w:history="1">
              <w:r>
                <w:rPr>
                  <w:rFonts w:ascii="Calibri" w:eastAsia="Calibri" w:hAnsi="Calibri" w:cs="Calibri"/>
                  <w:b w:val="0"/>
                  <w:i w:val="0"/>
                  <w:color w:val="000000"/>
                  <w:sz w:val="20"/>
                  <w:u w:val="none"/>
                  <w:shd w:val="clear" w:color="auto" w:fill="auto"/>
                </w:rPr>
                <w:t>102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4ea825fbbd04089ae3116665faf6827" w:history="1">
              <w:r>
                <w:rPr>
                  <w:rFonts w:ascii="Calibri" w:eastAsia="Calibri" w:hAnsi="Calibri" w:cs="Calibri"/>
                  <w:b w:val="0"/>
                  <w:i w:val="0"/>
                  <w:color w:val="000000"/>
                  <w:sz w:val="20"/>
                  <w:u w:val="none"/>
                  <w:shd w:val="clear" w:color="auto" w:fill="auto"/>
                </w:rPr>
                <w:t>23.2.-</w:t>
                <w:tab/>
                <w:t>Detalle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4ea825fbbd04089ae3116665faf6827" w:history="1">
              <w:r>
                <w:rPr>
                  <w:rFonts w:ascii="Calibri" w:eastAsia="Calibri" w:hAnsi="Calibri" w:cs="Calibri"/>
                  <w:b w:val="0"/>
                  <w:i w:val="0"/>
                  <w:color w:val="000000"/>
                  <w:sz w:val="20"/>
                  <w:u w:val="none"/>
                  <w:shd w:val="clear" w:color="auto" w:fill="auto"/>
                </w:rPr>
                <w:t>103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96010a44404889aadf513fcfd92d6a" w:history="1">
              <w:r>
                <w:rPr>
                  <w:rFonts w:ascii="Calibri" w:eastAsia="Calibri" w:hAnsi="Calibri" w:cs="Calibri"/>
                  <w:b w:val="0"/>
                  <w:i w:val="0"/>
                  <w:color w:val="000000"/>
                  <w:sz w:val="20"/>
                  <w:u w:val="none"/>
                  <w:shd w:val="clear" w:color="auto" w:fill="auto"/>
                </w:rPr>
                <w:t>23.3.-</w:t>
                <w:tab/>
                <w:t>Balance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96010a44404889aadf513fcfd92d6a" w:history="1">
              <w:r>
                <w:rPr>
                  <w:rFonts w:ascii="Calibri" w:eastAsia="Calibri" w:hAnsi="Calibri" w:cs="Calibri"/>
                  <w:b w:val="0"/>
                  <w:i w:val="0"/>
                  <w:color w:val="000000"/>
                  <w:sz w:val="20"/>
                  <w:u w:val="none"/>
                  <w:shd w:val="clear" w:color="auto" w:fill="auto"/>
                </w:rPr>
                <w:t>103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7b19105224d4a01afd331e485ccc540" w:history="1">
              <w:r>
                <w:rPr>
                  <w:rFonts w:ascii="Calibri" w:eastAsia="Calibri" w:hAnsi="Calibri" w:cs="Calibri"/>
                  <w:b w:val="0"/>
                  <w:i w:val="0"/>
                  <w:color w:val="000000"/>
                  <w:sz w:val="20"/>
                  <w:u w:val="none"/>
                  <w:shd w:val="clear" w:color="auto" w:fill="auto"/>
                </w:rPr>
                <w:t>23.4.-</w:t>
                <w:tab/>
                <w:t>Gastos reconocidos en el estado de resultados.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7b19105224d4a01afd331e485ccc540" w:history="1">
              <w:r>
                <w:rPr>
                  <w:rFonts w:ascii="Calibri" w:eastAsia="Calibri" w:hAnsi="Calibri" w:cs="Calibri"/>
                  <w:b w:val="0"/>
                  <w:i w:val="0"/>
                  <w:color w:val="000000"/>
                  <w:sz w:val="20"/>
                  <w:u w:val="none"/>
                  <w:shd w:val="clear" w:color="auto" w:fill="auto"/>
                </w:rPr>
                <w:t>103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6c6ef53287646f99cd597823356afa0" w:history="1">
              <w:r>
                <w:rPr>
                  <w:rFonts w:ascii="Calibri" w:eastAsia="Calibri" w:hAnsi="Calibri" w:cs="Calibri"/>
                  <w:b w:val="0"/>
                  <w:i w:val="0"/>
                  <w:color w:val="000000"/>
                  <w:sz w:val="20"/>
                  <w:u w:val="none"/>
                  <w:shd w:val="clear" w:color="auto" w:fill="auto"/>
                </w:rPr>
                <w:t>23.5.-</w:t>
                <w:tab/>
                <w:t>Hipótesis actuariales.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6c6ef53287646f99cd597823356afa0" w:history="1">
              <w:r>
                <w:rPr>
                  <w:rFonts w:ascii="Calibri" w:eastAsia="Calibri" w:hAnsi="Calibri" w:cs="Calibri"/>
                  <w:b w:val="0"/>
                  <w:i w:val="0"/>
                  <w:color w:val="000000"/>
                  <w:sz w:val="20"/>
                  <w:u w:val="none"/>
                  <w:shd w:val="clear" w:color="auto" w:fill="auto"/>
                </w:rPr>
                <w:t>103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c803086a22444cc92e0070db5b930b9" w:history="1">
              <w:r>
                <w:rPr>
                  <w:rFonts w:ascii="Calibri" w:eastAsia="Calibri" w:hAnsi="Calibri" w:cs="Calibri"/>
                  <w:b w:val="0"/>
                  <w:i w:val="0"/>
                  <w:color w:val="000000"/>
                  <w:sz w:val="20"/>
                  <w:u w:val="none"/>
                  <w:shd w:val="clear" w:color="auto" w:fill="auto"/>
                </w:rPr>
                <w:t>23.6.-</w:t>
                <w:tab/>
                <w:t>Flujo y plazo de los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c803086a22444cc92e0070db5b930b9" w:history="1">
              <w:r>
                <w:rPr>
                  <w:rFonts w:ascii="Calibri" w:eastAsia="Calibri" w:hAnsi="Calibri" w:cs="Calibri"/>
                  <w:b w:val="0"/>
                  <w:i w:val="0"/>
                  <w:color w:val="000000"/>
                  <w:sz w:val="20"/>
                  <w:u w:val="none"/>
                  <w:shd w:val="clear" w:color="auto" w:fill="auto"/>
                </w:rPr>
                <w:t>104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eec2ec62366450588c7199f9914fb05" w:history="1">
              <w:r>
                <w:rPr>
                  <w:rFonts w:ascii="Calibri" w:eastAsia="Calibri" w:hAnsi="Calibri" w:cs="Calibri"/>
                  <w:b w:val="0"/>
                  <w:i w:val="0"/>
                  <w:color w:val="000000"/>
                  <w:sz w:val="20"/>
                  <w:u w:val="none"/>
                  <w:shd w:val="clear" w:color="auto" w:fill="auto"/>
                </w:rPr>
                <w:t>24.-</w:t>
                <w:tab/>
                <w:t>OTROS PASIVOS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eec2ec62366450588c7199f9914fb05" w:history="1">
              <w:r>
                <w:rPr>
                  <w:rFonts w:ascii="Calibri" w:eastAsia="Calibri" w:hAnsi="Calibri" w:cs="Calibri"/>
                  <w:b w:val="0"/>
                  <w:i w:val="0"/>
                  <w:color w:val="000000"/>
                  <w:sz w:val="20"/>
                  <w:u w:val="none"/>
                  <w:shd w:val="clear" w:color="auto" w:fill="auto"/>
                </w:rPr>
                <w:t>104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0c8b008cf4c42c487d9bfb8054c3670" w:history="1">
              <w:r>
                <w:rPr>
                  <w:rFonts w:ascii="Calibri" w:eastAsia="Calibri" w:hAnsi="Calibri" w:cs="Calibri"/>
                  <w:b w:val="0"/>
                  <w:i w:val="0"/>
                  <w:color w:val="000000"/>
                  <w:sz w:val="20"/>
                  <w:u w:val="none"/>
                  <w:shd w:val="clear" w:color="auto" w:fill="auto"/>
                </w:rPr>
                <w:t>24.1.-</w:t>
                <w:tab/>
                <w:t>Ingresos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0c8b008cf4c42c487d9bfb8054c3670" w:history="1">
              <w:r>
                <w:rPr>
                  <w:rFonts w:ascii="Calibri" w:eastAsia="Calibri" w:hAnsi="Calibri" w:cs="Calibri"/>
                  <w:b w:val="0"/>
                  <w:i w:val="0"/>
                  <w:color w:val="000000"/>
                  <w:sz w:val="20"/>
                  <w:u w:val="none"/>
                  <w:shd w:val="clear" w:color="auto" w:fill="auto"/>
                </w:rPr>
                <w:t>105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c7193c7af7b413c9a380259f90f608c" w:history="1">
              <w:r>
                <w:rPr>
                  <w:rFonts w:ascii="Calibri" w:eastAsia="Calibri" w:hAnsi="Calibri" w:cs="Calibri"/>
                  <w:b w:val="0"/>
                  <w:i w:val="0"/>
                  <w:color w:val="000000"/>
                  <w:sz w:val="20"/>
                  <w:u w:val="none"/>
                  <w:shd w:val="clear" w:color="auto" w:fill="auto"/>
                </w:rPr>
                <w:t>25.-</w:t>
                <w:tab/>
                <w:t>PASIVOS POR 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c7193c7af7b413c9a380259f90f608c" w:history="1">
              <w:r>
                <w:rPr>
                  <w:rFonts w:ascii="Calibri" w:eastAsia="Calibri" w:hAnsi="Calibri" w:cs="Calibri"/>
                  <w:b w:val="0"/>
                  <w:i w:val="0"/>
                  <w:color w:val="000000"/>
                  <w:sz w:val="20"/>
                  <w:u w:val="none"/>
                  <w:shd w:val="clear" w:color="auto" w:fill="auto"/>
                </w:rPr>
                <w:t>105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b27ea4e5f6d42a997d9a7d5087e8311" w:history="1">
              <w:r>
                <w:rPr>
                  <w:rFonts w:ascii="Calibri" w:eastAsia="Calibri" w:hAnsi="Calibri" w:cs="Calibri"/>
                  <w:b w:val="0"/>
                  <w:i w:val="0"/>
                  <w:color w:val="000000"/>
                  <w:sz w:val="20"/>
                  <w:u w:val="none"/>
                  <w:shd w:val="clear" w:color="auto" w:fill="auto"/>
                </w:rPr>
                <w:t>25.1.-</w:t>
                <w:tab/>
                <w:t xml:space="preserve">Obligaciones por arrendamientos.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b27ea4e5f6d42a997d9a7d5087e8311" w:history="1">
              <w:r>
                <w:rPr>
                  <w:rFonts w:ascii="Calibri" w:eastAsia="Calibri" w:hAnsi="Calibri" w:cs="Calibri"/>
                  <w:b w:val="0"/>
                  <w:i w:val="0"/>
                  <w:color w:val="000000"/>
                  <w:sz w:val="20"/>
                  <w:u w:val="none"/>
                  <w:shd w:val="clear" w:color="auto" w:fill="auto"/>
                </w:rPr>
                <w:t>105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37daef3735d45638dc48cf874cddad6" w:history="1">
              <w:r>
                <w:rPr>
                  <w:rFonts w:ascii="Calibri" w:eastAsia="Calibri" w:hAnsi="Calibri" w:cs="Calibri"/>
                  <w:b w:val="0"/>
                  <w:i w:val="0"/>
                  <w:color w:val="000000"/>
                  <w:sz w:val="20"/>
                  <w:u w:val="none"/>
                  <w:shd w:val="clear" w:color="auto" w:fill="auto"/>
                </w:rPr>
                <w:t>25.2.-</w:t>
                <w:tab/>
                <w:t xml:space="preserve">Activos por derecho de uso.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37daef3735d45638dc48cf874cddad6" w:history="1">
              <w:r>
                <w:rPr>
                  <w:rFonts w:ascii="Calibri" w:eastAsia="Calibri" w:hAnsi="Calibri" w:cs="Calibri"/>
                  <w:b w:val="0"/>
                  <w:i w:val="0"/>
                  <w:color w:val="000000"/>
                  <w:sz w:val="20"/>
                  <w:u w:val="none"/>
                  <w:shd w:val="clear" w:color="auto" w:fill="auto"/>
                </w:rPr>
                <w:t>106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5afd9d97a284e44a1db9f892cccb1b0" w:history="1">
              <w:r>
                <w:rPr>
                  <w:rFonts w:ascii="Calibri" w:eastAsia="Calibri" w:hAnsi="Calibri" w:cs="Calibri"/>
                  <w:b w:val="0"/>
                  <w:i w:val="0"/>
                  <w:color w:val="000000"/>
                  <w:sz w:val="20"/>
                  <w:u w:val="none"/>
                  <w:shd w:val="clear" w:color="auto" w:fill="auto"/>
                </w:rPr>
                <w:t>26.-</w:t>
                <w:tab/>
                <w:t>PATRIMONIO NETO.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5afd9d97a284e44a1db9f892cccb1b0" w:history="1">
              <w:r>
                <w:rPr>
                  <w:rFonts w:ascii="Calibri" w:eastAsia="Calibri" w:hAnsi="Calibri" w:cs="Calibri"/>
                  <w:b w:val="0"/>
                  <w:i w:val="0"/>
                  <w:color w:val="000000"/>
                  <w:sz w:val="20"/>
                  <w:u w:val="none"/>
                  <w:shd w:val="clear" w:color="auto" w:fill="auto"/>
                </w:rPr>
                <w:t>107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c04c770e5064c48af34e1587c09bf7a" w:history="1">
              <w:r>
                <w:rPr>
                  <w:rFonts w:ascii="Calibri" w:eastAsia="Calibri" w:hAnsi="Calibri" w:cs="Calibri"/>
                  <w:b w:val="0"/>
                  <w:i w:val="0"/>
                  <w:color w:val="000000"/>
                  <w:sz w:val="20"/>
                  <w:u w:val="none"/>
                  <w:shd w:val="clear" w:color="auto" w:fill="auto"/>
                </w:rPr>
                <w:t>26.1.-</w:t>
                <w:tab/>
                <w:t>Gestión de capital.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c04c770e5064c48af34e1587c09bf7a" w:history="1">
              <w:r>
                <w:rPr>
                  <w:rFonts w:ascii="Calibri" w:eastAsia="Calibri" w:hAnsi="Calibri" w:cs="Calibri"/>
                  <w:b w:val="0"/>
                  <w:i w:val="0"/>
                  <w:color w:val="000000"/>
                  <w:sz w:val="20"/>
                  <w:u w:val="none"/>
                  <w:shd w:val="clear" w:color="auto" w:fill="auto"/>
                </w:rPr>
                <w:t>107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05d936920ed42b3afcc3b2bdd5b3c03" w:history="1">
              <w:r>
                <w:rPr>
                  <w:rFonts w:ascii="Calibri" w:eastAsia="Calibri" w:hAnsi="Calibri" w:cs="Calibri"/>
                  <w:b w:val="0"/>
                  <w:i w:val="0"/>
                  <w:color w:val="000000"/>
                  <w:sz w:val="20"/>
                  <w:u w:val="none"/>
                  <w:shd w:val="clear" w:color="auto" w:fill="auto"/>
                </w:rPr>
                <w:t>26.2.-</w:t>
                <w:tab/>
                <w:t>Capital suscrito y pagado.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05d936920ed42b3afcc3b2bdd5b3c03" w:history="1">
              <w:r>
                <w:rPr>
                  <w:rFonts w:ascii="Calibri" w:eastAsia="Calibri" w:hAnsi="Calibri" w:cs="Calibri"/>
                  <w:b w:val="0"/>
                  <w:i w:val="0"/>
                  <w:color w:val="000000"/>
                  <w:sz w:val="20"/>
                  <w:u w:val="none"/>
                  <w:shd w:val="clear" w:color="auto" w:fill="auto"/>
                </w:rPr>
                <w:t>107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a8098a9797345ab9bd33aae92fd929a" w:history="1">
              <w:r>
                <w:rPr>
                  <w:rFonts w:ascii="Calibri" w:eastAsia="Calibri" w:hAnsi="Calibri" w:cs="Calibri"/>
                  <w:b w:val="0"/>
                  <w:i w:val="0"/>
                  <w:color w:val="000000"/>
                  <w:sz w:val="20"/>
                  <w:u w:val="none"/>
                  <w:shd w:val="clear" w:color="auto" w:fill="auto"/>
                </w:rPr>
                <w:t>26.3.-</w:t>
                <w:tab/>
                <w:t>Número de acciones suscritas y pagadas.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a8098a9797345ab9bd33aae92fd929a" w:history="1">
              <w:r>
                <w:rPr>
                  <w:rFonts w:ascii="Calibri" w:eastAsia="Calibri" w:hAnsi="Calibri" w:cs="Calibri"/>
                  <w:b w:val="0"/>
                  <w:i w:val="0"/>
                  <w:color w:val="000000"/>
                  <w:sz w:val="20"/>
                  <w:u w:val="none"/>
                  <w:shd w:val="clear" w:color="auto" w:fill="auto"/>
                </w:rPr>
                <w:t>107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aea399553e4a1cbae02402e4985692" w:history="1">
              <w:r>
                <w:rPr>
                  <w:rFonts w:ascii="Calibri" w:eastAsia="Calibri" w:hAnsi="Calibri" w:cs="Calibri"/>
                  <w:b w:val="0"/>
                  <w:i w:val="0"/>
                  <w:color w:val="000000"/>
                  <w:sz w:val="20"/>
                  <w:u w:val="none"/>
                  <w:shd w:val="clear" w:color="auto" w:fill="auto"/>
                </w:rPr>
                <w:t>26.4.-</w:t>
                <w:tab/>
                <w:t>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aea399553e4a1cbae02402e4985692" w:history="1">
              <w:r>
                <w:rPr>
                  <w:rFonts w:ascii="Calibri" w:eastAsia="Calibri" w:hAnsi="Calibri" w:cs="Calibri"/>
                  <w:b w:val="0"/>
                  <w:i w:val="0"/>
                  <w:color w:val="000000"/>
                  <w:sz w:val="20"/>
                  <w:u w:val="none"/>
                  <w:shd w:val="clear" w:color="auto" w:fill="auto"/>
                </w:rPr>
                <w:t>107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699413c1fb040b684fbe5484f7b7964" w:history="1">
              <w:r>
                <w:rPr>
                  <w:rFonts w:ascii="Calibri" w:eastAsia="Calibri" w:hAnsi="Calibri" w:cs="Calibri"/>
                  <w:b w:val="0"/>
                  <w:i w:val="0"/>
                  <w:color w:val="000000"/>
                  <w:sz w:val="20"/>
                  <w:u w:val="none"/>
                  <w:shd w:val="clear" w:color="auto" w:fill="auto"/>
                </w:rPr>
                <w:t>26.5.-</w:t>
                <w:tab/>
                <w:t>Reservas.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699413c1fb040b684fbe5484f7b7964" w:history="1">
              <w:r>
                <w:rPr>
                  <w:rFonts w:ascii="Calibri" w:eastAsia="Calibri" w:hAnsi="Calibri" w:cs="Calibri"/>
                  <w:b w:val="0"/>
                  <w:i w:val="0"/>
                  <w:color w:val="000000"/>
                  <w:sz w:val="20"/>
                  <w:u w:val="none"/>
                  <w:shd w:val="clear" w:color="auto" w:fill="auto"/>
                </w:rPr>
                <w:t>107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03446e442444e7285ca0a312b979f7b" w:history="1">
              <w:r>
                <w:rPr>
                  <w:rFonts w:ascii="Calibri" w:eastAsia="Calibri" w:hAnsi="Calibri" w:cs="Calibri"/>
                  <w:b w:val="0"/>
                  <w:i w:val="0"/>
                  <w:color w:val="000000"/>
                  <w:sz w:val="20"/>
                  <w:u w:val="none"/>
                  <w:shd w:val="clear" w:color="auto" w:fill="auto"/>
                </w:rPr>
                <w:t>26.6.-</w:t>
                <w:tab/>
                <w:t>Participaciones no controladoras.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03446e442444e7285ca0a312b979f7b" w:history="1">
              <w:r>
                <w:rPr>
                  <w:rFonts w:ascii="Calibri" w:eastAsia="Calibri" w:hAnsi="Calibri" w:cs="Calibri"/>
                  <w:b w:val="0"/>
                  <w:i w:val="0"/>
                  <w:color w:val="000000"/>
                  <w:sz w:val="20"/>
                  <w:u w:val="none"/>
                  <w:shd w:val="clear" w:color="auto" w:fill="auto"/>
                </w:rPr>
                <w:t>109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e61469d1cf94e3ab79d49fc0cb4eebd" w:history="1">
              <w:r>
                <w:rPr>
                  <w:rFonts w:ascii="Calibri" w:eastAsia="Calibri" w:hAnsi="Calibri" w:cs="Calibri"/>
                  <w:b w:val="0"/>
                  <w:i w:val="0"/>
                  <w:color w:val="000000"/>
                  <w:sz w:val="20"/>
                  <w:u w:val="none"/>
                  <w:shd w:val="clear" w:color="auto" w:fill="auto"/>
                </w:rPr>
                <w:t>26.7.-</w:t>
                <w:tab/>
                <w:t>Transacciones con participaciones no controladoras.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e61469d1cf94e3ab79d49fc0cb4eebd" w:history="1">
              <w:r>
                <w:rPr>
                  <w:rFonts w:ascii="Calibri" w:eastAsia="Calibri" w:hAnsi="Calibri" w:cs="Calibri"/>
                  <w:b w:val="0"/>
                  <w:i w:val="0"/>
                  <w:color w:val="000000"/>
                  <w:sz w:val="20"/>
                  <w:u w:val="none"/>
                  <w:shd w:val="clear" w:color="auto" w:fill="auto"/>
                </w:rPr>
                <w:t>110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f9a8b4c809a41c294ead2758d60e9cc" w:history="1">
              <w:r>
                <w:rPr>
                  <w:rFonts w:ascii="Calibri" w:eastAsia="Calibri" w:hAnsi="Calibri" w:cs="Calibri"/>
                  <w:b w:val="0"/>
                  <w:i w:val="0"/>
                  <w:color w:val="000000"/>
                  <w:sz w:val="20"/>
                  <w:u w:val="none"/>
                  <w:shd w:val="clear" w:color="auto" w:fill="auto"/>
                </w:rPr>
                <w:t>26.8.-</w:t>
                <w:tab/>
                <w:t>Reconciliación del movimiento en reservas de los otros resultados integrales.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f9a8b4c809a41c294ead2758d60e9cc" w:history="1">
              <w:r>
                <w:rPr>
                  <w:rFonts w:ascii="Calibri" w:eastAsia="Calibri" w:hAnsi="Calibri" w:cs="Calibri"/>
                  <w:b w:val="0"/>
                  <w:i w:val="0"/>
                  <w:color w:val="000000"/>
                  <w:sz w:val="20"/>
                  <w:u w:val="none"/>
                  <w:shd w:val="clear" w:color="auto" w:fill="auto"/>
                </w:rPr>
                <w:t>110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8b1b53fcc6c439c9385e2b7acd3845c" w:history="1">
              <w:r>
                <w:rPr>
                  <w:rFonts w:ascii="Calibri" w:eastAsia="Calibri" w:hAnsi="Calibri" w:cs="Calibri"/>
                  <w:b w:val="0"/>
                  <w:i w:val="0"/>
                  <w:color w:val="000000"/>
                  <w:sz w:val="20"/>
                  <w:u w:val="none"/>
                  <w:shd w:val="clear" w:color="auto" w:fill="auto"/>
                </w:rPr>
                <w:t>27.-</w:t>
                <w:tab/>
                <w:t>INGRESOS DE ACTIVIDADES ORDINARIAS.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8b1b53fcc6c439c9385e2b7acd3845c" w:history="1">
              <w:r>
                <w:rPr>
                  <w:rFonts w:ascii="Calibri" w:eastAsia="Calibri" w:hAnsi="Calibri" w:cs="Calibri"/>
                  <w:b w:val="0"/>
                  <w:i w:val="0"/>
                  <w:color w:val="000000"/>
                  <w:sz w:val="20"/>
                  <w:u w:val="none"/>
                  <w:shd w:val="clear" w:color="auto" w:fill="auto"/>
                </w:rPr>
                <w:t>111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fe30d2e8a7642abb954dca041eb58da" w:history="1">
              <w:r>
                <w:rPr>
                  <w:rFonts w:ascii="Calibri" w:eastAsia="Calibri" w:hAnsi="Calibri" w:cs="Calibri"/>
                  <w:b w:val="0"/>
                  <w:i w:val="0"/>
                  <w:color w:val="000000"/>
                  <w:sz w:val="20"/>
                  <w:u w:val="none"/>
                  <w:shd w:val="clear" w:color="auto" w:fill="auto"/>
                </w:rPr>
                <w:t>27.1.-</w:t>
                <w:tab/>
                <w:t>Ingresos ordinarios.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fe30d2e8a7642abb954dca041eb58da" w:history="1">
              <w:r>
                <w:rPr>
                  <w:rFonts w:ascii="Calibri" w:eastAsia="Calibri" w:hAnsi="Calibri" w:cs="Calibri"/>
                  <w:b w:val="0"/>
                  <w:i w:val="0"/>
                  <w:color w:val="000000"/>
                  <w:sz w:val="20"/>
                  <w:u w:val="none"/>
                  <w:shd w:val="clear" w:color="auto" w:fill="auto"/>
                </w:rPr>
                <w:t>111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7bb9c93c6b24e1197060c5d9cba3da1" w:history="1">
              <w:r>
                <w:rPr>
                  <w:rFonts w:ascii="Calibri" w:eastAsia="Calibri" w:hAnsi="Calibri" w:cs="Calibri"/>
                  <w:b w:val="0"/>
                  <w:i w:val="0"/>
                  <w:color w:val="000000"/>
                  <w:sz w:val="20"/>
                  <w:u w:val="none"/>
                  <w:shd w:val="clear" w:color="auto" w:fill="auto"/>
                </w:rPr>
                <w:t>27.2.-</w:t>
                <w:tab/>
                <w:t>Otros ingresos, por función.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7bb9c93c6b24e1197060c5d9cba3da1" w:history="1">
              <w:r>
                <w:rPr>
                  <w:rFonts w:ascii="Calibri" w:eastAsia="Calibri" w:hAnsi="Calibri" w:cs="Calibri"/>
                  <w:b w:val="0"/>
                  <w:i w:val="0"/>
                  <w:color w:val="000000"/>
                  <w:sz w:val="20"/>
                  <w:u w:val="none"/>
                  <w:shd w:val="clear" w:color="auto" w:fill="auto"/>
                </w:rPr>
                <w:t>111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bfa5b4ce1054630844f557b3c7b9fc3" w:history="1">
              <w:r>
                <w:rPr>
                  <w:rFonts w:ascii="Calibri" w:eastAsia="Calibri" w:hAnsi="Calibri" w:cs="Calibri"/>
                  <w:b w:val="0"/>
                  <w:i w:val="0"/>
                  <w:color w:val="000000"/>
                  <w:sz w:val="20"/>
                  <w:u w:val="none"/>
                  <w:shd w:val="clear" w:color="auto" w:fill="auto"/>
                </w:rPr>
                <w:t>28.-</w:t>
                <w:tab/>
                <w:t>COMPOSICIÓN DE RESULTADOS RELEVANTES.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bfa5b4ce1054630844f557b3c7b9fc3" w:history="1">
              <w:r>
                <w:rPr>
                  <w:rFonts w:ascii="Calibri" w:eastAsia="Calibri" w:hAnsi="Calibri" w:cs="Calibri"/>
                  <w:b w:val="0"/>
                  <w:i w:val="0"/>
                  <w:color w:val="000000"/>
                  <w:sz w:val="20"/>
                  <w:u w:val="none"/>
                  <w:shd w:val="clear" w:color="auto" w:fill="auto"/>
                </w:rPr>
                <w:t>111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94ad1a4906a459b9c91e340452840f2" w:history="1">
              <w:r>
                <w:rPr>
                  <w:rFonts w:ascii="Calibri" w:eastAsia="Calibri" w:hAnsi="Calibri" w:cs="Calibri"/>
                  <w:b w:val="0"/>
                  <w:i w:val="0"/>
                  <w:color w:val="000000"/>
                  <w:sz w:val="20"/>
                  <w:u w:val="none"/>
                  <w:shd w:val="clear" w:color="auto" w:fill="auto"/>
                </w:rPr>
                <w:t>28.1.-</w:t>
                <w:tab/>
                <w:t>Gastos por naturaleza.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94ad1a4906a459b9c91e340452840f2" w:history="1">
              <w:r>
                <w:rPr>
                  <w:rFonts w:ascii="Calibri" w:eastAsia="Calibri" w:hAnsi="Calibri" w:cs="Calibri"/>
                  <w:b w:val="0"/>
                  <w:i w:val="0"/>
                  <w:color w:val="000000"/>
                  <w:sz w:val="20"/>
                  <w:u w:val="none"/>
                  <w:shd w:val="clear" w:color="auto" w:fill="auto"/>
                </w:rPr>
                <w:t>112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cae5f579960422fbc69d813cc1690fd" w:history="1">
              <w:r>
                <w:rPr>
                  <w:rFonts w:ascii="Calibri" w:eastAsia="Calibri" w:hAnsi="Calibri" w:cs="Calibri"/>
                  <w:b w:val="0"/>
                  <w:i w:val="0"/>
                  <w:color w:val="000000"/>
                  <w:sz w:val="20"/>
                  <w:u w:val="none"/>
                  <w:shd w:val="clear" w:color="auto" w:fill="auto"/>
                </w:rPr>
                <w:t>28.2.-</w:t>
                <w:tab/>
                <w:t>Gastos de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cae5f579960422fbc69d813cc1690fd" w:history="1">
              <w:r>
                <w:rPr>
                  <w:rFonts w:ascii="Calibri" w:eastAsia="Calibri" w:hAnsi="Calibri" w:cs="Calibri"/>
                  <w:b w:val="0"/>
                  <w:i w:val="0"/>
                  <w:color w:val="000000"/>
                  <w:sz w:val="20"/>
                  <w:u w:val="none"/>
                  <w:shd w:val="clear" w:color="auto" w:fill="auto"/>
                </w:rPr>
                <w:t>112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aeb3eb0f29e40b29ac6aedb43f7ab6c" w:history="1">
              <w:r>
                <w:rPr>
                  <w:rFonts w:ascii="Calibri" w:eastAsia="Calibri" w:hAnsi="Calibri" w:cs="Calibri"/>
                  <w:b w:val="0"/>
                  <w:i w:val="0"/>
                  <w:color w:val="000000"/>
                  <w:sz w:val="20"/>
                  <w:u w:val="none"/>
                  <w:shd w:val="clear" w:color="auto" w:fill="auto"/>
                </w:rPr>
                <w:t>28.3.-</w:t>
                <w:tab/>
                <w:t>Depreciación y amortización.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aeb3eb0f29e40b29ac6aedb43f7ab6c" w:history="1">
              <w:r>
                <w:rPr>
                  <w:rFonts w:ascii="Calibri" w:eastAsia="Calibri" w:hAnsi="Calibri" w:cs="Calibri"/>
                  <w:b w:val="0"/>
                  <w:i w:val="0"/>
                  <w:color w:val="000000"/>
                  <w:sz w:val="20"/>
                  <w:u w:val="none"/>
                  <w:shd w:val="clear" w:color="auto" w:fill="auto"/>
                </w:rPr>
                <w:t>112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f96d3b5e0554188ab77d3b760dee8c9" w:history="1">
              <w:r>
                <w:rPr>
                  <w:rFonts w:ascii="Calibri" w:eastAsia="Calibri" w:hAnsi="Calibri" w:cs="Calibri"/>
                  <w:b w:val="0"/>
                  <w:i w:val="0"/>
                  <w:color w:val="000000"/>
                  <w:sz w:val="20"/>
                  <w:u w:val="none"/>
                  <w:shd w:val="clear" w:color="auto" w:fill="auto"/>
                </w:rPr>
                <w:t>28.4.-</w:t>
                <w:tab/>
                <w:t>Otras ganancias (pérdidas).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f96d3b5e0554188ab77d3b760dee8c9" w:history="1">
              <w:r>
                <w:rPr>
                  <w:rFonts w:ascii="Calibri" w:eastAsia="Calibri" w:hAnsi="Calibri" w:cs="Calibri"/>
                  <w:b w:val="0"/>
                  <w:i w:val="0"/>
                  <w:color w:val="000000"/>
                  <w:sz w:val="20"/>
                  <w:u w:val="none"/>
                  <w:shd w:val="clear" w:color="auto" w:fill="auto"/>
                </w:rPr>
                <w:t>112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0db2d28c5d841ce8b4031a0591fb4a9" w:history="1">
              <w:r>
                <w:rPr>
                  <w:rFonts w:ascii="Calibri" w:eastAsia="Calibri" w:hAnsi="Calibri" w:cs="Calibri"/>
                  <w:b w:val="0"/>
                  <w:i w:val="0"/>
                  <w:color w:val="000000"/>
                  <w:sz w:val="20"/>
                  <w:u w:val="none"/>
                  <w:shd w:val="clear" w:color="auto" w:fill="auto"/>
                </w:rPr>
                <w:t>29.-</w:t>
                <w:tab/>
                <w:t>RESULTADO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0db2d28c5d841ce8b4031a0591fb4a9" w:history="1">
              <w:r>
                <w:rPr>
                  <w:rFonts w:ascii="Calibri" w:eastAsia="Calibri" w:hAnsi="Calibri" w:cs="Calibri"/>
                  <w:b w:val="0"/>
                  <w:i w:val="0"/>
                  <w:color w:val="000000"/>
                  <w:sz w:val="20"/>
                  <w:u w:val="none"/>
                  <w:shd w:val="clear" w:color="auto" w:fill="auto"/>
                </w:rPr>
                <w:t>113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53d134be5384bc88ee8e2aa4c17554e" w:history="1">
              <w:r>
                <w:rPr>
                  <w:rFonts w:ascii="Calibri" w:eastAsia="Calibri" w:hAnsi="Calibri" w:cs="Calibri"/>
                  <w:b w:val="0"/>
                  <w:i w:val="0"/>
                  <w:color w:val="000000"/>
                  <w:sz w:val="20"/>
                  <w:u w:val="none"/>
                  <w:shd w:val="clear" w:color="auto" w:fill="auto"/>
                </w:rPr>
                <w:t>29.1.-</w:t>
                <w:tab/>
                <w:t xml:space="preserve">Composición ganancias (pérdidas) de cambio en moneda extranjera.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53d134be5384bc88ee8e2aa4c17554e" w:history="1">
              <w:r>
                <w:rPr>
                  <w:rFonts w:ascii="Calibri" w:eastAsia="Calibri" w:hAnsi="Calibri" w:cs="Calibri"/>
                  <w:b w:val="0"/>
                  <w:i w:val="0"/>
                  <w:color w:val="000000"/>
                  <w:sz w:val="20"/>
                  <w:u w:val="none"/>
                  <w:shd w:val="clear" w:color="auto" w:fill="auto"/>
                </w:rPr>
                <w:t>114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c6edb7fac5c4ebe8eab1c66681c10f2" w:history="1">
              <w:r>
                <w:rPr>
                  <w:rFonts w:ascii="Calibri" w:eastAsia="Calibri" w:hAnsi="Calibri" w:cs="Calibri"/>
                  <w:b w:val="0"/>
                  <w:i w:val="0"/>
                  <w:color w:val="000000"/>
                  <w:sz w:val="20"/>
                  <w:u w:val="none"/>
                  <w:shd w:val="clear" w:color="auto" w:fill="auto"/>
                </w:rPr>
                <w:t>29.2.-</w:t>
                <w:tab/>
                <w:t xml:space="preserve">Composición unidades de reajuste.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c6edb7fac5c4ebe8eab1c66681c10f2" w:history="1">
              <w:r>
                <w:rPr>
                  <w:rFonts w:ascii="Calibri" w:eastAsia="Calibri" w:hAnsi="Calibri" w:cs="Calibri"/>
                  <w:b w:val="0"/>
                  <w:i w:val="0"/>
                  <w:color w:val="000000"/>
                  <w:sz w:val="20"/>
                  <w:u w:val="none"/>
                  <w:shd w:val="clear" w:color="auto" w:fill="auto"/>
                </w:rPr>
                <w:t>114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f021681c4a7429d9f2c9c6110045b30" w:history="1">
              <w:r>
                <w:rPr>
                  <w:rFonts w:ascii="Calibri" w:eastAsia="Calibri" w:hAnsi="Calibri" w:cs="Calibri"/>
                  <w:b w:val="0"/>
                  <w:i w:val="0"/>
                  <w:color w:val="000000"/>
                  <w:sz w:val="20"/>
                  <w:u w:val="none"/>
                  <w:shd w:val="clear" w:color="auto" w:fill="auto"/>
                </w:rPr>
                <w:t>30.-</w:t>
                <w:tab/>
                <w:t>GASTO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f021681c4a7429d9f2c9c6110045b30" w:history="1">
              <w:r>
                <w:rPr>
                  <w:rFonts w:ascii="Calibri" w:eastAsia="Calibri" w:hAnsi="Calibri" w:cs="Calibri"/>
                  <w:b w:val="0"/>
                  <w:i w:val="0"/>
                  <w:color w:val="000000"/>
                  <w:sz w:val="20"/>
                  <w:u w:val="none"/>
                  <w:shd w:val="clear" w:color="auto" w:fill="auto"/>
                </w:rPr>
                <w:t>114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d818259d7f7448091aef175d6056fef" w:history="1">
              <w:r>
                <w:rPr>
                  <w:rFonts w:ascii="Calibri" w:eastAsia="Calibri" w:hAnsi="Calibri" w:cs="Calibri"/>
                  <w:b w:val="0"/>
                  <w:i w:val="0"/>
                  <w:color w:val="000000"/>
                  <w:sz w:val="20"/>
                  <w:u w:val="none"/>
                  <w:shd w:val="clear" w:color="auto" w:fill="auto"/>
                </w:rPr>
                <w:t>30.1.-</w:t>
                <w:tab/>
                <w:t>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d818259d7f7448091aef175d6056fef" w:history="1">
              <w:r>
                <w:rPr>
                  <w:rFonts w:ascii="Calibri" w:eastAsia="Calibri" w:hAnsi="Calibri" w:cs="Calibri"/>
                  <w:b w:val="0"/>
                  <w:i w:val="0"/>
                  <w:color w:val="000000"/>
                  <w:sz w:val="20"/>
                  <w:u w:val="none"/>
                  <w:shd w:val="clear" w:color="auto" w:fill="auto"/>
                </w:rPr>
                <w:t>114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42ae6c809f44f1ebf6405cb47a4000a" w:history="1">
              <w:r>
                <w:rPr>
                  <w:rFonts w:ascii="Calibri" w:eastAsia="Calibri" w:hAnsi="Calibri" w:cs="Calibri"/>
                  <w:b w:val="0"/>
                  <w:i w:val="0"/>
                  <w:color w:val="000000"/>
                  <w:sz w:val="20"/>
                  <w:u w:val="none"/>
                  <w:shd w:val="clear" w:color="auto" w:fill="auto"/>
                </w:rPr>
                <w:t>30.2.-</w:t>
                <w:tab/>
                <w:t>Conciliación entre el resultado por impuestos a las ganancias contabilizado y la tasa efectiva.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42ae6c809f44f1ebf6405cb47a4000a" w:history="1">
              <w:r>
                <w:rPr>
                  <w:rFonts w:ascii="Calibri" w:eastAsia="Calibri" w:hAnsi="Calibri" w:cs="Calibri"/>
                  <w:b w:val="0"/>
                  <w:i w:val="0"/>
                  <w:color w:val="000000"/>
                  <w:sz w:val="20"/>
                  <w:u w:val="none"/>
                  <w:shd w:val="clear" w:color="auto" w:fill="auto"/>
                </w:rPr>
                <w:t>115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b2ad26f63014088adf3a7d0f9f676c1" w:history="1">
              <w:r>
                <w:rPr>
                  <w:rFonts w:ascii="Calibri" w:eastAsia="Calibri" w:hAnsi="Calibri" w:cs="Calibri"/>
                  <w:b w:val="0"/>
                  <w:i w:val="0"/>
                  <w:color w:val="000000"/>
                  <w:sz w:val="20"/>
                  <w:u w:val="none"/>
                  <w:shd w:val="clear" w:color="auto" w:fill="auto"/>
                </w:rPr>
                <w:t>30.3.-</w:t>
                <w:tab/>
                <w:t>Efecto en los resultados integrales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b2ad26f63014088adf3a7d0f9f676c1" w:history="1">
              <w:r>
                <w:rPr>
                  <w:rFonts w:ascii="Calibri" w:eastAsia="Calibri" w:hAnsi="Calibri" w:cs="Calibri"/>
                  <w:b w:val="0"/>
                  <w:i w:val="0"/>
                  <w:color w:val="000000"/>
                  <w:sz w:val="20"/>
                  <w:u w:val="none"/>
                  <w:shd w:val="clear" w:color="auto" w:fill="auto"/>
                </w:rPr>
                <w:t>116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d874293caf14a11a055fe90217aa224" w:history="1">
              <w:r>
                <w:rPr>
                  <w:rFonts w:ascii="Calibri" w:eastAsia="Calibri" w:hAnsi="Calibri" w:cs="Calibri"/>
                  <w:b w:val="0"/>
                  <w:i w:val="0"/>
                  <w:color w:val="000000"/>
                  <w:sz w:val="20"/>
                  <w:u w:val="none"/>
                  <w:shd w:val="clear" w:color="auto" w:fill="auto"/>
                </w:rPr>
                <w:t>31.-</w:t>
                <w:tab/>
                <w:t>GANANCIAS POR ACCIÓN.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d874293caf14a11a055fe90217aa224" w:history="1">
              <w:r>
                <w:rPr>
                  <w:rFonts w:ascii="Calibri" w:eastAsia="Calibri" w:hAnsi="Calibri" w:cs="Calibri"/>
                  <w:b w:val="0"/>
                  <w:i w:val="0"/>
                  <w:color w:val="000000"/>
                  <w:sz w:val="20"/>
                  <w:u w:val="none"/>
                  <w:shd w:val="clear" w:color="auto" w:fill="auto"/>
                </w:rPr>
                <w:t>117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dd4e193f77d4b1282541df37e7ac582" w:history="1">
              <w:r>
                <w:rPr>
                  <w:rFonts w:ascii="Calibri" w:eastAsia="Calibri" w:hAnsi="Calibri" w:cs="Calibri"/>
                  <w:b w:val="0"/>
                  <w:i w:val="0"/>
                  <w:color w:val="000000"/>
                  <w:sz w:val="20"/>
                  <w:u w:val="none"/>
                  <w:shd w:val="clear" w:color="auto" w:fill="auto"/>
                </w:rPr>
                <w:t>32.-</w:t>
                <w:tab/>
                <w:t>INFORMACIÓN POR SEGMENTO.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dd4e193f77d4b1282541df37e7ac582" w:history="1">
              <w:r>
                <w:rPr>
                  <w:rFonts w:ascii="Calibri" w:eastAsia="Calibri" w:hAnsi="Calibri" w:cs="Calibri"/>
                  <w:b w:val="0"/>
                  <w:i w:val="0"/>
                  <w:color w:val="000000"/>
                  <w:sz w:val="20"/>
                  <w:u w:val="none"/>
                  <w:shd w:val="clear" w:color="auto" w:fill="auto"/>
                </w:rPr>
                <w:t>117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344f41551c044008c8ea435e9653a41" w:history="1">
              <w:r>
                <w:rPr>
                  <w:rFonts w:ascii="Calibri" w:eastAsia="Calibri" w:hAnsi="Calibri" w:cs="Calibri"/>
                  <w:b w:val="0"/>
                  <w:i w:val="0"/>
                  <w:color w:val="000000"/>
                  <w:sz w:val="20"/>
                  <w:u w:val="none"/>
                  <w:shd w:val="clear" w:color="auto" w:fill="auto"/>
                </w:rPr>
                <w:t>32.1.-</w:t>
                <w:tab/>
                <w:t>Criterios de segmentación.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344f41551c044008c8ea435e9653a41" w:history="1">
              <w:r>
                <w:rPr>
                  <w:rFonts w:ascii="Calibri" w:eastAsia="Calibri" w:hAnsi="Calibri" w:cs="Calibri"/>
                  <w:b w:val="0"/>
                  <w:i w:val="0"/>
                  <w:color w:val="000000"/>
                  <w:sz w:val="20"/>
                  <w:u w:val="none"/>
                  <w:shd w:val="clear" w:color="auto" w:fill="auto"/>
                </w:rPr>
                <w:t>117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5231692cdd844168f0d94bcb507321b" w:history="1">
              <w:r>
                <w:rPr>
                  <w:rFonts w:ascii="Calibri" w:eastAsia="Calibri" w:hAnsi="Calibri" w:cs="Calibri"/>
                  <w:b w:val="0"/>
                  <w:i w:val="0"/>
                  <w:color w:val="000000"/>
                  <w:sz w:val="20"/>
                  <w:u w:val="none"/>
                  <w:shd w:val="clear" w:color="auto" w:fill="auto"/>
                </w:rPr>
                <w:t>32.2.-</w:t>
                <w:tab/>
                <w:t>Cuadros patrimoniales.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5231692cdd844168f0d94bcb507321b" w:history="1">
              <w:r>
                <w:rPr>
                  <w:rFonts w:ascii="Calibri" w:eastAsia="Calibri" w:hAnsi="Calibri" w:cs="Calibri"/>
                  <w:b w:val="0"/>
                  <w:i w:val="0"/>
                  <w:color w:val="000000"/>
                  <w:sz w:val="20"/>
                  <w:u w:val="none"/>
                  <w:shd w:val="clear" w:color="auto" w:fill="auto"/>
                </w:rPr>
                <w:t>118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0f9e325d7e84f658241473a64340176" w:history="1">
              <w:r>
                <w:rPr>
                  <w:rFonts w:ascii="Calibri" w:eastAsia="Calibri" w:hAnsi="Calibri" w:cs="Calibri"/>
                  <w:b w:val="0"/>
                  <w:i w:val="0"/>
                  <w:color w:val="000000"/>
                  <w:sz w:val="20"/>
                  <w:u w:val="none"/>
                  <w:shd w:val="clear" w:color="auto" w:fill="auto"/>
                </w:rPr>
                <w:t>32.3.-</w:t>
                <w:tab/>
                <w:t>Cuadros de resultados por segmentos.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0f9e325d7e84f658241473a64340176" w:history="1">
              <w:r>
                <w:rPr>
                  <w:rFonts w:ascii="Calibri" w:eastAsia="Calibri" w:hAnsi="Calibri" w:cs="Calibri"/>
                  <w:b w:val="0"/>
                  <w:i w:val="0"/>
                  <w:color w:val="000000"/>
                  <w:sz w:val="20"/>
                  <w:u w:val="none"/>
                  <w:shd w:val="clear" w:color="auto" w:fill="auto"/>
                </w:rPr>
                <w:t>120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d175910af2448fdaf1800e7fa2c753f" w:history="1">
              <w:r>
                <w:rPr>
                  <w:rFonts w:ascii="Calibri" w:eastAsia="Calibri" w:hAnsi="Calibri" w:cs="Calibri"/>
                  <w:b w:val="0"/>
                  <w:i w:val="0"/>
                  <w:color w:val="000000"/>
                  <w:sz w:val="20"/>
                  <w:u w:val="none"/>
                  <w:shd w:val="clear" w:color="auto" w:fill="auto"/>
                </w:rPr>
                <w:t>32.4.-</w:t>
                <w:tab/>
                <w:t>Flujos de efectivo por segmento por método directo.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d175910af2448fdaf1800e7fa2c753f" w:history="1">
              <w:r>
                <w:rPr>
                  <w:rFonts w:ascii="Calibri" w:eastAsia="Calibri" w:hAnsi="Calibri" w:cs="Calibri"/>
                  <w:b w:val="0"/>
                  <w:i w:val="0"/>
                  <w:color w:val="000000"/>
                  <w:sz w:val="20"/>
                  <w:u w:val="none"/>
                  <w:shd w:val="clear" w:color="auto" w:fill="auto"/>
                </w:rPr>
                <w:t>121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8b69a35648f4baf959683f7f90406fa" w:history="1">
              <w:r>
                <w:rPr>
                  <w:rFonts w:ascii="Calibri" w:eastAsia="Calibri" w:hAnsi="Calibri" w:cs="Calibri"/>
                  <w:b w:val="0"/>
                  <w:i w:val="0"/>
                  <w:color w:val="000000"/>
                  <w:sz w:val="20"/>
                  <w:u w:val="none"/>
                  <w:shd w:val="clear" w:color="auto" w:fill="auto"/>
                </w:rPr>
                <w:t>33.-</w:t>
                <w:tab/>
                <w:t>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8b69a35648f4baf959683f7f90406fa" w:history="1">
              <w:r>
                <w:rPr>
                  <w:rFonts w:ascii="Calibri" w:eastAsia="Calibri" w:hAnsi="Calibri" w:cs="Calibri"/>
                  <w:b w:val="0"/>
                  <w:i w:val="0"/>
                  <w:color w:val="000000"/>
                  <w:sz w:val="20"/>
                  <w:u w:val="none"/>
                  <w:shd w:val="clear" w:color="auto" w:fill="auto"/>
                </w:rPr>
                <w:t>121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adff1c9b3384b18a214acb4c8b6c2ae" w:history="1">
              <w:r>
                <w:rPr>
                  <w:rFonts w:ascii="Calibri" w:eastAsia="Calibri" w:hAnsi="Calibri" w:cs="Calibri"/>
                  <w:b w:val="0"/>
                  <w:i w:val="0"/>
                  <w:color w:val="000000"/>
                  <w:sz w:val="20"/>
                  <w:u w:val="none"/>
                  <w:shd w:val="clear" w:color="auto" w:fill="auto"/>
                </w:rPr>
                <w:t>33.1.-</w:t>
                <w:tab/>
                <w:t>Resumen de saldos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adff1c9b3384b18a214acb4c8b6c2ae" w:history="1">
              <w:r>
                <w:rPr>
                  <w:rFonts w:ascii="Calibri" w:eastAsia="Calibri" w:hAnsi="Calibri" w:cs="Calibri"/>
                  <w:b w:val="0"/>
                  <w:i w:val="0"/>
                  <w:color w:val="000000"/>
                  <w:sz w:val="20"/>
                  <w:u w:val="none"/>
                  <w:shd w:val="clear" w:color="auto" w:fill="auto"/>
                </w:rPr>
                <w:t>121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f785c279fdc4a02baffd60ded2b280f" w:history="1">
              <w:r>
                <w:rPr>
                  <w:rFonts w:ascii="Calibri" w:eastAsia="Calibri" w:hAnsi="Calibri" w:cs="Calibri"/>
                  <w:b w:val="0"/>
                  <w:i w:val="0"/>
                  <w:color w:val="000000"/>
                  <w:sz w:val="20"/>
                  <w:u w:val="none"/>
                  <w:shd w:val="clear" w:color="auto" w:fill="auto"/>
                </w:rPr>
                <w:t>33.2.-</w:t>
                <w:tab/>
                <w:t>Saldos en moneda extranjera,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f785c279fdc4a02baffd60ded2b280f" w:history="1">
              <w:r>
                <w:rPr>
                  <w:rFonts w:ascii="Calibri" w:eastAsia="Calibri" w:hAnsi="Calibri" w:cs="Calibri"/>
                  <w:b w:val="0"/>
                  <w:i w:val="0"/>
                  <w:color w:val="000000"/>
                  <w:sz w:val="20"/>
                  <w:u w:val="none"/>
                  <w:shd w:val="clear" w:color="auto" w:fill="auto"/>
                </w:rPr>
                <w:t>122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500e663b9ff4b3994a0ce46890bc088" w:history="1">
              <w:r>
                <w:rPr>
                  <w:rFonts w:ascii="Calibri" w:eastAsia="Calibri" w:hAnsi="Calibri" w:cs="Calibri"/>
                  <w:b w:val="0"/>
                  <w:i w:val="0"/>
                  <w:color w:val="000000"/>
                  <w:sz w:val="20"/>
                  <w:u w:val="none"/>
                  <w:shd w:val="clear" w:color="auto" w:fill="auto"/>
                </w:rPr>
                <w:t>33.3.-</w:t>
                <w:tab/>
                <w:t>Saldos en moneda extranjera, pasivos.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500e663b9ff4b3994a0ce46890bc088" w:history="1">
              <w:r>
                <w:rPr>
                  <w:rFonts w:ascii="Calibri" w:eastAsia="Calibri" w:hAnsi="Calibri" w:cs="Calibri"/>
                  <w:b w:val="0"/>
                  <w:i w:val="0"/>
                  <w:color w:val="000000"/>
                  <w:sz w:val="20"/>
                  <w:u w:val="none"/>
                  <w:shd w:val="clear" w:color="auto" w:fill="auto"/>
                </w:rPr>
                <w:t>123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67226075b4b4b97afdb77f381b269d6" w:history="1">
              <w:r>
                <w:rPr>
                  <w:rFonts w:ascii="Calibri" w:eastAsia="Calibri" w:hAnsi="Calibri" w:cs="Calibri"/>
                  <w:b w:val="0"/>
                  <w:i w:val="0"/>
                  <w:color w:val="000000"/>
                  <w:sz w:val="20"/>
                  <w:u w:val="none"/>
                  <w:shd w:val="clear" w:color="auto" w:fill="auto"/>
                </w:rPr>
                <w:t>34.-</w:t>
                <w:tab/>
                <w:t>CONTINGENCIAS, JUICIOS Y OTROS.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67226075b4b4b97afdb77f381b269d6" w:history="1">
              <w:r>
                <w:rPr>
                  <w:rFonts w:ascii="Calibri" w:eastAsia="Calibri" w:hAnsi="Calibri" w:cs="Calibri"/>
                  <w:b w:val="0"/>
                  <w:i w:val="0"/>
                  <w:color w:val="000000"/>
                  <w:sz w:val="20"/>
                  <w:u w:val="none"/>
                  <w:shd w:val="clear" w:color="auto" w:fill="auto"/>
                </w:rPr>
                <w:t>125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e76e9e7588e4294bb5f5b14020a0032" w:history="1">
              <w:r>
                <w:rPr>
                  <w:rFonts w:ascii="Calibri" w:eastAsia="Calibri" w:hAnsi="Calibri" w:cs="Calibri"/>
                  <w:b w:val="0"/>
                  <w:i w:val="0"/>
                  <w:color w:val="000000"/>
                  <w:sz w:val="20"/>
                  <w:u w:val="none"/>
                  <w:shd w:val="clear" w:color="auto" w:fill="auto"/>
                </w:rPr>
                <w:t>34.1.-</w:t>
                <w:tab/>
                <w:t>Juicios y otras acciones legales.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e76e9e7588e4294bb5f5b14020a0032" w:history="1">
              <w:r>
                <w:rPr>
                  <w:rFonts w:ascii="Calibri" w:eastAsia="Calibri" w:hAnsi="Calibri" w:cs="Calibri"/>
                  <w:b w:val="0"/>
                  <w:i w:val="0"/>
                  <w:color w:val="000000"/>
                  <w:sz w:val="20"/>
                  <w:u w:val="none"/>
                  <w:shd w:val="clear" w:color="auto" w:fill="auto"/>
                </w:rPr>
                <w:t>125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7a10fb3201f4cf2b5daaa8106778b28" w:history="1">
              <w:r>
                <w:rPr>
                  <w:rFonts w:ascii="Calibri" w:eastAsia="Calibri" w:hAnsi="Calibri" w:cs="Calibri"/>
                  <w:b w:val="0"/>
                  <w:i w:val="0"/>
                  <w:color w:val="000000"/>
                  <w:sz w:val="20"/>
                  <w:u w:val="none"/>
                  <w:shd w:val="clear" w:color="auto" w:fill="auto"/>
                </w:rPr>
                <w:t>34.2.-</w:t>
                <w:tab/>
                <w:t>Sanciones administrativas.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7a10fb3201f4cf2b5daaa8106778b28" w:history="1">
              <w:r>
                <w:rPr>
                  <w:rFonts w:ascii="Calibri" w:eastAsia="Calibri" w:hAnsi="Calibri" w:cs="Calibri"/>
                  <w:b w:val="0"/>
                  <w:i w:val="0"/>
                  <w:color w:val="000000"/>
                  <w:sz w:val="20"/>
                  <w:u w:val="none"/>
                  <w:shd w:val="clear" w:color="auto" w:fill="auto"/>
                </w:rPr>
                <w:t>152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8ff88b256e44a0cafc0d301a268f8a9" w:history="1">
              <w:r>
                <w:rPr>
                  <w:rFonts w:ascii="Calibri" w:eastAsia="Calibri" w:hAnsi="Calibri" w:cs="Calibri"/>
                  <w:b w:val="0"/>
                  <w:i w:val="0"/>
                  <w:color w:val="000000"/>
                  <w:sz w:val="20"/>
                  <w:u w:val="none"/>
                  <w:shd w:val="clear" w:color="auto" w:fill="auto"/>
                </w:rPr>
                <w:t>34.3.-</w:t>
                <w:tab/>
                <w:t xml:space="preserve">Sanciones.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8ff88b256e44a0cafc0d301a268f8a9" w:history="1">
              <w:r>
                <w:rPr>
                  <w:rFonts w:ascii="Calibri" w:eastAsia="Calibri" w:hAnsi="Calibri" w:cs="Calibri"/>
                  <w:b w:val="0"/>
                  <w:i w:val="0"/>
                  <w:color w:val="000000"/>
                  <w:sz w:val="20"/>
                  <w:u w:val="none"/>
                  <w:shd w:val="clear" w:color="auto" w:fill="auto"/>
                </w:rPr>
                <w:t>154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eb00ff55d1f45dfbbbb0e6cf1fa1236" w:history="1">
              <w:r>
                <w:rPr>
                  <w:rFonts w:ascii="Calibri" w:eastAsia="Calibri" w:hAnsi="Calibri" w:cs="Calibri"/>
                  <w:b w:val="0"/>
                  <w:i w:val="0"/>
                  <w:color w:val="000000"/>
                  <w:sz w:val="20"/>
                  <w:u w:val="none"/>
                  <w:shd w:val="clear" w:color="auto" w:fill="auto"/>
                </w:rPr>
                <w:t>34.4.-</w:t>
                <w:tab/>
                <w:t>Restricciones.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eb00ff55d1f45dfbbbb0e6cf1fa1236" w:history="1">
              <w:r>
                <w:rPr>
                  <w:rFonts w:ascii="Calibri" w:eastAsia="Calibri" w:hAnsi="Calibri" w:cs="Calibri"/>
                  <w:b w:val="0"/>
                  <w:i w:val="0"/>
                  <w:color w:val="000000"/>
                  <w:sz w:val="20"/>
                  <w:u w:val="none"/>
                  <w:shd w:val="clear" w:color="auto" w:fill="auto"/>
                </w:rPr>
                <w:t>156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4fad54743ed49b982c36de6766d6d4e" w:history="1">
              <w:r>
                <w:rPr>
                  <w:rFonts w:ascii="Calibri" w:eastAsia="Calibri" w:hAnsi="Calibri" w:cs="Calibri"/>
                  <w:b w:val="0"/>
                  <w:i w:val="0"/>
                  <w:color w:val="000000"/>
                  <w:sz w:val="20"/>
                  <w:u w:val="none"/>
                  <w:shd w:val="clear" w:color="auto" w:fill="auto"/>
                </w:rPr>
                <w:t>35.-</w:t>
                <w:tab/>
                <w:t>GARANTÍAS COMPROMETIDAS CON TERCEROS, OTROS ACTIVOS Y PASIVOS CONTINGENTES Y OTROS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4fad54743ed49b982c36de6766d6d4e" w:history="1">
              <w:r>
                <w:rPr>
                  <w:rFonts w:ascii="Calibri" w:eastAsia="Calibri" w:hAnsi="Calibri" w:cs="Calibri"/>
                  <w:b w:val="0"/>
                  <w:i w:val="0"/>
                  <w:color w:val="000000"/>
                  <w:sz w:val="20"/>
                  <w:u w:val="none"/>
                  <w:shd w:val="clear" w:color="auto" w:fill="auto"/>
                </w:rPr>
                <w:t>161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575171fce66410087ecba333c746036" w:history="1">
              <w:r>
                <w:rPr>
                  <w:rFonts w:ascii="Calibri" w:eastAsia="Calibri" w:hAnsi="Calibri" w:cs="Calibri"/>
                  <w:b w:val="0"/>
                  <w:i w:val="0"/>
                  <w:color w:val="000000"/>
                  <w:sz w:val="20"/>
                  <w:u w:val="none"/>
                  <w:shd w:val="clear" w:color="auto" w:fill="auto"/>
                </w:rPr>
                <w:t>36.-</w:t>
                <w:tab/>
                <w:t>DISTRIBUCIÓN DEL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575171fce66410087ecba333c746036" w:history="1">
              <w:r>
                <w:rPr>
                  <w:rFonts w:ascii="Calibri" w:eastAsia="Calibri" w:hAnsi="Calibri" w:cs="Calibri"/>
                  <w:b w:val="0"/>
                  <w:i w:val="0"/>
                  <w:color w:val="000000"/>
                  <w:sz w:val="20"/>
                  <w:u w:val="none"/>
                  <w:shd w:val="clear" w:color="auto" w:fill="auto"/>
                </w:rPr>
                <w:t>161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e71b9541f4147cbacf644ea714c400b" w:history="1">
              <w:r>
                <w:rPr>
                  <w:rFonts w:ascii="Calibri" w:eastAsia="Calibri" w:hAnsi="Calibri" w:cs="Calibri"/>
                  <w:b w:val="0"/>
                  <w:i w:val="0"/>
                  <w:color w:val="000000"/>
                  <w:sz w:val="20"/>
                  <w:u w:val="none"/>
                  <w:shd w:val="clear" w:color="auto" w:fill="auto"/>
                </w:rPr>
                <w:t>37.-</w:t>
                <w:tab/>
                <w:t>MEDIO AMBIENTE.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e71b9541f4147cbacf644ea714c400b" w:history="1">
              <w:r>
                <w:rPr>
                  <w:rFonts w:ascii="Calibri" w:eastAsia="Calibri" w:hAnsi="Calibri" w:cs="Calibri"/>
                  <w:b w:val="0"/>
                  <w:i w:val="0"/>
                  <w:color w:val="000000"/>
                  <w:sz w:val="20"/>
                  <w:u w:val="none"/>
                  <w:shd w:val="clear" w:color="auto" w:fill="auto"/>
                </w:rPr>
                <w:t>161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06006b71d894b00b400f7e8964f6cea" w:history="1">
              <w:r>
                <w:rPr>
                  <w:rFonts w:ascii="Calibri" w:eastAsia="Calibri" w:hAnsi="Calibri" w:cs="Calibri"/>
                  <w:b w:val="0"/>
                  <w:i w:val="0"/>
                  <w:color w:val="000000"/>
                  <w:sz w:val="20"/>
                  <w:u w:val="none"/>
                  <w:shd w:val="clear" w:color="auto" w:fill="auto"/>
                </w:rPr>
                <w:t>38.-</w:t>
                <w:tab/>
                <w:t>HECHOS POSTERIORES.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06006b71d894b00b400f7e8964f6cea" w:history="1">
              <w:r>
                <w:rPr>
                  <w:rFonts w:ascii="Calibri" w:eastAsia="Calibri" w:hAnsi="Calibri" w:cs="Calibri"/>
                  <w:b w:val="0"/>
                  <w:i w:val="0"/>
                  <w:color w:val="000000"/>
                  <w:sz w:val="20"/>
                  <w:u w:val="none"/>
                  <w:shd w:val="clear" w:color="auto" w:fill="auto"/>
                </w:rPr>
                <w:t>170</w:t>
              </w:r>
            </w:hyperlink>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COMPAÑÍA GENERAL DE ELECTRICIDAD S.A. Y SUBSIDIARIAS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 CONSOLIDADOS INTERMEDIOS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3" type="#_x0000_t75" style="width:498.9pt;height:1.98pt">
            <v:imagedata r:id="rId12"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headerReference w:type="default" r:id="rId19"/>
          <w:footerReference w:type="default" r:id="rId20"/>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365F91"/>
          <w:sz w:val="20"/>
          <w:u w:val="none"/>
        </w:rPr>
      </w:pPr>
      <w:bookmarkStart w:id="6" w:name="Section7"/>
      <w:bookmarkEnd w:id="6"/>
      <w:bookmarkStart w:id="7" w:name="70ecc44b3fba4493acdba8e83578a603"/>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Rut 76.411.321-7, es una sociedad anónima abierta, tiene su domicilio social en Avda. Presidente Riesco N° 5561 piso 17 en la comuna de Las Condes de la ciudad de Santiago, en la República de Chile. La Sociedad se encuentra inscrita en el Registro de Valores de la Comisión para el Mercado Financiero bajo el N° 1.141.</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Al cierre de los estados financieros consolidados intermedios Compañía General de Electricidad S.A. integra en su giro las actividades de distribución de energía eléctrica y manteniendo bajo la subsidiaria Empresa Eléctrica de Magallanes S.A. en menor medida la de generación de energía eléctrica.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el accionista propietario del 97,145% de las acciones de Compañía General de Electricidad S.A. es State Grid Chile Electricity SpA., miembro del Grupo State Grid Corporation of China, cuya matriz final es dicha sociedad. </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emisión de estos estados financieros consolidados intermedios correspondientes al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ha sido aprobada en Sesión de Directorio de fech</w:t>
      </w:r>
      <w:r>
        <w:rPr>
          <w:rFonts w:ascii="Calibri" w:eastAsia="Calibri" w:hAnsi="Calibri" w:cs="Calibri"/>
          <w:b w:val="0"/>
          <w:i w:val="0"/>
          <w:color w:val="000000"/>
          <w:sz w:val="20"/>
          <w:highlight w:val="white"/>
          <w:u w:val="none"/>
        </w:rPr>
        <w:t>a 2</w:t>
      </w:r>
      <w:r>
        <w:rPr>
          <w:rFonts w:ascii="Calibri" w:eastAsia="Calibri" w:hAnsi="Calibri" w:cs="Calibri"/>
          <w:b w:val="0"/>
          <w:i w:val="0"/>
          <w:color w:val="000000"/>
          <w:sz w:val="20"/>
          <w:highlight w:val="white"/>
          <w:u w:val="none"/>
        </w:rPr>
        <w:t>7 de agosto</w:t>
      </w:r>
      <w:r>
        <w:rPr>
          <w:rFonts w:ascii="Calibri" w:eastAsia="Calibri" w:hAnsi="Calibri" w:cs="Calibri"/>
          <w:b w:val="0"/>
          <w:i w:val="0"/>
          <w:color w:val="000000"/>
          <w:sz w:val="20"/>
          <w:highlight w:val="white"/>
          <w:u w:val="none"/>
        </w:rPr>
        <w:t xml:space="preserve"> de 2026,</w:t>
      </w:r>
      <w:r>
        <w:rPr>
          <w:rFonts w:ascii="Calibri" w:eastAsia="Calibri" w:hAnsi="Calibri" w:cs="Calibri"/>
          <w:b w:val="0"/>
          <w:i w:val="0"/>
          <w:color w:val="000000"/>
          <w:sz w:val="20"/>
          <w:u w:val="none"/>
        </w:rPr>
        <w:t xml:space="preserve"> quien con dicha fecha autorizó además su publicación.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8" w:name="Section8"/>
      <w:bookmarkEnd w:id="8"/>
      <w:bookmarkStart w:id="9" w:name="405e728dab4845448b84ca17605dce1c"/>
      <w:r>
        <w:rPr>
          <w:rFonts w:ascii="Calibri" w:eastAsia="Calibri" w:hAnsi="Calibri" w:cs="Calibri"/>
          <w:b/>
          <w:i w:val="0"/>
          <w:color w:val="000000"/>
          <w:sz w:val="20"/>
          <w:u w:val="none"/>
        </w:rPr>
        <w:t>2.-</w:t>
      </w:r>
      <w:r>
        <w:rPr>
          <w:rFonts w:ascii="Calibri" w:eastAsia="Calibri" w:hAnsi="Calibri" w:cs="Calibri"/>
          <w:b/>
          <w:i w:val="0"/>
          <w:color w:val="000000"/>
          <w:sz w:val="20"/>
          <w:u w:val="none"/>
        </w:rPr>
        <w:tab/>
      </w:r>
      <w:r>
        <w:rPr>
          <w:rFonts w:ascii="Calibri" w:eastAsia="Calibri" w:hAnsi="Calibri" w:cs="Calibri"/>
          <w:b/>
          <w:i w:val="0"/>
          <w:color w:val="000000"/>
          <w:sz w:val="20"/>
          <w:u w:val="none"/>
        </w:rPr>
        <w:t>DESCRIPCIÓN DE LOS SECTORES DONDE PARTICIPA LA SOCIEDAD Y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9"/>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Calibri" w:eastAsia="Calibri" w:hAnsi="Calibri" w:cs="Calibri"/>
          <w:b/>
          <w:i w:val="0"/>
          <w:color w:val="000000"/>
          <w:sz w:val="20"/>
          <w:u w:val="none"/>
        </w:rPr>
      </w:pPr>
      <w:bookmarkStart w:id="10" w:name="Section9"/>
      <w:bookmarkEnd w:id="10"/>
      <w:bookmarkStart w:id="11" w:name="280c82e58d3f4a42ba3b0793f64bd7d9"/>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Sector electricidad.</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bookmarkEnd w:id="11"/>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2.1.1.-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Distribución de electricidad en Chile.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participa en el negocio de distribución de energía eléctrica en Chile directamente y por medio de su subsidiaria Empresa Eléctrica de Magallanes S.A. que en conjunto abastecen a 3.446.910 clientes entre la Región de Arica y Parinacota y la Región de la Araucanía, y en la Región de Magallanes y la Antártica Chilena, con ventas físicas que alcanzaro</w:t>
      </w:r>
      <w:r>
        <w:rPr>
          <w:rFonts w:ascii="Calibri" w:eastAsia="Calibri" w:hAnsi="Calibri" w:cs="Calibri"/>
          <w:b w:val="0"/>
          <w:i w:val="0"/>
          <w:color w:val="000000"/>
          <w:sz w:val="20"/>
          <w:highlight w:val="white"/>
          <w:u w:val="none"/>
        </w:rPr>
        <w:t>n a</w:t>
      </w:r>
      <w:r>
        <w:rPr>
          <w:rFonts w:ascii="Calibri" w:eastAsia="Calibri" w:hAnsi="Calibri" w:cs="Calibri"/>
          <w:b w:val="0"/>
          <w:i w:val="0"/>
          <w:color w:val="000000"/>
          <w:sz w:val="20"/>
          <w:u w:val="none"/>
        </w:rPr>
        <w:t xml:space="preserve"> 2.868 GWh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Aspectos regulatorios:</w:t>
      </w:r>
    </w:p>
    <w:p>
      <w:pPr>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30" w:lineRule="exact"/>
        <w:ind w:left="2127" w:right="0" w:firstLine="0"/>
        <w:jc w:val="both"/>
        <w:outlineLvl w:val="9"/>
        <w:rPr>
          <w:rFonts w:ascii="Aptos" w:eastAsia="Aptos" w:hAnsi="Aptos" w:cs="Aptos"/>
          <w:b w:val="0"/>
          <w:i w:val="0"/>
          <w:color w:val="000000"/>
          <w:sz w:val="24"/>
          <w:u w:val="none"/>
        </w:rPr>
      </w:pPr>
      <w:r>
        <w:rPr>
          <w:rFonts w:ascii="Calibri" w:eastAsia="Calibri" w:hAnsi="Calibri" w:cs="Calibri"/>
          <w:b w:val="0"/>
          <w:i w:val="0"/>
          <w:color w:val="000000"/>
          <w:sz w:val="20"/>
          <w:u w:val="none"/>
        </w:rPr>
        <w:t xml:space="preserve">La actividad de distribución de electricidad en Chile está sujeta a la normativa contemplada en la Ley General de Servicios Eléctricos (DFL N° 4-2006 del Ministerio de Economía, Fomento y </w:t>
      </w:r>
      <w:r>
        <w:rPr>
          <w:rFonts w:ascii="Calibri" w:eastAsia="Calibri" w:hAnsi="Calibri" w:cs="Calibri"/>
          <w:b w:val="0"/>
          <w:i w:val="0"/>
          <w:color w:val="000000"/>
          <w:sz w:val="20"/>
          <w:highlight w:val="white"/>
          <w:u w:val="none"/>
        </w:rPr>
        <w:t>Reconstrucción). Dicha Ley establece el régimen bajo el cual las empresas distribuidoras operan como concesionarias de servicio público, con criterios objetivos para la fijación de precios, de forma tal que el resultado de su aplicación sea la asignación económicamente eficiente de recursos en el sector eléctrico. En particular, el artículo N° 7 define el servicio público eléctrico, el artículo N° 8 TER establece la obligación de giro exclusivo de distribución, y el artículo N° 31 consagra que las concesiones definitivas se otorgan por plazo indefinido.</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sistema regulatorio, vigente desde 1982, aunque ha sufrido algunas modificaciones importantes en los últimos años, ha permitido un desarrollo satisfactorio del sector eléctrico. Asimismo, contribuyó a un rápido proceso de crecimiento, con altas tasas de inversión durante la última década, a la diversificación de la oferta en generación y a importantes reducciones en los costos de producción, transporte y distribución.</w:t>
      </w:r>
    </w:p>
    <w:p>
      <w:pPr>
        <w:pStyle w:val="Normal-wk"/>
        <w:keepNext w:val="0"/>
        <w:keepLines/>
        <w:pageBreakBefore w:val="0"/>
        <w:widowControl w:val="0"/>
        <w:numPr>
          <w:ilvl w:val="0"/>
          <w:numId w:val="0"/>
        </w:numPr>
        <w:spacing w:before="0" w:after="0" w:line="230" w:lineRule="exact"/>
        <w:ind w:left="2126" w:right="0" w:firstLine="0"/>
        <w:jc w:val="both"/>
        <w:outlineLvl w:val="9"/>
        <w:rPr>
          <w:rFonts w:ascii="Aptos" w:eastAsia="Aptos" w:hAnsi="Aptos" w:cs="Aptos"/>
          <w:b w:val="0"/>
          <w:i w:val="0"/>
          <w:color w:val="000000"/>
          <w:sz w:val="24"/>
          <w:u w:val="none"/>
        </w:rPr>
      </w:pPr>
      <w:r>
        <w:rPr>
          <w:rFonts w:ascii="Calibri" w:eastAsia="Calibri" w:hAnsi="Calibri" w:cs="Calibri"/>
          <w:b w:val="0"/>
          <w:i w:val="0"/>
          <w:color w:val="000000"/>
          <w:sz w:val="20"/>
          <w:u w:val="none"/>
        </w:rPr>
        <w:t xml:space="preserve">La Ley N° 21.194, publicada el 21 de diciembre de 2019, mediante la cual se rebaja la rentabilidad de las empresas de distribución y perfecciona el proceso tarifario de distribución eléctrica, modificó el marco normativo que regula el segmento de distribución de electricidad, estableciendo, por un lado, un mecanismo de estabilización de los niveles de precios asociados al valor agregado por concepto de costos de distribución debiendo ser incorporadas las diferencias originadas por su aplicación a las tarifas resultantes de los siguientes procesos de tarificación de los suministros a clientes regulados y por otro, la obligación para las empresas distribuidoras de constituirse como sociedades de giro exclusivo de distribución de energía </w:t>
      </w:r>
      <w:r>
        <w:rPr>
          <w:rFonts w:ascii="Calibri" w:eastAsia="Calibri" w:hAnsi="Calibri" w:cs="Calibri"/>
          <w:b w:val="0"/>
          <w:i w:val="0"/>
          <w:color w:val="000000"/>
          <w:sz w:val="20"/>
          <w:highlight w:val="white"/>
          <w:u w:val="none"/>
        </w:rPr>
        <w:t>eléctrica. Las empresas que operan en sistemas medianos, sistemas aislados para pequeños consumidores o cooperativas que desarrollen giros adicionales deberán llevar contabilidad separada respecto de la actividad de distribución, conforme a la modificación introducida al artículo N° 8 TER por la Ley N° 21.804 publicada en el Diario Oficial el 13 de febrero de 2026. Esta restricción implica que CGE no se encuentra habilitada para suscribir directamente nuevos contratos con clientes libres, según lo determinado por la Comisión Nacional de Energía en la resolución sobre el alcance del giro exclusivo.</w:t>
      </w:r>
    </w:p>
    <w:p>
      <w:pPr>
        <w:keepNext w:val="0"/>
        <w:keepLines/>
        <w:pageBreakBefore w:val="0"/>
        <w:widowControl w:val="0"/>
        <w:numPr>
          <w:ilvl w:val="0"/>
          <w:numId w:val="0"/>
        </w:numPr>
        <w:spacing w:before="0" w:after="0" w:line="288" w:lineRule="auto"/>
        <w:ind w:left="2127" w:right="0" w:hanging="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otro lado, la Ley N° 21.249, publicada el 8 de agosto de 2020, dispuso beneficios excepcionales en favor de los usuarios finales de los servicios sanitarios, de electricidad y de gas de red, estableciendo: a) la prohibición de cortar el suministro eléctrico por mora en el pago de las cuentas durante 90 días; y b) que, a solicitud de los clientes (vulnerables, tercera edad, cesantes y afectados en sus ingresos, entre otros), las deudas generadas entre el 18 de marzo de 2020 y los 90 días posteriores al 8 de agosto de 2020 se deberán prorratear en hasta 12 cuotas mensuales, sin multas, ni intereses, ni gastos asociados. Adicionalmente, mediante Leyes            N° 21.301 y N° 21.340, publicadas el 5 de enero de 2021 y el 22 de mayo de 2021, respectivamente, se extendió hasta el 31 de diciembre de 2021 la vigencia de la señalada Ley        N° 21.249, ampliándose el universo de clientes beneficiarios y a 48 las cuotas para la postergación de pagos.</w:t>
      </w:r>
    </w:p>
    <w:p>
      <w:pPr>
        <w:keepNext w:val="0"/>
        <w:keepLines/>
        <w:pageBreakBefore w:val="0"/>
        <w:widowControl w:val="0"/>
        <w:numPr>
          <w:ilvl w:val="0"/>
          <w:numId w:val="0"/>
        </w:numPr>
        <w:spacing w:before="0" w:after="0" w:line="288" w:lineRule="auto"/>
        <w:ind w:left="2127" w:right="0" w:hanging="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El 11 de febrero de 2022 fue publicada la Ley N° 21.423, mediante la cual se establece, entre otras disposiciones, que a) las deudas de los usuarios beneficiarios de la suspensión del corte de suministro por falta de pago, de acuerdo con la Ley N° 21.249, generadas durante el período comprendido entre el 18 de marzo de 2020 y el 31 de diciembre de 2021, cuyo consumo promedio del año 2021 no sea superior a 250 kWh/mes, serán pagadas en cuotas mensuales y sucesivas, determinadas dividiendo el monto total de lo adeudado por 48, no pudiendo incorporarse multas, intereses, ni gastos; b) dicha cuota no podrá exceder el 15% del cobro asociado al consumo promedio del año 2021; c) una vez pagadas las 48 cuotas, en caso de existir un saldo de la deuda, éste se extinguirá mediante convenios celebrados por el Ministerio de Obras Públicas o el Ministerio de Energía, según corresponda, con las empresas sanitarias o las empresas y cooperativas eléctricas, respectivamente, los que deberán ser aprobados por el correspondiente acto administrativo; d) se establecerán subsidios automáticos para estos usuarios por un máximo de 48 meses, correspondientes al valor de las cuotas calculadas, los cuales deben ser descontados mensualmente por las empresas a los correspondientes usuarios; e) el procedimiento de pago de los subsidios y las demás normas necesarias para su implementación serán determinados mediante decreto supremo conjunto de los Ministerios de Obras Públicas y de Energía, debiendo ser suscrito por el Ministro de Hacienda y; f) la extensión, hasta el 31 de marzo de 2022, para que los clientes beneficiarios de convenios de la Ley                      N° 21.249 puedan acogerse a ellos.</w:t>
      </w:r>
    </w:p>
    <w:p>
      <w:pPr>
        <w:keepNext w:val="0"/>
        <w:keepLines/>
        <w:pageBreakBefore w:val="0"/>
        <w:widowControl w:val="0"/>
        <w:numPr>
          <w:ilvl w:val="0"/>
          <w:numId w:val="0"/>
        </w:numPr>
        <w:spacing w:before="0" w:after="0" w:line="288" w:lineRule="auto"/>
        <w:ind w:left="2127" w:right="0" w:hanging="3"/>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particular, el mercado ha sido dividido en dos categorías: a) clientes sujetos a fijación de precios o clientes regulados, que corresponden principalmente a aquellos cuya potencia conectada es igual o inferior a 5.000 kW y; b) clientes no sujetos a fijación de precios o clientes libres. Las tarifas aplicables a clientes regulados son fijadas por la autoridad, mientras que los precios de suministro para clientes libres se pactan libremente.</w:t>
      </w:r>
    </w:p>
    <w:p>
      <w:pPr>
        <w:keepNext w:val="0"/>
        <w:keepLines/>
        <w:pageBreakBefore w:val="0"/>
        <w:widowControl w:val="0"/>
        <w:numPr>
          <w:ilvl w:val="0"/>
          <w:numId w:val="0"/>
        </w:numPr>
        <w:spacing w:before="0" w:after="0" w:line="288" w:lineRule="auto"/>
        <w:ind w:left="2127" w:right="0" w:hanging="3"/>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sz w:val="20"/>
        </w:rPr>
      </w:pPr>
      <w:r>
        <w:rPr>
          <w:rFonts w:ascii="Calibri" w:eastAsia="Calibri" w:hAnsi="Calibri" w:cs="Calibri"/>
          <w:b w:val="0"/>
          <w:i w:val="0"/>
          <w:sz w:val="20"/>
        </w:rPr>
        <w:t>Adicionalmente, los clientes regulados que tienen una potencia conectada mayor a 300 kW se encuentran facultados para optar entre la tarifa regulada y una de precio libre, con un ejercicio mínimo de cuatro años de permanencia en cada régimen, y comunicado con una antelación de, al menos, 12 meses. Se hace presente que, a partir del 9 de diciembre de 2024, mediante la publicación de la Resolución Exenta N° 58-2024 del Ministerio de Energía, dicho límite fue rebajado de 500 kW a 300 kW, previa consulta del Ministerio al Tribunal de la Libre Competencia.</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 relación con lo anterior, es necesario tener en cuenta que, en conformidad con lo determinado por la Comisión Nacional de Energía en la resolución que determinó el alcance del giro exclusivo de distribución, establecido en la Ley N° 21.194, las empresas distribuidoras no se encuentran habilitadas para suscribir directamente nuevos contratos con clientes libres. Esta situación no representa efectos significativos en los resultados de las empresas concesionarias en la medida en que los clientes libres se acojan a las opciones tarifarias de peajes de distribución existentes.</w:t>
      </w:r>
    </w:p>
    <w:p>
      <w:pPr>
        <w:keepNext w:val="0"/>
        <w:keepLines/>
        <w:pageBreakBefore w:val="0"/>
        <w:widowControl w:val="0"/>
        <w:numPr>
          <w:ilvl w:val="0"/>
          <w:numId w:val="0"/>
        </w:numPr>
        <w:spacing w:before="0" w:after="0" w:line="288" w:lineRule="auto"/>
        <w:ind w:left="2126" w:right="0" w:hanging="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Concentración de las operaciones: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extensa cobertura geográfica que posee Compañía General de Electricidad S.A. en esta actividad permite reducir el riesgo inherente a la concentración de clientes, demanda e instalaciones. Las distintas realidades socioeconómicas de cada una de las regiones del país permiten diversificar el origen de sus ingresos, evitando la dependencia y los posibles factores de riesgo asociados a la concentración de su actividad comercial en una zona específica del país.</w:t>
      </w:r>
    </w:p>
    <w:p>
      <w:pPr>
        <w:keepNext w:val="0"/>
        <w:keepLines/>
        <w:pageBreakBefore w:val="0"/>
        <w:widowControl w:val="0"/>
        <w:numPr>
          <w:ilvl w:val="0"/>
          <w:numId w:val="0"/>
        </w:numPr>
        <w:spacing w:before="0" w:after="0" w:line="288" w:lineRule="auto"/>
        <w:ind w:left="212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Demanda:</w:t>
      </w:r>
    </w:p>
    <w:p>
      <w:pPr>
        <w:keepNext w:val="0"/>
        <w:keepLines/>
        <w:pageBreakBefore w:val="0"/>
        <w:widowControl w:val="0"/>
        <w:numPr>
          <w:ilvl w:val="0"/>
          <w:numId w:val="0"/>
        </w:numPr>
        <w:spacing w:before="0" w:after="0" w:line="288" w:lineRule="auto"/>
        <w:ind w:left="212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Chile, la demanda por energía eléctrica está asociada directamente con el desarrollo económico experimentado por el país. En este sentido, el crecimiento de la demanda se relaciona estrechamente con el mejoramiento del ingreso per cápita y el desarrollo tecnológico. Lo anterior se traduce, en el caso del sector residencial, en un mayor acceso a equipos electrodomésticos y, en el sector industrial, a la automatización de procesos industriales. Otro factor que influye en el crecimiento de la demanda es el incremento de la población y las viviendas, lo que está fuertemente relacionado con los planes de desarrollo urbano.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Como nación en vías de desarrollo, el consumo per cápita en Chile aún es bajo en comparación a otros países desarrollados, lo que se traduce en atractivas perspectivas de crecimiento del consumo de energía eléctrica en el país. De este modo, el riesgo relacionado a la volatilidad y evolución de la demanda es reducido, incluso considerando el impacto que podría generar la implementación de planes de eficiencia energética, los que tienden a traducirse en reducciones de la demanda que experimentan las empresas concesionarias y con ellos, los correspondientes ingresos.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Contratos de suministro: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abastecer el consumo de sus clientes regulados y libres, Compañía General de Electricidad S.A. cuenta con contratos de largo plazo de abastecimiento de energía y potencia con las principales empresas generadoras del país, cuyas solvencias han sido clasificadas, por reconocidas empresas del mercado, en categorías de bajo nivel de riesgo.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3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En efecto, para abastecer el consumo de sus clientes regulados cuenta con contratos resultantes de las licitaciones de suministro eléctrico efectuadas entre los años 2006 y 2024, en cumplimiento de la Ley General de Servicios Eléctricos. Producto de los mencionados procesos, C</w:t>
      </w:r>
      <w:r>
        <w:rPr>
          <w:rFonts w:ascii="Calibri" w:eastAsia="Calibri" w:hAnsi="Calibri" w:cs="Calibri"/>
          <w:b w:val="0"/>
          <w:i w:val="0"/>
          <w:color w:val="000000"/>
          <w:sz w:val="20"/>
          <w:u w:val="none"/>
        </w:rPr>
        <w:t>ompañía General de Electricidad S.A.</w:t>
      </w:r>
      <w:r>
        <w:rPr>
          <w:rFonts w:ascii="Calibri" w:eastAsia="Calibri" w:hAnsi="Calibri" w:cs="Calibri"/>
          <w:b w:val="0"/>
          <w:i w:val="0"/>
          <w:sz w:val="20"/>
        </w:rPr>
        <w:t xml:space="preserve"> mantiene contratos con los generadores: </w:t>
      </w:r>
      <w:r>
        <w:rPr>
          <w:rFonts w:ascii="Calibri" w:eastAsia="Calibri" w:hAnsi="Calibri" w:cs="Calibri"/>
          <w:b w:val="0"/>
          <w:i w:val="0"/>
          <w:color w:val="000000"/>
          <w:sz w:val="20"/>
          <w:highlight w:val="white"/>
          <w:u w:val="none"/>
        </w:rPr>
        <w:t>Acciona Energía Chile Holdings S.A., Aela Generación S.A., Besalco Energía Renovable S.A., Empresa Eléctrica Carén S.A., Cerro Dominador CSP S.A., Chungungo S.A., Colbún S.A., Cóndor Energía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xml:space="preserve"> Energía Cerro El Morado S.A., Enel Generación Chile S.A., Engie Energía Chile S.A., GM Holdings S.A., Huemul Energía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Ibereólica Cabo Leones II S.A., Ibereólica Cabo Leones III S.A., Parque Solar Fotovoltaico Luz del Norte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Norvind S.A., Opdenergy Generacion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Parque Eólico Cabo Leones I S.A., Parque Eólico Punta de Talca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PV Salvador S.A., Empresa Eléctrica Rucatayo S.A., San Juan S.A., Santiago Solar S.A., Sonnedix Cox Energy Chile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Sonnedix PPA Holding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SPV P4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WPD Duqueco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WPD Malleco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WPD Negrete SpA</w:t>
      </w:r>
      <w:r>
        <w:rPr>
          <w:rFonts w:ascii="Calibri" w:eastAsia="Calibri" w:hAnsi="Calibri" w:cs="Calibri"/>
          <w:b w:val="0"/>
          <w:i w:val="0"/>
          <w:color w:val="000000"/>
          <w:sz w:val="20"/>
          <w:highlight w:val="white"/>
          <w:u w:val="none"/>
        </w:rPr>
        <w:t>.</w:t>
      </w:r>
      <w:r>
        <w:rPr>
          <w:rFonts w:ascii="Calibri" w:eastAsia="Calibri" w:hAnsi="Calibri" w:cs="Calibri"/>
          <w:b w:val="0"/>
          <w:i w:val="0"/>
          <w:color w:val="000000"/>
          <w:sz w:val="20"/>
          <w:highlight w:val="white"/>
          <w:u w:val="none"/>
        </w:rPr>
        <w:t xml:space="preserve"> y Zapaleri SpA.</w:t>
      </w:r>
    </w:p>
    <w:p>
      <w:pPr>
        <w:keepNext w:val="0"/>
        <w:keepLines/>
        <w:pageBreakBefore w:val="0"/>
        <w:widowControl w:val="0"/>
        <w:numPr>
          <w:ilvl w:val="0"/>
          <w:numId w:val="0"/>
        </w:numPr>
        <w:spacing w:before="0" w:after="0" w:line="276" w:lineRule="auto"/>
        <w:ind w:left="2126"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sz w:val="20"/>
        </w:rPr>
        <w:t xml:space="preserve">En cuanto al suministro para el abastecimiento de clientes libres,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mantiene contratos vigentes </w:t>
      </w:r>
      <w:r>
        <w:rPr>
          <w:rFonts w:ascii="Calibri" w:eastAsia="Calibri" w:hAnsi="Calibri" w:cs="Calibri"/>
          <w:b w:val="0"/>
          <w:i w:val="0"/>
          <w:color w:val="000000"/>
          <w:sz w:val="20"/>
          <w:highlight w:val="white"/>
          <w:u w:val="none"/>
        </w:rPr>
        <w:t xml:space="preserve">con la empresa generadora </w:t>
      </w:r>
      <w:r>
        <w:rPr>
          <w:rFonts w:ascii="Calibri" w:eastAsia="Calibri" w:hAnsi="Calibri" w:cs="Calibri"/>
          <w:b w:val="0"/>
          <w:i w:val="0"/>
          <w:sz w:val="20"/>
        </w:rPr>
        <w:t xml:space="preserve">Engie Energía Chile S.A. por plazos variables hasta el año 2027, los cuales se encuentran ajustados a los plazos convenidos con dichos clientes. Sin perjuicio de lo anterior, debe tenerse a la vista que, considerando las limitaciones impuestas por el giro exclusivo de distribución, </w:t>
      </w:r>
      <w:r>
        <w:rPr>
          <w:rFonts w:ascii="Calibri" w:eastAsia="Calibri" w:hAnsi="Calibri" w:cs="Calibri"/>
          <w:b w:val="0"/>
          <w:i w:val="0"/>
          <w:color w:val="000000"/>
          <w:sz w:val="20"/>
          <w:u w:val="none"/>
        </w:rPr>
        <w:t>Compañía General de Electricidad S.A.</w:t>
      </w:r>
      <w:r>
        <w:rPr>
          <w:rFonts w:ascii="Calibri" w:eastAsia="Calibri" w:hAnsi="Calibri" w:cs="Calibri"/>
          <w:b w:val="0"/>
          <w:i w:val="0"/>
          <w:sz w:val="20"/>
        </w:rPr>
        <w:t xml:space="preserve"> se encuentra imposibilitada de abastecer requerimientos de suministros de nuevos clientes libres, como también de renovar los contratos suscritos con clientes libres cuya vigencia se encuentra próxima a su fin.</w:t>
      </w:r>
    </w:p>
    <w:p>
      <w:pPr>
        <w:keepNext w:val="0"/>
        <w:keepLines/>
        <w:pageBreakBefore w:val="0"/>
        <w:widowControl w:val="0"/>
        <w:numPr>
          <w:ilvl w:val="0"/>
          <w:numId w:val="0"/>
        </w:numPr>
        <w:spacing w:before="0" w:after="0" w:line="269"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Empresa Eléctrica de Magallanes S.A., por tratarse de una empresa integrada verticalmente, la energía eléctrica es generada directamente mediante centrales en cada uno de los sistemas atendidos por esta subsidiaria.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segmento de distribución de electricidad en Chile se encuentra regulado por el Estado debido a que presenta las características propias de monopolio natural.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Consecuentemente, se establece un régimen de concesiones para el establecimiento, operación y explotación de redes de distribución de servicio público, donde se delimita territorialmente la zona de operación de las empresas distribuidoras. Asimismo, se regulan las condiciones de explotación de este negocio, los precios que se pueden cobrar a clientes regulados y la calidad de servicio que debe prestar.</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marco regulatorio de la industria eléctrica en Chile está definido por la Ley General de Servicios Eléctricos, cuyo texto se encuentra contenido en el DFL N° 4-2006 del Ministerio de Economía, Fomento y Reconstrucción, el Reglamento de la Ley General de Servicios Eléctricos (Decreto N° 327-1997 del Ministerio de Minería), los decretos tarifarios y demás normas técnicas y reglamentarias emanadas del Ministerio de Energía, de la Comisión Nacional de Energía y de la Superintendencia de Electricidad y Combustibles.</w:t>
      </w:r>
    </w:p>
    <w:p>
      <w:pPr>
        <w:keepNext w:val="0"/>
        <w:keepLines/>
        <w:pageBreakBefore w:val="0"/>
        <w:widowControl w:val="0"/>
        <w:numPr>
          <w:ilvl w:val="0"/>
          <w:numId w:val="0"/>
        </w:numPr>
        <w:spacing w:before="0" w:after="0" w:line="288" w:lineRule="auto"/>
        <w:ind w:left="140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1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Valor agregado de distribución (VAD).</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 tarifa regulada de distribución, que es fijada por el Ministerio de Energía en un procedimiento que es encabezado por la </w:t>
      </w:r>
      <w:r>
        <w:rPr>
          <w:rFonts w:ascii="Calibri" w:eastAsia="Calibri" w:hAnsi="Calibri" w:cs="Calibri"/>
          <w:b w:val="0"/>
          <w:i w:val="0"/>
          <w:color w:val="000000"/>
          <w:sz w:val="20"/>
          <w:u w:val="none"/>
        </w:rPr>
        <w:t>Comisión</w:t>
      </w:r>
      <w:r>
        <w:rPr>
          <w:rFonts w:ascii="Calibri" w:eastAsia="Calibri" w:hAnsi="Calibri" w:cs="Calibri"/>
          <w:b w:val="0"/>
          <w:i w:val="0"/>
          <w:sz w:val="20"/>
        </w:rPr>
        <w:t xml:space="preserve"> Nacional de Energía, resulta de la suma de los siguientes componentes: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 de Nudo: Corresponde al precio aplicable a la compra de energía para consumos regulados. Dicho valor es fijado por la autoridad en el punto de interconexión de las instalaciones de transmisión con las de distribución, considerando el precio de los contratos de suministro que hayan suscrito las distribuidoras como resultado de las licitaciones realizadas;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Cargos por el uso de los Sistemas de Transmisión;</w:t>
      </w:r>
    </w:p>
    <w:p>
      <w:pPr>
        <w:pStyle w:val="Normal-wk"/>
        <w:keepNext w:val="0"/>
        <w:keepLines/>
        <w:pageBreakBefore w:val="0"/>
        <w:widowControl w:val="0"/>
        <w:numPr>
          <w:ilvl w:val="3"/>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Cargo por Servicio Público y;</w:t>
      </w:r>
    </w:p>
    <w:p>
      <w:pPr>
        <w:keepNext w:val="0"/>
        <w:keepLines/>
        <w:pageBreakBefore w:val="0"/>
        <w:widowControl w:val="0"/>
        <w:numPr>
          <w:ilvl w:val="0"/>
          <w:numId w:val="0"/>
        </w:numPr>
        <w:spacing w:before="0" w:after="0" w:line="288" w:lineRule="auto"/>
        <w:ind w:left="2115" w:right="0" w:firstLine="7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3"/>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Valor Agregado de Distribución (VAD), que permite cubrir los costos de operación y mantenimiento del sistema de distribución, los correspondientes costos de comercialización y rentar sobre todas sus instalaciones.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precio de nudo, los cargos por uso de los Sistemas de Transmisión y el cargo por Servicio Público son traspasados a los clientes finales, correspondiendo el VAD a la retribución de la empresa distribuidora.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General de Servicios Eléctricos establece que cada 4 años se debe efectuar el cálculo de los costos de los componentes del VAD, basado en el dimensionamiento de empresas modelo de distribución de energía eléctrica, las cuales deben ser eficientes y satisfacer óptimamente la demanda con la calidad de servicio determinada en la normativa vigente.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Agregado de Distribución retribuye: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Costos fijos por concepto de gastos de administración, facturación y atención del usuario, independiente de su consumo;</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Pérdidas medias de distribución en potencia y energía;</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Costos estándares de inversión, mantención y operación asociados a la distribución por unidad de potencia suministrada. Los costos anuales de inversión se calculan considerando el Valor Nuevo de Reemplazo, de instalaciones adaptadas a la demanda, su vida útil, y una tasa de actualización determinada en cada proceso tarifario, la que no puede ser inferior al 6% ni superior al 8% real anual después de impuestos.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la determinación del VAD, en conformidad con el procedimiento definido en la Ley              N° 21.194, el estudio de costos debe ser licitado y adjudicado, siendo ejecutado y supervisado por un comité integrado por representantes de las distribuidoras, dos representantes del Ministerio de Energía y dos representantes de la Comisión Nacional de Energía.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Comisión Nacional de Energía debe elaborar un informe técnico sobre la base del señalado estudio, respecto del cual se podrán presentar observaciones ante ese mismo organismo y, posteriormente, discrepancias ante el Panel de Expertos.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el VAD definitivo, la Comisión Nacional de Energía estructura las fórmulas tarifarias finales y sus fórmulas de indexación, las cuales, de acuerdo con los procedimientos establecidos, son fijadas mediante decreto del Ministerio de Energía. Dichas fórmulas de indexación, que son aplicadas mensualmente, reflejan las variaciones de los precios de los principales insumos que afectan los costos de la actividad de distribución de electricidad. Esto es sin perjuicio que en la Ley N° 21.194 se estableció un mecanismo transitorio que para que los niveles de precios asociados al Valor Agregado de Distribución que estén siendo aplicados a la fecha de su publicación, permanezcan constantes hasta el término de su vigencia, debiendo las diferencias ser incorporadas a las tarifas resultantes de los siguientes procesos de tarificación de los suministros a clientes regulados.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Dada la existencia de economías de escala en la actividad de distribución de electricidad, las empresas alcanzan anualmente rendimientos crecientes en función del aumento de sus costos y de la demanda en sus zonas de concesión, los cuales son incorporados en las tarifas reguladas y transferidos a los clientes mediante la aplicación de factores de ajuste anuales determinados por la Comisión Nacional de Energía e incluidos en el decreto tarifario cuadrienal.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General de Servicios Eléctricos establece que al momento de la fijación de tarifas las concesionarias deben mantener una rentabilidad agregada, esto es considerando a todas las empresas como un conjunto, dentro de una banda comprendida entre 3 puntos porcentuales por debajo y 2 puntos porcentuales por arriba de la tasa de descuento que haya sido determinada. De este modo, el retorno sobre la inversión para una distribuidora dependerá de su desempeño relativo a los estándares determinados para una empresa modelo.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7 de junio de 2024 fue publicado en el Diario Oficial el Decreto N° 5T-2024 del Ministerio de Energía, que fija las fórmulas tarifarias aplicables a clientes finales sujetos a fijación de precios regulados, las cuales tienen vigencia desde el 4 de noviembre de 2020 hasta el 3 de noviembre de 2024. Posteriormente, el 9 de abril de 2025 la Contraloría General de la República dio curso al Decreto N° 5T-2024, el que, en atención a las enmiendas incorporadas por ese organismo, fue publicado nuevamente el 21 de abril de 2025 en el Diario Oficial.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No obstante lo anterior, la Ley establece que, una vez vencido el ejercicio de vigencia de las fórmulas tarifarias, estas continuarán vigentes, incluidas sus cláusulas de indexación, mientras no sean fijadas las nuevas fórmulas.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Actualmente se encuentra en curso el proceso de fijación de tarifas correspondiente al cálculo de las componentes del Valor Agregado de Distribución, cuadrienio noviembre 2024-2028, cuya aplicación será a partir del 4 de noviembre de 2024. Así, las diferencias que se produzcan entre lo efectivamente facturado y lo que corresponda acorde a las fórmulas tarifarias que en definitiva se establezcan, deberán ser abonadas o cargadas a la cuenta de los clientes finales.</w:t>
      </w:r>
    </w:p>
    <w:p>
      <w:pPr>
        <w:keepNext w:val="0"/>
        <w:keepLines/>
        <w:pageBreakBefore w:val="0"/>
        <w:widowControl w:val="0"/>
        <w:numPr>
          <w:ilvl w:val="0"/>
          <w:numId w:val="0"/>
        </w:numPr>
        <w:spacing w:before="0" w:after="0" w:line="288" w:lineRule="auto"/>
        <w:ind w:left="0" w:right="0" w:firstLine="2124"/>
        <w:jc w:val="both"/>
        <w:outlineLvl w:val="9"/>
        <w:rPr>
          <w:rFonts w:ascii="Calibri" w:eastAsia="Calibri" w:hAnsi="Calibri" w:cs="Calibri"/>
          <w:b w:val="0"/>
          <w:i w:val="0"/>
          <w:sz w:val="20"/>
        </w:rPr>
      </w:pPr>
    </w:p>
    <w:p>
      <w:pPr>
        <w:keepNext w:val="0"/>
        <w:keepLines/>
        <w:pageBreakBefore w:val="0"/>
        <w:widowControl w:val="0"/>
        <w:numPr>
          <w:ilvl w:val="0"/>
          <w:numId w:val="16"/>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Precios de servicios no consistentes en suministro de energía.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otra parte, en la misma ocasión en que se fija el Valor Agregado de Distribución, cada cuatro años, se fijan los precios de los servicios no consistentes en suministros de energía, entre los cuales destacan los servicios de arriendo de medidores y ejecución de empalmes.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procedimiento para la fijación de los precios de dichos servicios se encuentra contenido en el Decreto N° 341-2007 del Ministerio de Economía, Fomento y Reconstrucción, publicado en el Diario Oficial del 10 de marzo de 2008.</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dicho reglamento se establece que la revisión y determinación de nuevos precios de servicios no consistentes en suministro de energía, la que debe efectuarse con ocasión del proceso de fijación de tarifas de suministro de distribución, debe hacerse sobre la base de los estudios de costos del valor agregado de distribución y de criterios de eficiencia, debiendo ser plenamente coherentes. Dicha coherencia se funda en el hecho que una misma empresa es la que provee el servicio de distribución, así como los servicios no consistentes en suministro de energía.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dar cumplimiento a lo anterior, la Comisión Nacional de Energía debe encargar un estudio de costos que es financiado, licitado y supervisado por ella, en el cual se estiman los costos del valor agregado de distribución y de los servicios no consistentes en suministro de energía. Dicho informe es sometido a la revisión de las empresas de distribución de electricidad y en caso de discrepancias, ellas son sometidas al dictamen del Panel de Expertos.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trike/>
          <w:color w:val="000000"/>
          <w:sz w:val="20"/>
          <w:highlight w:val="white"/>
          <w:u w:val="none"/>
        </w:rPr>
      </w:pPr>
      <w:r>
        <w:rPr>
          <w:rFonts w:ascii="Calibri" w:eastAsia="Calibri" w:hAnsi="Calibri" w:cs="Calibri"/>
          <w:b w:val="0"/>
          <w:i w:val="0"/>
          <w:color w:val="000000"/>
          <w:sz w:val="20"/>
          <w:highlight w:val="white"/>
          <w:u w:val="none"/>
        </w:rPr>
        <w:t>El 10 de abril de 2026, fue publicado en el Diario Oficial el Decreto N° 2T-2026 del Ministerio de Energía, que fija los nuevos precios de servicios no consistentes en suministros de energía, asociados a la distribución eléctrica, correspondiente al cuadrienio noviembre 2020-noviembre 2024.</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Generación de energía eléctrica.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Compañía General de Electricidad S.A. participa en la actividad de generación de electricidad en Chile en el Sistema de Magallanes, a través de la subsidiaria Empresa Eléctrica de Magallanes S.A., </w:t>
      </w:r>
      <w:r>
        <w:rPr>
          <w:rFonts w:ascii="Calibri" w:eastAsia="Calibri" w:hAnsi="Calibri" w:cs="Calibri"/>
          <w:b w:val="0"/>
          <w:i w:val="0"/>
          <w:sz w:val="20"/>
        </w:rPr>
        <w:t>la que posee una capacidad instalada en sus centrales generadoras térmicas a gas natural y petróleo diésel de</w:t>
      </w:r>
      <w:r>
        <w:rPr>
          <w:rFonts w:ascii="Calibri" w:eastAsia="Calibri" w:hAnsi="Calibri" w:cs="Calibri"/>
          <w:b w:val="0"/>
          <w:i w:val="0"/>
          <w:color w:val="000000"/>
          <w:sz w:val="20"/>
          <w:highlight w:val="white"/>
          <w:u w:val="none"/>
        </w:rPr>
        <w:t xml:space="preserve"> 121,3 MW.</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365F91"/>
          <w:sz w:val="20"/>
          <w:u w:val="none"/>
        </w:rPr>
      </w:pPr>
      <w:bookmarkStart w:id="12" w:name="Section10"/>
      <w:bookmarkEnd w:id="12"/>
      <w:bookmarkStart w:id="13" w:name="3211a31fff484ea6b125e7910d6f1751"/>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consolidados intermedios, se detallan a continuación. Estas políticas han sido aplicadas uniformemente en todos los períodos y ejercicios presentados, a menos que se indique lo contrario.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709" w:right="0" w:firstLine="0"/>
        <w:jc w:val="both"/>
        <w:outlineLvl w:val="1"/>
        <w:rPr>
          <w:rFonts w:ascii="Calibri" w:eastAsia="Calibri" w:hAnsi="Calibri" w:cs="Calibri"/>
          <w:b/>
          <w:i w:val="0"/>
          <w:color w:val="000000"/>
          <w:sz w:val="20"/>
          <w:u w:val="none"/>
        </w:rPr>
      </w:pPr>
      <w:bookmarkStart w:id="14" w:name="Section11"/>
      <w:bookmarkEnd w:id="14"/>
      <w:bookmarkStart w:id="15" w:name="64a634ae33c6430bb7b951e4282be342"/>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consolidados intermedios.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5"/>
    </w:p>
    <w:p>
      <w:pPr>
        <w:pStyle w:val="Normal-wk"/>
        <w:keepNext w:val="0"/>
        <w:keepLines/>
        <w:pageBreakBefore w:val="0"/>
        <w:widowControl w:val="0"/>
        <w:numPr>
          <w:ilvl w:val="0"/>
          <w:numId w:val="0"/>
        </w:numPr>
        <w:spacing w:before="0" w:after="0" w:line="240" w:lineRule="exact"/>
        <w:ind w:left="1417" w:right="0" w:firstLine="0"/>
        <w:jc w:val="both"/>
        <w:outlineLvl w:val="9"/>
        <w:rPr>
          <w:rFonts w:ascii="Arial" w:eastAsia="Arial" w:hAnsi="Arial" w:cs="Arial"/>
          <w:b w:val="0"/>
          <w:i w:val="0"/>
          <w:color w:val="000000"/>
          <w:sz w:val="22"/>
          <w:u w:val="none"/>
        </w:rPr>
      </w:pPr>
      <w:r>
        <w:rPr>
          <w:rFonts w:ascii="Calibri" w:eastAsia="Calibri" w:hAnsi="Calibri" w:cs="Calibri"/>
          <w:b w:val="0"/>
          <w:i w:val="0"/>
          <w:color w:val="000000"/>
          <w:sz w:val="20"/>
          <w:u w:val="none"/>
        </w:rPr>
        <w:t xml:space="preserve">Los presentes estados financieros consolidados intermedios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w:t>
      </w:r>
      <w:r>
        <w:rPr>
          <w:rFonts w:ascii="Calibri" w:eastAsia="Calibri" w:hAnsi="Calibri" w:cs="Calibri"/>
          <w:b w:val="0"/>
          <w:i w:val="0"/>
          <w:sz w:val="20"/>
        </w:rPr>
        <w:t>han sido preparados de acuerdo con Norma Internacional de Contabilidad N° 34 (NIC 34) incorporada a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estados financieros consolidados intermedios han sido preparados de acuerdo con el principio de costo, modificado por la revaluación de propiedades de inversión, y ciertos activos y pasivos financieros (incluyendo instrumentos financieros derivados) a valor razonable con cambios en resultados o en patrimonio.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intermedios se han utilizado las políticas emanadas desde State Grid Chile Electricity SpA. para todas las subsidiarias incluidas en la consolidación.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intermedios se han utilizado estimaciones contables críticas para cuantificar algunos activos, pasivos, ingresos y gastos. Las áreas que involucran un mayor grado de juicio o complejidad o áreas en las que los supuestos y estimaciones son significativos para los estados financieros consolidados intermedios se describen en Nota 4.</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período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se han efectuado reclasificaciones para facilitar su comparación con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Estas reclasificaciones no modifican el resultado ni el patrimonio del período anterior.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709" w:right="0" w:firstLine="0"/>
        <w:jc w:val="both"/>
        <w:outlineLvl w:val="1"/>
        <w:rPr>
          <w:rFonts w:ascii="Calibri" w:eastAsia="Calibri" w:hAnsi="Calibri" w:cs="Calibri"/>
          <w:b/>
          <w:i w:val="0"/>
          <w:color w:val="000000"/>
          <w:sz w:val="20"/>
          <w:u w:val="none"/>
        </w:rPr>
      </w:pPr>
      <w:bookmarkStart w:id="16" w:name="Section12"/>
      <w:bookmarkEnd w:id="16"/>
      <w:bookmarkStart w:id="17" w:name="81469ef617e24522855bf4ca68559521"/>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
    </w:p>
    <w:p>
      <w:pPr>
        <w:keepNext w:val="0"/>
        <w:keepLines/>
        <w:pageBreakBefore w:val="0"/>
        <w:widowControl w:val="0"/>
        <w:numPr>
          <w:ilvl w:val="0"/>
          <w:numId w:val="0"/>
        </w:numPr>
        <w:spacing w:before="0" w:after="0" w:line="240" w:lineRule="exact"/>
        <w:ind w:left="1417" w:right="0" w:firstLine="0"/>
        <w:jc w:val="both"/>
        <w:outlineLvl w:val="9"/>
        <w:rPr>
          <w:rFonts w:ascii="Arial" w:eastAsia="Arial" w:hAnsi="Arial" w:cs="Arial"/>
          <w:b w:val="0"/>
          <w:i w:val="0"/>
          <w:color w:val="000000"/>
          <w:sz w:val="22"/>
          <w:u w:val="none"/>
        </w:rPr>
      </w:pPr>
      <w:r>
        <w:rPr>
          <w:rFonts w:ascii="Calibri" w:eastAsia="Calibri" w:hAnsi="Calibri" w:cs="Calibri"/>
          <w:b w:val="0"/>
          <w:i w:val="0"/>
          <w:sz w:val="20"/>
        </w:rPr>
        <w:t>Los siguientes estándares, interpretaciones y enmiendas son obligatorios por primera vez para el ejercicio 2026.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3.2.1.-</w:t>
      </w:r>
      <w:r>
        <w:rPr>
          <w:rFonts w:ascii="Calibri" w:eastAsia="Calibri" w:hAnsi="Calibri" w:cs="Calibri"/>
          <w:b w:val="0"/>
          <w:i w:val="0"/>
          <w:color w:val="000000"/>
          <w:sz w:val="20"/>
          <w:u w:val="none"/>
        </w:rPr>
        <w:tab/>
      </w:r>
      <w:r>
        <w:rPr>
          <w:rFonts w:ascii="Calibri" w:eastAsia="Calibri" w:hAnsi="Calibri" w:cs="Calibri"/>
          <w:b w:val="0"/>
          <w:i w:val="0"/>
          <w:sz w:val="20"/>
        </w:rPr>
        <w:t>En mayo de 2024, el IASB emitió enmiendas a la NIIF 9 y NIIF 7 “Clasificación y Medición de los Instrumentos Financieros“, enmiendas que:</w:t>
      </w:r>
    </w:p>
    <w:p>
      <w:pPr>
        <w:keepNext w:val="0"/>
        <w:keepLines/>
        <w:pageBreakBefore w:val="0"/>
        <w:widowControl w:val="0"/>
        <w:numPr>
          <w:ilvl w:val="0"/>
          <w:numId w:val="0"/>
        </w:numPr>
        <w:tabs>
          <w:tab w:val="left" w:pos="700"/>
        </w:tabs>
        <w:spacing w:before="0" w:after="0" w:line="276" w:lineRule="auto"/>
        <w:ind w:left="2124" w:right="0" w:hanging="708"/>
        <w:jc w:val="left"/>
        <w:outlineLvl w:val="9"/>
        <w:rPr>
          <w:rFonts w:ascii="Calibri" w:eastAsia="Calibri" w:hAnsi="Calibri" w:cs="Calibri"/>
          <w:b w:val="0"/>
          <w:i w:val="0"/>
          <w:sz w:val="20"/>
        </w:rPr>
      </w:pPr>
    </w:p>
    <w:p>
      <w:pPr>
        <w:keepNext w:val="0"/>
        <w:keepLines/>
        <w:pageBreakBefore w:val="0"/>
        <w:widowControl w:val="0"/>
        <w:numPr>
          <w:ilvl w:val="0"/>
          <w:numId w:val="17"/>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w:t>
      </w:r>
    </w:p>
    <w:p>
      <w:pPr>
        <w:keepNext w:val="0"/>
        <w:keepLines/>
        <w:pageBreakBefore w:val="0"/>
        <w:widowControl w:val="0"/>
        <w:numPr>
          <w:ilvl w:val="0"/>
          <w:numId w:val="0"/>
        </w:numPr>
        <w:tabs>
          <w:tab w:val="left" w:pos="700"/>
        </w:tabs>
        <w:spacing w:before="0" w:after="0" w:line="276"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18"/>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cómo evaluar las características del flujo de efectivo contractual de los activos financieros que incluyen características ambientales, sociales y de gobernanza (ASG) y otras características contingentes similares.</w:t>
      </w:r>
    </w:p>
    <w:p>
      <w:pPr>
        <w:keepNext w:val="0"/>
        <w:keepLines/>
        <w:pageBreakBefore w:val="0"/>
        <w:widowControl w:val="0"/>
        <w:numPr>
          <w:ilvl w:val="0"/>
          <w:numId w:val="0"/>
        </w:numPr>
        <w:tabs>
          <w:tab w:val="left" w:pos="700"/>
        </w:tabs>
        <w:spacing w:before="0" w:after="0" w:line="276"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19"/>
        </w:numPr>
        <w:tabs>
          <w:tab w:val="left" w:pos="700"/>
        </w:tabs>
        <w:spacing w:before="0" w:after="0" w:line="276"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Clarifican el tratamiento de los activos sin recurso y los instrumentos vinculados contractualmente.</w:t>
      </w:r>
    </w:p>
    <w:p>
      <w:pPr>
        <w:keepNext w:val="0"/>
        <w:keepLines/>
        <w:pageBreakBefore w:val="0"/>
        <w:widowControl w:val="0"/>
        <w:numPr>
          <w:ilvl w:val="0"/>
          <w:numId w:val="20"/>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tabs>
          <w:tab w:val="left" w:pos="700"/>
        </w:tabs>
        <w:spacing w:before="0" w:after="0" w:line="276" w:lineRule="auto"/>
        <w:ind w:left="1831" w:right="0" w:hanging="65"/>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w:t>
      </w:r>
      <w:r>
        <w:rPr>
          <w:rFonts w:ascii="Calibri" w:eastAsia="Calibri" w:hAnsi="Calibri" w:cs="Calibri"/>
          <w:b w:val="0"/>
          <w:i w:val="0"/>
          <w:color w:val="000000"/>
          <w:sz w:val="20"/>
          <w:u w:val="none"/>
        </w:rPr>
        <w:tab/>
      </w:r>
      <w:r>
        <w:rPr>
          <w:rFonts w:ascii="Calibri" w:eastAsia="Calibri" w:hAnsi="Calibri" w:cs="Calibri"/>
          <w:b w:val="0"/>
          <w:i w:val="0"/>
          <w:sz w:val="20"/>
        </w:rPr>
        <w:t>En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w:t>
      </w:r>
      <w:r>
        <w:rPr>
          <w:rFonts w:ascii="Calibri" w:eastAsia="Calibri" w:hAnsi="Calibri" w:cs="Calibri"/>
          <w:b w:val="0"/>
          <w:i w:val="0"/>
          <w:color w:val="000000"/>
          <w:sz w:val="20"/>
          <w:u w:val="none"/>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21"/>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tabs>
          <w:tab w:val="left" w:pos="700"/>
        </w:tabs>
        <w:spacing w:before="0" w:after="0" w:line="276" w:lineRule="auto"/>
        <w:ind w:left="1831" w:right="0" w:hanging="65"/>
        <w:jc w:val="left"/>
        <w:outlineLvl w:val="9"/>
        <w:rPr>
          <w:rFonts w:ascii="Calibri" w:eastAsia="Calibri" w:hAnsi="Calibri" w:cs="Calibri"/>
          <w:b w:val="0"/>
          <w:i w:val="0"/>
          <w:sz w:val="20"/>
        </w:rPr>
      </w:pPr>
    </w:p>
    <w:p>
      <w:pPr>
        <w:keepNext w:val="0"/>
        <w:keepLines/>
        <w:pageBreakBefore w:val="0"/>
        <w:widowControl w:val="0"/>
        <w:numPr>
          <w:ilvl w:val="0"/>
          <w:numId w:val="22"/>
        </w:numPr>
        <w:tabs>
          <w:tab w:val="left" w:pos="700"/>
        </w:tabs>
        <w:spacing w:before="0" w:after="0" w:line="276"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tabs>
          <w:tab w:val="left" w:pos="700"/>
        </w:tabs>
        <w:spacing w:before="0" w:after="0" w:line="276" w:lineRule="auto"/>
        <w:ind w:left="1831" w:right="0" w:hanging="65"/>
        <w:jc w:val="left"/>
        <w:outlineLvl w:val="9"/>
        <w:rPr>
          <w:rFonts w:ascii="Calibri" w:eastAsia="Calibri" w:hAnsi="Calibri" w:cs="Calibri"/>
          <w:b w:val="0"/>
          <w:i w:val="0"/>
          <w:sz w:val="20"/>
        </w:rPr>
      </w:pPr>
    </w:p>
    <w:p>
      <w:pPr>
        <w:keepNext w:val="0"/>
        <w:keepLines/>
        <w:pageBreakBefore w:val="0"/>
        <w:widowControl w:val="0"/>
        <w:numPr>
          <w:ilvl w:val="0"/>
          <w:numId w:val="23"/>
        </w:numPr>
        <w:tabs>
          <w:tab w:val="left" w:pos="700"/>
        </w:tabs>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tabs>
          <w:tab w:val="left" w:pos="700"/>
        </w:tabs>
        <w:spacing w:before="0" w:after="0" w:line="276" w:lineRule="auto"/>
        <w:ind w:left="1831" w:right="0" w:hanging="65"/>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tabs>
          <w:tab w:val="left" w:pos="700"/>
        </w:tabs>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adopción de estas normas, interpretaciones y enmiendas no generaron impactos en los estados financieros consolidados intermedios del Grupo en la fecha de aplicación inicial.</w:t>
      </w:r>
    </w:p>
    <w:p>
      <w:pPr>
        <w:keepNext w:val="0"/>
        <w:keepLines/>
        <w:pageBreakBefore w:val="0"/>
        <w:widowControl w:val="0"/>
        <w:numPr>
          <w:ilvl w:val="0"/>
          <w:numId w:val="0"/>
        </w:numPr>
        <w:tabs>
          <w:tab w:val="left" w:pos="700"/>
        </w:tabs>
        <w:spacing w:before="0" w:after="0" w:line="276"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Calibri" w:eastAsia="Calibri" w:hAnsi="Calibri" w:cs="Calibri"/>
          <w:b/>
          <w:i w:val="0"/>
          <w:color w:val="000000"/>
          <w:sz w:val="20"/>
          <w:u w:val="none"/>
        </w:rPr>
      </w:pPr>
      <w:bookmarkStart w:id="18" w:name="Section13"/>
      <w:bookmarkEnd w:id="18"/>
      <w:bookmarkStart w:id="19" w:name="16eabb6e3b1342ffa1b715982b9c6164"/>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2026, para las cuales no se ha efectuado adopción anticipada de las mismas.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bookmarkEnd w:id="19"/>
    </w:p>
    <w:p>
      <w:pPr>
        <w:keepNext w:val="0"/>
        <w:keepLines/>
        <w:pageBreakBefore w:val="0"/>
        <w:widowControl w:val="0"/>
        <w:numPr>
          <w:ilvl w:val="0"/>
          <w:numId w:val="0"/>
        </w:numPr>
        <w:tabs>
          <w:tab w:val="left" w:pos="700"/>
        </w:tabs>
        <w:spacing w:before="0" w:after="0" w:line="230" w:lineRule="exact"/>
        <w:ind w:left="2124" w:right="0" w:hanging="708"/>
        <w:jc w:val="both"/>
        <w:outlineLvl w:val="9"/>
        <w:rPr>
          <w:rFonts w:ascii="Arial" w:eastAsia="Arial" w:hAnsi="Arial" w:cs="Arial"/>
          <w:b w:val="0"/>
          <w:i w:val="0"/>
          <w:color w:val="000000"/>
          <w:sz w:val="22"/>
          <w:u w:val="none"/>
        </w:rPr>
      </w:pPr>
      <w:r>
        <w:rPr>
          <w:rFonts w:ascii="Calibri" w:eastAsia="Calibri" w:hAnsi="Calibri" w:cs="Calibri"/>
          <w:b w:val="0"/>
          <w:i w:val="0"/>
          <w:sz w:val="20"/>
        </w:rPr>
        <w:t>3.3.1.-</w:t>
      </w:r>
      <w:r>
        <w:rPr>
          <w:rFonts w:ascii="Calibri" w:eastAsia="Calibri" w:hAnsi="Calibri" w:cs="Calibri"/>
          <w:b w:val="0"/>
          <w:i w:val="0"/>
          <w:sz w:val="20"/>
        </w:rPr>
        <w:tab/>
      </w:r>
      <w:r>
        <w:rPr>
          <w:rFonts w:ascii="Calibri" w:eastAsia="Calibri" w:hAnsi="Calibri" w:cs="Calibri"/>
          <w:b w:val="0"/>
          <w:i w:val="0"/>
          <w:sz w:val="20"/>
        </w:rPr>
        <w:t>En abril de 2024, el IASB emitió la NIIF 18 “Presentación e Información a Revelar en los Estados Financieros”, que sustituye a la NIC 1. Si bien se han incorporado la mayoría de las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Además, se han realizado modificaciones de alcance limitado a la NIC 7 “Estado de Flujos de Efectivo”, y algunos requisitos previamente incluidos en la NIC 1 se han trasladado a la NIC 8, que ahora se denomina NIC 8 “Bases de Preparación de los Estados Financieros”.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NIIF 18 y todas las modificaciones consiguientes entran en vigor para los ejercicios que comiencen a partir del 1 de enero de 2027, permitiéndose su aplicación anticipada. Se requiere su aplicación retroactiva.</w:t>
      </w:r>
    </w:p>
    <w:p>
      <w:pPr>
        <w:keepNext w:val="0"/>
        <w:keepLines/>
        <w:pageBreakBefore w:val="0"/>
        <w:widowControl w:val="0"/>
        <w:numPr>
          <w:ilvl w:val="0"/>
          <w:numId w:val="0"/>
        </w:numPr>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Entre los principales impactos se contempla la modificación del estado de resultados correspondiente al ejercicio 2026, junto con sus notas asociadas, los cuales serán objeto de reformulación en los estados financieros del ejercicio 2027. Esta reformulación implicará la incorporación de nuevos totales y subtotales en conformidad con los requerimientos establecidos por la NIIF 18. Adicionalmente, se anticipan cambios en la presentación de las notas explicativas, derivados de la aplicación de nuevos criterios de agregación y desagregación de la información financiera. Asimismo, se incorporará una nota específica destinada a la revelación de las medidas de desempeño definidas por la Administración.</w:t>
      </w:r>
    </w:p>
    <w:p>
      <w:pPr>
        <w:keepNext w:val="0"/>
        <w:keepLines/>
        <w:pageBreakBefore w:val="0"/>
        <w:widowControl w:val="0"/>
        <w:numPr>
          <w:ilvl w:val="0"/>
          <w:numId w:val="0"/>
        </w:numPr>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3.3.2.-</w:t>
      </w:r>
      <w:r>
        <w:rPr>
          <w:rFonts w:ascii="Calibri" w:eastAsia="Calibri" w:hAnsi="Calibri" w:cs="Calibri"/>
          <w:b w:val="0"/>
          <w:i w:val="0"/>
          <w:sz w:val="20"/>
        </w:rPr>
        <w:tab/>
      </w:r>
      <w:r>
        <w:rPr>
          <w:rFonts w:ascii="Calibri" w:eastAsia="Calibri" w:hAnsi="Calibri" w:cs="Calibri"/>
          <w:b w:val="0"/>
          <w:i w:val="0"/>
          <w:sz w:val="20"/>
        </w:rPr>
        <w:t>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w:t>
      </w:r>
    </w:p>
    <w:p>
      <w:pPr>
        <w:keepNext w:val="0"/>
        <w:keepLines/>
        <w:pageBreakBefore w:val="0"/>
        <w:widowControl w:val="0"/>
        <w:numPr>
          <w:ilvl w:val="0"/>
          <w:numId w:val="0"/>
        </w:numPr>
        <w:tabs>
          <w:tab w:val="left" w:pos="700"/>
        </w:tabs>
        <w:spacing w:before="0" w:after="0" w:line="276" w:lineRule="auto"/>
        <w:ind w:left="2124" w:right="0" w:hanging="708"/>
        <w:jc w:val="left"/>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La NIIF 19 entrará en vigor para los períodos sobre los que se informa que comiencen a partir del 1 de enero de 2027, permitiéndose su aplicación anticipada.</w:t>
      </w:r>
    </w:p>
    <w:p>
      <w:pPr>
        <w:keepNext w:val="0"/>
        <w:keepLines/>
        <w:pageBreakBefore w:val="0"/>
        <w:widowControl w:val="0"/>
        <w:numPr>
          <w:ilvl w:val="0"/>
          <w:numId w:val="0"/>
        </w:numPr>
        <w:tabs>
          <w:tab w:val="left" w:pos="700"/>
        </w:tabs>
        <w:spacing w:before="0" w:after="0" w:line="276"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3.3.3.-</w:t>
      </w:r>
      <w:r>
        <w:rPr>
          <w:rFonts w:ascii="Calibri" w:eastAsia="Calibri" w:hAnsi="Calibri" w:cs="Calibri"/>
          <w:b w:val="0"/>
          <w:i w:val="0"/>
          <w:sz w:val="20"/>
        </w:rPr>
        <w:tab/>
      </w:r>
      <w:r>
        <w:rPr>
          <w:rFonts w:ascii="Calibri" w:eastAsia="Calibri" w:hAnsi="Calibri" w:cs="Calibri"/>
          <w:b w:val="0"/>
          <w:i w:val="0"/>
          <w:sz w:val="20"/>
        </w:rPr>
        <w:t>En noviembre de 2025, el IASB emitió “Conversión a una Moneda de Presentación Hiperinflacionaria - Enmiendas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3.3.4.-</w:t>
      </w:r>
      <w:r>
        <w:rPr>
          <w:rFonts w:ascii="Calibri" w:eastAsia="Calibri" w:hAnsi="Calibri" w:cs="Calibri"/>
          <w:b w:val="0"/>
          <w:i w:val="0"/>
          <w:color w:val="000000"/>
          <w:sz w:val="20"/>
          <w:u w:val="none"/>
        </w:rPr>
        <w:tab/>
      </w:r>
      <w:r>
        <w:rPr>
          <w:rFonts w:ascii="Calibri" w:eastAsia="Calibri" w:hAnsi="Calibri" w:cs="Calibri"/>
          <w:b w:val="0"/>
          <w:i w:val="0"/>
          <w:sz w:val="20"/>
        </w:rPr>
        <w:t>En noviembre de 2025, el IASB emitió las Enmiendas a los Ejemplos Ilustrativos de las NIIF 7, NIIF 18, NIC 1, NIC 8, NIC 36 y NIC 37 – Revelaciones sobre Incertidumbres en los Estados Financieros (“los ejemplos”), que agregaron ejemplos ilustrativos a varias Normas de Contabilidad de las NIIF.</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Estos ejemplos ilustran requerimientos existentes en las Normas de Contabilidad de las NIIF. No agregan ni modifican los requerimientos vigentes.</w:t>
      </w: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76" w:lineRule="auto"/>
        <w:ind w:left="2124" w:right="0" w:firstLine="0"/>
        <w:jc w:val="left"/>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24"/>
        </w:numPr>
        <w:tabs>
          <w:tab w:val="left" w:pos="700"/>
        </w:tabs>
        <w:spacing w:before="0" w:after="0" w:line="276" w:lineRule="auto"/>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Juicios relacionados con la materialidad.</w:t>
      </w:r>
    </w:p>
    <w:p>
      <w:pPr>
        <w:keepNext w:val="0"/>
        <w:keepLines/>
        <w:pageBreakBefore w:val="0"/>
        <w:widowControl w:val="0"/>
        <w:numPr>
          <w:ilvl w:val="0"/>
          <w:numId w:val="25"/>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26"/>
        </w:numPr>
        <w:tabs>
          <w:tab w:val="left" w:pos="700"/>
        </w:tabs>
        <w:spacing w:before="0" w:after="0" w:line="276" w:lineRule="auto"/>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Supuestos: requisitos generales.</w:t>
      </w:r>
    </w:p>
    <w:p>
      <w:pPr>
        <w:keepNext w:val="0"/>
        <w:keepLines/>
        <w:pageBreakBefore w:val="0"/>
        <w:widowControl w:val="0"/>
        <w:numPr>
          <w:ilvl w:val="0"/>
          <w:numId w:val="27"/>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Riesgo de crédito.</w:t>
      </w:r>
    </w:p>
    <w:p>
      <w:pPr>
        <w:keepNext w:val="0"/>
        <w:keepLines/>
        <w:pageBreakBefore w:val="0"/>
        <w:widowControl w:val="0"/>
        <w:numPr>
          <w:ilvl w:val="0"/>
          <w:numId w:val="28"/>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29"/>
        </w:numPr>
        <w:tabs>
          <w:tab w:val="left" w:pos="700"/>
        </w:tabs>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tabs>
          <w:tab w:val="left" w:pos="700"/>
        </w:tabs>
        <w:spacing w:before="0" w:after="0" w:line="276" w:lineRule="auto"/>
        <w:ind w:left="1831" w:right="0" w:hanging="65"/>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6" w:right="0" w:firstLine="0"/>
        <w:jc w:val="left"/>
        <w:outlineLvl w:val="9"/>
        <w:rPr>
          <w:rFonts w:ascii="Calibri" w:eastAsia="Calibri" w:hAnsi="Calibri" w:cs="Calibri"/>
          <w:b w:val="0"/>
          <w:i w:val="0"/>
          <w:sz w:val="20"/>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tabs>
          <w:tab w:val="left" w:pos="700"/>
        </w:tabs>
        <w:spacing w:before="0" w:after="0" w:line="276" w:lineRule="auto"/>
        <w:ind w:left="2124"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3.3.5.-</w:t>
      </w:r>
      <w:r>
        <w:rPr>
          <w:rFonts w:ascii="Calibri" w:eastAsia="Calibri" w:hAnsi="Calibri" w:cs="Calibri"/>
          <w:b w:val="0"/>
          <w:i w:val="0"/>
          <w:color w:val="000000"/>
          <w:sz w:val="20"/>
          <w:u w:val="none"/>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3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tabs>
          <w:tab w:val="left" w:pos="700"/>
        </w:tabs>
        <w:spacing w:before="0" w:after="0" w:line="276" w:lineRule="auto"/>
        <w:ind w:left="2124" w:right="0" w:hanging="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Administración de la Sociedad estima que la adopción de las Normas, Enmiendas e Interpretaciones (distintas de la NIIF 18) que pudiesen aplicar al Grupo, no tendrán un impacto significativo en los estados financieros consolidados en el ejercicio de su primera aplicación.</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0"/>
          <w:u w:val="none"/>
        </w:rPr>
      </w:pPr>
      <w:bookmarkStart w:id="20" w:name="Section14"/>
      <w:bookmarkEnd w:id="20"/>
      <w:bookmarkStart w:id="21" w:name="261a3783e54948a2a2cc923325a3286f"/>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Bases de consolidación.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1"/>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Subsidiarias o filiales.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Subsidiarias o filiales son todas las entidades (incluidas las entidades de cometido especial) sobre las que Compañía General de Electricidad S.A. tiene el control. Se considera que se mantiene control cuando: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tiene el poder sobre la entidad;</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está expuesto, o tiene derecho, a retornos variables procedentes de su implicación en las sociedades.</w:t>
      </w:r>
    </w:p>
    <w:p>
      <w:pPr>
        <w:pStyle w:val="Normal-wk"/>
        <w:keepNext w:val="0"/>
        <w:keepLines/>
        <w:pageBreakBefore w:val="0"/>
        <w:widowControl w:val="0"/>
        <w:numPr>
          <w:ilvl w:val="0"/>
          <w:numId w:val="15"/>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tiene la capacidad de afectar los retornos mediante su poder sobre la entidad. </w:t>
      </w:r>
    </w:p>
    <w:p>
      <w:pPr>
        <w:keepNext w:val="0"/>
        <w:keepLines/>
        <w:pageBreakBefore w:val="0"/>
        <w:widowControl w:val="0"/>
        <w:numPr>
          <w:ilvl w:val="0"/>
          <w:numId w:val="0"/>
        </w:numPr>
        <w:spacing w:before="0" w:after="0" w:line="288" w:lineRule="auto"/>
        <w:ind w:left="284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que Compañía General de Electricidad S.A. tiene poder sobre una entidad, cuando tiene derechos existentes que le otorgan la capacidad presente de dirigir las actividades relevantes, eso es, las actividades que afectan de manera significativa los retornos de la entidad. El poder sobre sus subsidiarias se deriva de la posesión de la mayoría de los derechos de voto otorgados por instrumentos de capital de las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hora de evaluar si la Sociedad controla otra entidad, se considera la existencia y el efecto de los derechos potenciales de voto que sean actualmente ejercibles o convertibles. Las subsidiarias se consolidan a partir de la fecha en que se transfiere el control y se excluyen de la consolidación en la fecha en que cesa el mismo.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contabilizar la adquisición de subsidiarias se utiliza el método de adquisición. El costo de adquisición es el valor razonable de los activos entregados, de los instrumentos de patrimonio emitidos y de los pasivos incurridos o asumidos en la fecha de intercambio. El precio pagado determinado incluye el valor justo de activos o pasivos resultantes de cualquier acuerdo contingente de precio. Los costos relacionados con la adquisición son cargados a resultados tan pronto son incurridos. Los activos identificables adquiridos y los pasivos y contingencias identificables asumidos en una combinación de negocios se valoran inicialmente por su valor razonable a la fecha de adquisición, con independencia del alcance de las participaciones no controladoras, el cual incluiría cualquier activo o pasivo contingente a su valor justo. Según cada adquisición, Compañía General de Electricidad S.A. reconoce el interés no controlador a su valor razonable o al valor proporcional del interés no controlante sobre el valor justo de los activos netos adquiridos. El exceso del costo de adquisición sobre el valor razonable de la participación de la Sociedad en los activos netos identificables adquiridos se reconoce como menor valor o plusvalía comprada (goodwill). Si el costo de adquisición es menor que el valor razonable de los activos netos de la subsidiaria adquirida, la diferencia se reconoce directamente en el estado de resultados.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eliminan las transacciones intercompañías, los saldos y las ganancias no realizadas por transacciones entre entidades relacionadas. Las pérdidas no realizadas también se eliminan, a menos que la transacción proporcione evidencia de una pérdida por deterioro del activo transferido. Cuando es necesario, para asegurar su uniformidad con las políticas adoptadas por Compañía General de Electricidad S.A., se modifican las políticas contables de las subsidiarias.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trata las transacciones con las participaciones no controladoras como si fueran transacciones con accionistas del Grupo. En el caso de adquisiciones de participaciones no controladoras, la diferencia entre cualquier retribución pagada y la correspondiente participación en el valor en libros de los activos netos adquiridos de la subsidiaria se reconoce en el patrimonio. Las ganancias y pérdidas por bajas a favor de la participación no controladora, mientras se mantenga el control, también se reconocen en el patrimonio.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Compañía General de Electricidad S.A. deja de tener control o influencia significativa, cualquier interés retenido en la entidad es remedido a valor razonable con impacto en resultados. El valor razonable es el valor inicial para propósitos de su contabilización posterior como asociada, negocio conjunto o activo financiero. Los importes correspondientes previamente reconocidos en Otros Resultados Integrales son reclasificados a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Negocios conjuntos.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negocios conjuntos son aquellos donde las partes tienen el control sobre el acuerdo y derechos sobre los activos netos de la entidad controlada conjuntamente, que se contabilizan de acuerdo al método de participación como se describe en la NIIF 11 párrafo 24, y que se detalla en la NIC 28 párrafo 10, en caso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Asociadas o coligadas.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Asociadas o coligadas son todas las entidades sobre las que Compañía General de Electricidad S.A. ejerce influencia significativa pero no tiene control, lo cual generalmente está acompañado por una participación de entre un 20% y un 50% de los derechos de voto. Las inversiones en asociadas o coligadas se contabilizan por el método de participación e inicialmente se reconocen por su costo. La inversión de Compañía General de Electricidad S.A. en asociadas o coligadas incluye el menor valor (goodwill o plusvalía comprada) identificada en la adquisición, neto de cualquier pérdida por deterioro acumulada.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participación de Compañía General de Electricidad S.A. en las pérdidas o ganancias posteriores a la adquisición de sus coligadas o asociadas se reconoce en resultados, y su participación en los movimientos patrimoniales posteriores a la adquisición que no constituyen resultados, se imputan a las correspondientes reservas de patrimonio (y se reflejan según corresponda en el estado consolidado de resultados integral).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participación de Compañía General de Electricidad S.A. en las pérdidas de una coligada o asociada es igual o superior a su participación en la misma, incluida cualquier otra cuenta a cobrar no asegurada, Compañía General de Electricidad S.A. no reconoce pérdidas adicionales, a no ser que haya incurrido en obligaciones o realizado pagos en nombre de la coligada o asociada.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no realizadas por transacciones entre Compañía General de Electricidad S.A. y sus coligadas o asociadas se eliminan en función del porcentaje de participación de la Sociedad en estas.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se eliminan las pérdidas no realizadas, excepto si la transacción proporciona evidencia de pérdida por deterioro del activo que se transfiere. Cuando es necesario para asegurar su uniformidad con las políticas adoptadas por la Sociedad, se modifican las políticas contables de las asociadas.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o pérdidas de dilución en coligadas o asociadas se reconocen en el estado consolidado de resultados.</w:t>
      </w:r>
    </w:p>
    <w:p>
      <w:pPr>
        <w:pStyle w:val="Normal-wk"/>
        <w:keepNext w:val="0"/>
        <w:keepLines/>
        <w:pageBreakBefore w:val="0"/>
        <w:widowControl w:val="0"/>
        <w:numPr>
          <w:ilvl w:val="0"/>
          <w:numId w:val="0"/>
        </w:numPr>
        <w:spacing w:before="0" w:after="0" w:line="240" w:lineRule="exact"/>
        <w:ind w:left="212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2" w:name="Section15"/>
      <w:bookmarkEnd w:id="22"/>
      <w:bookmarkStart w:id="23" w:name="1730eda772ec4e20810092df8367b758"/>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Entidades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3"/>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directa.</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75"/>
        <w:gridCol w:w="2070"/>
        <w:gridCol w:w="645"/>
        <w:gridCol w:w="3345"/>
        <w:gridCol w:w="765"/>
        <w:gridCol w:w="900"/>
        <w:gridCol w:w="900"/>
        <w:gridCol w:w="900"/>
        <w:gridCol w:w="945"/>
      </w:tblGrid>
      <w:tr>
        <w:tblPrEx>
          <w:tblW w:w="11445" w:type="dxa"/>
          <w:tblInd w:w="2126" w:type="dxa"/>
          <w:tblLayout w:type="fixed"/>
        </w:tblPrEx>
        <w:trPr>
          <w:cantSplit/>
          <w:trHeight w:hRule="auto" w:val="0"/>
        </w:trPr>
        <w:tc>
          <w:tcPr>
            <w:tcW w:w="9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Rut</w:t>
            </w:r>
          </w:p>
        </w:tc>
        <w:tc>
          <w:tcPr>
            <w:tcW w:w="207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Nombre 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País</w:t>
            </w:r>
          </w:p>
        </w:tc>
        <w:tc>
          <w:tcPr>
            <w:tcW w:w="33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Domicilio subsidiaria</w:t>
            </w:r>
          </w:p>
        </w:tc>
        <w:tc>
          <w:tcPr>
            <w:tcW w:w="76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 funcional</w:t>
            </w:r>
          </w:p>
        </w:tc>
        <w:tc>
          <w:tcPr>
            <w:tcW w:w="3645"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Porcentaje de participación en el capital </w:t>
            </w:r>
            <w:r>
              <w:br/>
            </w:r>
            <w:r>
              <w:rPr>
                <w:rFonts w:ascii="Calibri" w:eastAsia="Calibri" w:hAnsi="Calibri" w:cs="Calibri"/>
                <w:b/>
                <w:i w:val="0"/>
                <w:color w:val="FFFFFF"/>
                <w:sz w:val="16"/>
                <w:u w:val="none"/>
              </w:rPr>
              <w:t>y en los votos</w:t>
            </w:r>
          </w:p>
        </w:tc>
      </w:tr>
      <w:tr>
        <w:tblPrEx>
          <w:tblW w:w="11445" w:type="dxa"/>
          <w:tblInd w:w="2126" w:type="dxa"/>
          <w:tblLayout w:type="fixed"/>
        </w:tblPrEx>
        <w:trPr>
          <w:cantSplit/>
          <w:trHeight w:hRule="auto" w:val="0"/>
        </w:trPr>
        <w:tc>
          <w:tcPr>
            <w:tcW w:w="975" w:type="dxa"/>
            <w:vMerge/>
            <w:tcBorders>
              <w:top w:val="nil"/>
              <w:left w:val="single" w:sz="2" w:space="0" w:color="000000"/>
              <w:bottom w:val="nil"/>
              <w:right w:val="nil"/>
            </w:tcBorders>
          </w:tcPr>
          <w:p>
            <w:pPr>
              <w:keepNext/>
              <w:pageBreakBefore w:val="0"/>
            </w:pPr>
          </w:p>
        </w:tc>
        <w:tc>
          <w:tcPr>
            <w:tcW w:w="2070"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334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single" w:sz="4" w:space="0" w:color="FFFFFF"/>
            </w:tcBorders>
          </w:tcPr>
          <w:p>
            <w:pPr>
              <w:keepNext/>
              <w:pageBreakBefore w:val="0"/>
            </w:pPr>
          </w:p>
        </w:tc>
        <w:tc>
          <w:tcPr>
            <w:tcW w:w="270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45" w:type="dxa"/>
            <w:tcBorders>
              <w:top w:val="single" w:sz="4" w:space="0" w:color="FFFFFF"/>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1445" w:type="dxa"/>
          <w:tblInd w:w="2126" w:type="dxa"/>
          <w:tblLayout w:type="fixed"/>
        </w:tblPrEx>
        <w:trPr>
          <w:cantSplit/>
          <w:trHeight w:hRule="auto" w:val="0"/>
        </w:trPr>
        <w:tc>
          <w:tcPr>
            <w:tcW w:w="975" w:type="dxa"/>
            <w:vMerge/>
            <w:tcBorders>
              <w:top w:val="nil"/>
              <w:left w:val="single" w:sz="2" w:space="0" w:color="000000"/>
              <w:bottom w:val="single" w:sz="2" w:space="0" w:color="000000"/>
              <w:right w:val="nil"/>
            </w:tcBorders>
          </w:tcPr>
          <w:p>
            <w:pPr>
              <w:keepNext/>
              <w:pageBreakBefore w:val="0"/>
            </w:pPr>
          </w:p>
        </w:tc>
        <w:tc>
          <w:tcPr>
            <w:tcW w:w="2070"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3345"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94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1445" w:type="dxa"/>
          <w:tblInd w:w="2126" w:type="dxa"/>
          <w:tblLayout w:type="fixed"/>
        </w:tblPrEx>
        <w:trPr>
          <w:cantSplit/>
          <w:trHeight w:hRule="exact" w:val="285"/>
        </w:trPr>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99.548.240-1</w:t>
            </w:r>
          </w:p>
        </w:tc>
        <w:tc>
          <w:tcPr>
            <w:tcW w:w="20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CGE Magallanes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Chile</w:t>
            </w:r>
          </w:p>
        </w:tc>
        <w:tc>
          <w:tcPr>
            <w:tcW w:w="33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Pdte. Riesco 5561 Piso 17, Las Condes; Santiago.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99,89482 %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24"/>
              </w:tabs>
              <w:spacing w:before="0" w:after="0" w:line="240" w:lineRule="auto"/>
              <w:jc w:val="right"/>
            </w:pPr>
            <w:r>
              <w:rPr>
                <w:rFonts w:ascii="Calibri" w:eastAsia="Calibri" w:hAnsi="Calibri" w:cs="Calibri"/>
                <w:b w:val="0"/>
                <w:i w:val="0"/>
                <w:color w:val="000000"/>
                <w:sz w:val="16"/>
                <w:u w:val="none"/>
              </w:rPr>
              <w:tab/>
              <w:t>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99,89482 %</w:t>
              <w:tab/>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99,89482 %</w:t>
              <w:tab/>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indirecta.</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2760"/>
        <w:gridCol w:w="600"/>
        <w:gridCol w:w="1275"/>
        <w:gridCol w:w="765"/>
        <w:gridCol w:w="1440"/>
        <w:gridCol w:w="900"/>
        <w:gridCol w:w="900"/>
        <w:gridCol w:w="900"/>
        <w:gridCol w:w="900"/>
      </w:tblGrid>
      <w:tr>
        <w:tblPrEx>
          <w:tblW w:w="11445" w:type="dxa"/>
          <w:tblInd w:w="2126" w:type="dxa"/>
          <w:tblLayout w:type="fixed"/>
        </w:tblPrEx>
        <w:trPr>
          <w:cantSplit/>
          <w:trHeight w:hRule="auto" w:val="0"/>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Rut</w:t>
            </w:r>
          </w:p>
        </w:tc>
        <w:tc>
          <w:tcPr>
            <w:tcW w:w="27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Nombre sociedad</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País</w:t>
            </w:r>
          </w:p>
        </w:tc>
        <w:tc>
          <w:tcPr>
            <w:tcW w:w="12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Domicilio sociedad</w:t>
            </w:r>
          </w:p>
        </w:tc>
        <w:tc>
          <w:tcPr>
            <w:tcW w:w="7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 funcional</w:t>
            </w:r>
          </w:p>
        </w:tc>
        <w:tc>
          <w:tcPr>
            <w:tcW w:w="144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Subsidiaria de</w:t>
            </w:r>
          </w:p>
        </w:tc>
        <w:tc>
          <w:tcPr>
            <w:tcW w:w="360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Porcentaje de Participación de</w:t>
            </w:r>
          </w:p>
        </w:tc>
      </w:tr>
      <w:tr>
        <w:tblPrEx>
          <w:tblW w:w="11445" w:type="dxa"/>
          <w:tblInd w:w="2126" w:type="dxa"/>
          <w:tblLayout w:type="fixed"/>
        </w:tblPrEx>
        <w:trPr>
          <w:cantSplit/>
          <w:trHeight w:hRule="auto" w:val="0"/>
        </w:trPr>
        <w:tc>
          <w:tcPr>
            <w:tcW w:w="1005" w:type="dxa"/>
            <w:vMerge/>
            <w:tcBorders>
              <w:top w:val="nil"/>
              <w:left w:val="single" w:sz="2" w:space="0" w:color="000000"/>
              <w:bottom w:val="nil"/>
              <w:right w:val="nil"/>
            </w:tcBorders>
          </w:tcPr>
          <w:p>
            <w:pPr>
              <w:keepNext/>
              <w:pageBreakBefore w:val="0"/>
            </w:pPr>
          </w:p>
        </w:tc>
        <w:tc>
          <w:tcPr>
            <w:tcW w:w="276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27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1440" w:type="dxa"/>
            <w:vMerge/>
            <w:tcBorders>
              <w:top w:val="nil"/>
              <w:left w:val="single" w:sz="4" w:space="0" w:color="FFFFFF"/>
              <w:bottom w:val="nil"/>
              <w:right w:val="single" w:sz="4" w:space="0" w:color="FFFFFF"/>
            </w:tcBorders>
          </w:tcPr>
          <w:p>
            <w:pPr>
              <w:keepNext/>
              <w:pageBreakBefore w:val="0"/>
            </w:pP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80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1445" w:type="dxa"/>
          <w:tblInd w:w="2126" w:type="dxa"/>
          <w:tblLayout w:type="fixed"/>
        </w:tblPrEx>
        <w:trPr>
          <w:cantSplit/>
          <w:trHeight w:hRule="auto" w:val="0"/>
        </w:trPr>
        <w:tc>
          <w:tcPr>
            <w:tcW w:w="1005" w:type="dxa"/>
            <w:vMerge/>
            <w:tcBorders>
              <w:top w:val="nil"/>
              <w:left w:val="single" w:sz="2" w:space="0" w:color="000000"/>
              <w:bottom w:val="single" w:sz="2" w:space="0" w:color="000000"/>
              <w:right w:val="nil"/>
            </w:tcBorders>
          </w:tcPr>
          <w:p>
            <w:pPr>
              <w:keepNext/>
              <w:pageBreakBefore w:val="0"/>
            </w:pPr>
          </w:p>
        </w:tc>
        <w:tc>
          <w:tcPr>
            <w:tcW w:w="276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275"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1440"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Subsidiaria</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CGE</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Subsidiaria</w:t>
            </w:r>
          </w:p>
        </w:tc>
        <w:tc>
          <w:tcPr>
            <w:tcW w:w="9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CGE</w:t>
            </w:r>
          </w:p>
        </w:tc>
      </w:tr>
      <w:tr>
        <w:tblPrEx>
          <w:tblW w:w="11445" w:type="dxa"/>
          <w:tblInd w:w="2126"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88.221.200-9</w:t>
            </w:r>
          </w:p>
        </w:tc>
        <w:tc>
          <w:tcPr>
            <w:tcW w:w="27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Empresa Eléctrica de Magallanes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Chile</w:t>
            </w:r>
          </w:p>
        </w:tc>
        <w:tc>
          <w:tcPr>
            <w:tcW w:w="12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Croacia 444, Punta Arenas.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CL $</w:t>
            </w:r>
          </w:p>
        </w:tc>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CGE Magallanes S.A.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55,10821 %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55,16492 %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55,10821 %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55,16492 %</w:t>
              <w:tab/>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Cambios en el perímetro de consolidación.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Perímetro de consolidación directo.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834"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se han producido cambios en el perímetro de consolidación directo de las subsidiarias para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Perímetro de consolidación indirecto.</w:t>
      </w:r>
    </w:p>
    <w:p>
      <w:pPr>
        <w:keepNext w:val="0"/>
        <w:keepLines/>
        <w:pageBreakBefore w:val="0"/>
        <w:widowControl w:val="0"/>
        <w:numPr>
          <w:ilvl w:val="0"/>
          <w:numId w:val="0"/>
        </w:numPr>
        <w:spacing w:before="0" w:after="0" w:line="288" w:lineRule="auto"/>
        <w:ind w:left="212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835"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se han producido cambios en el perímetro de consolidación indirecto de las subsidiarias para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pStyle w:val="Normal-wk"/>
        <w:keepNext w:val="0"/>
        <w:keepLines/>
        <w:pageBreakBefore w:val="0"/>
        <w:widowControl w:val="0"/>
        <w:numPr>
          <w:ilvl w:val="0"/>
          <w:numId w:val="0"/>
        </w:numPr>
        <w:spacing w:before="0" w:after="0" w:line="240" w:lineRule="exact"/>
        <w:ind w:left="2835" w:right="0" w:firstLine="2"/>
        <w:jc w:val="both"/>
        <w:outlineLvl w:val="9"/>
        <w:rPr>
          <w:rFonts w:ascii="Calibri" w:eastAsia="Calibri" w:hAnsi="Calibri" w:cs="Calibri"/>
          <w:b w:val="0"/>
          <w:i w:val="0"/>
          <w:sz w:val="20"/>
        </w:rPr>
        <w:sectPr>
          <w:headerReference w:type="default" r:id="rId21"/>
          <w:footerReference w:type="default" r:id="rId22"/>
          <w:type w:val="continuous"/>
          <w:pgSz w:w="15840" w:h="12240" w:orient="landscape"/>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4" w:name="Section16"/>
      <w:bookmarkEnd w:id="24"/>
      <w:bookmarkStart w:id="25" w:name="7bdac3a34eba45c5a97b91c63d03cc5f"/>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5"/>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cada una de las entidades de la Sociedad se valoran utilizando la moneda del entorno económico principal en que la entidad opera (“moneda funcional”). La moneda funcional de Compañía General de Electricidad S.A. es el Peso chileno, que constituye además la moneda de presentación de los estados financieros consolidados.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cambios en el valor razonable de inversiones financieras en títulos de deuda denominados en moneda extranjera clasificados como disponibles para la venta son separados entre diferencias de cambio resultantes de modificaciones en el costo amortizado del título y otros cambios en el importe en libros del mismo. Las diferencias de cambio se reconocen en el resultado del período o ejercicio en el que ocurra y los otros cambios en el importe en libros se reconocen en el patrimonio neto, y son estos últimos reflejados de acuerdo con NIC 1 a través del estado de resultados integral, reciclando a resultados la porción devengada.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diferencias de cambio sobre inversiones financieras en instrumentos de patrimonio mantenidos a valor razonable con cambios en resultados se presentan como parte de la ganancia o pérdida por valor razonable en el resultado del período o ejercicio en el que ocurra. Las diferencias de cambio sobre dichos instrumentos clasificados como activos financieros disponibles para la venta se incluyen en el patrimonio neto en la reserva correspondiente, y son reflejadas de acuerdo con NIC 1 a través del estado de resultados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05"/>
        <w:gridCol w:w="1560"/>
        <w:gridCol w:w="1560"/>
        <w:gridCol w:w="1560"/>
        <w:gridCol w:w="1560"/>
      </w:tblGrid>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US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EUR $</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c>
          <w:tcPr>
            <w:tcW w:w="15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CNH $</w:t>
            </w: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31-12-2025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907,13</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1.066,58</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39.727,96</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129,76</w:t>
            </w:r>
          </w:p>
        </w:tc>
      </w:tr>
      <w:tr>
        <w:tblPrEx>
          <w:tblW w:w="7845" w:type="dxa"/>
          <w:tblInd w:w="2126" w:type="dxa"/>
          <w:tblLayout w:type="fixed"/>
        </w:tblPrEx>
        <w:trPr>
          <w:cantSplit/>
          <w:trHeight w:hRule="auto" w:val="0"/>
        </w:trPr>
        <w:tc>
          <w:tcPr>
            <w:tcW w:w="1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30-06-2025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933,42</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1.099,05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39.267,07</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130,40</w:t>
            </w:r>
          </w:p>
        </w:tc>
      </w:tr>
    </w:tbl>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tbl>
      <w:tblPr>
        <w:tblW w:w="6135" w:type="dxa"/>
        <w:tblInd w:w="2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415"/>
        <w:gridCol w:w="720"/>
        <w:gridCol w:w="2280"/>
      </w:tblGrid>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CL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Pesos chileno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US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Dólar estadounidense</w:t>
            </w:r>
          </w:p>
        </w:tc>
      </w:tr>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UF</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Unidades de fomento</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EUR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Euro</w:t>
            </w:r>
          </w:p>
        </w:tc>
      </w:tr>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CNH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Yuan chino</w:t>
            </w:r>
          </w:p>
        </w:tc>
        <w:tc>
          <w:tcPr>
            <w:tcW w:w="7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28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2114"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Compañía General de Electricidad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resultados y la situación financiera de todas las entidades de Compañía General de Electricidad S.A., que tienen una moneda funcional diferente de la moneda de presentación, se convierten a la moneda de presentación como sigue: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y pasivos de cada estado de situación financiera presentado se convierten al tipo de cambio de cierre de cada período o ejercicio; </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y gastos de cada cuenta de resultados se convierten a los tipos de cambio promedio (a menos que este promedio no sea una aproximación razonable del efecto acumulativo de los tipos existentes en las fechas de las transacciones, en cuyo caso los ingresos y gastos se convierten en la fecha de las transacciones); y</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Todas las diferencias de cambio resultantes se reconocen como un componente separado del patrimonio neto a través de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consolidación, las diferencias de cambio que surgen de la conversión de una inversión neta en entidades extranjeras (o nacionales con moneda funcional diferente de la matriz), y de préstamos y otros instrumentos en moneda extranjera designados como coberturas de esas inversiones, se llevan al patrimonio neto a través del estado de otros resultados integrales. Cuando se vende o dispone la inversión (todo o parte), esas diferencias de cambio se reconocen en el estado de resultados como parte de la pérdida o ganancia en la venta o disposición.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ajustes al menor valor o plusvalía comprada y al valor razonable de activos y pasivos que surgen en la adquisición de una entidad extranjera (o entidad con moneda funcional diferente de la matriz), se tratan como activos y pasivos de la entidad extranjera y se convierten al tipo de cambio de cierre del período o ejercicio, según corresponda.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23"/>
          <w:footerReference w:type="default" r:id="rId24"/>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0"/>
          <w:u w:val="none"/>
        </w:rPr>
      </w:pPr>
      <w:bookmarkStart w:id="26" w:name="Section17"/>
      <w:bookmarkEnd w:id="26"/>
      <w:bookmarkStart w:id="27" w:name="34901c4e1ccd4dd1b5642b22d9102e0e"/>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el cual ha sido identificado como: eléctrico Chile, para el que se toman las decisiones estratégicas. Esta información se detalla en Nota 32.</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8" w:name="Section18"/>
      <w:bookmarkEnd w:id="28"/>
      <w:bookmarkStart w:id="29" w:name="05bb8fb4768c4b92ad18896b47a328a3"/>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período o ejercicio en el que se incurren.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incluyen los siguientes conceptos devengados únicamente durante el período de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financieros relativos a la financiación externa que sean directamente atribuibles a las construcciones, tanto si es de carácter específica como genérica. En relación con la financiación genérica, los gastos financieros activados se obtienen aplicando el costo promedio ponderado de financiación de largo plazo a la inversión promedio acumulada susceptible de activación no financiada específicamente.</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relacionado en forma directa y otros de naturaleza operativa, atribuibles a la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se traspasan a activos en explotación una vez terminado el período de prueba, cuando se encuentran disponibles para su uso, a partir de ese momento comienza su depreciación.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 con excepción de las unidades de generación, las cuales se deprecian en base a horas de uso.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y ganancias por la venta de una propiedad, planta y equipo se calculan comparando los ingresos obtenidos con el valor en libros y se incluyen en el estado de resultados.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0"/>
          <w:u w:val="none"/>
        </w:rPr>
      </w:pPr>
      <w:bookmarkStart w:id="30" w:name="Section19"/>
      <w:bookmarkEnd w:id="30"/>
      <w:bookmarkStart w:id="31" w:name="21d232be700d42adbd96c526db9b9cb5"/>
      <w:r>
        <w:rPr>
          <w:rFonts w:ascii="Calibri" w:eastAsia="Calibri" w:hAnsi="Calibri" w:cs="Calibri"/>
          <w:b/>
          <w:i w:val="0"/>
          <w:color w:val="000000"/>
          <w:sz w:val="20"/>
          <w:u w:val="none"/>
        </w:rPr>
        <w:t>3.9.-</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incluyen principalmente los terrenos y construcciones que se mantienen con el propósito de obtener ganancias en futuras ventas (fuera del curso ordinario de los negocios), plusvalías, o bien explotarlos bajo un régimen de arrendamientos, y no son ocupados por Compañía General de Electricidad S.A. y subsidiarias. El criterio de valorización inicial de las propiedades de inversión es al costo y la medición posterior es a su valor razonable, por medio de retasaciones independientes que reflejan su valor de mercado.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o ganancias derivadas de un cambio en el valor razonable de las propiedades de inversión se incluyen en el resultado del ejercicio en que se generan, y se presentan en el rubro otras ganancias (pérdidas) del estado de resultados por función.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da de baja cuando se enajene o disponga de la misma por otra vía, o cuando no se espere obtener beneficios económicos futuros por su utilización, enajenación o disposición por otra vía.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o pérdidas que surgen en la venta o retiro de propiedades de inversión se reconocen en los resultados del ejercicio y se determina como la diferencia entre el valor de venta y el valor neto contable del activo.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por alquileres de propiedades de inversión se reconocen como otros ingresos durante el plazo del arrendamiento. Los incentivos de arrendamiento otorgados, en caso de existir, se reconocen como parte integral de los ingresos totales por arrendamiento, durante el plazo del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0"/>
          <w:u w:val="none"/>
        </w:rPr>
      </w:pPr>
      <w:bookmarkStart w:id="32" w:name="Section20"/>
      <w:bookmarkEnd w:id="32"/>
      <w:bookmarkStart w:id="33" w:name="dca88b242d614717b829d4421e20638a"/>
      <w:r>
        <w:rPr>
          <w:rFonts w:ascii="Calibri" w:eastAsia="Calibri" w:hAnsi="Calibri" w:cs="Calibri"/>
          <w:b/>
          <w:i w:val="0"/>
          <w:color w:val="000000"/>
          <w:sz w:val="20"/>
          <w:u w:val="none"/>
        </w:rPr>
        <w:t>3.10.-</w:t>
      </w:r>
      <w:r>
        <w:rPr>
          <w:rFonts w:ascii="Calibri" w:eastAsia="Calibri" w:hAnsi="Calibri" w:cs="Calibri"/>
          <w:b/>
          <w:i w:val="0"/>
          <w:color w:val="000000"/>
          <w:sz w:val="20"/>
          <w:u w:val="none"/>
        </w:rPr>
        <w:tab/>
      </w:r>
      <w:r>
        <w:rPr>
          <w:rFonts w:ascii="Calibri" w:eastAsia="Calibri" w:hAnsi="Calibri" w:cs="Calibri"/>
          <w:b/>
          <w:i w:val="0"/>
          <w:color w:val="000000"/>
          <w:sz w:val="20"/>
          <w:u w:val="none"/>
        </w:rPr>
        <w:t>Menor valor o plusvalía comprada (Goodwill).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menor valor representa el exceso del costo de adquisición sobre el valor razonable de la participación de Compañía General de Electricidad S.A. en los activos netos identificables de subsidiarias o filiales a la fecha de adquisición. El menor valor relacionado con adquisiciones de subsidiarias representa un intangible y se incluye bajo el rubro de plusvalía.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menor valor relacionado con adquisiciones de asociadas o coligadas se incluye en inversiones en asociadas contabilizadas por el método de la participación, y se somete a pruebas por deterioro de valor junto con el saldo total de la inversión en una coligada. El menor valor reconocido por separado se somete a pruebas por deterioro de valor anualmente y se valora por su costo menos pérdidas acumuladas por deterioro. Las ganancias y pérdidas por la venta de una entidad incluyen el importe en libros del menor valor relacionado con la entidad vendida. La plusvalía comprada se asigna a unidades generadoras de efectivo para efectos de realizar las pruebas de deterioro. La distribución se efectúa entre aquellas unidades generadoras de efectivo o grupos de unidades generadoras de efectivo que se espera se beneficiarán de la combinación de negocios de la que surgió la plusvalía.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mayor valor (Goodwill negativo) proveniente de una combinación de negocios, se abona directamente al estado consolidado de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0"/>
          <w:u w:val="none"/>
        </w:rPr>
      </w:pPr>
      <w:bookmarkStart w:id="34" w:name="Section21"/>
      <w:bookmarkEnd w:id="34"/>
      <w:bookmarkStart w:id="35" w:name="bf453dc5f61a4330ba1acd7968c179fc"/>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5"/>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Marcas comerciales y licencias.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marcas y licencias se muestran a costo, tienen una vida útil definida y se registran a costo menos su amortización acumulada. La amortización se calcula utilizando el método de línea recta para asignar el costo de las marcas y licencias en el término de su vida útil estimada.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3.11.2.-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Servidumbres.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servidumbre se presentan a costo o al valor asignado en una combinación de negocios. La explotación de dichos derechos en general no tiene una vida útil definida, por lo cual no estarán afectos a amortización. Sin embargo, la vida útil indefinida es objeto de revisión en cada ejercicio para el que se presente información, para determinar si la consideración de vida útil indefinida sigue siendo aplicable. Estos activos se someten a pruebas por deterioro de valor anualmente.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TextePrinc"/>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Concesiones de servicios públicos.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derechos de explotación exclusiva de clientes regulados adquiridos a través de combinaciones de negocios han sido determinados en base al valor razonable atribuido a la concesión en caso de adquirirse como parte de una combinación de negocios.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Asimismo, las concesiones de distribución y transporte eléctrico en Chile, adquiridas todas ellas básicamente como parte de una combinación de negocios, no tienen límite legal ni de ningún otro tipo. En consecuencia, al tratarse de activos intangibles de vida indefinida, no se amortizan, si bien se analiza su posible deterioro con periodicidad anual.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tabs>
          <w:tab w:val="center" w:pos="212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relacionados con el desarrollo o mantenimiento de programas informáticos se reconocen como gasto cuando se incurre en ellos. Los costos directamente relacionados con la producción de programas informáticos únicos e identificables controlados por Compañía General de Electricidad S.A., y que es probable que vayan a generar beneficios económicos superiores a los costos durante más de un año, se reconocen como activos intangibles. Los costos directos incluyen los gastos del personal que desarrolla los programas informáticos.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Después del reconocimiento inicial, los gastos de desarrollo se miden al costo menos la amortización acumulada y cualquier pérdida por deterioro acumulada.</w:t>
      </w: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métodos de amortización, las vidas útiles y los valores residuales se revisan en cada fecha de presentación y se ajustan si corresponde.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3.11.5.-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Gastos de investigación y desarrollo.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de investigación se reconocen como un gasto cuando se incurre en ellos. Los costos incurridos en proyectos de desarrollo se reconocen como activo intangible cuando se cumplen los siguientes requisitos: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Técnicamente, es posible completar la producción del activo intangible de forma que pueda estar disponible para su utilización o su venta;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administración tiene intención de completar el activo intangible en cuestión, para usarlo o venderlo;</w:t>
      </w:r>
    </w:p>
    <w:p>
      <w:pPr>
        <w:pStyle w:val="Normal-wk"/>
        <w:keepNext w:val="0"/>
        <w:keepLines/>
        <w:pageBreakBefore w:val="0"/>
        <w:widowControl w:val="0"/>
        <w:numPr>
          <w:ilvl w:val="0"/>
          <w:numId w:val="15"/>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Existe la capacidad para utilizar o vender el activo intangible;</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posible demostrar la forma en que el activo intangible vaya a generar probables beneficios económicos en el futuro;</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Existe disponibilidad de los adecuados recursos técnicos, financieros o de otro tipo, para completar el desarrollo y para utilizar o vender el activo intangible; y</w:t>
      </w:r>
    </w:p>
    <w:p>
      <w:pPr>
        <w:pStyle w:val="Normal-wk"/>
        <w:keepNext w:val="0"/>
        <w:keepLines/>
        <w:pageBreakBefore w:val="0"/>
        <w:widowControl w:val="0"/>
        <w:numPr>
          <w:ilvl w:val="0"/>
          <w:numId w:val="15"/>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posible valorar, de forma fiable, el desembolso atribuible al activo intangible durante su desarrollo.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gastos de desarrollo se reconocen como gasto cuando se incurre en ellos. Los costos de desarrollo previamente reconocidos como un gasto no se reconocen como un activo en un período o ejercicio posterior. Los costos de desarrollo con una vida útil finita que se capitalizan se amortizan desde su utilización de manera lineal durante el período en que se espera que generen beneficios.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36" w:name="Section22"/>
      <w:bookmarkEnd w:id="36"/>
      <w:bookmarkStart w:id="37" w:name="9e0a75a087044c1c9a8572fd44835821"/>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both"/>
        <w:outlineLvl w:val="9"/>
        <w:rPr>
          <w:rFonts w:ascii="Calibri" w:eastAsia="Calibri" w:hAnsi="Calibri" w:cs="Calibri"/>
          <w:b w:val="0"/>
          <w:i w:val="0"/>
          <w:color w:val="000000"/>
          <w:sz w:val="20"/>
          <w:u w:val="none"/>
        </w:rPr>
      </w:pPr>
      <w:bookmarkEnd w:id="37"/>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por intereses incurridos para la construcción de cualquier activo apto se capitalizan durante el período de tiempo que es necesario para completar y preparar el activo para el uso que se pretende. Otros costos por intereses se registran en resultados (costos financieros). Se entiende por activo apto aquel que requiere de un período sustancial antes de estar listo para el uso a que está destinado o para la venta.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Calibri" w:eastAsia="Calibri" w:hAnsi="Calibri" w:cs="Calibri"/>
          <w:b/>
          <w:i w:val="0"/>
          <w:color w:val="000000"/>
          <w:sz w:val="20"/>
          <w:u w:val="none"/>
        </w:rPr>
      </w:pPr>
      <w:bookmarkStart w:id="38" w:name="Section23"/>
      <w:bookmarkEnd w:id="38"/>
      <w:bookmarkStart w:id="39" w:name="b8ec1c35ca98474880f7a427824ac07e"/>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9"/>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se reconocen en resultados del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40" w:name="Section24"/>
      <w:bookmarkEnd w:id="40"/>
      <w:bookmarkStart w:id="41" w:name="ef0f0836838e42e69c668117ab4f2f75"/>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no corrientes mantenidos para la venta y grupos en disposición.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corrientes (y grupos en disposición) son clasificados como disponibles para la venta cuando su valor de libros será recuperado principalmente a través de una transacción de venta y la venta es considerada altamente probable dentro de los siguientes 12 meses. Estos activos se registran al valor de libros o al valor razonable menos costos necesarios para efectuar su venta, el que fuera menor. Se reconoce una pérdida o ganancia por disposición de activos no corrientes mantenidos para la venta en el rubro Otras ganancias (pérdidas) en el período o ejercicio de su realización.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en la clasificación inicial como mantenido para la venta o grupo en disposición y las ganancias y pérdidas subsiguientes por la nueva medición se reconocen en resultados del período o ejercicio.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Una vez clasificados como mantenidos para la venta, los activos intangibles y las propiedades, planta y equipo no se amortizarán o depreciarán, y cualquier inversión contabilizada por el método de la participación no se le aplicará dicho método.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Calibri" w:eastAsia="Calibri" w:hAnsi="Calibri" w:cs="Calibri"/>
          <w:b/>
          <w:i w:val="0"/>
          <w:color w:val="000000"/>
          <w:sz w:val="20"/>
          <w:u w:val="none"/>
        </w:rPr>
      </w:pPr>
      <w:bookmarkStart w:id="42" w:name="Section25"/>
      <w:bookmarkEnd w:id="42"/>
      <w:bookmarkStart w:id="43" w:name="c7d6abaa99384925a76d43fb5ffa7cd4"/>
      <w:r>
        <w:rPr>
          <w:rFonts w:ascii="Calibri" w:eastAsia="Calibri" w:hAnsi="Calibri" w:cs="Calibri"/>
          <w:b/>
          <w:i w:val="0"/>
          <w:color w:val="000000"/>
          <w:sz w:val="20"/>
          <w:u w:val="none"/>
        </w:rPr>
        <w:t>3.15.-</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4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miden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del Grupo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de Compañía General de Electricidad S.A. y subsidiarias son los siguientes: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211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Instrumentos de deuda en otro resultado integral, con ganancias o pérdidas recicladas a resultados en el momento de su realización. Los activos financieros en esta categoría son los instrumentos de deuda cotizados del Grupo que cumplen con el criterio SPPI y se mantienen dentro de un modelo comercial tanto para cobrar los flujos de efectivo como para vender. </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capital en otro resultado integral, sin reciclaje de ganancias o pérdidas a resultados en el momento de su realización. Esta categoría solo incluye los instrumentos de capital, que el Grupo tiene la intención de mantener en el futuro previsible y que Compañía General de Electricidad S.A. y subsidiarias han elegido irrevocablemente para clasificarlos en el reconocimiento inicial o la transición. Compañía General de Electricidad S.A. y subsidiarias clasificaron sus instrumentos de patrimonio no cotizados como instrumentos de patrimonio en otro resultado integral.</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financieros a valor razonable con cambios en resultados comprenden instrumentos derivados e instrumentos de capital cotizados que Compañía General de Electricidad S.A. y subsidiarias no han elegido irrevocablemente, en el reconocimiento inicial o transición, para clasificar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del Grupo.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NIIF 9 requiere que Compañía General de Electricidad S.A. y subsidiarias registren las pérdidas crediticias esperadas de todos sus títulos de deuda, préstamos y deudores comerciales, ya sea sobre una base de 12 meses o de por vida.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han establecido una matriz de provisiones que se basa en la experiencia histórica de pérdidas crediticias del Grupo, ajustada por factores prospectivos específicos para los deudores y el entorno económico.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Contabilidad de cobertura.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derivados se reconocen inicialmente al valor razonable en la fecha en que se ha efectuado el contrato de derivados y posteriormente se vuelven a valorar a su valor razonable. El método para reconocer la pérdida o ganancia resultante depende de si el derivado se ha designado como un instrumento de cobertura y, si es así, de la naturaleza de la partida que está cubriendo. Compañía General de Electricidad S.A., designa determinados derivados como: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Coberturas del valor razonable de activos o pasivos reconocidos o compromisos a firme (cobertura del valor razonable);</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Coberturas de un riesgo concreto asociado a un activo o pasivo reconocido o a una transacción prevista altamente probable (cobertura de flujos de efectivo); o </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Coberturas de una inversión neta en una entidad del extranjero o cuya moneda funcional es diferente a la de la matriz (cobertura de inversión neta).</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documenta al inicio de la transacción la relación existente entre los instrumentos de cobertura y las partidas cubiertas, así como sus objetivos para la gestión del riesgo y la estrategia para manejar varias transacciones de cobertura. La Sociedad también documenta su evaluación, tanto al inicio como sobre una base continua, de si los derivados que se utilizan en las transacciones de cobertura son altamente efectivos para compensar los cambios en el valor razonable o en los flujos de efectivo de las partidas cubiertas.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derivados negociables se clasifican como un activo o pasivo corriente.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Coberturas de valor razonable.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cambios en el valor razonable de los derivados que son designados y califican como coberturas de valor razonable se registran en el estado de resultados, junto con cualquier cambio en el valor razonable del activo o del pasivo cubierto atribuible al riesgo cubierto.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ganancia o pérdida relacionada con la porción efectiva de permutas de interés (“swaps”) que cubren préstamos a tasas de interés fijas se reconoce en el estado de ganancias y pérdidas como “costos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ganancia o pérdida relacionada con la porción inefectiva se reconoce también en el estado de resultados. Los cambios en el valor razonable de los préstamos a tasa de interés fijas cubiertos atribuibles al riesgo de tasa de interés se reconocen en el estado de resultados como “costos financieros”.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cobertura deja de cumplir con los criterios para ser reconocida a través del tratamiento contable de coberturas, el ajuste en el valor en libros de la partida cubierta, para la cual se utiliza el método de la tasa de interés efectiva, se amortiza en resultados en el período remanente hasta su vencimiento.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Coberturas de flujos de efectivo.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porción efectiva de los cambios en el valor razonable de los derivados que son designados y que califican como coberturas de flujos de efectivo se reconocen en el patrimonio a través del estado de otros resultados integrales. La ganancia o pérdida relativa a la porción inefectiva se reconoce inmediatamente en el estado de resultados.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montos acumulados en el patrimonio neto se reciclan al estado de resultados en los períodos o ejercicios en los que la partida cubierta afecta los resultados (por ejemplo, cuando la venta proyectada cubierta ocurre o el flujo cubierto se realiza). Sin embargo, cuando la transacción prevista cubierta da como resultado el reconocimiento de un activo no financiero (por ejemplo, existencias o activos fijos), las ganancias o pérdidas previamente reconocidas en el patrimonio se transfieren del patrimonio y se incluyen como parte del costo inicial del activo. Los montos diferidos son finalmente reconocidos en el costo de los productos vendidos, si se trata de existencias, o en la depreciación, si se trata de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un instrumento de cobertura expira o se vende, o cuando deja de cumplir con los criterios para ser reconocido a través del tratamiento contable de coberturas, cualquier ganancia o pérdida acumulada en el patrimonio a esa fecha permanece en el patrimonio y se reconoce cuando la transacción proyectada afecte al estado de resultados. Cuando se espere que ya no se produzca una transacción proyectada la ganancia o pérdida acumulada en el patrimonio se transfiere inmediatamente al estado de resultados.</w:t>
      </w: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Cobertura de inversión neta en el exterior.</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coberturas de inversiones netas de operaciones en el exterior (o de subsidiarias/asociadas con moneda funcional diferente de la matriz) se contabilizan de manera similar a las coberturas de flujos de efectivo. Cualquier ganancia o pérdida del instrumento de cobertura relacionada con la porción efectiva de la cobertura se reconoce en el patrimonio a través del estado de resultados integral. La ganancia o pérdida relacionada con la porción inefectiva de la cobertura se reconoce inmediatamente en resultados.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y pérdidas acumuladas en el patrimonio se transfieren al estado de resultados cuando la operación en el exterior se vende o se le da parcialmente de baja.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3.15.7.-</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Derivados a valor razonable a través de resultados.</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Ciertos instrumentos financieros derivados no califican para ser reconocidos a través del tratamiento contable de coberturas y se registran a su valor razonable a través de resultados. Cualquier cambio en el valor razonable de estos derivados se reconoce inmediatamente en el estado de resultados.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44" w:name="Section26"/>
      <w:bookmarkEnd w:id="44"/>
      <w:bookmarkStart w:id="45" w:name="386f63bbcc62480ab52c75594bdcac40"/>
      <w:r>
        <w:rPr>
          <w:rFonts w:ascii="Calibri" w:eastAsia="Calibri" w:hAnsi="Calibri" w:cs="Calibri"/>
          <w:b/>
          <w:i w:val="0"/>
          <w:color w:val="000000"/>
          <w:sz w:val="20"/>
          <w:u w:val="none"/>
        </w:rPr>
        <w:t>3.16.-</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existencias se valorizan a su costo o a su valor neto realizable, el menor de los dos. El costo se determina de acuerdo al método de precio medio ponderado (PMP).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construcción de obras eléctricas para terceros incluyen los costos de diseño, los materiales eléctricos, la mano de obra directa propia y de terceros y otros costos directos e indirectos de existir, los cuales no incluyen costos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46" w:name="Section27"/>
      <w:bookmarkEnd w:id="46"/>
      <w:bookmarkStart w:id="47" w:name="8285044e07e14794bfe99e0f40a36240"/>
      <w:r>
        <w:rPr>
          <w:rFonts w:ascii="Calibri" w:eastAsia="Calibri" w:hAnsi="Calibri" w:cs="Calibri"/>
          <w:b/>
          <w:i w:val="0"/>
          <w:color w:val="000000"/>
          <w:sz w:val="20"/>
          <w:u w:val="none"/>
        </w:rPr>
        <w:t>3.17.-</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20 días desde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48" w:name="Section28"/>
      <w:bookmarkEnd w:id="48"/>
      <w:bookmarkStart w:id="49" w:name="fd7a79ed158a43adab37612f4dd63758"/>
      <w:r>
        <w:rPr>
          <w:rFonts w:ascii="Calibri" w:eastAsia="Calibri" w:hAnsi="Calibri" w:cs="Calibri"/>
          <w:b/>
          <w:i w:val="0"/>
          <w:color w:val="000000"/>
          <w:sz w:val="20"/>
          <w:u w:val="none"/>
        </w:rPr>
        <w:t>3.18.-</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9"/>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50" w:name="Section29"/>
      <w:bookmarkEnd w:id="50"/>
      <w:bookmarkStart w:id="51" w:name="a1c7e8f2d3304b9c9b80a42ba4a473ad"/>
      <w:r>
        <w:rPr>
          <w:rFonts w:ascii="Calibri" w:eastAsia="Calibri" w:hAnsi="Calibri" w:cs="Calibri"/>
          <w:b/>
          <w:i w:val="0"/>
          <w:color w:val="000000"/>
          <w:sz w:val="20"/>
          <w:u w:val="none"/>
        </w:rPr>
        <w:t>3.19.-</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bookmarkEnd w:id="5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52" w:name="Section30"/>
      <w:bookmarkEnd w:id="52"/>
      <w:bookmarkStart w:id="53" w:name="8d14e8bba8924a42a00e2de31be4cce2"/>
      <w:r>
        <w:rPr>
          <w:rFonts w:ascii="Calibri" w:eastAsia="Calibri" w:hAnsi="Calibri" w:cs="Calibri"/>
          <w:b/>
          <w:i w:val="0"/>
          <w:color w:val="000000"/>
          <w:sz w:val="20"/>
          <w:u w:val="none"/>
        </w:rPr>
        <w:t>3.20.-</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54" w:name="Section31"/>
      <w:bookmarkEnd w:id="54"/>
      <w:bookmarkStart w:id="55" w:name="e50861ff99874a3985851af580437f7e"/>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préstamos, obligaciones con el público y pasivos financieros de naturaleza similar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obligaciones financieras se clasifican como pasivos corrientes a menos que Compañía General de Electricidad S.A. tenga un derecho incondicional a diferir su liquidación durante al menos 12 meses después de la fecha de los estados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56" w:name="Section32"/>
      <w:bookmarkEnd w:id="56"/>
      <w:bookmarkStart w:id="57" w:name="a041a7c0208f4902bb4374f7cf5fe541"/>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gasto por impuesto a las ganancias del período o ejercicio comprende al impuesto a la renta corriente y al impuesto diferido. El impuesto se reconoce en el estado de resultados, excepto cuando se trata de partidas que se reconocen directamente en el patrimonio, en otros resultados integral o provienen de una combinación de negocios.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por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de las subsidiarias individuales del Grupo.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diferido se reconoce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58" w:name="Section33"/>
      <w:bookmarkEnd w:id="58"/>
      <w:bookmarkStart w:id="59" w:name="5cf6010f75344e52ad87fff29a7dc15a"/>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9"/>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reconoce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Beneficios post jubilatorios.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mantiene, beneficios post-jubilatorios acordados con el personal conforme a los contratos colectivos e individuales vigentes, para todo el personal contratado con anterioridad al año 1992. Este beneficio se reconoce en base al método de la unidad de crédito proyectada.</w:t>
      </w:r>
    </w:p>
    <w:p>
      <w:pPr>
        <w:keepNext w:val="0"/>
        <w:keepLines/>
        <w:pageBreakBefore w:val="0"/>
        <w:widowControl w:val="0"/>
        <w:numPr>
          <w:ilvl w:val="0"/>
          <w:numId w:val="0"/>
        </w:numPr>
        <w:spacing w:before="0" w:after="0" w:line="288" w:lineRule="auto"/>
        <w:ind w:left="2124" w:right="0" w:firstLine="12"/>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3.23.3.- Indemnizaciones por años de servicio (PIAS).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constituyen pasivos por obligaciones por indemnizaciones por cese de servicios, en base a lo estipulado en los contratos colectivos e individuales del personal. Si este beneficio se encuentra pactado, la obligación se trata de acuerdo con NIC 19 (r),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otros resultados integrales en los períodos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3.23.4.- 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beneficios por cese que no califican con lo descrito en el punto 3.23.3.- se pagan cuando la relación laboral se interrumpe antes de la fecha normal de retiro o cuando un empleado acepta voluntariamente el cese a cambio de estos beneficios. Compañía General de Electricidad S.A. y subsidiarias reconocen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30"/>
        </w:numPr>
        <w:spacing w:before="0" w:after="0" w:line="240" w:lineRule="exact"/>
        <w:ind w:left="2835"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poner fin a la relación laboral de empleados de acuerdo a un plan formal detallado sin posibilidad de renuncia; 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30"/>
        </w:numPr>
        <w:spacing w:before="0" w:after="0" w:line="240" w:lineRule="exact"/>
        <w:ind w:left="2835"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proporcionar beneficios por cese como resultado de una oferta hecha para incentivar el retiro voluntario. Los beneficios que vencen en más de 12 meses después de la fecha del estado de situación financiera, de existir, se descuentan a su valor presente.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yellow"/>
          <w:u w:val="none"/>
        </w:rPr>
        <w:t>3.23.5.-</w:t>
      </w:r>
      <w:r>
        <w:rPr>
          <w:rFonts w:ascii="Calibri" w:eastAsia="Calibri" w:hAnsi="Calibri" w:cs="Calibri"/>
          <w:b w:val="0"/>
          <w:i w:val="0"/>
          <w:color w:val="000000"/>
          <w:sz w:val="20"/>
          <w:highlight w:val="yellow"/>
          <w:u w:val="none"/>
        </w:rPr>
        <w:tab/>
      </w:r>
      <w:r>
        <w:rPr>
          <w:rFonts w:ascii="Calibri" w:eastAsia="Calibri" w:hAnsi="Calibri" w:cs="Calibri"/>
          <w:b w:val="0"/>
          <w:i w:val="0"/>
          <w:color w:val="000000"/>
          <w:sz w:val="20"/>
          <w:highlight w:val="yellow"/>
          <w:u w:val="none"/>
        </w:rPr>
        <w:t>Premios de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tienen pactado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otros resultados integrales en los períodos o ejercicios en los cuales ocurren. No son reciclados posteriormente.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3.23.6.-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las utilidades.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reconocen un pasivo y un gasto por participación en las utilidades en base a contratos colectivos e individuales de sus trabajadores, sobre la base de una fórmula que toma en cuenta la utilidad atribuible a los accionistas de las Sociedades.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60" w:name="Section34"/>
      <w:bookmarkEnd w:id="60"/>
      <w:bookmarkStart w:id="61" w:name="c7da428aaa4e41b58c902558af3ed3a2"/>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reconocen una provisión cuando están obligados contractualmente o cuando existe una práctica del pasado que ha creado una obligación asumida.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provisiones para contratos onerosos, litigios y otras contingencias se reconocen cuando: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31"/>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Compañía General de Electricidad S.A. tiene una obligación presente, ya sea legal o constructiva, como resultado de sucesos pasados;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32"/>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Es probable que vaya a ser necesaria una salida de recursos para liquidar la obligación;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33"/>
        </w:numPr>
        <w:spacing w:before="0" w:after="0" w:line="288" w:lineRule="auto"/>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El importe puede ser estimado de forma fiable.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provisiones se valoran por el valor actual de los desembolsos que se espera que sean necesarios para liquidar la obligación usando la mejor estimación de Compañía General de Electricidad S.A.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62" w:name="Section35"/>
      <w:bookmarkEnd w:id="62"/>
      <w:bookmarkStart w:id="63" w:name="1286db4f32704c04bb62876258a8d308"/>
      <w:r>
        <w:rPr>
          <w:rFonts w:ascii="Calibri" w:eastAsia="Calibri" w:hAnsi="Calibri" w:cs="Calibri"/>
          <w:b/>
          <w:i w:val="0"/>
          <w:color w:val="000000"/>
          <w:sz w:val="20"/>
          <w:u w:val="none"/>
        </w:rPr>
        <w:t>3.25.-</w:t>
      </w:r>
      <w:r>
        <w:rPr>
          <w:rFonts w:ascii="Calibri" w:eastAsia="Calibri" w:hAnsi="Calibri" w:cs="Calibri"/>
          <w:b/>
          <w:i w:val="0"/>
          <w:color w:val="000000"/>
          <w:sz w:val="20"/>
          <w:u w:val="none"/>
        </w:rPr>
        <w:tab/>
      </w:r>
      <w:r>
        <w:rPr>
          <w:rFonts w:ascii="Calibri" w:eastAsia="Calibri" w:hAnsi="Calibri" w:cs="Calibri"/>
          <w:b/>
          <w:i w:val="0"/>
          <w:color w:val="000000"/>
          <w:sz w:val="20"/>
          <w:u w:val="none"/>
        </w:rPr>
        <w:t>Subvenciones estatales.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3"/>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subvenciones estatales se reconocen por su valor razonable, cuando hay una seguridad razonable de que la subvención se cobrará, y Compañía General de Electricidad S.A. y subsidiarias cumplirán con todas las condiciones establecidas.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subvenciones estatales relacionadas con costos se difieren como pasivo y se reconocen en el estado de resultados durante el período necesario para correlacionarlas con los costos que pretenden compensar. Las subvenciones estatales relacionadas con la adquisición de propiedades, planta y equipo se presentan netas del valor del activo correspondiente y se abonan en el estado de resultados sobre una base lineal durante las vidas esperadas de los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subvenciones estatales relacionadas con bonificación a la mano de obra se abonan directamente a resultados.</w:t>
      </w:r>
    </w:p>
    <w:p>
      <w:pPr>
        <w:keepNext w:val="0"/>
        <w:keepLines/>
        <w:pageBreakBefore w:val="0"/>
        <w:widowControl w:val="0"/>
        <w:numPr>
          <w:ilvl w:val="0"/>
          <w:numId w:val="0"/>
        </w:numPr>
        <w:spacing w:before="0" w:after="0" w:line="240" w:lineRule="exact"/>
        <w:ind w:left="1417"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64" w:name="Section36"/>
      <w:bookmarkEnd w:id="64"/>
      <w:bookmarkStart w:id="65" w:name="0677624bde81472fad28f693bd88ec6a"/>
      <w:r>
        <w:rPr>
          <w:rFonts w:ascii="Calibri" w:eastAsia="Calibri" w:hAnsi="Calibri" w:cs="Calibri"/>
          <w:b/>
          <w:i w:val="0"/>
          <w:color w:val="000000"/>
          <w:sz w:val="20"/>
          <w:u w:val="none"/>
        </w:rPr>
        <w:t>3.26.-</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5"/>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período.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66" w:name="Section37"/>
      <w:bookmarkEnd w:id="66"/>
      <w:bookmarkStart w:id="67" w:name="0b0bf8c995b84d01a1e01bd8238c4a90"/>
      <w:r>
        <w:rPr>
          <w:rFonts w:ascii="Calibri" w:eastAsia="Calibri" w:hAnsi="Calibri" w:cs="Calibri"/>
          <w:b/>
          <w:i w:val="0"/>
          <w:color w:val="000000"/>
          <w:sz w:val="20"/>
          <w:u w:val="none"/>
        </w:rPr>
        <w:t>3.27.-</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7"/>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reconocen los ingresos cuando se han cumplido satisfactoriamente los pasos establecidos en la norma y es probable que los beneficios económicos futuros vayan a fluir a la entidad y se cumplen las condiciones específicas para cada una de las actividades de Compañía General de Electricidad S.A. y subsidiarias, tal y como se describe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electricidad, servicios y recargos regulados.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contratos de Compañía General de Electricidad S.A. y subsidiarias con clientes para la venta de energía, servicios y recargos regulados incluyen una obligación de desempeño, por lo que el ingreso por ventas de electricidad se registra en base a la facturación efectiva del período de consumo, además de incluir una estimación de energía por facturar que ha sido suministrado hasta la fecha de cierre del período o ejercicio.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Servicios de transmisión y transformación de energía eléctrica.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ingreso por servicios de transmisión y transformación de energía eléctrica se registra en base a la facturación efectiva del período de consumo, además de incluir una estimación de los servicios que han sido suministrados hasta la fecha de cierre del período o ejercicio, dado que en dichos contratos existe una obligación de desempeño.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bienes.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ventas de bienes incluyen por lo general una obligación de desempeño, por lo que el ingreso por ventas de bienes se registra en base a la facturación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ingresos por intereses se reconocen usando el método de la tasa de interés efectiva.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dividendos de inversiones temporales.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por dividendos se reconocen cuando se establece el derecho de recibirlos o se percibe su pago.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3.27.6.-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construcción de obras.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y costos del contrato de construcción se reconocen en resultados de acuerdo con el método del producto (grado de avance físico). Cuando el resultado de un contrato de construcción no puede estimarse de forma fiable, los ingresos del contrato se reconocen sólo hasta el límite de los costos del contrato incurridos que sea probable que se recuperarán. Cuando el resultado de un contrato de construcción puede estimarse de forma fiable y es probable que el contrato vaya a ser rentable, los ingresos del contrato se reconocen durante el período del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68" w:name="Section38"/>
      <w:bookmarkEnd w:id="68"/>
      <w:bookmarkStart w:id="69" w:name="0806c1b926d74bccb25034ef23be345a"/>
      <w:r>
        <w:rPr>
          <w:rFonts w:ascii="Calibri" w:eastAsia="Calibri" w:hAnsi="Calibri" w:cs="Calibri"/>
          <w:b/>
          <w:i w:val="0"/>
          <w:color w:val="000000"/>
          <w:sz w:val="20"/>
          <w:u w:val="none"/>
        </w:rPr>
        <w:t>3.28.-</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9"/>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3.28.1.-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una entidad de Compañía General de Electricidad S.A. es el arrendatario.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arrienda determinadas propiedades, planta y equipo. Para los arrendamientos donde la Sociedad tiene sustancialmente todos los riesgos y beneficios inherentes a la propiedad, la Sociedad reconoce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Cada pago por arrendamiento se distribuye entre el pasivo y las cargas financieras para obtener una tasa de interés constante sobre el saldo pendiente de la deuda. Las correspondientes obligaciones por arrendamiento, netas de cargas financieras, se incluyen como pasivos por arrendamientos. El elemento de interés del costo financiero se carga en el estado de resultados durante el período de arrendamiento de forma que se obtenga una tasa periódica constante de interés sobre el saldo restante del pasivo para cada período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3.28.2.-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una entidad de Compañía General de Electricidad S.A. es el arrendador.</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Compañía General de Electricidad S.A. y subsidiarias actúan como arrendador, clasifica al inicio del acuerdo si el arrendamiento es operativo o financiero, en base a la esencia de la transacción. Los arrendamientos en los que se transfieren sustancialmente todos los riesgos y beneficios inherentes a la propiedad del</w:t>
      </w:r>
      <w:r>
        <w:rPr>
          <w:rFonts w:ascii="Calibri" w:eastAsia="Calibri" w:hAnsi="Calibri" w:cs="Calibri"/>
          <w:b w:val="0"/>
          <w:i w:val="0"/>
          <w:sz w:val="20"/>
        </w:rPr>
        <w:t xml:space="preserve">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los arrendamientos operativos, los pagos por arrendamiento se reconocen como ingreso de forma lineal durante el plazo del mismo.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Grupo arrienda ciertos elementos de propiedad, planta y equipo a sus clientes, los cuales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arrendados a terceros bajo contratos de arrendamiento operativo se incluyen dentro del rubro de propiedades, planta y equipos o en propiedades de inversión según corresponda.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70" w:name="Section39"/>
      <w:bookmarkEnd w:id="70"/>
      <w:bookmarkStart w:id="71" w:name="0c70c4033ef440c192004a1515b0ce5c"/>
      <w:r>
        <w:rPr>
          <w:rFonts w:ascii="Calibri" w:eastAsia="Calibri" w:hAnsi="Calibri" w:cs="Calibri"/>
          <w:b/>
          <w:i w:val="0"/>
          <w:color w:val="000000"/>
          <w:sz w:val="20"/>
          <w:u w:val="none"/>
        </w:rPr>
        <w:t>3.29.-</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dividendos a pagar a los accionistas de Compañía General de Electricidad S.A.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72" w:name="Section40"/>
      <w:bookmarkEnd w:id="72"/>
      <w:bookmarkStart w:id="73" w:name="140a7bbbf5254bd090ca1f6715ce48ca"/>
      <w:r>
        <w:rPr>
          <w:rFonts w:ascii="Calibri" w:eastAsia="Calibri" w:hAnsi="Calibri" w:cs="Calibri"/>
          <w:b/>
          <w:i w:val="0"/>
          <w:color w:val="000000"/>
          <w:sz w:val="20"/>
          <w:u w:val="none"/>
        </w:rPr>
        <w:t>3.30.-</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7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ventas incluyen el costo de adquisición de las materias primas e insumos necesarios para el desarrollo de los negocios de generación, transmisión y distribución de energía eléctrica,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74" w:name="Section41"/>
      <w:bookmarkEnd w:id="74"/>
      <w:bookmarkStart w:id="75" w:name="89f57350ba764f0a8b62a86ec41908fb"/>
      <w:r>
        <w:rPr>
          <w:rFonts w:ascii="Calibri" w:eastAsia="Calibri" w:hAnsi="Calibri" w:cs="Calibri"/>
          <w:b/>
          <w:i w:val="0"/>
          <w:color w:val="000000"/>
          <w:sz w:val="20"/>
          <w:u w:val="none"/>
        </w:rPr>
        <w:t>3.31.-</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5"/>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Consolidado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operación: Actividades que constituyen los ingresos ordinarios del grupo, así como otras actividades que no pueden ser calificadas como de inversión o financiación.</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Compañía General de Electricidad S.A. y subsidiarias no han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A la fecha no existen restricciones sobre el efectivo y equivalentes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76" w:name="Section42"/>
      <w:bookmarkEnd w:id="76"/>
      <w:bookmarkStart w:id="77" w:name="7f22f504031f4d54be5f32a39ac35f40"/>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ESTIMACIONES Y JUICIOS O CRITERIOS CRÍTICOS DE LA ADMINISTRACIÓN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7"/>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estimaciones y criterios usados son continuamente evaluados y se basan en la experiencia histórica y otros factores, incluyendo la expectativa de ocurrencia de eventos futuros que se consideran razonables de acuerdo con las circunstancias.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Compañía General de Electricidad S.A. efectúa estimaciones y supuestos respecto del futuro. Las estimaciones contables resultantes por definición muy pocas veces serán iguales a los resultados reales. Las estimaciones y supuestos que tienen un riesgo significativo de causar un ajuste material a los saldos de los activos y pasivos en el próximo ejercicio se presentan a continuación: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78" w:name="Section43"/>
      <w:bookmarkEnd w:id="78"/>
      <w:bookmarkStart w:id="79" w:name="5caa1e9c94b946699b1a6d90711dbdaa"/>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Estimación del deterioro de la plusvalía comprada y activos no corrientes de vida útil indefinida.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9"/>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evalúan anualmente si la plusvalía mercantil y activos no corrientes de vida útil indefinida han sufrido algún deterioro, de acuerdo con la política contable que se describe en la Nota 3.13. Los montos recuperables de las unidades generadoras de efectivo han sido determinados sobre la base de cálculos de sus valores en uso. Los resultados de las estimaciones efectuadas al 31 de diciembre de 2025 no arrojaron deterioro alguno sobre la plusvalía comprada y activos no corrientes de vida útil indefinida (ver Nota 18.1).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80" w:name="Section44"/>
      <w:bookmarkEnd w:id="80"/>
      <w:bookmarkStart w:id="81" w:name="3b9e571ee25744e1bcaca425187f40bb"/>
      <w:r>
        <w:rPr>
          <w:rFonts w:ascii="Calibri" w:eastAsia="Calibri" w:hAnsi="Calibri" w:cs="Calibri"/>
          <w:b/>
          <w:i w:val="0"/>
          <w:color w:val="000000"/>
          <w:sz w:val="20"/>
          <w:u w:val="none"/>
        </w:rPr>
        <w:t>4.2.-</w:t>
      </w:r>
      <w:r>
        <w:rPr>
          <w:rFonts w:ascii="Calibri" w:eastAsia="Calibri" w:hAnsi="Calibri" w:cs="Calibri"/>
          <w:b/>
          <w:i w:val="0"/>
          <w:color w:val="000000"/>
          <w:sz w:val="20"/>
          <w:u w:val="none"/>
        </w:rPr>
        <w:tab/>
      </w:r>
      <w:r>
        <w:rPr>
          <w:rFonts w:ascii="Calibri" w:eastAsia="Calibri" w:hAnsi="Calibri" w:cs="Calibri"/>
          <w:b/>
          <w:i w:val="0"/>
          <w:color w:val="000000"/>
          <w:sz w:val="20"/>
          <w:u w:val="none"/>
        </w:rPr>
        <w:t>Valor razonable de derivados y de otros instrumentos financieros.</w:t>
      </w:r>
    </w:p>
    <w:p>
      <w:pPr>
        <w:keepNext w:val="0"/>
        <w:keepLines/>
        <w:pageBreakBefore w:val="0"/>
        <w:widowControl w:val="0"/>
        <w:numPr>
          <w:ilvl w:val="0"/>
          <w:numId w:val="0"/>
        </w:numPr>
        <w:tabs>
          <w:tab w:val="left" w:pos="500"/>
        </w:tabs>
        <w:spacing w:before="0" w:after="0" w:line="288" w:lineRule="auto"/>
        <w:ind w:left="0" w:right="0" w:firstLine="0"/>
        <w:jc w:val="both"/>
        <w:outlineLvl w:val="9"/>
        <w:rPr>
          <w:rFonts w:ascii="Calibri" w:eastAsia="Calibri" w:hAnsi="Calibri" w:cs="Calibri"/>
          <w:b w:val="0"/>
          <w:i w:val="0"/>
          <w:color w:val="000000"/>
          <w:sz w:val="20"/>
          <w:u w:val="none"/>
        </w:rPr>
      </w:pPr>
      <w:bookmarkEnd w:id="81"/>
    </w:p>
    <w:p>
      <w:pPr>
        <w:pStyle w:val="Normal-wk"/>
        <w:keepNext w:val="0"/>
        <w:keepLines/>
        <w:pageBreakBefore w:val="0"/>
        <w:widowControl w:val="0"/>
        <w:numPr>
          <w:ilvl w:val="0"/>
          <w:numId w:val="0"/>
        </w:numPr>
        <w:tabs>
          <w:tab w:val="left" w:pos="5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razonable de los instrumentos financieros que no son comercializados en un mercado activo (por ejemplo, acciones sin cotización o suficiente presencia bursátil, derivados extra-bursátiles, etc.) se determina usando técnicas de valuación. Compañía General de Electricidad S.A. aplica su juicio para seleccionar una variedad de métodos y aplica supuestos que principalmente se basan en las condiciones de mercado existentes a la fecha de cada estado de situación financiera. Compañía General de Electricidad S.A. utiliza flujos netos descontados o técnicas de valoración a base de múltiplos de Ebitda para ciertos activos financieros disponibles para la venta que no se comercializan en mercados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82" w:name="Section45"/>
      <w:bookmarkEnd w:id="82"/>
      <w:bookmarkStart w:id="83" w:name="3b4c664389f14c54a7d09d35b46aeed8"/>
      <w:r>
        <w:rPr>
          <w:rFonts w:ascii="Calibri" w:eastAsia="Calibri" w:hAnsi="Calibri" w:cs="Calibri"/>
          <w:b/>
          <w:i w:val="0"/>
          <w:color w:val="000000"/>
          <w:sz w:val="20"/>
          <w:u w:val="none"/>
        </w:rPr>
        <w:t>4.3.-</w:t>
      </w:r>
      <w:r>
        <w:rPr>
          <w:rFonts w:ascii="Calibri" w:eastAsia="Calibri" w:hAnsi="Calibri" w:cs="Calibri"/>
          <w:b/>
          <w:i w:val="0"/>
          <w:color w:val="000000"/>
          <w:sz w:val="20"/>
          <w:u w:val="none"/>
        </w:rPr>
        <w:tab/>
      </w:r>
      <w:r>
        <w:rPr>
          <w:rFonts w:ascii="Calibri" w:eastAsia="Calibri" w:hAnsi="Calibri" w:cs="Calibri"/>
          <w:b/>
          <w:i w:val="0"/>
          <w:color w:val="000000"/>
          <w:sz w:val="20"/>
          <w:u w:val="none"/>
        </w:rPr>
        <w:t>Beneficios por Indemnizaciones por cese pactadas (PIAS) y premios por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presente de las obligaciones por indemnizaciones por años de servicio pactadas y premios por antigüedad (“los beneficios”) depende de un número de factores que se determinan sobre bases actuariales usando un número de supuestos. Los supuestos usados al determinar el costo neto por los beneficios incluyen la tasa de descuento. Cualquier cambio en estos supuestos tendrá impacto en el valor en libros de la obligación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determinan la tasa de descuento al final de cada año que considera más apropiada de acuerdo a las condiciones de mercado a la fecha de valoración. Esta tasa de interés es la que utiliza Compañía General de Electricidad S.A. y subsidiarias para determinar el valor presente de las futuras salidas de flujos de efectivo estimadas que se prevé se requerirá para cancelar las obligaciones por planes de beneficios. Al determinar la tasa de descuento, Compañía General de Electricidad S.A. y subsidiarias consideran las tasas de interés de mercado de bonos que se denominan en la moneda en la que los beneficios se pagarán y que tienen plazos de vencimiento similares o que se aproximan a los plazos de las respectivas obligaciones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supuestos claves para establecer las obligaciones por planes de beneficios se basan en parte en las condiciones actuales del mercado. En la Nota 23.5 se presenta información adicional al respecto.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referida metodología utiliza supuestos críticos vinculados con tasa de interés, factores de reajustes e indexación y estimaciones de permanencia futura, cuya variación pueden generar modificaciones significativas sobre los estados financieros consolidados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84" w:name="Section46"/>
      <w:bookmarkEnd w:id="84"/>
      <w:bookmarkStart w:id="85" w:name="253009683d20424395e34d2de46c4974"/>
      <w:r>
        <w:rPr>
          <w:rFonts w:ascii="Calibri" w:eastAsia="Calibri" w:hAnsi="Calibri" w:cs="Calibri"/>
          <w:b/>
          <w:i w:val="0"/>
          <w:color w:val="000000"/>
          <w:sz w:val="20"/>
          <w:u w:val="none"/>
        </w:rPr>
        <w:t>4.4.-</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 y costos de energía - Efectos de Precios de Contratos de Suministro y de Precios de Transmisión.</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bookmarkEnd w:id="85"/>
    </w:p>
    <w:p>
      <w:pPr>
        <w:pStyle w:val="Normal-wk"/>
        <w:keepNext w:val="0"/>
        <w:keepLines/>
        <w:pageBreakBefore w:val="0"/>
        <w:widowControl w:val="0"/>
        <w:numPr>
          <w:ilvl w:val="0"/>
          <w:numId w:val="0"/>
        </w:numPr>
        <w:spacing w:before="0" w:after="0" w:line="240" w:lineRule="exact"/>
        <w:ind w:left="1417"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precios de compra de energía y potencia establecidos en los diversos contratos de suministro suscritos con generadores como resultado de los procesos licitatorios son traspasados a las tarifas de los clientes regulados mediante las fijaciones de precios de nudo promedio.</w:t>
      </w:r>
    </w:p>
    <w:p>
      <w:pPr>
        <w:keepNext w:val="0"/>
        <w:keepLines/>
        <w:pageBreakBefore w:val="0"/>
        <w:widowControl w:val="0"/>
        <w:numPr>
          <w:ilvl w:val="0"/>
          <w:numId w:val="0"/>
        </w:numPr>
        <w:spacing w:before="0" w:after="0" w:line="288" w:lineRule="auto"/>
        <w:ind w:left="1417" w:right="0" w:firstLine="1"/>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1417" w:right="0" w:firstLine="0"/>
        <w:jc w:val="both"/>
        <w:outlineLvl w:val="9"/>
        <w:rPr>
          <w:rFonts w:ascii="Aptos" w:eastAsia="Aptos" w:hAnsi="Aptos" w:cs="Aptos"/>
          <w:b w:val="0"/>
          <w:i w:val="0"/>
          <w:color w:val="000000"/>
          <w:sz w:val="24"/>
          <w:highlight w:val="white"/>
          <w:u w:val="none"/>
        </w:rPr>
      </w:pPr>
      <w:r>
        <w:rPr>
          <w:rFonts w:ascii="Calibri" w:eastAsia="Calibri" w:hAnsi="Calibri" w:cs="Calibri"/>
          <w:b w:val="0"/>
          <w:i w:val="0"/>
          <w:color w:val="000000"/>
          <w:sz w:val="20"/>
          <w:highlight w:val="white"/>
          <w:u w:val="none"/>
        </w:rPr>
        <w:t>En este contexto, el 20 de enero de 2026, fue publicado el Decreto de Precio de Nudo Promedio               N° 24T-2025, del Ministerio de Energía, mediante el cual se fijan los precios de nudo promedio con vigencia a contar del 1 de enero de 2026.</w:t>
      </w:r>
    </w:p>
    <w:p>
      <w:pPr>
        <w:keepNext w:val="0"/>
        <w:keepLines/>
        <w:pageBreakBefore w:val="0"/>
        <w:widowControl w:val="0"/>
        <w:numPr>
          <w:ilvl w:val="0"/>
          <w:numId w:val="0"/>
        </w:numPr>
        <w:spacing w:before="0" w:after="0" w:line="288" w:lineRule="auto"/>
        <w:ind w:left="1417"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sz w:val="20"/>
        </w:rPr>
        <w:t>Sin perjuicio de lo anterior, debe tenerse en cuenta que el 2 de noviembre de 2019 fue publicada en el Diario Oficial la Ley N° 21.185 que crea un mecanismo transitorio de estabilización de precios de la energía eléctrica para clientes regulados. Esta ley considera esencialmente:</w:t>
      </w:r>
    </w:p>
    <w:p>
      <w:pPr>
        <w:keepNext w:val="0"/>
        <w:keepLines/>
        <w:pageBreakBefore w:val="0"/>
        <w:widowControl w:val="0"/>
        <w:numPr>
          <w:ilvl w:val="0"/>
          <w:numId w:val="0"/>
        </w:numPr>
        <w:spacing w:before="0" w:after="0" w:line="288" w:lineRule="auto"/>
        <w:ind w:left="1413"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3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Entre el 1 de julio de 2019 y el 31 de diciembre de 2020, los precios que las distribuidoras traspasarán a sus clientes corresponderán a los de enero de 2019 (PEC, precio estabilizado a clientes).</w:t>
      </w:r>
    </w:p>
    <w:p>
      <w:pPr>
        <w:keepNext w:val="0"/>
        <w:keepLines/>
        <w:pageBreakBefore w:val="0"/>
        <w:widowControl w:val="0"/>
        <w:numPr>
          <w:ilvl w:val="0"/>
          <w:numId w:val="0"/>
        </w:numPr>
        <w:spacing w:before="0" w:after="0" w:line="288" w:lineRule="auto"/>
        <w:ind w:left="1406" w:right="0" w:firstLine="77"/>
        <w:jc w:val="both"/>
        <w:outlineLvl w:val="9"/>
        <w:rPr>
          <w:rFonts w:ascii="Calibri" w:eastAsia="Calibri" w:hAnsi="Calibri" w:cs="Calibri"/>
          <w:b w:val="0"/>
          <w:i w:val="0"/>
          <w:sz w:val="20"/>
        </w:rPr>
      </w:pPr>
    </w:p>
    <w:p>
      <w:pPr>
        <w:keepNext w:val="0"/>
        <w:keepLines/>
        <w:pageBreakBefore w:val="0"/>
        <w:widowControl w:val="0"/>
        <w:numPr>
          <w:ilvl w:val="0"/>
          <w:numId w:val="35"/>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Entre el 1 de enero de 2021 y hasta el término del mecanismo de estabilización (diciembre de 2027), podrán traspasar los precios de nudo promedio (PNP), los que no podrán superar el PEC reajustado por IPC a partir de enero de 2021.</w:t>
      </w:r>
    </w:p>
    <w:p>
      <w:pPr>
        <w:keepNext w:val="0"/>
        <w:keepLines/>
        <w:pageBreakBefore w:val="0"/>
        <w:widowControl w:val="0"/>
        <w:numPr>
          <w:ilvl w:val="0"/>
          <w:numId w:val="0"/>
        </w:numPr>
        <w:spacing w:before="0" w:after="0" w:line="288" w:lineRule="auto"/>
        <w:ind w:left="1406" w:right="0" w:firstLine="77"/>
        <w:jc w:val="both"/>
        <w:outlineLvl w:val="9"/>
        <w:rPr>
          <w:rFonts w:ascii="Calibri" w:eastAsia="Calibri" w:hAnsi="Calibri" w:cs="Calibri"/>
          <w:b w:val="0"/>
          <w:i w:val="0"/>
          <w:sz w:val="20"/>
        </w:rPr>
      </w:pPr>
    </w:p>
    <w:p>
      <w:pPr>
        <w:keepNext w:val="0"/>
        <w:keepLines/>
        <w:pageBreakBefore w:val="0"/>
        <w:widowControl w:val="0"/>
        <w:numPr>
          <w:ilvl w:val="0"/>
          <w:numId w:val="36"/>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 partir de esta ley y hasta el término del mecanismo, las distribuidoras pagarán los precios de nudo promedio con un factor de ajuste que asegure la coherencia con la recaudación esperada del PEC. En caso de que el cálculo de precios de nudo promedio sea mayor al PEC, los precios serán ajustados a la baja; en caso contrario, serán incrementados para cubrir saldos no recaudados.</w:t>
      </w:r>
    </w:p>
    <w:p>
      <w:pPr>
        <w:keepNext w:val="0"/>
        <w:keepLines/>
        <w:pageBreakBefore w:val="0"/>
        <w:widowControl w:val="0"/>
        <w:numPr>
          <w:ilvl w:val="0"/>
          <w:numId w:val="0"/>
        </w:numPr>
        <w:spacing w:before="0" w:after="0" w:line="288" w:lineRule="auto"/>
        <w:ind w:left="1406" w:right="0" w:firstLine="77"/>
        <w:jc w:val="both"/>
        <w:outlineLvl w:val="9"/>
        <w:rPr>
          <w:rFonts w:ascii="Calibri" w:eastAsia="Calibri" w:hAnsi="Calibri" w:cs="Calibri"/>
          <w:b w:val="0"/>
          <w:i w:val="0"/>
          <w:sz w:val="20"/>
        </w:rPr>
      </w:pPr>
    </w:p>
    <w:p>
      <w:pPr>
        <w:keepNext w:val="0"/>
        <w:keepLines/>
        <w:pageBreakBefore w:val="0"/>
        <w:widowControl w:val="0"/>
        <w:numPr>
          <w:ilvl w:val="0"/>
          <w:numId w:val="37"/>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La Comisión Nacional de Energía calculará, para cada contrato, las diferencias de facturación que se produzcan entre el precio establecido y el precio que se hubiera aplicado de acuerdo a dicho contrato. Este saldo en dólares será incorporado en los decretos tarifarios semestrales. A partir de julio de 2023 o hasta acumular un saldo US$ 1.350 millones, no se podrán incrementar los saldos no recaudados.</w:t>
      </w:r>
    </w:p>
    <w:p>
      <w:pPr>
        <w:keepNext w:val="0"/>
        <w:keepLines/>
        <w:pageBreakBefore w:val="0"/>
        <w:widowControl w:val="0"/>
        <w:numPr>
          <w:ilvl w:val="0"/>
          <w:numId w:val="0"/>
        </w:numPr>
        <w:spacing w:before="0" w:after="0" w:line="288" w:lineRule="auto"/>
        <w:ind w:left="1406" w:right="0" w:firstLine="77"/>
        <w:jc w:val="both"/>
        <w:outlineLvl w:val="9"/>
        <w:rPr>
          <w:rFonts w:ascii="Calibri" w:eastAsia="Calibri" w:hAnsi="Calibri" w:cs="Calibri"/>
          <w:b w:val="0"/>
          <w:i w:val="0"/>
          <w:sz w:val="20"/>
        </w:rPr>
      </w:pPr>
    </w:p>
    <w:p>
      <w:pPr>
        <w:keepNext w:val="0"/>
        <w:keepLines/>
        <w:pageBreakBefore w:val="0"/>
        <w:widowControl w:val="0"/>
        <w:numPr>
          <w:ilvl w:val="0"/>
          <w:numId w:val="38"/>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Los saldos no recaudados no devengarán interés, salvo a partir del 1 de enero de 2026 (libor de 6 meses más un spread correspondiente al riesgo país a la fecha de aplicación).</w:t>
      </w:r>
    </w:p>
    <w:p>
      <w:pPr>
        <w:keepNext w:val="0"/>
        <w:keepLines/>
        <w:pageBreakBefore w:val="0"/>
        <w:widowControl w:val="0"/>
        <w:numPr>
          <w:ilvl w:val="0"/>
          <w:numId w:val="0"/>
        </w:numPr>
        <w:spacing w:before="0" w:after="0" w:line="288" w:lineRule="auto"/>
        <w:ind w:left="1406" w:right="0" w:firstLine="77"/>
        <w:jc w:val="both"/>
        <w:outlineLvl w:val="9"/>
        <w:rPr>
          <w:rFonts w:ascii="Calibri" w:eastAsia="Calibri" w:hAnsi="Calibri" w:cs="Calibri"/>
          <w:b w:val="0"/>
          <w:i w:val="0"/>
          <w:sz w:val="20"/>
        </w:rPr>
      </w:pPr>
    </w:p>
    <w:p>
      <w:pPr>
        <w:keepNext w:val="0"/>
        <w:keepLines/>
        <w:pageBreakBefore w:val="0"/>
        <w:widowControl w:val="0"/>
        <w:numPr>
          <w:ilvl w:val="0"/>
          <w:numId w:val="39"/>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Se considerarán para el mecanismo sólo aquellos contratos que inicien suministro antes de 2021.</w:t>
      </w:r>
    </w:p>
    <w:p>
      <w:pPr>
        <w:keepNext w:val="0"/>
        <w:keepLines/>
        <w:pageBreakBefore w:val="0"/>
        <w:widowControl w:val="0"/>
        <w:numPr>
          <w:ilvl w:val="0"/>
          <w:numId w:val="0"/>
        </w:numPr>
        <w:spacing w:before="0" w:after="0" w:line="288" w:lineRule="auto"/>
        <w:ind w:left="1406" w:right="0" w:firstLine="77"/>
        <w:jc w:val="both"/>
        <w:outlineLvl w:val="9"/>
        <w:rPr>
          <w:rFonts w:ascii="Calibri" w:eastAsia="Calibri" w:hAnsi="Calibri" w:cs="Calibri"/>
          <w:b w:val="0"/>
          <w:i w:val="0"/>
          <w:sz w:val="20"/>
        </w:rPr>
      </w:pPr>
    </w:p>
    <w:p>
      <w:pPr>
        <w:keepNext w:val="0"/>
        <w:keepLines/>
        <w:pageBreakBefore w:val="0"/>
        <w:widowControl w:val="0"/>
        <w:numPr>
          <w:ilvl w:val="0"/>
          <w:numId w:val="40"/>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La Comisión Nacional de Energía deberá establecer mediante resolución exenta las reglas necesarias para la implementación del mecanismo de estabilización.</w:t>
      </w:r>
    </w:p>
    <w:p>
      <w:pPr>
        <w:keepNext w:val="0"/>
        <w:keepLines/>
        <w:pageBreakBefore w:val="0"/>
        <w:widowControl w:val="0"/>
        <w:numPr>
          <w:ilvl w:val="0"/>
          <w:numId w:val="0"/>
        </w:numPr>
        <w:spacing w:before="0" w:after="0" w:line="288" w:lineRule="auto"/>
        <w:ind w:left="1406" w:right="0" w:firstLine="77"/>
        <w:jc w:val="both"/>
        <w:outlineLvl w:val="9"/>
        <w:rPr>
          <w:rFonts w:ascii="Calibri" w:eastAsia="Calibri" w:hAnsi="Calibri" w:cs="Calibri"/>
          <w:b w:val="0"/>
          <w:i w:val="0"/>
          <w:sz w:val="20"/>
        </w:rPr>
      </w:pPr>
    </w:p>
    <w:p>
      <w:pPr>
        <w:keepNext w:val="0"/>
        <w:keepLines/>
        <w:pageBreakBefore w:val="0"/>
        <w:widowControl w:val="0"/>
        <w:numPr>
          <w:ilvl w:val="0"/>
          <w:numId w:val="41"/>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Se deroga el Decreto N° 7T-2019 (precios de nudo promedio de julio de 2019), extendiéndose la vigencia del Decreto N° 20T-2018 hasta la publicación del decreto que corresponda dictar con posterioridad a la entrada en vigencia de la ley.</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Así, mediante Resolución Exenta N° 72-2020 del 5 de marzo de 2020, la Comisión Nacional de Energía estableció las disposiciones, procedimientos, plazos y condiciones para la implementación del señalado mecanismo transitorio de estabilización de precios de energía eléctrica establecido en la Ley N° 21.185, la cual fue rectificada por diversas resoluciones exentas, fijándose un nuevo texto refundido mediante Resolución Exenta N° 342-2021 del 9 de septiembre de 2021, modificada mediante Resoluciones Exentas N° 514-2021 del 30 de noviembre de 2021 y N° 283-2022 del 21 de abril de 2022.</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Adicionalmente, en este mismo contexto, el 2 de agosto de 2022 fue publicada la Ley N° 21.472, mediante la cual se crea un fondo de estabilización tarifaria (FET), administrado por la Tesorería General de la República y solventado mediante un pago adicional unitario por kilowatt hora (kWh) en el cargo por servicio público y con aportes que deberá efectuar el Ministerio de Hacienda, determinado con criterios de solidaridad y proporcionalidad de acuerdo a tramos de consumo, y se establece un mecanismo transitorio de estabilización (MPC – Mecanismo de protección al cliente), complementario a aquel establecido en la Ley N° 21.185, que tiene por objetivo impedir el alza de las cuentas eléctricas durante el año 2022 y permitir únicamente alzas graduales hasta 2032.</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Las normas que regulan la operación del FET se encuentran establecidas en el reglamento aprobado mediante Decreto N° 49-2023 del Ministerio de Hacienda, suscrito además por el Ministro de Energía, publicado en el Diario Oficial el 29 de julio de 2023, mientras que las reglas necesarias para la implementación del MPC, de manera coordinada y complementaria con el mecanismo de estabilización establecido en la Ley N° 21.185 y en concordancia con los principios dispuestos en el artículo 2 de la referida ley, se establecieron mediante Resolución Exenta N° 86, de la Comisión Nacional de Energía, publicada en el Diario Oficial el 14 de marzo de 2023, modificada por Resolución Exenta N° 334-2023, publicada el 9 de agosto de 2023.</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particular, en la citada resolución se establece lo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42"/>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Los procedimientos y criterios para determinar los precios a nivel de generación traspasable a los clientes regulados necesarios para la aplicación de dicho mecanismo durante toda la vigencia de este y las reglas bajo las cuales los pagos de los precios de nudo de largo plazo deben ser efectuados por las empresas concesionarias de distribución a sus respectivos suministradores durante la vigencia del Mecanismo de Protección al Cliente;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43"/>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Las características de los Documentos de Pago emitidos por el Ministerio de Hacienda con el objeto de cubrir las diferencias que se produzcan entre la facturación de las empresas de distribución y el monto que corresponda pagar por el suministro eléctrico a las empresas de generación. La operación del Mecanismo de Protección al Cliente deberá resguardar el pago de la totalidad de los saldos originados bajo el mecanismo de estabilización de precios de la Ley            N° 21.185, a más tardar, el 31 de diciembre de 2027;</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keepNext w:val="0"/>
        <w:keepLines/>
        <w:pageBreakBefore w:val="0"/>
        <w:widowControl w:val="0"/>
        <w:numPr>
          <w:ilvl w:val="0"/>
          <w:numId w:val="4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Que el Mecanismo de Protección al Cliente (MPC) regirá a partir del 2 de agosto del año 2022, fecha en que se publicó y entró en vigencia la Ley N° 21.472 hasta la fecha en que se pague todo el saldo final restante originado por la aplicación del mismo, lo que deberá efectuarse, a más tardar, el 31 de diciembre de 2032;</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keepNext w:val="0"/>
        <w:keepLines/>
        <w:pageBreakBefore w:val="0"/>
        <w:widowControl w:val="0"/>
        <w:numPr>
          <w:ilvl w:val="0"/>
          <w:numId w:val="45"/>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Las condiciones de aplicación del Cargo MPC, cuyo objetivo es recaudar recursos para el Fondo de Estabilización de Tarifas que permitan pagar el saldo final restante antes del término de la vigencia del Mecanismo de Protección al Cliente.</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Finalmente, en relación con los precios de compra de energía y potencia, el 30 de abril de 2024 se publicó en el Diario Oficial la Ley N° 21.667, mediante la cual se modifica diversos cuerpos legales en materia de estabilización tarifaria. Las principales materias establecidas en la ley corresponden 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46"/>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El Fondo de Estabilización de Tarifas tiene por objeto estabilizar las tarifas de los clientes regulados y pagar los saldos originados por las Leyes N° 21.185 y N° 21.472; será administrado por la Tesorería General de la República (TGR); su vigencia y los cargos que lo financian no excederán del 31 de diciembre de 2035.</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keepNext w:val="0"/>
        <w:keepLines/>
        <w:pageBreakBefore w:val="0"/>
        <w:widowControl w:val="0"/>
        <w:numPr>
          <w:ilvl w:val="0"/>
          <w:numId w:val="47"/>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En relación con el Mecanismo de protección al cliente (MPC):</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48"/>
        </w:numPr>
        <w:spacing w:before="0" w:after="0" w:line="288" w:lineRule="auto"/>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aumenta monto de US$ 1.800 millones a US$ 5.500 millones.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48"/>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Para el año 2023 se deberán aplicar los valores del Decreto N° 16T-2022 (precio de nudo promedio del segundo semestre de 2022).</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48"/>
        </w:numPr>
        <w:spacing w:before="0" w:after="0" w:line="288" w:lineRule="auto"/>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definen 2 tramos de consumo (antes eran 3): clientes con consumo menor o igual a 350 kWh y clientes con consumo mayor a 350 kWh.</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48"/>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El cargo MPC de la Ley N° 21.472 se fijará en 22 $/kWh (reajustable por IPC) para los años 2024 a 2027 y en 9 $/kWh (reajustable por IPC) para los años 2028 a 2035.</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Pagos de saldos Leyes N° 21.185 y N° 21.472:</w:t>
      </w:r>
    </w:p>
    <w:p>
      <w:pPr>
        <w:keepNext w:val="0"/>
        <w:keepLines/>
        <w:pageBreakBefore w:val="0"/>
        <w:widowControl w:val="0"/>
        <w:numPr>
          <w:ilvl w:val="0"/>
          <w:numId w:val="49"/>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Desde la entrada en vigencia de la ley y al 31 de diciembre de 2027 se pagarán los saldos de la Ley N° 21.185 y documentos de pago emitidos por la Tesorería General de la República hasta alcanzar un monto de US$ 1.800 millones.</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49"/>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Desde el 1 de enero de 2028 se restituirán los saldos adeudados de la Ley N° 21.472 y documentos de pago que se originen con aplicación de la ley, debiéndose extinguir la deuda, a más tardar, el 31 de diciembre de 2035.</w:t>
      </w:r>
    </w:p>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Descongelamiento progresivo del Valor Agregado de Distribución (VAD), según las siguientes reglas:</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50"/>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Para las Cooperativas: Se descongela VAD a contar de la publicación del decreto de precio de nudo promedio (decreto PNP) del primer semestre de 2024.</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50"/>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Para las demás concesionarias de distribución: Se descongela VAD a contar de la publicación del decreto PNP segundo semestre de 2024, con límite de aumento de 10% respecto a la tarifa congeladas. A contar de la publicación del decreto PNP del primer semestre de 2025 se aumenta el límite a 20%, y a contar de la publicación del decreto PNP del segundo semestre 2025 no habrá límite.</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50"/>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Una vez que se publique el decreto VAD 2020-2024, se deberán aplicar los nuevos niveles tarifarios que en él se establezcan y se deberán aplicar las correspondientes reliquidaciones.</w:t>
      </w:r>
    </w:p>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Subsidio transitorio:</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51"/>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establece un subsidio transitorio de hasta US$ 120 millones anuales, para los años 2024, 2025 y 2026, dirigido a familias de menores recursos, con el fin de paliar los aumentos en el ejercicio en que los precios de energía experimentarán las mayores alzas.</w:t>
      </w:r>
    </w:p>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Disposiciones transitorias:</w:t>
      </w:r>
    </w:p>
    <w:p>
      <w:pPr>
        <w:keepNext w:val="0"/>
        <w:keepLines/>
        <w:pageBreakBefore w:val="0"/>
        <w:widowControl w:val="0"/>
        <w:numPr>
          <w:ilvl w:val="0"/>
          <w:numId w:val="0"/>
        </w:numPr>
        <w:spacing w:before="0" w:after="0" w:line="288" w:lineRule="auto"/>
        <w:ind w:left="981" w:right="0" w:firstLine="73"/>
        <w:jc w:val="both"/>
        <w:outlineLvl w:val="9"/>
        <w:rPr>
          <w:rFonts w:ascii="Calibri" w:eastAsia="Calibri" w:hAnsi="Calibri" w:cs="Calibri"/>
          <w:b w:val="0"/>
          <w:i w:val="0"/>
          <w:sz w:val="20"/>
        </w:rPr>
      </w:pPr>
    </w:p>
    <w:p>
      <w:pPr>
        <w:keepNext w:val="0"/>
        <w:keepLines/>
        <w:pageBreakBefore w:val="0"/>
        <w:widowControl w:val="0"/>
        <w:numPr>
          <w:ilvl w:val="0"/>
          <w:numId w:val="52"/>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Los informes técnicos de precios de nudo promedio del primer semestre de 2024, del segundo semestre de 2024 y del primer semestre de 2025, deberán contener un cálculo de las diferencias de facturación no pagadas contabilizadas en los ejercicios comprendidos hasta el 31 de octubre de 2023, entre el 1 de noviembre de 2023 y el 29 de febrero de 2024, y entre el 1 de marzo de 2024 y el 30 de junio de 2024, respectivamente. Una vez publicados en el Diario Oficial los respectivos decretos tarifarios de precios de nudo promedio, los suministradores podrán emitir al Coordinador Independiente del Sistema Eléctrico Nacional un documento de cobro por las referidas diferencias de facturación.</w:t>
      </w:r>
    </w:p>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p>
      <w:pPr>
        <w:keepNext w:val="0"/>
        <w:keepLines/>
        <w:pageBreakBefore w:val="0"/>
        <w:widowControl w:val="0"/>
        <w:numPr>
          <w:ilvl w:val="0"/>
          <w:numId w:val="52"/>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Se faculta al Ministerio de Energía para publicar los precios de nudo promedio, correspondientes al primer y segundo semestre del 2024, sin contar con la toma de razón por parte de la Contraloría General de la República.</w:t>
      </w:r>
    </w:p>
    <w:p>
      <w:pPr>
        <w:keepNext w:val="0"/>
        <w:keepLines/>
        <w:pageBreakBefore w:val="0"/>
        <w:widowControl w:val="0"/>
        <w:numPr>
          <w:ilvl w:val="0"/>
          <w:numId w:val="0"/>
        </w:numPr>
        <w:spacing w:before="0" w:after="0" w:line="288" w:lineRule="auto"/>
        <w:ind w:left="1406" w:right="0" w:hanging="65"/>
        <w:jc w:val="both"/>
        <w:outlineLvl w:val="9"/>
        <w:rPr>
          <w:rFonts w:ascii="Calibri" w:eastAsia="Calibri" w:hAnsi="Calibri" w:cs="Calibri"/>
          <w:b w:val="0"/>
          <w:i w:val="0"/>
          <w:sz w:val="20"/>
        </w:rPr>
      </w:pPr>
    </w:p>
    <w:p>
      <w:pPr>
        <w:keepNext w:val="0"/>
        <w:keepLines/>
        <w:pageBreakBefore w:val="0"/>
        <w:widowControl w:val="0"/>
        <w:numPr>
          <w:ilvl w:val="0"/>
          <w:numId w:val="52"/>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De manera similar, se faculta al Ministerio de Energía para publicar el decreto de fijación del Valor Agregado de Distribución del cuadrienio 2020-2024, sin contar con la toma de razón por parte de la Contraloría General de la República. Sin perjuicio de ello, las reliquidaciones que le corresponde instruir a la Superintendencia de Electricidad y Combustibles (SEC), solo podrán ser realizadas una vez que se concluya la total tramitación del decreto por parte de Contraloría.</w:t>
      </w:r>
    </w:p>
    <w:p>
      <w:pPr>
        <w:keepNext w:val="0"/>
        <w:keepLines/>
        <w:pageBreakBefore w:val="0"/>
        <w:widowControl w:val="0"/>
        <w:numPr>
          <w:ilvl w:val="0"/>
          <w:numId w:val="0"/>
        </w:numPr>
        <w:spacing w:before="0" w:after="0" w:line="288" w:lineRule="auto"/>
        <w:ind w:left="1406" w:right="0" w:hanging="65"/>
        <w:jc w:val="both"/>
        <w:outlineLvl w:val="9"/>
        <w:rPr>
          <w:rFonts w:ascii="Calibri" w:eastAsia="Calibri" w:hAnsi="Calibri" w:cs="Calibri"/>
          <w:b w:val="0"/>
          <w:i w:val="0"/>
          <w:sz w:val="20"/>
        </w:rPr>
      </w:pPr>
    </w:p>
    <w:p>
      <w:pPr>
        <w:keepNext w:val="0"/>
        <w:keepLines/>
        <w:pageBreakBefore w:val="0"/>
        <w:widowControl w:val="0"/>
        <w:numPr>
          <w:ilvl w:val="0"/>
          <w:numId w:val="52"/>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Dentro de los treinta días corridos contados a partir de la publicación de la ley se constituirá una mesa técnica asesora, por cuatro meses, que tendrá por objeto evaluar otras fuentes de financiamiento, a efectos de aumentar el monto anual de subsidio transitorio, así como otras políticas destinadas a disminuir el alza de la tarifa eléctrica para los clientes regulados. La mesa técnica asesora deberá remitir al Ministerio de Energía y a las Comisiones de Minería y Energía de ambas Cámaras del Congreso Nacional un informe con las recomendaciones y conclusiones asociadas a los objetivos propuestos.</w:t>
      </w:r>
    </w:p>
    <w:p>
      <w:pPr>
        <w:keepNext w:val="0"/>
        <w:keepLines/>
        <w:pageBreakBefore w:val="0"/>
        <w:widowControl w:val="0"/>
        <w:numPr>
          <w:ilvl w:val="0"/>
          <w:numId w:val="0"/>
        </w:numPr>
        <w:spacing w:before="0" w:after="0" w:line="288" w:lineRule="auto"/>
        <w:ind w:left="144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Por otro lado, en relación con la remuneración de las instalaciones de transmisión, el 16 de febrero de 2023 fue publicado el Decreto N° 7T-2022, mediante el cual se fija el valor anual de transmisión para las instalaciones de transmisión nacional, zonal y dedicado utilizadas por usuarios sujetos a regulación de precios para el cuadrienio 2020-2023, cuyos valores tienen vigencia desde el 1 de enero de 2020.</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cargos de transmisión aplicables a los clientes finales, considerando el decreto señalado precedentemente, junto con los valores adjudicados como resultados de los procesos de licitación de instalaciones de transmisión efectuados, son fijados semestralmente por la Comisión Nacional de Energía.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Particularmente, en los informes que determinan los cargos de transmisión con vigencia a contar del 1 de enero de 2020 y siguientes, la Comisión Nacional de Energía ha incorporado un mecanismo de ajuste de los cargos de transmisión que permite evitar excesivas variaciones de estos y, por tanto, reducir en la medida de lo posible la afectación a los clientes finales sujetos a fijación de precios.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0"/>
        </w:numPr>
        <w:spacing w:before="0" w:after="0" w:line="230" w:lineRule="exact"/>
        <w:ind w:left="1417" w:right="0" w:firstLine="0"/>
        <w:jc w:val="both"/>
        <w:outlineLvl w:val="9"/>
        <w:rPr>
          <w:rFonts w:ascii="Aptos" w:eastAsia="Aptos" w:hAnsi="Aptos" w:cs="Aptos"/>
          <w:b w:val="0"/>
          <w:i w:val="0"/>
          <w:color w:val="000000"/>
          <w:sz w:val="24"/>
          <w:highlight w:val="white"/>
          <w:u w:val="none"/>
        </w:rPr>
      </w:pPr>
      <w:r>
        <w:rPr>
          <w:rFonts w:ascii="Calibri" w:eastAsia="Calibri" w:hAnsi="Calibri" w:cs="Calibri"/>
          <w:b w:val="0"/>
          <w:i w:val="0"/>
          <w:color w:val="000000"/>
          <w:sz w:val="20"/>
          <w:highlight w:val="white"/>
          <w:u w:val="none"/>
        </w:rPr>
        <w:t>Al respecto, el 23 de diciembre de 2025 se publicó la Resolución Exenta N° 780-2025 de la Comisión Nacional de Energía, que aprueba el Informe Técnico Definitivo para la fijación de los cargos de transmisión que entraron en vigor a partir del 1 de enero de 2026, según los valores contenidos en el Decreto N° 7T-2022 que determina el valor Anual de Transmisión por Tramo del cuadrienio 2020-2023.</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4"/>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Finalmente, la Ley N° 21.194, publicada el 21 de diciembre de 2019, estableció un mecanismo transitorio para que los niveles de precios asociados al Valor Agregado de Distribución que estén siendo aplicados a la fecha de su publicación, permanezcan constantes hasta el término de su vigencia, debiendo las diferencias ser incorporadas a las tarifas resultantes de los siguientes procesos de tarificación de los suministros a clientes regulados.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2"/>
        </w:rPr>
      </w:pPr>
      <w:r>
        <w:rPr>
          <w:rFonts w:ascii="Calibri" w:eastAsia="Calibri" w:hAnsi="Calibri" w:cs="Calibri"/>
          <w:b w:val="0"/>
          <w:i w:val="0"/>
          <w:sz w:val="20"/>
        </w:rPr>
        <w:t>Al respecto, de acuerdo con lo establecido en la Ley N° 21.667, a contar del 7 de junio de 2024, fecha de publicación del Decreto N° 5T-2024 del Ministerio de Energía, que fija las fórmulas tarifarias aplicables a clientes finales sujetos a fijación de precios regulados, Compañía General de Electricidad S.A. ha aplicado los niveles tarifarios contenidos en este. Posteriormente, el 9 de abril de 2025 la Contraloría General de la República dio curso al Decreto N° 5T-2024, el que, en atención a las enmiendas incorporadas por ese organismo, fue publicado nuevamente el 21 de abril de 2025 en el Diario Oficial, lo que dará lugar a las reliquidaciones que correspondan, previas instrucciones de la Superintendencia de Electricidad y Combustibles.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Con todo, las diferencias originadas por la aplicación de los referidos decretos de precios de nudo promedio, de las resoluciones que fijen los cargos de transmisión y de los decretos que fijen los cargos de distribución, ya sea debido a que se publiquen en fechas posteriores a las del inicio de sus vigencias o a la implementación de los mecanismos de estabilización descritos precedentemente, deberán ser traspasadas a los clientes regulados, lo que hace necesario reflejar en los balances y estados de resultados los efectos que tendrá en las cuentas de los clientes finales.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mbria" w:eastAsia="Cambria" w:hAnsi="Cambria" w:cs="Cambria"/>
          <w:b/>
          <w:i w:val="0"/>
          <w:color w:val="365F91"/>
          <w:sz w:val="28"/>
          <w:u w:val="none"/>
        </w:rPr>
      </w:pPr>
      <w:bookmarkStart w:id="86" w:name="Section47"/>
      <w:bookmarkEnd w:id="86"/>
    </w:p>
    <w:p>
      <w:pPr>
        <w:pStyle w:val="Heading1-wk"/>
        <w:keepNext/>
        <w:keepLines/>
        <w:pageBreakBefore/>
        <w:widowControl w:val="0"/>
        <w:numPr>
          <w:ilvl w:val="0"/>
          <w:numId w:val="0"/>
        </w:numPr>
        <w:tabs>
          <w:tab w:val="left" w:pos="700"/>
        </w:tabs>
        <w:spacing w:before="0" w:after="0" w:line="200" w:lineRule="exact"/>
        <w:ind w:left="0" w:right="0" w:firstLine="0"/>
        <w:jc w:val="left"/>
        <w:outlineLvl w:val="0"/>
        <w:rPr>
          <w:rFonts w:ascii="Cambria" w:eastAsia="Cambria" w:hAnsi="Cambria" w:cs="Cambria"/>
          <w:b/>
          <w:i w:val="0"/>
          <w:color w:val="365F91"/>
          <w:sz w:val="28"/>
          <w:u w:val="none"/>
        </w:rPr>
      </w:pPr>
      <w:bookmarkStart w:id="87" w:name="a48689a7a4a5496481b21a3c87a4de86"/>
      <w:r>
        <w:rPr>
          <w:rFonts w:ascii="Calibri" w:eastAsia="Calibri" w:hAnsi="Calibri" w:cs="Calibri"/>
          <w:b/>
          <w:i w:val="0"/>
          <w:color w:val="000000"/>
          <w:sz w:val="20"/>
          <w:u w:val="none"/>
        </w:rPr>
        <w:t>5.-</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GESTIÓN DE RIESGOS.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7"/>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factores de riesgo a los que están sujetas Compañía General de Electricidad S.A. y sus subsidiarias son de carácter general y se enumeran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88" w:name="Section48"/>
      <w:bookmarkEnd w:id="88"/>
      <w:bookmarkStart w:id="89" w:name="27a0e9f59b7847ae8d6ad6d1960954b7"/>
      <w:r>
        <w:rPr>
          <w:rFonts w:ascii="Calibri" w:eastAsia="Calibri" w:hAnsi="Calibri" w:cs="Calibri"/>
          <w:b/>
          <w:i w:val="0"/>
          <w:color w:val="000000"/>
          <w:sz w:val="20"/>
          <w:u w:val="none"/>
        </w:rPr>
        <w:t>5.1.-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financiero.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9"/>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pesar de que los negocios en que participa Compañía General de Electricidad S.A. son fundamentalmente en pesos, se ha determinado como política mantener un equilibrio entre los flujos operacionales y los flujos de sus deudas financieras, con el objetivo de minimizar una eventual exposición al riesgo de variación del tipo de cambio y la unidad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atención a lo anterior, a nivel corporativo se definen, coordinan y controlan las estructuras financieras de las empresas que conforman Compañía General de Electricidad S.A., en orden a prevenir y mitigar las consecuencias financieras negativas ante la posibilidad de ocurrencia de los principales riesgos financieros identificados.</w:t>
      </w:r>
    </w:p>
    <w:p>
      <w:pPr>
        <w:keepNext w:val="0"/>
        <w:keepLines/>
        <w:pageBreakBefore w:val="0"/>
        <w:widowControl w:val="0"/>
        <w:numPr>
          <w:ilvl w:val="0"/>
          <w:numId w:val="0"/>
        </w:numPr>
        <w:tabs>
          <w:tab w:val="left" w:pos="700"/>
        </w:tabs>
        <w:spacing w:before="0" w:after="0" w:line="288" w:lineRule="auto"/>
        <w:ind w:left="1984" w:right="0" w:hanging="56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5.1.1.- </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tipo de cambio y unidades de reajuste. </w:t>
      </w:r>
    </w:p>
    <w:p>
      <w:pPr>
        <w:keepNext w:val="0"/>
        <w:keepLines/>
        <w:pageBreakBefore w:val="0"/>
        <w:widowControl w:val="0"/>
        <w:numPr>
          <w:ilvl w:val="0"/>
          <w:numId w:val="0"/>
        </w:numPr>
        <w:spacing w:before="0" w:after="0" w:line="288" w:lineRule="auto"/>
        <w:ind w:left="1984" w:right="0" w:hanging="56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Debido a que los negocios en que participan las empresas de Compañía General de Electricidad S.A. son fundamentalmente en pesos, se ha determinado como política minimizar la exposición al riesgo de variaciones en el tipo de cambio y unidades de reajuste entre sus flujos operacionales y de sus obligaciones financieras.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1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05"/>
        <w:gridCol w:w="1200"/>
        <w:gridCol w:w="1005"/>
        <w:gridCol w:w="1200"/>
        <w:gridCol w:w="1005"/>
      </w:tblGrid>
      <w:tr>
        <w:tblPrEx>
          <w:tblW w:w="7815" w:type="dxa"/>
          <w:tblInd w:w="2126" w:type="dxa"/>
          <w:tblLayout w:type="fixed"/>
        </w:tblPrEx>
        <w:trPr>
          <w:cantSplit/>
          <w:trHeight w:hRule="auto" w:val="0"/>
        </w:trPr>
        <w:tc>
          <w:tcPr>
            <w:tcW w:w="34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deuda</w:t>
            </w:r>
          </w:p>
        </w:tc>
        <w:tc>
          <w:tcPr>
            <w:tcW w:w="2205"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205"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15" w:type="dxa"/>
          <w:tblInd w:w="2126" w:type="dxa"/>
          <w:tblLayout w:type="fixed"/>
        </w:tblPrEx>
        <w:trPr>
          <w:cantSplit/>
          <w:trHeight w:hRule="auto" w:val="0"/>
        </w:trPr>
        <w:tc>
          <w:tcPr>
            <w:tcW w:w="340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15" w:type="dxa"/>
          <w:tblInd w:w="2126"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CL$.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10.788.626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25,25 %</w:t>
              <w:tab/>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277.224.333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22,77 %</w:t>
              <w:tab/>
            </w:r>
          </w:p>
        </w:tc>
      </w:tr>
      <w:tr>
        <w:tblPrEx>
          <w:tblW w:w="7815" w:type="dxa"/>
          <w:tblInd w:w="2126"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unidades de fomento.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202"/>
              </w:tabs>
              <w:spacing w:before="0" w:after="0" w:line="240" w:lineRule="auto"/>
              <w:jc w:val="right"/>
            </w:pPr>
            <w:r>
              <w:rPr>
                <w:rFonts w:ascii="Calibri" w:eastAsia="Calibri" w:hAnsi="Calibri" w:cs="Calibri"/>
                <w:b w:val="0"/>
                <w:i w:val="0"/>
                <w:color w:val="000000"/>
                <w:sz w:val="16"/>
                <w:u w:val="none"/>
              </w:rPr>
              <w:tab/>
              <w:t xml:space="preserve"> %</w:t>
              <w:tab/>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668.962.806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54,94 %</w:t>
              <w:tab/>
            </w:r>
          </w:p>
        </w:tc>
      </w:tr>
      <w:tr>
        <w:tblPrEx>
          <w:tblW w:w="7815" w:type="dxa"/>
          <w:tblInd w:w="2126"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moneda extranjera.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22.513.357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52,71 %</w:t>
              <w:tab/>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22.129.061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485"/>
              </w:tabs>
              <w:spacing w:before="0" w:after="0" w:line="240" w:lineRule="auto"/>
              <w:jc w:val="right"/>
            </w:pPr>
            <w:r>
              <w:rPr>
                <w:rFonts w:ascii="Calibri" w:eastAsia="Calibri" w:hAnsi="Calibri" w:cs="Calibri"/>
                <w:b w:val="0"/>
                <w:i w:val="0"/>
                <w:color w:val="000000"/>
                <w:sz w:val="16"/>
                <w:u w:val="none"/>
              </w:rPr>
              <w:tab/>
              <w:t>1,81 %</w:t>
              <w:tab/>
            </w:r>
          </w:p>
        </w:tc>
      </w:tr>
      <w:tr>
        <w:tblPrEx>
          <w:tblW w:w="7815" w:type="dxa"/>
          <w:tblInd w:w="2126"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Deuda en moneda extranjera - con cobertura.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9.411.855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22,03 %</w:t>
              <w:tab/>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249.313.628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566"/>
              </w:tabs>
              <w:spacing w:before="0" w:after="0" w:line="240" w:lineRule="auto"/>
              <w:jc w:val="right"/>
            </w:pPr>
            <w:r>
              <w:rPr>
                <w:rFonts w:ascii="Calibri" w:eastAsia="Calibri" w:hAnsi="Calibri" w:cs="Calibri"/>
                <w:b w:val="0"/>
                <w:i w:val="0"/>
                <w:color w:val="000000"/>
                <w:sz w:val="16"/>
                <w:u w:val="none"/>
              </w:rPr>
              <w:tab/>
              <w:t>20,48 %</w:t>
              <w:tab/>
            </w:r>
          </w:p>
        </w:tc>
      </w:tr>
      <w:tr>
        <w:tblPrEx>
          <w:tblW w:w="7815" w:type="dxa"/>
          <w:tblInd w:w="2126" w:type="dxa"/>
          <w:tblLayout w:type="fixed"/>
        </w:tblPrEx>
        <w:trPr>
          <w:cantSplit/>
          <w:trHeight w:hRule="auto" w:val="0"/>
        </w:trPr>
        <w:tc>
          <w:tcPr>
            <w:tcW w:w="3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deuda financiera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42.713.838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568"/>
              </w:tabs>
              <w:spacing w:before="0" w:after="0" w:line="240" w:lineRule="auto"/>
              <w:jc w:val="right"/>
            </w:pPr>
            <w:r>
              <w:rPr>
                <w:rFonts w:ascii="Calibri" w:eastAsia="Calibri" w:hAnsi="Calibri" w:cs="Calibri"/>
                <w:b/>
                <w:i w:val="0"/>
                <w:color w:val="FFFFFF"/>
                <w:sz w:val="16"/>
                <w:u w:val="none"/>
              </w:rPr>
              <w:tab/>
              <w:t>99,99 %</w:t>
              <w:tab/>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1.217.629.828</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649"/>
              </w:tabs>
              <w:spacing w:before="0" w:after="0" w:line="240" w:lineRule="auto"/>
              <w:jc w:val="right"/>
            </w:pPr>
            <w:r>
              <w:rPr>
                <w:rFonts w:ascii="Calibri" w:eastAsia="Calibri" w:hAnsi="Calibri" w:cs="Calibri"/>
                <w:b/>
                <w:i w:val="0"/>
                <w:color w:val="FFFFFF"/>
                <w:sz w:val="16"/>
                <w:u w:val="none"/>
              </w:rPr>
              <w:tab/>
              <w:t>100,00 %</w:t>
              <w:tab/>
            </w:r>
          </w:p>
        </w:tc>
      </w:tr>
    </w:tbl>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Con el objetivo de cubrir los riesgos asociados a la variación de moneda extranjera, existen derivados de cobertura US $/CL $ y CNH $/CL $ para la deuda financiera. Tras la aplicación de estas coberturas, el porcentaje total de la deuda financiera en CL $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alcanza el </w:t>
      </w:r>
      <w:r>
        <w:rPr>
          <w:rFonts w:ascii="Calibri" w:eastAsia="Calibri" w:hAnsi="Calibri" w:cs="Calibri"/>
          <w:b w:val="0"/>
          <w:i w:val="0"/>
          <w:color w:val="000000"/>
          <w:sz w:val="20"/>
          <w:u w:val="none"/>
        </w:rPr>
        <w:t>47,28%</w:t>
      </w:r>
      <w:r>
        <w:rPr>
          <w:rFonts w:ascii="Calibri" w:eastAsia="Calibri" w:hAnsi="Calibri" w:cs="Calibri"/>
          <w:b w:val="0"/>
          <w:i w:val="0"/>
          <w:sz w:val="20"/>
        </w:rPr>
        <w:t xml:space="preserve"> y de </w:t>
      </w:r>
      <w:r>
        <w:rPr>
          <w:rFonts w:ascii="Calibri" w:eastAsia="Calibri" w:hAnsi="Calibri" w:cs="Calibri"/>
          <w:b w:val="0"/>
          <w:i w:val="0"/>
          <w:color w:val="000000"/>
          <w:sz w:val="20"/>
          <w:u w:val="none"/>
        </w:rPr>
        <w:t>43,25%</w:t>
      </w:r>
      <w:r>
        <w:rPr>
          <w:rFonts w:ascii="Calibri" w:eastAsia="Calibri" w:hAnsi="Calibri" w:cs="Calibri"/>
          <w:b w:val="0"/>
          <w:i w:val="0"/>
          <w:sz w:val="20"/>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Compañía General de Electricidad S.A. y sus subsidiarias mantienen un </w:t>
      </w:r>
      <w:r>
        <w:rPr>
          <w:rFonts w:ascii="Calibri" w:eastAsia="Calibri" w:hAnsi="Calibri" w:cs="Calibri"/>
          <w:b w:val="0"/>
          <w:i w:val="0"/>
          <w:color w:val="000000"/>
          <w:sz w:val="20"/>
          <w:u w:val="none"/>
        </w:rPr>
        <w:t>%</w:t>
      </w:r>
      <w:r>
        <w:rPr>
          <w:rFonts w:ascii="Calibri" w:eastAsia="Calibri" w:hAnsi="Calibri" w:cs="Calibri"/>
          <w:b w:val="0"/>
          <w:i w:val="0"/>
          <w:sz w:val="20"/>
        </w:rPr>
        <w:t xml:space="preserve"> de su deuda financiera denominada en UF que no está cubierta con ningún instrumento de cobertura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es de </w:t>
      </w:r>
      <w:r>
        <w:rPr>
          <w:rFonts w:ascii="Calibri" w:eastAsia="Calibri" w:hAnsi="Calibri" w:cs="Calibri"/>
          <w:b w:val="0"/>
          <w:i w:val="0"/>
          <w:color w:val="000000"/>
          <w:sz w:val="20"/>
          <w:u w:val="none"/>
        </w:rPr>
        <w:t>54,94%</w:t>
      </w:r>
      <w:r>
        <w:rPr>
          <w:rFonts w:ascii="Calibri" w:eastAsia="Calibri" w:hAnsi="Calibri" w:cs="Calibri"/>
          <w:b w:val="0"/>
          <w:i w:val="0"/>
          <w:sz w:val="20"/>
        </w:rPr>
        <w:t xml:space="preserve">). Para dimensionar el efecto de la variación de la UF en el resultado financiero, se realizó una sensibilización de esta unidad de reajuste, determinando que ante un alza de un 1% en el valor de la UF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el resultado financiero habría disminuido en M$ </w:t>
      </w:r>
      <w:r>
        <w:rPr>
          <w:rFonts w:ascii="Calibri" w:eastAsia="Calibri" w:hAnsi="Calibri" w:cs="Calibri"/>
          <w:b w:val="0"/>
          <w:i w:val="0"/>
          <w:color w:val="000000"/>
          <w:sz w:val="20"/>
          <w:u w:val="none"/>
        </w:rPr>
        <w:t>—</w:t>
      </w:r>
      <w:r>
        <w:rPr>
          <w:rFonts w:ascii="Calibri" w:eastAsia="Calibri" w:hAnsi="Calibri" w:cs="Calibri"/>
          <w:b w:val="0"/>
          <w:i w:val="0"/>
          <w:sz w:val="20"/>
        </w:rPr>
        <w:t xml:space="preserve"> y un aumento por la misma cifra hubiera sucedido ante una disminución de 1% en la UF. Comparativamente,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un alza de un 1% en el valor de la UF habría generado una disminución en el resultado financiero de M$ </w:t>
      </w:r>
      <w:r>
        <w:rPr>
          <w:rFonts w:ascii="Calibri" w:eastAsia="Calibri" w:hAnsi="Calibri" w:cs="Calibri"/>
          <w:b w:val="0"/>
          <w:i w:val="0"/>
          <w:color w:val="000000"/>
          <w:sz w:val="20"/>
          <w:u w:val="none"/>
        </w:rPr>
        <w:t>6.689.628</w:t>
      </w:r>
      <w:r>
        <w:rPr>
          <w:rFonts w:ascii="Calibri" w:eastAsia="Calibri" w:hAnsi="Calibri" w:cs="Calibri"/>
          <w:b w:val="0"/>
          <w:i w:val="0"/>
          <w:sz w:val="20"/>
        </w:rPr>
        <w:t xml:space="preserve"> y un aumento por la misma cifra hubiera sucedido ante una disminución de 1% en la UF, reflejando la diferencia en el impacto entre ambos ejercicios.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Compañía General de Electricidad S.A. cuenta con deuda financiera en moneda extranjera que no posee algún instrumento de cobertura asociado por MUS$ </w:t>
      </w:r>
      <w:r>
        <w:rPr>
          <w:rFonts w:ascii="Calibri" w:eastAsia="Calibri" w:hAnsi="Calibri" w:cs="Calibri"/>
          <w:b w:val="0"/>
          <w:i w:val="0"/>
          <w:color w:val="000000"/>
          <w:sz w:val="20"/>
          <w:u w:val="none"/>
        </w:rPr>
        <w:t>#DIV/0!</w:t>
      </w:r>
      <w:r>
        <w:rPr>
          <w:rFonts w:ascii="Calibri" w:eastAsia="Calibri" w:hAnsi="Calibri" w:cs="Calibri"/>
          <w:b w:val="0"/>
          <w:i w:val="0"/>
          <w:sz w:val="20"/>
        </w:rPr>
        <w:t>, en consecuencia, la deuda se encuentra afecta al riesgo de variación de tipo de cambio. Al</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la Sociedad tenía una deuda denominada en moneda extranjera sin cobertura por el equivalente a MUS$ </w:t>
      </w:r>
      <w:r>
        <w:rPr>
          <w:rFonts w:ascii="Calibri" w:eastAsia="Calibri" w:hAnsi="Calibri" w:cs="Calibri"/>
          <w:b w:val="0"/>
          <w:i w:val="0"/>
          <w:color w:val="000000"/>
          <w:sz w:val="20"/>
          <w:u w:val="none"/>
        </w:rPr>
        <w:t>24.395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Debido a esta razón, se efectúa un análisis de sensibilidad sobre aquella parte de la deuda expresada en moneda extranjera que no posee algún instrumento de cobertura asociado, con el objeto de determinar el impacto en los resultados de Compañía General de Electricidad S.A. ante la variación en el tipo de cambio.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Al</w:t>
      </w:r>
      <w:r>
        <w:rPr>
          <w:rFonts w:ascii="Calibri" w:eastAsia="Calibri" w:hAnsi="Calibri" w:cs="Calibri"/>
          <w:b w:val="0"/>
          <w:i w:val="0"/>
          <w:sz w:val="20"/>
        </w:rPr>
        <w:t xml:space="preserve">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w:t>
      </w:r>
      <w:r>
        <w:rPr>
          <w:rFonts w:ascii="Calibri" w:eastAsia="Calibri" w:hAnsi="Calibri" w:cs="Calibri"/>
          <w:b w:val="0"/>
          <w:i w:val="0"/>
          <w:sz w:val="20"/>
        </w:rPr>
        <w:t>el</w:t>
      </w:r>
      <w:r>
        <w:rPr>
          <w:rFonts w:ascii="Calibri" w:eastAsia="Calibri" w:hAnsi="Calibri" w:cs="Calibri"/>
          <w:b w:val="0"/>
          <w:i w:val="0"/>
          <w:sz w:val="20"/>
        </w:rPr>
        <w:t xml:space="preserve"> valor </w:t>
      </w:r>
      <w:r>
        <w:rPr>
          <w:rFonts w:ascii="Calibri" w:eastAsia="Calibri" w:hAnsi="Calibri" w:cs="Calibri"/>
          <w:b w:val="0"/>
          <w:i w:val="0"/>
          <w:color w:val="000000"/>
          <w:sz w:val="20"/>
          <w:u w:val="none"/>
        </w:rPr>
        <w:t xml:space="preserve">del dólar estadounidense se ubicó en $ </w:t>
      </w:r>
      <w:r>
        <w:rPr>
          <w:rFonts w:ascii="Calibri" w:eastAsia="Calibri" w:hAnsi="Calibri" w:cs="Calibri"/>
          <w:b w:val="0"/>
          <w:i w:val="0"/>
          <w:color w:val="000000"/>
          <w:sz w:val="20"/>
          <w:u w:val="none"/>
        </w:rPr>
        <w:t>0,00</w:t>
      </w:r>
      <w:r>
        <w:rPr>
          <w:rFonts w:ascii="Calibri" w:eastAsia="Calibri" w:hAnsi="Calibri" w:cs="Calibri"/>
          <w:b w:val="0"/>
          <w:i w:val="0"/>
          <w:color w:val="000000"/>
          <w:sz w:val="20"/>
          <w:u w:val="none"/>
        </w:rPr>
        <w:t xml:space="preserve">, es decir, un </w:t>
      </w:r>
      <w:r>
        <w:rPr>
          <w:rFonts w:ascii="Calibri" w:eastAsia="Calibri" w:hAnsi="Calibri" w:cs="Calibri"/>
          <w:b w:val="0"/>
          <w:i w:val="0"/>
          <w:color w:val="000000"/>
          <w:sz w:val="20"/>
          <w:u w:val="none"/>
        </w:rPr>
        <w:t>(100,00)%</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menor</w:t>
      </w:r>
      <w:r>
        <w:rPr>
          <w:rFonts w:ascii="Calibri" w:eastAsia="Calibri" w:hAnsi="Calibri" w:cs="Calibri"/>
          <w:b w:val="0"/>
          <w:i w:val="0"/>
          <w:color w:val="000000"/>
          <w:sz w:val="20"/>
          <w:u w:val="none"/>
        </w:rPr>
        <w:t xml:space="preserve"> al valor de cierre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fech</w:t>
      </w:r>
      <w:r>
        <w:rPr>
          <w:rFonts w:ascii="Calibri" w:eastAsia="Calibri" w:hAnsi="Calibri" w:cs="Calibri"/>
          <w:b w:val="0"/>
          <w:i w:val="0"/>
          <w:sz w:val="20"/>
        </w:rPr>
        <w:t xml:space="preserve">a en que alcanzó un valor de $ </w:t>
      </w:r>
      <w:r>
        <w:rPr>
          <w:rFonts w:ascii="Calibri" w:eastAsia="Calibri" w:hAnsi="Calibri" w:cs="Calibri"/>
          <w:b w:val="0"/>
          <w:i w:val="0"/>
          <w:color w:val="000000"/>
          <w:sz w:val="20"/>
          <w:u w:val="none"/>
        </w:rPr>
        <w:t>907,13</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2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 xml:space="preserve">Variación % </w:t>
            </w:r>
          </w:p>
        </w:tc>
        <w:tc>
          <w:tcPr>
            <w:tcW w:w="1005" w:type="dxa"/>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t/c</w:t>
            </w:r>
          </w:p>
        </w:tc>
        <w:tc>
          <w:tcPr>
            <w:tcW w:w="201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Efecto t/c</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t/c</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30 de junio de 2026</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FFFFFF"/>
                <w:sz w:val="16"/>
                <w:u w:val="none"/>
              </w:rPr>
              <w:t>0,00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#DIV/0!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22.513.357</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#DIV/0!</w:t>
            </w:r>
          </w:p>
        </w:tc>
      </w:tr>
      <w:tr>
        <w:tblPrEx>
          <w:tblW w:w="7845" w:type="dxa"/>
          <w:tblInd w:w="2126" w:type="dxa"/>
          <w:tblLayout w:type="fixed"/>
        </w:tblPrEx>
        <w:trPr>
          <w:cantSplit/>
          <w:trHeight w:hRule="auto" w:val="0"/>
        </w:trPr>
        <w:tc>
          <w:tcPr>
            <w:tcW w:w="28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#DIV/0!</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20"/>
        <w:gridCol w:w="1005"/>
        <w:gridCol w:w="1005"/>
        <w:gridCol w:w="1005"/>
        <w:gridCol w:w="1005"/>
        <w:gridCol w:w="1005"/>
      </w:tblGrid>
      <w:tr>
        <w:tblPrEx>
          <w:tblW w:w="7845" w:type="dxa"/>
          <w:tblInd w:w="2126" w:type="dxa"/>
          <w:tblLayout w:type="fixed"/>
        </w:tblPrEx>
        <w:trPr>
          <w:cantSplit/>
          <w:trHeight w:hRule="auto" w:val="0"/>
        </w:trPr>
        <w:tc>
          <w:tcPr>
            <w:tcW w:w="28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tipo de cambio de cierre</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Variación %</w:t>
            </w:r>
          </w:p>
        </w:tc>
        <w:tc>
          <w:tcPr>
            <w:tcW w:w="1005"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t/c</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en moneda extranjera</w:t>
            </w:r>
          </w:p>
        </w:tc>
        <w:tc>
          <w:tcPr>
            <w:tcW w:w="100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Efecto t/c</w:t>
            </w:r>
          </w:p>
        </w:tc>
      </w:tr>
      <w:tr>
        <w:tblPrEx>
          <w:tblW w:w="7845" w:type="dxa"/>
          <w:tblInd w:w="2126" w:type="dxa"/>
          <w:tblLayout w:type="fixed"/>
        </w:tblPrEx>
        <w:trPr>
          <w:cantSplit/>
          <w:trHeight w:hRule="auto" w:val="0"/>
        </w:trPr>
        <w:tc>
          <w:tcPr>
            <w:tcW w:w="2820" w:type="dxa"/>
            <w:vMerge/>
            <w:tcBorders>
              <w:top w:val="nil"/>
              <w:left w:val="single" w:sz="2" w:space="0" w:color="000000"/>
              <w:bottom w:val="single" w:sz="2" w:space="0" w:color="000000"/>
              <w:right w:val="nil"/>
            </w:tcBorders>
          </w:tcPr>
          <w:p>
            <w:pPr>
              <w:keepNext/>
              <w:pageBreakBefore w:val="0"/>
            </w:pP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t/c</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cierre</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MUS$</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28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Saldos al 31 de diciembre de 2025</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FFFFFF"/>
                <w:sz w:val="16"/>
                <w:u w:val="none"/>
              </w:rPr>
              <w:t>907,13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24.395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22.129.061</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282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898,06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24.395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21.907.770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(221.291)</w:t>
            </w:r>
          </w:p>
        </w:tc>
      </w:tr>
      <w:tr>
        <w:tblPrEx>
          <w:tblW w:w="7845" w:type="dxa"/>
          <w:tblInd w:w="2126" w:type="dxa"/>
          <w:tblLayout w:type="fixed"/>
        </w:tblPrEx>
        <w:trPr>
          <w:cantSplit/>
          <w:trHeight w:hRule="auto" w:val="0"/>
        </w:trPr>
        <w:tc>
          <w:tcPr>
            <w:tcW w:w="28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916,20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24.395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22.350.352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221.291</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b/>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Se estima que el impacto de un alza de un 1% en la tasa de cambio del peso chileno con respecto al dólar estadounidense habría generado un impacto negativo al cierre del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de M$ </w:t>
      </w:r>
      <w:r>
        <w:rPr>
          <w:rFonts w:ascii="Calibri" w:eastAsia="Calibri" w:hAnsi="Calibri" w:cs="Calibri"/>
          <w:b w:val="0"/>
          <w:i w:val="0"/>
          <w:color w:val="000000"/>
          <w:sz w:val="20"/>
          <w:u w:val="none"/>
        </w:rPr>
        <w:t>#DIV/0!</w:t>
      </w:r>
      <w:r>
        <w:rPr>
          <w:rFonts w:ascii="Calibri" w:eastAsia="Calibri" w:hAnsi="Calibri" w:cs="Calibri"/>
          <w:b w:val="0"/>
          <w:i w:val="0"/>
          <w:sz w:val="20"/>
        </w:rPr>
        <w:t xml:space="preserve">, y de M$ </w:t>
      </w:r>
      <w:r>
        <w:rPr>
          <w:rFonts w:ascii="Calibri" w:eastAsia="Calibri" w:hAnsi="Calibri" w:cs="Calibri"/>
          <w:b w:val="0"/>
          <w:i w:val="0"/>
          <w:color w:val="000000"/>
          <w:sz w:val="20"/>
          <w:u w:val="none"/>
        </w:rPr>
        <w:t>221.291</w:t>
      </w:r>
      <w:r>
        <w:rPr>
          <w:rFonts w:ascii="Calibri" w:eastAsia="Calibri" w:hAnsi="Calibri" w:cs="Calibri"/>
          <w:b w:val="0"/>
          <w:i w:val="0"/>
          <w:sz w:val="20"/>
        </w:rPr>
        <w:t xml:space="preserve"> al cierre del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w:t>
      </w:r>
      <w:r>
        <w:rPr>
          <w:rFonts w:ascii="Calibri" w:eastAsia="Calibri" w:hAnsi="Calibri" w:cs="Calibri"/>
          <w:b w:val="0"/>
          <w:i w:val="0"/>
          <w:sz w:val="20"/>
        </w:rPr>
        <w:t>en el resultado financiero de Compañía General de Electricidad S.A</w:t>
      </w:r>
      <w:r>
        <w:rPr>
          <w:rFonts w:ascii="Calibri" w:eastAsia="Calibri" w:hAnsi="Calibri" w:cs="Calibri"/>
          <w:b w:val="0"/>
          <w:i w:val="0"/>
          <w:color w:val="000000"/>
          <w:sz w:val="20"/>
          <w:u w:val="none"/>
        </w:rPr>
        <w:t>.</w:t>
      </w:r>
      <w:r>
        <w:rPr>
          <w:rFonts w:ascii="Calibri" w:eastAsia="Calibri" w:hAnsi="Calibri" w:cs="Calibri"/>
          <w:b w:val="0"/>
          <w:i w:val="0"/>
          <w:sz w:val="20"/>
        </w:rPr>
        <w:t xml:space="preserve"> Asimismo, se estima un impacto positivo de la misma magnitud ante una disminución del tipo de cambio. Cabe mencionar que este impacto compensará parcialmente el efecto de la variación de la cuenta por cobrar en moneda extranjera producto del mecanismo transitorio de estabilización de precios de generación de energía eléctrica en la subsidiaria Empresa Eléctrica de Magallanes S.A.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r>
        <w:rPr>
          <w:rFonts w:ascii="Calibri" w:eastAsia="Calibri" w:hAnsi="Calibri" w:cs="Calibri"/>
          <w:b w:val="0"/>
          <w:i w:val="0"/>
          <w:sz w:val="20"/>
        </w:rPr>
        <w:tab/>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5.1.2.-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tasa de interés.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riesgo de tasa de interés es el riesgo de que flujos de instrumentos financieros fluctúen debido a cambios en las tasas de interés de mercado. La exposición de la compañía al riesgo de cambio en tasas de interés se relaciona principalmente con obligaciones financieras a tasas de interés variables.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sz w:val="20"/>
        </w:rPr>
        <w:t xml:space="preserve">la deuda financiera de la compañía y de sus subsidiarias se estructura en un </w:t>
      </w:r>
      <w:r>
        <w:rPr>
          <w:rFonts w:ascii="Calibri" w:eastAsia="Calibri" w:hAnsi="Calibri" w:cs="Calibri"/>
          <w:b w:val="0"/>
          <w:i w:val="0"/>
          <w:sz w:val="20"/>
        </w:rPr>
        <w:t>30,22%</w:t>
      </w:r>
      <w:r>
        <w:rPr>
          <w:rFonts w:ascii="Calibri" w:eastAsia="Calibri" w:hAnsi="Calibri" w:cs="Calibri"/>
          <w:b w:val="0"/>
          <w:i w:val="0"/>
          <w:sz w:val="20"/>
        </w:rPr>
        <w:t xml:space="preserve"> (capital vigente adeudado) a tasa variable y un </w:t>
      </w:r>
      <w:r>
        <w:rPr>
          <w:rFonts w:ascii="Calibri" w:eastAsia="Calibri" w:hAnsi="Calibri" w:cs="Calibri"/>
          <w:b w:val="0"/>
          <w:i w:val="0"/>
          <w:sz w:val="20"/>
        </w:rPr>
        <w:t>25,36%</w:t>
      </w:r>
      <w:r>
        <w:rPr>
          <w:rFonts w:ascii="Calibri" w:eastAsia="Calibri" w:hAnsi="Calibri" w:cs="Calibri"/>
          <w:b w:val="0"/>
          <w:i w:val="0"/>
          <w:sz w:val="20"/>
        </w:rPr>
        <w:t xml:space="preserve"> al cierre del mismo periodo del año anterior. Se estima que un incremento de 100 puntos base en las tasas de interés variables en base anual hubiese significado al cierre del período del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un mayor gasto financiero de M$ 948.575, y hubiese representado un mayor gasto financiero de M$ 796.909 al cierre del mismo período del año anterior.</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5.1.3.- </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Riesgo de liquidez y estructura de pasivos financieros. </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riesgo de liquidez está relacionado con las necesidades de fondos para hacer frente a las obligaciones de pago con instituciones bancarias y obligaciones con el público (ver nota 20), proveedores (ver nota 21), arrendamientos (ver nota 25) y empresas relacionadas (ver nota 9).</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3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Las empresas que pertenecen a Compañía General de Electricidad S.A. mantienen una adecuada gestión de los activos y pasivos, optimizando los excedentes de caja diarios y de esa manera asegurar el cumplimiento de los compromisos de deudas en el momento de su vencimiento. En efecto,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un 63,27% de la deuda financiera y un 70,62% considerando la deuda con empresas relacionadas (capital vigente adeudado) se encuentra estructurada a largo plazo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fue de 66,97% y 73,87%, respectivamente). Además, la generación de flujos de la sociedad y sus subsidiarias es suficiente para afrontar las obligaciones por los servicios asociados a la operación comercial.</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Continuamente se efectúan proyecciones de flujos de caja, análisis de la situación financiera, del entorno económico y análisis del mercado de deuda con el objeto de, en caso de requerirlo, contratar nuevos financiamientos o reestructurar créditos existentes a plazos que sean coherentes con la capacidad de generación de flujos de los diversos negocios en que participa Compañía General de Electricidad S.A. y subsidiarias. Sin perjuicio de lo anterior, se cuenta con líneas bancarias de corto plazo aprobadas, que permiten reducir ostensiblemente el riesgo de liquidez a nivel de matriz o de cualquiera de sus subsidiarias, además de contar con un “Cash Support Agreement” firmado entre Compañía General de Electricidad S.A. y subsidiarias y su relacionada State Grid International Development (SGID).</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siguientes cuadros se puede apreciar el perfil de vencimientos de capital e intereses de Compañía General de Electricidad S.A. y subsidiarias, los cuales, como se indicó, se encuentran distribuidos mayoritariamente en el largo plazo.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900"/>
        <w:gridCol w:w="900"/>
        <w:gridCol w:w="900"/>
        <w:gridCol w:w="900"/>
        <w:gridCol w:w="900"/>
        <w:gridCol w:w="900"/>
      </w:tblGrid>
      <w:tr>
        <w:tblPrEx>
          <w:tblW w:w="7800" w:type="dxa"/>
          <w:tblInd w:w="2126" w:type="dxa"/>
          <w:tblLayout w:type="fixed"/>
        </w:tblPrEx>
        <w:trPr>
          <w:cantSplit/>
          <w:trHeight w:hRule="auto" w:val="0"/>
        </w:trPr>
        <w:tc>
          <w:tcPr>
            <w:tcW w:w="15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Capital e intereses con proyección futura de flujo de caja </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3 meses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meses y hasta 1 año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 año y hasta 3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años y hasta 6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6 años y hasta 10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10 años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00" w:type="dxa"/>
          <w:tblInd w:w="2126" w:type="dxa"/>
          <w:tblLayout w:type="fixed"/>
        </w:tblPrEx>
        <w:trPr>
          <w:cantSplit/>
          <w:trHeight w:hRule="auto" w:val="0"/>
        </w:trPr>
        <w:tc>
          <w:tcPr>
            <w:tcW w:w="15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00" w:type="dxa"/>
          <w:tblInd w:w="2126" w:type="dxa"/>
          <w:tblLayout w:type="fixed"/>
        </w:tblPrEx>
        <w:trPr>
          <w:cantSplit/>
          <w:trHeight w:hRule="exact" w:val="6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2"/>
                <w:u w:val="none"/>
              </w:rPr>
              <w:t>Bancos.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72.180.498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359.920.103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210.292.018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2"/>
                <w:u w:val="none"/>
              </w:rPr>
              <w:t>642.392.619</w:t>
            </w: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2"/>
                <w:u w:val="none"/>
              </w:rPr>
              <w:t>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3.943.772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67.904.092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156.961.548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264.305.341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170.887.251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111.872.951</w:t>
            </w: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i w:val="0"/>
                <w:color w:val="FFFFFF"/>
                <w:sz w:val="12"/>
                <w:u w:val="none"/>
              </w:rPr>
              <w:t>775.874.955</w:t>
            </w: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2"/>
                <w:u w:val="none"/>
              </w:rPr>
              <w:t>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2.959.826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8.782.962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327.209.729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i w:val="0"/>
                <w:color w:val="FFFFFF"/>
                <w:sz w:val="12"/>
                <w:u w:val="none"/>
              </w:rPr>
              <w:t>338.952.517</w:t>
            </w:r>
          </w:p>
        </w:tc>
      </w:tr>
      <w:tr>
        <w:tblPrEx>
          <w:tblW w:w="7800" w:type="dxa"/>
          <w:tblInd w:w="2126" w:type="dxa"/>
          <w:tblLayout w:type="fixed"/>
        </w:tblPrEx>
        <w:trPr>
          <w:cantSplit/>
          <w:trHeight w:hRule="auto" w:val="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2"/>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79.084.096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436.607.157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694.463.295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264.305.341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170.887.251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111.872.951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1.757.220.091</w:t>
            </w:r>
          </w:p>
        </w:tc>
      </w:tr>
      <w:tr>
        <w:tblPrEx>
          <w:tblW w:w="7800" w:type="dxa"/>
          <w:tblInd w:w="2126" w:type="dxa"/>
          <w:tblLayout w:type="fixed"/>
        </w:tblPrEx>
        <w:trPr>
          <w:cantSplit/>
          <w:trHeight w:hRule="auto" w:val="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2"/>
                <w:u w:val="none"/>
              </w:rPr>
              <w:t>Porcentualidad</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4,50 %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24,85 %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39,52 %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15,04 %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9,72 %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bottom"/>
          </w:tcPr>
          <w:p>
            <w:pPr>
              <w:pageBreakBefore w:val="0"/>
              <w:spacing w:before="48" w:after="30" w:line="240" w:lineRule="auto"/>
              <w:jc w:val="center"/>
            </w:pPr>
            <w:r>
              <w:rPr>
                <w:rFonts w:ascii="Calibri" w:eastAsia="Calibri" w:hAnsi="Calibri" w:cs="Calibri"/>
                <w:b/>
                <w:i w:val="0"/>
                <w:color w:val="FFFFFF"/>
                <w:sz w:val="12"/>
                <w:u w:val="none"/>
              </w:rPr>
              <w:t>6,37 %</w:t>
            </w:r>
          </w:p>
        </w:tc>
        <w:tc>
          <w:tcPr>
            <w:tcW w:w="9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48" w:after="30" w:line="240" w:lineRule="auto"/>
              <w:jc w:val="center"/>
            </w:pPr>
            <w:r>
              <w:rPr>
                <w:rFonts w:ascii="Calibri" w:eastAsia="Calibri" w:hAnsi="Calibri" w:cs="Calibri"/>
                <w:b/>
                <w:i w:val="0"/>
                <w:color w:val="FFFFFF"/>
                <w:sz w:val="12"/>
                <w:u w:val="none"/>
              </w:rPr>
              <w:t>100,00 %</w:t>
            </w:r>
          </w:p>
        </w:tc>
      </w:tr>
    </w:tbl>
    <w:p>
      <w:pPr>
        <w:keepNext w:val="0"/>
        <w:keepLines/>
        <w:pageBreakBefore w:val="0"/>
        <w:widowControl w:val="0"/>
        <w:numPr>
          <w:ilvl w:val="0"/>
          <w:numId w:val="0"/>
        </w:numPr>
        <w:spacing w:before="0" w:after="0" w:line="288" w:lineRule="auto"/>
        <w:ind w:left="2160" w:right="0" w:firstLine="720"/>
        <w:jc w:val="both"/>
        <w:outlineLvl w:val="9"/>
        <w:rPr>
          <w:rFonts w:ascii="Calibri" w:eastAsia="Calibri" w:hAnsi="Calibri" w:cs="Calibri"/>
          <w:b w:val="0"/>
          <w:i w:val="0"/>
          <w:sz w:val="20"/>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900"/>
        <w:gridCol w:w="900"/>
        <w:gridCol w:w="900"/>
        <w:gridCol w:w="900"/>
        <w:gridCol w:w="900"/>
        <w:gridCol w:w="900"/>
      </w:tblGrid>
      <w:tr>
        <w:tblPrEx>
          <w:tblW w:w="7800" w:type="dxa"/>
          <w:tblInd w:w="2126" w:type="dxa"/>
          <w:tblLayout w:type="fixed"/>
        </w:tblPrEx>
        <w:trPr>
          <w:cantSplit/>
          <w:trHeight w:hRule="auto" w:val="0"/>
        </w:trPr>
        <w:tc>
          <w:tcPr>
            <w:tcW w:w="15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Capital e intereses con proyección futura de flujo de caja </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Hasta 3 meses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meses y hasta 1 año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 año y hasta 3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 años y hasta 6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6 años y hasta 10 años</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10 años</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7800" w:type="dxa"/>
          <w:tblInd w:w="2126" w:type="dxa"/>
          <w:tblLayout w:type="fixed"/>
        </w:tblPrEx>
        <w:trPr>
          <w:cantSplit/>
          <w:trHeight w:hRule="auto" w:val="0"/>
        </w:trPr>
        <w:tc>
          <w:tcPr>
            <w:tcW w:w="15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800" w:type="dxa"/>
          <w:tblInd w:w="2126" w:type="dxa"/>
          <w:tblLayout w:type="fixed"/>
        </w:tblPrEx>
        <w:trPr>
          <w:cantSplit/>
          <w:trHeight w:hRule="exact" w:val="6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auto" w:val="0"/>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Bancos.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129.025.110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231.610.040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182.662.114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543.297.264</w:t>
            </w:r>
          </w:p>
        </w:tc>
      </w:tr>
      <w:tr>
        <w:tblPrEx>
          <w:tblW w:w="7800" w:type="dxa"/>
          <w:tblInd w:w="2126" w:type="dxa"/>
          <w:tblLayout w:type="fixed"/>
        </w:tblPrEx>
        <w:trPr>
          <w:cantSplit/>
          <w:trHeight w:hRule="auto" w:val="0"/>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2"/>
                <w:u w:val="none"/>
              </w:rPr>
              <w:t>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32.718.363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40.030.361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138.861.409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283.299.566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199.914.744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111.553.521</w:t>
            </w:r>
          </w:p>
        </w:tc>
        <w:tc>
          <w:tcPr>
            <w:tcW w:w="9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2"/>
                <w:u w:val="none"/>
              </w:rPr>
              <w:t>806.377.964</w:t>
            </w:r>
          </w:p>
        </w:tc>
      </w:tr>
      <w:tr>
        <w:tblPrEx>
          <w:tblW w:w="7800" w:type="dxa"/>
          <w:tblInd w:w="2126" w:type="dxa"/>
          <w:tblLayout w:type="fixed"/>
        </w:tblPrEx>
        <w:trPr>
          <w:cantSplit/>
          <w:trHeight w:hRule="auto" w:val="0"/>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2"/>
                <w:u w:val="none"/>
              </w:rPr>
              <w:t>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2.895.139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8.846.258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330.046.998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9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2"/>
                <w:u w:val="none"/>
              </w:rPr>
              <w:t>341.788.395</w:t>
            </w:r>
          </w:p>
        </w:tc>
      </w:tr>
      <w:tr>
        <w:tblPrEx>
          <w:tblW w:w="7800" w:type="dxa"/>
          <w:tblInd w:w="2126" w:type="dxa"/>
          <w:tblLayout w:type="fixed"/>
        </w:tblPrEx>
        <w:trPr>
          <w:cantSplit/>
          <w:trHeight w:hRule="auto" w:val="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2"/>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164.638.612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280.486.659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651.570.521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283.299.566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199.914.744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111.553.521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1.691.463.623</w:t>
            </w:r>
          </w:p>
        </w:tc>
      </w:tr>
      <w:tr>
        <w:tblPrEx>
          <w:tblW w:w="7800" w:type="dxa"/>
          <w:tblInd w:w="2126" w:type="dxa"/>
          <w:tblLayout w:type="fixed"/>
        </w:tblPrEx>
        <w:trPr>
          <w:cantSplit/>
          <w:trHeight w:hRule="auto" w:val="0"/>
        </w:trPr>
        <w:tc>
          <w:tcPr>
            <w:tcW w:w="1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exact" w:val="225"/>
        </w:trPr>
        <w:tc>
          <w:tcPr>
            <w:tcW w:w="1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48" w:after="30" w:line="240" w:lineRule="auto"/>
              <w:jc w:val="left"/>
            </w:pPr>
            <w:r>
              <w:rPr>
                <w:rFonts w:ascii="Calibri" w:eastAsia="Calibri" w:hAnsi="Calibri" w:cs="Calibri"/>
                <w:b/>
                <w:i w:val="0"/>
                <w:color w:val="FFFFFF"/>
                <w:sz w:val="12"/>
                <w:u w:val="none"/>
              </w:rPr>
              <w:t>Porcentualidad</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9,73 %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16,58 %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38,52 %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16,75 %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2"/>
                <w:u w:val="none"/>
              </w:rPr>
              <w:t>11,82 %</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bottom"/>
          </w:tcPr>
          <w:p>
            <w:pPr>
              <w:pageBreakBefore w:val="0"/>
              <w:spacing w:before="48" w:after="30" w:line="240" w:lineRule="auto"/>
              <w:jc w:val="center"/>
            </w:pPr>
            <w:r>
              <w:rPr>
                <w:rFonts w:ascii="Calibri" w:eastAsia="Calibri" w:hAnsi="Calibri" w:cs="Calibri"/>
                <w:b/>
                <w:i w:val="0"/>
                <w:color w:val="FFFFFF"/>
                <w:sz w:val="12"/>
                <w:u w:val="none"/>
              </w:rPr>
              <w:t>6,60 %</w:t>
            </w:r>
          </w:p>
        </w:tc>
        <w:tc>
          <w:tcPr>
            <w:tcW w:w="9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48" w:after="30" w:line="240" w:lineRule="auto"/>
              <w:jc w:val="center"/>
            </w:pPr>
            <w:r>
              <w:rPr>
                <w:rFonts w:ascii="Calibri" w:eastAsia="Calibri" w:hAnsi="Calibri" w:cs="Calibri"/>
                <w:b/>
                <w:i w:val="0"/>
                <w:color w:val="FFFFFF"/>
                <w:sz w:val="12"/>
                <w:u w:val="none"/>
              </w:rPr>
              <w:t>100,00 %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5.1.4.- </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 de crédito deudores comerciales y otras cuentas por cobrar.</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 el sector de distribución de electricidad, principal negocio de Compañía General de Electricidad S.A., el riesgo de crédito ha sido históricamente bajo, debido a la importancia del suministro eléctrico en el diario vivir y la facultad de suspensión de este, establecida en la Ley General de Servicios Eléctricos, después una cantidad acotada de días contada desde el vencimiento de una cuenta impaga. Adicionalmente, contribuye a lo anterior la radicación de la deuda en la propiedad del usuario del servicio eléctrico, contemplada en la normativa, siendo necesario el pago de ella para la reposición del suministro. Otro factor que permite reducir el riesgo de crédito es la elevada atomización de la cartera de clientes, cuyos montos adeudados individualmente no son significativos con relación al total de ingresos operacionales.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rotación de cuentas por cobrar de Compañía General de Electricidad S.A. y subsidiarias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es de </w:t>
      </w:r>
      <w:r>
        <w:rPr>
          <w:rFonts w:ascii="Calibri" w:eastAsia="Calibri" w:hAnsi="Calibri" w:cs="Calibri"/>
          <w:b w:val="0"/>
          <w:i w:val="0"/>
          <w:color w:val="000000"/>
          <w:sz w:val="20"/>
          <w:u w:val="none"/>
        </w:rPr>
        <w:t>0,0</w:t>
      </w:r>
      <w:r>
        <w:rPr>
          <w:rFonts w:ascii="Calibri" w:eastAsia="Calibri" w:hAnsi="Calibri" w:cs="Calibri"/>
          <w:b w:val="0"/>
          <w:i w:val="0"/>
          <w:color w:val="000000"/>
          <w:sz w:val="20"/>
          <w:u w:val="none"/>
        </w:rPr>
        <w:t xml:space="preserve"> meses de ventas y de </w:t>
      </w:r>
      <w:r>
        <w:rPr>
          <w:rFonts w:ascii="Calibri" w:eastAsia="Calibri" w:hAnsi="Calibri" w:cs="Calibri"/>
          <w:b w:val="0"/>
          <w:i w:val="0"/>
          <w:color w:val="000000"/>
          <w:sz w:val="20"/>
          <w:u w:val="none"/>
        </w:rPr>
        <w:t>7,2</w:t>
      </w:r>
      <w:r>
        <w:rPr>
          <w:rFonts w:ascii="Calibri" w:eastAsia="Calibri" w:hAnsi="Calibri" w:cs="Calibri"/>
          <w:b w:val="0"/>
          <w:i w:val="0"/>
          <w:color w:val="000000"/>
          <w:sz w:val="20"/>
          <w:u w:val="none"/>
        </w:rPr>
        <w:t xml:space="preserve"> meses de venta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El monto de Deudas Comerciales Vencidas y Deterioradas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representa un </w:t>
      </w:r>
      <w:r>
        <w:rPr>
          <w:rFonts w:ascii="Calibri" w:eastAsia="Calibri" w:hAnsi="Calibri" w:cs="Calibri"/>
          <w:b w:val="0"/>
          <w:i w:val="0"/>
          <w:color w:val="000000"/>
          <w:sz w:val="20"/>
          <w:u w:val="none"/>
        </w:rPr>
        <w:t>12,65%</w:t>
      </w:r>
      <w:r>
        <w:rPr>
          <w:rFonts w:ascii="Calibri" w:eastAsia="Calibri" w:hAnsi="Calibri" w:cs="Calibri"/>
          <w:b w:val="0"/>
          <w:i w:val="0"/>
          <w:color w:val="000000"/>
          <w:sz w:val="20"/>
          <w:u w:val="none"/>
        </w:rPr>
        <w:t xml:space="preserve"> del total de Ingresos Operacionales anuales y un </w:t>
      </w:r>
      <w:r>
        <w:rPr>
          <w:rFonts w:ascii="Calibri" w:eastAsia="Calibri" w:hAnsi="Calibri" w:cs="Calibri"/>
          <w:b w:val="0"/>
          <w:i w:val="0"/>
          <w:color w:val="000000"/>
          <w:sz w:val="20"/>
          <w:u w:val="none"/>
        </w:rPr>
        <w:t>6,53%</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00"/>
        <w:gridCol w:w="1200"/>
        <w:gridCol w:w="1200"/>
      </w:tblGrid>
      <w:tr>
        <w:tblPrEx>
          <w:tblW w:w="7800" w:type="dxa"/>
          <w:tblInd w:w="2126" w:type="dxa"/>
          <w:tblLayout w:type="fixed"/>
        </w:tblPrEx>
        <w:trPr>
          <w:cantSplit/>
          <w:trHeight w:hRule="auto" w:val="0"/>
        </w:trPr>
        <w:tc>
          <w:tcPr>
            <w:tcW w:w="54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7800" w:type="dxa"/>
          <w:tblInd w:w="2126" w:type="dxa"/>
          <w:tblLayout w:type="fixed"/>
        </w:tblPrEx>
        <w:trPr>
          <w:cantSplit/>
          <w:trHeight w:hRule="auto" w:val="0"/>
        </w:trPr>
        <w:tc>
          <w:tcPr>
            <w:tcW w:w="540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Ingresos operacionales (últimos 12 meses).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1.142.775.639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2.354.474.994</w:t>
            </w: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y otras cuentas por cobrar bruto.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1.676.581.981</w:t>
            </w: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y otras cuentas por cobrar vencidas y deterioradas.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171.961.433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183.003.164</w:t>
            </w: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Rotación cuentas por cobrar (meses).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0,0</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7,2</w:t>
            </w:r>
          </w:p>
        </w:tc>
      </w:tr>
      <w:tr>
        <w:tblPrEx>
          <w:tblW w:w="7800" w:type="dxa"/>
          <w:tblInd w:w="2126" w:type="dxa"/>
          <w:tblLayout w:type="fixed"/>
        </w:tblPrEx>
        <w:trPr>
          <w:cantSplit/>
          <w:trHeight w:hRule="exact" w:val="60"/>
        </w:trPr>
        <w:tc>
          <w:tcPr>
            <w:tcW w:w="5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00" w:type="dxa"/>
          <w:tblInd w:w="2126" w:type="dxa"/>
          <w:tblLayout w:type="fixed"/>
        </w:tblPrEx>
        <w:trPr>
          <w:cantSplit/>
          <w:trHeight w:hRule="auto" w:val="0"/>
        </w:trPr>
        <w:tc>
          <w:tcPr>
            <w:tcW w:w="5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Deudores comerciales y otras cuentas por cobrar deterioradas / ingresos operacionales.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12,65 %</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pageBreakBefore w:val="0"/>
              <w:spacing w:before="0" w:after="0" w:line="240" w:lineRule="auto"/>
              <w:jc w:val="center"/>
            </w:pPr>
            <w:r>
              <w:rPr>
                <w:rFonts w:ascii="Calibri" w:eastAsia="Calibri" w:hAnsi="Calibri" w:cs="Calibri"/>
                <w:b/>
                <w:i w:val="0"/>
                <w:color w:val="FFFFFF"/>
                <w:sz w:val="14"/>
                <w:u w:val="none"/>
              </w:rPr>
              <w:t>6,53 %</w:t>
            </w:r>
          </w:p>
        </w:tc>
      </w:tr>
    </w:tbl>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Es importante señalar que la rotación de cuentas por cobrar se ha visto impactada por los retrasos en la entrada en vigencia de los decretos semestrales que establecen los precios de nudo promedio, así como por el retraso en la publicación de las tarifas definitivas del Valor Agregado de Distribución. A esto se suma el mecanismo transitorio de estabilización de precios de generación de energía eléctrica para clientes regulados. Esta situación ha generado montos significativos en las cuentas por cobrar, que fueron parcialmente compensados por incrementos en las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 xml:space="preserve">5.1.5.- </w:t>
      </w:r>
      <w:r>
        <w:rPr>
          <w:rFonts w:ascii="Calibri" w:eastAsia="Calibri" w:hAnsi="Calibri" w:cs="Calibri"/>
          <w:b/>
          <w:i w:val="0"/>
          <w:color w:val="000000"/>
          <w:sz w:val="20"/>
          <w:u w:val="none"/>
        </w:rPr>
        <w:tab/>
      </w:r>
      <w:r>
        <w:rPr>
          <w:rFonts w:ascii="Calibri" w:eastAsia="Calibri" w:hAnsi="Calibri" w:cs="Calibri"/>
          <w:b/>
          <w:i w:val="0"/>
          <w:color w:val="000000"/>
          <w:sz w:val="20"/>
          <w:u w:val="none"/>
        </w:rPr>
        <w:t>Análisis de la deuda financiera que no está a valor de mercado.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análisis de deuda financiera a valor de mercado consiste en obtener el valor presente de los flujos de caja futuros de cada deuda financiera vigente, utilizando tasas representativas de las condiciones de mercado, de acuerdo con el riesgo de la empresa y el plazo remanente de la deuda.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principales pasivos financieros de Compañía General de Electricidad S.A. y subsidiarias incluyen créditos bancarios y obligaciones con el público. El propósito de estos pasivos es asegurar financiamiento al desarrollo de las operaciones habituales de la empresa.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A continuación, se presenta un resumen de los pasivos financieros de Compañía General de Electricidad S.A. y sus subsidiarias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el cual compara su valor libro en relación a su valor justo:</w:t>
      </w:r>
    </w:p>
    <w:p>
      <w:pPr>
        <w:keepNext w:val="0"/>
        <w:keepLines/>
        <w:pageBreakBefore w:val="0"/>
        <w:widowControl w:val="0"/>
        <w:numPr>
          <w:ilvl w:val="0"/>
          <w:numId w:val="0"/>
        </w:numPr>
        <w:spacing w:before="0" w:after="4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1200"/>
        <w:gridCol w:w="1200"/>
        <w:gridCol w:w="1200"/>
      </w:tblGrid>
      <w:tr>
        <w:tblPrEx>
          <w:tblW w:w="7845" w:type="dxa"/>
          <w:tblInd w:w="2126" w:type="dxa"/>
          <w:tblLayout w:type="fixed"/>
        </w:tblPrEx>
        <w:trPr>
          <w:cantSplit/>
          <w:trHeight w:hRule="auto" w:val="0"/>
        </w:trPr>
        <w:tc>
          <w:tcPr>
            <w:tcW w:w="42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al 30 de junio de 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libro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justo</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justo v/s valor libro</w:t>
            </w:r>
          </w:p>
        </w:tc>
      </w:tr>
      <w:tr>
        <w:tblPrEx>
          <w:tblW w:w="7845" w:type="dxa"/>
          <w:tblInd w:w="2126" w:type="dxa"/>
          <w:tblLayout w:type="fixed"/>
        </w:tblPrEx>
        <w:trPr>
          <w:cantSplit/>
          <w:trHeight w:hRule="auto" w:val="0"/>
        </w:trPr>
        <w:tc>
          <w:tcPr>
            <w:tcW w:w="42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Bancos.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42.713.838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621.088.228</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1354,07 %</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674.457.784</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#DIV/0!</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 financiero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42.713.838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1.295.546.012</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6"/>
                <w:u w:val="none"/>
              </w:rPr>
              <w:t>2933,08 %</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245"/>
        <w:gridCol w:w="1200"/>
        <w:gridCol w:w="1200"/>
        <w:gridCol w:w="1200"/>
      </w:tblGrid>
      <w:tr>
        <w:tblPrEx>
          <w:tblW w:w="7845" w:type="dxa"/>
          <w:tblInd w:w="2126" w:type="dxa"/>
          <w:tblLayout w:type="fixed"/>
        </w:tblPrEx>
        <w:trPr>
          <w:cantSplit/>
          <w:trHeight w:hRule="auto" w:val="0"/>
        </w:trPr>
        <w:tc>
          <w:tcPr>
            <w:tcW w:w="42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Deuda al 31 de diciembre de 2025</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libro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financieros a valor justo</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 justo v/s valor libro</w:t>
            </w:r>
          </w:p>
        </w:tc>
      </w:tr>
      <w:tr>
        <w:tblPrEx>
          <w:tblW w:w="7845" w:type="dxa"/>
          <w:tblInd w:w="2126" w:type="dxa"/>
          <w:tblLayout w:type="fixed"/>
        </w:tblPrEx>
        <w:trPr>
          <w:cantSplit/>
          <w:trHeight w:hRule="auto" w:val="0"/>
        </w:trPr>
        <w:tc>
          <w:tcPr>
            <w:tcW w:w="42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Bancos.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548.667.022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538.709.588</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(1,81 %)</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668.962.806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678.226.153</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1,38 %</w:t>
            </w:r>
          </w:p>
        </w:tc>
      </w:tr>
      <w:tr>
        <w:tblPrEx>
          <w:tblW w:w="7845" w:type="dxa"/>
          <w:tblInd w:w="2126" w:type="dxa"/>
          <w:tblLayout w:type="fixed"/>
        </w:tblPrEx>
        <w:trPr>
          <w:cantSplit/>
          <w:trHeight w:hRule="auto" w:val="0"/>
        </w:trPr>
        <w:tc>
          <w:tcPr>
            <w:tcW w:w="42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 financiero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1.217.629.828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1.216.935.741</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i w:val="0"/>
                <w:color w:val="FFFFFF"/>
                <w:sz w:val="16"/>
                <w:u w:val="none"/>
              </w:rPr>
              <w:t>(0,06 %)</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Incluye pasivos de cobertura Bancos en US $ , en CNH $ y en EUR $.</w:t>
      </w:r>
      <w:r>
        <w:rPr>
          <w:rFonts w:ascii="Calibri" w:eastAsia="Calibri" w:hAnsi="Calibri" w:cs="Calibri"/>
          <w:b w:val="0"/>
          <w:i w:val="0"/>
          <w:sz w:val="20"/>
        </w:rPr>
        <w:br/>
      </w:r>
    </w:p>
    <w:p>
      <w:pPr>
        <w:keepNext w:val="0"/>
        <w:keepLines/>
        <w:pageBreakBefore w:val="0"/>
        <w:widowControl w:val="0"/>
        <w:numPr>
          <w:ilvl w:val="0"/>
          <w:numId w:val="0"/>
        </w:numPr>
        <w:spacing w:before="0" w:after="0" w:line="288" w:lineRule="auto"/>
        <w:ind w:left="720" w:right="0" w:firstLine="1417"/>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5.1.6.- </w:t>
      </w:r>
      <w:r>
        <w:rPr>
          <w:rFonts w:ascii="Calibri" w:eastAsia="Calibri" w:hAnsi="Calibri" w:cs="Calibri"/>
          <w:b/>
          <w:i w:val="0"/>
          <w:color w:val="000000"/>
          <w:sz w:val="20"/>
          <w:u w:val="none"/>
        </w:rPr>
        <w:tab/>
      </w:r>
      <w:r>
        <w:rPr>
          <w:rFonts w:ascii="Calibri" w:eastAsia="Calibri" w:hAnsi="Calibri" w:cs="Calibri"/>
          <w:b/>
          <w:i w:val="0"/>
          <w:color w:val="000000"/>
          <w:sz w:val="20"/>
          <w:u w:val="none"/>
        </w:rPr>
        <w:t>Riesgos regulatorios.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sz w:val="20"/>
        </w:rPr>
        <w:t>Eventuales cambios regulatorios pueden generar efectos de diversa índole en los resultados de la compañía. Actualmente, las materias que están en desarrollo y que se están monitoreando constantemente son las siguientes:</w:t>
      </w:r>
    </w:p>
    <w:p>
      <w:pPr>
        <w:keepNext w:val="0"/>
        <w:keepLines/>
        <w:pageBreakBefore w:val="0"/>
        <w:widowControl w:val="0"/>
        <w:numPr>
          <w:ilvl w:val="0"/>
          <w:numId w:val="0"/>
        </w:numPr>
        <w:spacing w:before="0" w:after="0" w:line="288" w:lineRule="auto"/>
        <w:ind w:left="2126" w:right="0" w:hanging="992"/>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53"/>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Implementación de la Ley N° 21.194, conocida como Ley Corta de Distribución, publicada el 21 de diciembre de 2019, particularmente en lo relacionado con la extensión a las empresas de los Sistemas Medianos del mecanismo de estabilización de precios de generación definido en la Ley N°21.185 y con la aplicación del mecanismo de estabilización de los niveles de precios asociados al valor agregado por concepto de costos de distribución.</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54"/>
        </w:numPr>
        <w:spacing w:before="0" w:after="0" w:line="23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El 7 de junio de 2024, fue publicado el Decreto N° 5T-2024 del Ministerio de Energía, que fija las fórmulas tarifarias aplicables a clientes finales sujetos a fijación de precios regulados. Con fecha 9 de abril de 2025, dicho decreto obtuvo la toma de razón de la Contraloría General de la República, hito a partir del cual quedaron habilitadas las reliquidaciones tarifarias correspondientes de acuerdo con lo establecido en la Ley N°21.667. Finalmente, el 21 de abril de 2025, este decreto fue publicado en el Diario Oficial.</w:t>
      </w:r>
    </w:p>
    <w:p>
      <w:pPr>
        <w:keepNext w:val="0"/>
        <w:keepLines/>
        <w:pageBreakBefore w:val="0"/>
        <w:widowControl w:val="0"/>
        <w:numPr>
          <w:ilvl w:val="0"/>
          <w:numId w:val="0"/>
        </w:numPr>
        <w:spacing w:before="0" w:after="0" w:line="288" w:lineRule="auto"/>
        <w:ind w:left="1689" w:right="0" w:firstLine="2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0"/>
          <w:numId w:val="55"/>
        </w:numPr>
        <w:spacing w:before="0" w:after="0" w:line="240" w:lineRule="exact"/>
        <w:ind w:left="2409"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Con fecha 9 de febrero de 2026, la Superintendencia de Electricidad y Combustibles mediante Resolución Exenta N° 37.613-2026, comunicó plazo, forma y condiciones en que las empresas deberán abonar o cargar el valor de las diferencias tarifarias producidas por la entrada en vigencia del decreto tarifario 2020-20</w:t>
      </w:r>
      <w:r>
        <w:rPr>
          <w:rFonts w:ascii="Calibri" w:eastAsia="Calibri" w:hAnsi="Calibri" w:cs="Calibri"/>
          <w:b w:val="0"/>
          <w:i w:val="0"/>
          <w:sz w:val="20"/>
        </w:rPr>
        <w:t>24 (Decreto N° 5T-2024),</w:t>
      </w:r>
      <w:r>
        <w:rPr>
          <w:rFonts w:ascii="Calibri" w:eastAsia="Calibri" w:hAnsi="Calibri" w:cs="Calibri"/>
          <w:b w:val="0"/>
          <w:i w:val="0"/>
          <w:color w:val="000000"/>
          <w:sz w:val="20"/>
          <w:highlight w:val="white"/>
          <w:u w:val="none"/>
        </w:rPr>
        <w:t xml:space="preserve"> de acuerdo a lo indicado en el artículo 192° de la Ley General de Servicios Eléctrico</w:t>
      </w:r>
      <w:r>
        <w:rPr>
          <w:rFonts w:ascii="Calibri" w:eastAsia="Calibri" w:hAnsi="Calibri" w:cs="Calibri"/>
          <w:b w:val="0"/>
          <w:i w:val="0"/>
          <w:sz w:val="20"/>
        </w:rPr>
        <w:t xml:space="preserve">s. Según </w:t>
      </w:r>
      <w:r>
        <w:rPr>
          <w:rFonts w:ascii="Calibri" w:eastAsia="Calibri" w:hAnsi="Calibri" w:cs="Calibri"/>
          <w:b w:val="0"/>
          <w:i w:val="0"/>
          <w:color w:val="000000"/>
          <w:sz w:val="20"/>
          <w:highlight w:val="white"/>
          <w:u w:val="none"/>
        </w:rPr>
        <w:t>lo instruido por la SEC, el proceso de reliquidación se realizará bajo las siguientes condiciones:</w:t>
      </w:r>
    </w:p>
    <w:p>
      <w:pPr>
        <w:keepNext w:val="0"/>
        <w:keepLines/>
        <w:pageBreakBefore w:val="0"/>
        <w:widowControl w:val="0"/>
        <w:numPr>
          <w:ilvl w:val="0"/>
          <w:numId w:val="0"/>
        </w:numPr>
        <w:spacing w:before="0" w:after="0" w:line="288" w:lineRule="auto"/>
        <w:ind w:left="2409" w:right="0" w:firstLine="0"/>
        <w:jc w:val="both"/>
        <w:outlineLvl w:val="9"/>
        <w:rPr>
          <w:rFonts w:ascii="Calibri" w:eastAsia="Calibri" w:hAnsi="Calibri" w:cs="Calibri"/>
          <w:b w:val="0"/>
          <w:i w:val="0"/>
          <w:color w:val="000000"/>
          <w:sz w:val="20"/>
          <w:highlight w:val="white"/>
          <w:u w:val="none"/>
        </w:rPr>
      </w:pPr>
    </w:p>
    <w:p>
      <w:pPr>
        <w:keepNext w:val="0"/>
        <w:keepLines/>
        <w:pageBreakBefore w:val="0"/>
        <w:widowControl w:val="0"/>
        <w:numPr>
          <w:ilvl w:val="1"/>
          <w:numId w:val="15"/>
        </w:numPr>
        <w:spacing w:before="0" w:after="0" w:line="240" w:lineRule="exact"/>
        <w:ind w:left="3118"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Saldos a cobrar a clientes (cargos): deberán dividirse en 48 cuotas mensuales, pudiendo ampliarse hasta 60 cuotas cuando la cuota mensual supere el 20% del valor promedio de las boletas del año 2025.</w:t>
      </w:r>
    </w:p>
    <w:p>
      <w:pPr>
        <w:keepNext w:val="0"/>
        <w:keepLines/>
        <w:pageBreakBefore w:val="0"/>
        <w:widowControl w:val="0"/>
        <w:numPr>
          <w:ilvl w:val="1"/>
          <w:numId w:val="15"/>
        </w:numPr>
        <w:spacing w:before="0" w:after="0" w:line="240" w:lineRule="exact"/>
        <w:ind w:left="3118"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Saldos a favor de clientes (abonos): deberán devolverse en un máximo de 12 cuotas mensuales.</w:t>
      </w:r>
    </w:p>
    <w:p>
      <w:pPr>
        <w:keepNext w:val="0"/>
        <w:keepLines/>
        <w:pageBreakBefore w:val="0"/>
        <w:widowControl w:val="0"/>
        <w:numPr>
          <w:ilvl w:val="1"/>
          <w:numId w:val="15"/>
        </w:numPr>
        <w:spacing w:before="0" w:after="0" w:line="240" w:lineRule="exact"/>
        <w:ind w:left="3118"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Los cargos o abonos deberán comenzar a reflejarse en las boletas emitidas a partir de abril de 2026.</w:t>
      </w:r>
    </w:p>
    <w:p>
      <w:pPr>
        <w:keepNext w:val="0"/>
        <w:keepLines/>
        <w:pageBreakBefore w:val="0"/>
        <w:widowControl w:val="0"/>
        <w:numPr>
          <w:ilvl w:val="1"/>
          <w:numId w:val="15"/>
        </w:numPr>
        <w:spacing w:before="0" w:after="0" w:line="240" w:lineRule="exact"/>
        <w:ind w:left="3118" w:right="0" w:hanging="34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Las empresas deberán informar a la SEC, antes del 25 de febrero de 2026, el detalle individual de los montos de deuda o abono y su respectiva cuota mensual.</w:t>
      </w:r>
    </w:p>
    <w:p>
      <w:pPr>
        <w:keepNext w:val="0"/>
        <w:keepLines/>
        <w:pageBreakBefore w:val="0"/>
        <w:widowControl w:val="0"/>
        <w:numPr>
          <w:ilvl w:val="0"/>
          <w:numId w:val="0"/>
        </w:numPr>
        <w:spacing w:before="0" w:after="0" w:line="269" w:lineRule="auto"/>
        <w:ind w:left="2869" w:right="0" w:firstLine="77"/>
        <w:jc w:val="left"/>
        <w:outlineLvl w:val="9"/>
        <w:rPr>
          <w:rFonts w:ascii="Calibri" w:eastAsia="Calibri" w:hAnsi="Calibri" w:cs="Calibri"/>
          <w:b w:val="0"/>
          <w:i w:val="0"/>
          <w:color w:val="000000"/>
          <w:sz w:val="22"/>
          <w:highlight w:val="white"/>
          <w:u w:val="none"/>
        </w:rPr>
      </w:pPr>
    </w:p>
    <w:p>
      <w:pPr>
        <w:keepNext w:val="0"/>
        <w:keepLines/>
        <w:pageBreakBefore w:val="0"/>
        <w:widowControl w:val="0"/>
        <w:numPr>
          <w:ilvl w:val="0"/>
          <w:numId w:val="0"/>
        </w:numPr>
        <w:spacing w:before="0" w:after="0" w:line="240" w:lineRule="exact"/>
        <w:ind w:left="2409" w:right="0" w:firstLine="0"/>
        <w:jc w:val="both"/>
        <w:outlineLvl w:val="9"/>
        <w:rPr>
          <w:rFonts w:ascii="Calibri" w:eastAsia="Calibri" w:hAnsi="Calibri" w:cs="Calibri"/>
          <w:b w:val="0"/>
          <w:i w:val="0"/>
          <w:sz w:val="20"/>
        </w:rPr>
      </w:pPr>
      <w:r>
        <w:rPr>
          <w:rFonts w:ascii="Calibri" w:eastAsia="Calibri" w:hAnsi="Calibri" w:cs="Calibri"/>
          <w:b w:val="0"/>
          <w:i w:val="0"/>
          <w:sz w:val="20"/>
        </w:rPr>
        <w:t>Posteriormente, mediante Resolución Exenta N° 38.341-2026, de fecha 27 de marzo de 2026, la Superintendencia de Electricidad y Combustibles instruyó a las empresas distribuidoras aplazar el cobro de la reliquidación del Decreto N° 5T-2024 hasta el 1 de julio 2026.</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56"/>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Proceso de tarificación de distribución correspondiente a cuadrienio 2024-2028, el cual ya se ha iniciado, habiéndose efectuado la correspondiente determinación de áreas típicas de distribución y la selección de empresas de referencia. Además, el 30 de mayo de 2023, la Comisión Nacional de Energía comunicó las Bases Técnicas Definitivas del proceso, las cuales incluyen los dictámenes del Panel de Expertos respecto de las observaciones presentadas por las empresas concesionarias de distribución y el resto de los participantes del proceso. Por otra parte, el 26 de octubre de 2023 la Comisión Nacional de Energía adjudicó la realización de los estudios a la empresa consultora INECON, Ingenieros y Economistas Consultores, cuyo contrato de servicios fue aprobado por la Contraloría General de la República el 4 de enero de 2024, estableciendo en ese día la fecha oficial de inicio de los estudios.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409" w:right="0" w:firstLine="20"/>
        <w:jc w:val="both"/>
        <w:outlineLvl w:val="9"/>
        <w:rPr>
          <w:rFonts w:ascii="Calibri" w:eastAsia="Calibri" w:hAnsi="Calibri" w:cs="Calibri"/>
          <w:b w:val="0"/>
          <w:i w:val="0"/>
          <w:sz w:val="20"/>
        </w:rPr>
      </w:pPr>
      <w:r>
        <w:rPr>
          <w:rFonts w:ascii="Calibri" w:eastAsia="Calibri" w:hAnsi="Calibri" w:cs="Calibri"/>
          <w:b w:val="0"/>
          <w:i w:val="0"/>
          <w:sz w:val="20"/>
        </w:rPr>
        <w:t>El 4 de marzo de 2024, el consultor INECON entregó a la Comisión Nacional de Energía el Informe de Avance N° 1 del citado estudio, respecto del cual el Comité de supervisión y las empresas distribuidoras enviaron sus observaciones el 25 de marzo de 2024. Posteriormente, el 25 de junio de 2024 el consultor entregó a la Comisión Nacional de Energía el Informe de Avance N° 2, respecto del cual el Comité de supervisión y las empresas distribuidoras enviaron sus observaciones el 24 de julio de 2024. Luego, el 13 de septiembre de 2024 el consultor entregó el Informe Final, para el cual el Comité de supervisión y las empresas distribuidoras enviaron sus observaciones el 22 de octubre de 2024 y, finalmente, el 27 de diciembre de 2024 el consultor entregó el Informe Final Definitivo, el cual, luego de las observaciones entregadas por el Comité de supervisión y las empresas distribuidoras, del 16 de enero de 2025 y 21 de marzo de 2025. El 14 de abril de 2025 el Comité aprobó solicitar a INECON una nueva versión del Informe Final Definitivo, insistiendo en 9 de las 35 observaciones que se habían presentado respecto de la anterior versión y agregando 8 nuevas observaciones, propuestas por la CNE. El 4 de septiembre de 2025 la Comisión comunicó a las empresas una nueva versión corregida del Informe Final Definitivo de INECON, que incluye las correcciones solicitadas por el Comité Supervisor.</w:t>
      </w:r>
    </w:p>
    <w:p>
      <w:pPr>
        <w:keepNext w:val="0"/>
        <w:keepLines/>
        <w:pageBreakBefore w:val="0"/>
        <w:widowControl w:val="0"/>
        <w:numPr>
          <w:ilvl w:val="0"/>
          <w:numId w:val="0"/>
        </w:numPr>
        <w:spacing w:before="0" w:after="0" w:line="276" w:lineRule="auto"/>
        <w:ind w:left="1689" w:right="0" w:firstLine="2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409" w:right="0" w:firstLine="20"/>
        <w:jc w:val="both"/>
        <w:outlineLvl w:val="9"/>
        <w:rPr>
          <w:rFonts w:ascii="Calibri" w:eastAsia="Calibri" w:hAnsi="Calibri" w:cs="Calibri"/>
          <w:b w:val="0"/>
          <w:i w:val="0"/>
          <w:sz w:val="20"/>
        </w:rPr>
      </w:pPr>
      <w:r>
        <w:rPr>
          <w:rFonts w:ascii="Calibri" w:eastAsia="Calibri" w:hAnsi="Calibri" w:cs="Calibri"/>
          <w:b w:val="0"/>
          <w:i w:val="0"/>
          <w:sz w:val="20"/>
        </w:rPr>
        <w:t xml:space="preserve">El 10 de octubre de 2025, la Comisión Nacional de Energía publicó el Informe Técnico Preliminar asociado al Proceso de tarificación de distribución correspondiente a cuadrienio 2024-2028, respecto del cual las empresas distribuidoras enviaron sus observaciones el 24 de noviembre de 2025. El 23 de diciembre de 2025, mediante el Oficio Ordinario N° 1.190, la CNE comunicó que emitirá una nueva versión corregida del Informe Técnico Preliminar durante enero 2026. El 30 de enero de 2026, la CNE publicó la nueva versión del Informe Técnico Preliminar respecto del cual las empresas distribuidoras enviaron sus observaciones el 27 de febrero de 2026. A la fecha la Comisión se encuentra en revisión de las mencionadas observaciones y en la elaboración del Informe Técnico Corregido. </w:t>
      </w:r>
    </w:p>
    <w:p>
      <w:pPr>
        <w:keepNext w:val="0"/>
        <w:keepLines/>
        <w:pageBreakBefore w:val="0"/>
        <w:widowControl w:val="0"/>
        <w:numPr>
          <w:ilvl w:val="0"/>
          <w:numId w:val="0"/>
        </w:numPr>
        <w:spacing w:before="0" w:after="0" w:line="288" w:lineRule="auto"/>
        <w:ind w:left="1689" w:right="0" w:firstLine="20"/>
        <w:jc w:val="both"/>
        <w:outlineLvl w:val="9"/>
        <w:rPr>
          <w:rFonts w:ascii="Calibri" w:eastAsia="Calibri" w:hAnsi="Calibri" w:cs="Calibri"/>
          <w:b w:val="0"/>
          <w:i w:val="0"/>
          <w:sz w:val="20"/>
        </w:rPr>
      </w:pPr>
    </w:p>
    <w:p>
      <w:pPr>
        <w:keepNext w:val="0"/>
        <w:keepLines/>
        <w:pageBreakBefore w:val="0"/>
        <w:widowControl w:val="0"/>
        <w:numPr>
          <w:ilvl w:val="0"/>
          <w:numId w:val="57"/>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Respecto al proceso de tarificación de generación y transmisión de los Sistemas Medianos correspondiente al cuadrienio 2022-2026, el 4 de julio de 2025 fue publicado el Decreto       N° 8T-2024 del Ministerio de Energía, que fija los respectivos precios de generación y transmisión con lo que se cierra el proceso para el cuadrienio 2022-2026.</w:t>
      </w:r>
    </w:p>
    <w:p>
      <w:pPr>
        <w:keepNext w:val="0"/>
        <w:keepLines/>
        <w:pageBreakBefore w:val="0"/>
        <w:widowControl w:val="0"/>
        <w:numPr>
          <w:ilvl w:val="0"/>
          <w:numId w:val="0"/>
        </w:numPr>
        <w:spacing w:before="0" w:after="0" w:line="288" w:lineRule="auto"/>
        <w:ind w:left="1689" w:right="0" w:firstLine="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2409" w:right="0" w:firstLine="20"/>
        <w:jc w:val="both"/>
        <w:outlineLvl w:val="9"/>
        <w:rPr>
          <w:rFonts w:ascii="Calibri" w:eastAsia="Calibri" w:hAnsi="Calibri" w:cs="Calibri"/>
          <w:b w:val="0"/>
          <w:i w:val="0"/>
          <w:sz w:val="20"/>
        </w:rPr>
      </w:pPr>
      <w:r>
        <w:rPr>
          <w:rFonts w:ascii="Calibri" w:eastAsia="Calibri" w:hAnsi="Calibri" w:cs="Calibri"/>
          <w:b w:val="0"/>
          <w:i w:val="0"/>
          <w:sz w:val="20"/>
        </w:rPr>
        <w:t>A la fecha, se encuentra pendiente el proceso de reliquidación correspondiente al Decreto   N° 8T-2024. Al respecto, de acuerdo con los cambios introducidos mediante la Ley de Equidad Tarifaria Residencial Ley N° 20.928 y mediante las leyes de mecanismos de estabilización y de normalización tarifaria Leyes N° 21.185, N° 21.472 y N° 21.667.</w:t>
      </w:r>
    </w:p>
    <w:p>
      <w:pPr>
        <w:keepNext w:val="0"/>
        <w:keepLines/>
        <w:pageBreakBefore w:val="0"/>
        <w:widowControl w:val="0"/>
        <w:numPr>
          <w:ilvl w:val="0"/>
          <w:numId w:val="0"/>
        </w:numPr>
        <w:spacing w:before="0" w:after="0" w:line="288" w:lineRule="auto"/>
        <w:ind w:left="1689" w:right="0" w:firstLine="20"/>
        <w:jc w:val="both"/>
        <w:outlineLvl w:val="9"/>
        <w:rPr>
          <w:rFonts w:ascii="Calibri" w:eastAsia="Calibri" w:hAnsi="Calibri" w:cs="Calibri"/>
          <w:b w:val="0"/>
          <w:i w:val="0"/>
          <w:sz w:val="20"/>
        </w:rPr>
      </w:pPr>
    </w:p>
    <w:p>
      <w:pPr>
        <w:keepNext w:val="0"/>
        <w:keepLines/>
        <w:pageBreakBefore w:val="0"/>
        <w:widowControl w:val="0"/>
        <w:numPr>
          <w:ilvl w:val="0"/>
          <w:numId w:val="58"/>
        </w:numPr>
        <w:spacing w:before="0" w:after="0" w:line="23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El día 11 de agosto de 2025, mediante </w:t>
      </w:r>
      <w:r>
        <w:rPr>
          <w:rFonts w:ascii="Calibri" w:eastAsia="Calibri" w:hAnsi="Calibri" w:cs="Calibri"/>
          <w:b w:val="0"/>
          <w:i w:val="0"/>
          <w:sz w:val="20"/>
        </w:rPr>
        <w:t>R</w:t>
      </w:r>
      <w:r>
        <w:rPr>
          <w:rFonts w:ascii="Calibri" w:eastAsia="Calibri" w:hAnsi="Calibri" w:cs="Calibri"/>
          <w:b w:val="0"/>
          <w:i w:val="0"/>
          <w:sz w:val="20"/>
        </w:rPr>
        <w:t>esolución Exenta N° 470, la Comisión Nacional de Energía aprobó las bases preliminares para la realización de los estudios de los Sistemas Medianos de Aysén, Palena, General Carrera, Puerto Cisnes, Punta Arenas, Puerto Natales, Porvenir, Puerto Williams, Cochamó, y Hornopirén, para el cuadrienio 2026-2030, con la que se dio inicio al Proceso de tarificación de generación y transmisión de los Sistemas Medianos.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59"/>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Proyecto de Ley sobre Portabilidad Eléctrica, ingresado en el mes de septiembre de 2020 al Congreso Nacional, cuyos objetivos principales son habilitar a todos los usuarios finales para que puedan elegir su suministrador de electricidad (comercializador) e incorporar la figura del gestor de información. </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60"/>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La Ley N° 21.249, publicada el 8 de agosto de 2020, dispuso beneficios excepcionales en favor de los usuarios finales de los servicios sanitarios, de electricidad y de gas de red, estableciendo principalmente: a) la prohibición de cortar el suministro eléctrico por mora en el pago de las cuentas durante 90 días y; b) que, a solicitud de los clientes (vulnerables, tercera edad, cesantes y afectados en sus ingresos, entre otros), las deudas generadas entre el 18 de marzo de 2020 y los 90 días posteriores al 8 de agosto de 2020 se deberán prorratear en hasta 12 cuotas mensuales, sin multas, ni intereses, ni gastos asociados. El 5 de enero de 2021 fue publicada la Ley N° 21.301, que básicamente extendió en 180 días adicionales los efectos de la Ley N° 21.249. Luego, el 22 de mayo de 2021, fue publicada la Ley N° 21.340, la que: a) prorrogó nuevamente los efectos de la Ley N° 21.249, esta vez hasta el 31 de diciembre de 2021; b) amplió los beneficiarios para la postergación de las deudas desde el 60% más vulnerable al 80% y; c) amplió a 48 las cuotas para la postergación de pagos.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61"/>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Posteriormente, la Ley N° 21.423, publicada el 11 de febrero de 2022, extendió hasta el 31 de marzo de 2022 el plazo para que los clientes señalados previamente se acojan al mecanismo de prorrateo de las deudas. Sin perjuicio de lo anterior, la vigencia de la Ley                   N° 21.249 expiró el 31 de diciembre de 2021 y sus efectos se complementarán con los de la Ley N° 21.423, limitándose principalmente a aquellos clientes que cumplen las condiciones para optar el mecanismo de prorrateo de las deudas y no cumplan las condiciones para ser beneficiarios de esta última.</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62"/>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Adicionalmente, la Ley N° 21.423, que regula el prorrateo y pago de deudas durante la pandemia y establece subsidios, disponiendo principalmente que a) las deudas de los usuarios beneficiarios de la suspensión del corte de suministro por falta de pago, de acuerdo con la Ley de Servicios Básicos, generadas durante el período comprendido entre el 18 de marzo de 2020 y el 31 de diciembre de 2021, cuyo consumo promedio del año 2021 no sea superior a 250 kWh/mes, serán pagadas en cuotas mensuales y sucesivas, determinadas dividiendo el monto total de lo adeudado por 48, no pudiendo incorporarse multas, intereses, ni gastos; b) dicha cuota no podrá exceder el 15% del cobro asociado al consumo promedio del año 2021; c) una vez pagadas las 48 cuotas, en caso de existir un saldo de la deuda, éste se extinguirá mediante convenios celebrados por el Ministerio de Obras Públicas o el Ministerio de Energía, según corresponda, con las empresas sanitarias o las empresas y cooperativas eléctricas, respectivamente, los que deberán ser aprobados por el correspondiente acto administrativo. Además, se agrega que el saldo de la deuda que se hubiere extinguido en virtud de los referidos convenios se considerará como gasto aceptado tributariamente; d) se establecerán subsidios automáticos para estos usuarios por un máximo de 48 meses, correspondientes al valor de las cuotas calculadas, los cuales deben ser descontados mensualmente por las empresas a los correspondientes usuarios. Una vez efectuados los descuentos, las empresas deben acreditar mensualmente ante la Superintendencia de Electricidad y Combustibles (SEC) los montos descontados, a efectos de que ésta autorice el pago del monto mediante resolución exenta, la que será remitida a la Tesorería General de la República para que proceda al pago y; e) el procedimiento de pago de los subsidios y las demás normas necesarias para la implementación de dicha ley fueron determinados mediante decreto supremo exento número 130 de 17 de junio de 2022 del Ministerio de Energía, publicado en el Diario Oficial con fecha 23 de junio de 2022.</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63"/>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Ley N° 21.472, publicada el 2 de agosto de 2022, mediante la cual se crea un fondo de estabilización tarifaria, administrado por la Tesorería General de la República y solventado mediante un pago adicional unitario por kilowatt hora (kWh) en el cargo por servicio público y con aportes que deberá efectuar el Ministerio de Hacienda, determinado con criterios de solidaridad y proporcionalidad de acuerdo a tramos de consumo, y se establece un mecanismo transitorio de estabilización, que tiene por objetivo impedir el alza de las cuentas eléctricas durante el año 2022 y permitir únicamente alzas graduales hasta 2032.</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64"/>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Ley N° 21.667, publicada el 30 de abril de 2024, mediante la cual se modifica diversos cuerpos legales en materia de estabilización tarifaria, cuyos objetivos principales son a) definir que el Fondo de Estabilización de Tarifas tiene por objeto estabilizar las tarifas de los clientes regulados y pagar los saldos originados por las Leyes N° 21.185 y N° 21.472, que será administrado por la Tesorería General de la República (TGR) y que su vigencia y los cargos que lo financian no excederán del 31 de diciembre de 2035; b) reformular los tramos y monto del Mecanismo de Protección al Cliente (MPC); c) definir los valores del Cargo MPC para los ejercicios 2024 a 2027 y 2028 a 2035; d) establecer las reglas para descongelar gradualmente la estabilización de las tarifas del Valor Agregado de Distribución; y e) establecer un subsidio transitorio de hasta US$ 120 millones anuales, para los años 2024 a 2026, dirigido a familias de menores recursos, con el fin de paliar los aumentos en el período en que los precios de energía experimentarán las mayores alzas.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65"/>
        </w:numPr>
        <w:spacing w:before="0" w:after="0" w:line="240" w:lineRule="exact"/>
        <w:ind w:left="2409"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Proyecto de Ley que perfecciona los sistemas medianos (Boletín N° 16.627-08) establecidos en la Ley General de Servicios Eléctricos, ingresado por el Ejecutivo a la Cámara de Diputados y Diputadas el 30 de enero de 2024. </w:t>
      </w:r>
    </w:p>
    <w:p>
      <w:pPr>
        <w:keepNext w:val="0"/>
        <w:keepLines/>
        <w:pageBreakBefore w:val="0"/>
        <w:widowControl w:val="0"/>
        <w:numPr>
          <w:ilvl w:val="0"/>
          <w:numId w:val="0"/>
        </w:numPr>
        <w:spacing w:before="0" w:after="0" w:line="288" w:lineRule="auto"/>
        <w:ind w:left="2115"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409" w:right="0" w:firstLine="0"/>
        <w:jc w:val="both"/>
        <w:outlineLvl w:val="9"/>
        <w:rPr>
          <w:rFonts w:ascii="Calibri" w:eastAsia="Calibri" w:hAnsi="Calibri" w:cs="Calibri"/>
          <w:b w:val="0"/>
          <w:i w:val="0"/>
          <w:sz w:val="20"/>
        </w:rPr>
      </w:pPr>
      <w:r>
        <w:rPr>
          <w:rFonts w:ascii="Calibri" w:eastAsia="Calibri" w:hAnsi="Calibri" w:cs="Calibri"/>
          <w:b w:val="0"/>
          <w:i w:val="0"/>
          <w:sz w:val="20"/>
        </w:rPr>
        <w:t>El citado Proyecto de Ley contiene cuatro ejes: 1) Revisión y ajuste a la definición y categorización de los sistemas medianos y aislados (se aborda transición de un tipo de sistema a otro); 2) Actualización del procedimiento de planificación que considera el desarrollo óptimo de las inversiones, seguridad de los sistemas y propender a la incorporación de energías renovables y almacenamiento; 3) Cambios en la tarificación de los Sistemas Medianos (estudio contratado por la Comisión Nacional de Energía en reemplazo de estudio empresa; ajustes en Equidad Tarifaria Residencial (ETR) en beneficio de clientes de Sistemas Medianos); 4) Introducir incentivos a generación renovable; y aumento en la participación ciudadana.</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409" w:right="0" w:firstLine="0"/>
        <w:jc w:val="both"/>
        <w:outlineLvl w:val="9"/>
        <w:rPr>
          <w:rFonts w:ascii="Calibri" w:eastAsia="Calibri" w:hAnsi="Calibri" w:cs="Calibri"/>
          <w:b w:val="0"/>
          <w:i w:val="0"/>
          <w:sz w:val="20"/>
        </w:rPr>
      </w:pPr>
      <w:r>
        <w:rPr>
          <w:rFonts w:ascii="Calibri" w:eastAsia="Calibri" w:hAnsi="Calibri" w:cs="Calibri"/>
          <w:b w:val="0"/>
          <w:i w:val="0"/>
          <w:sz w:val="20"/>
        </w:rPr>
        <w:t>Con fecha 29 de julio 2024, en Sesión N° 70, la Comisión de Zonas Extremas y Antártica Chilena de la Cámara de Diputados inició el estudio del proyecto de ley que “Perfecciona los sistemas medianos en la Ley General de Servicios Eléctricos”, correspondiente al Boletín 16.627-08. Luego, en Sesión N° 9 del 16 de octubre de 2024, con la incorporación de indicaciones por parte de esa comisión, el Proyecto de Ley fue despachado a la Comisión de Minería y Energía.</w:t>
      </w:r>
    </w:p>
    <w:p>
      <w:pPr>
        <w:keepNext w:val="0"/>
        <w:keepLines/>
        <w:pageBreakBefore w:val="0"/>
        <w:widowControl w:val="0"/>
        <w:numPr>
          <w:ilvl w:val="0"/>
          <w:numId w:val="0"/>
        </w:numPr>
        <w:spacing w:before="0" w:after="0" w:line="288" w:lineRule="auto"/>
        <w:ind w:left="2835" w:right="0" w:firstLine="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409" w:right="0" w:firstLine="0"/>
        <w:jc w:val="both"/>
        <w:outlineLvl w:val="9"/>
        <w:rPr>
          <w:rFonts w:ascii="Calibri" w:eastAsia="Calibri" w:hAnsi="Calibri" w:cs="Calibri"/>
          <w:b w:val="0"/>
          <w:i w:val="0"/>
          <w:sz w:val="20"/>
        </w:rPr>
      </w:pPr>
      <w:r>
        <w:rPr>
          <w:rFonts w:ascii="Calibri" w:eastAsia="Calibri" w:hAnsi="Calibri" w:cs="Calibri"/>
          <w:b w:val="0"/>
          <w:i w:val="0"/>
          <w:sz w:val="20"/>
        </w:rPr>
        <w:t>La iniciativa presentada por el Ejecutivo fue aprobada en la sesión N° 128 de la Comisión de Minería y Energía, y posteriormente despachada a la Comisión de Hacienda, la que en sesión del 8 de julio de 2025 la remitió a la Sala para votación. Luego, con fecha 15 de julio de 2025, la modificación a la Ley General de Servicios Eléctricos fue respaldada por la Cámara de Diputados con 106 votos favorables, siendo remitida al Senado de la República para continuar su tramitación, mediante el Oficio N° 20.658.</w:t>
      </w:r>
    </w:p>
    <w:p>
      <w:pPr>
        <w:keepNext w:val="0"/>
        <w:keepLines/>
        <w:pageBreakBefore w:val="0"/>
        <w:widowControl w:val="0"/>
        <w:numPr>
          <w:ilvl w:val="0"/>
          <w:numId w:val="0"/>
        </w:numPr>
        <w:spacing w:before="0" w:after="0" w:line="288" w:lineRule="auto"/>
        <w:ind w:left="24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409" w:right="0" w:firstLine="0"/>
        <w:jc w:val="both"/>
        <w:outlineLvl w:val="9"/>
        <w:rPr>
          <w:rFonts w:ascii="Calibri" w:eastAsia="Calibri" w:hAnsi="Calibri" w:cs="Calibri"/>
          <w:b w:val="0"/>
          <w:i w:val="0"/>
          <w:sz w:val="20"/>
        </w:rPr>
      </w:pPr>
      <w:r>
        <w:rPr>
          <w:rFonts w:ascii="Calibri" w:eastAsia="Calibri" w:hAnsi="Calibri" w:cs="Calibri"/>
          <w:b w:val="0"/>
          <w:i w:val="0"/>
          <w:sz w:val="20"/>
        </w:rPr>
        <w:t>Con fecha 13 de febrero de 2026, fue publicada en el Diario Oficial la Ley N° 21.804, que perfecciona los sistemas medianos en la Ley General de Servicios Eléctricos, cuyo proyecto correspondió al Boletín N° 16.627‑08.</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i w:val="0"/>
          <w:sz w:val="20"/>
        </w:rPr>
      </w:pPr>
      <w:r>
        <w:rPr>
          <w:rFonts w:ascii="Calibri" w:eastAsia="Calibri" w:hAnsi="Calibri" w:cs="Calibri"/>
          <w:b/>
          <w:i w:val="0"/>
          <w:sz w:val="20"/>
        </w:rPr>
        <w:t xml:space="preserve">5.1.7.- </w:t>
      </w:r>
      <w:r>
        <w:rPr>
          <w:rFonts w:ascii="Calibri" w:eastAsia="Calibri" w:hAnsi="Calibri" w:cs="Calibri"/>
          <w:b/>
          <w:i w:val="0"/>
          <w:sz w:val="20"/>
        </w:rPr>
        <w:tab/>
      </w:r>
      <w:r>
        <w:rPr>
          <w:rFonts w:ascii="Calibri" w:eastAsia="Calibri" w:hAnsi="Calibri" w:cs="Calibri"/>
          <w:b/>
          <w:i w:val="0"/>
          <w:sz w:val="20"/>
        </w:rPr>
        <w:t>Riesgos ambientales.</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Dentro de los riesgos ambientales identificados en Compañía General de Electricidad S.A., se considera el eventual incumplimiento de obligaciones o compromisos ambientales aplicables a las obras y actividades eléctricas que requieren autorizaciones o permisos sectoriales otorgados por organismos gubernamentales o municipalidades. Este riesgo se evalúa como bajo, dado que la compañía mantiene una gestión ambiental preventiva, que contempla la verificación de requisitos legales, la revisión de permisos y la supervisión permanente en terreno, asegurando que las faenas y operaciones se desarrollen conforme a la normativa ambiental, sanitaria y eléctrica vigente, así como la detección oportuna y corrección de eventuales desviaciones durante la ejecución de los trabajos.</w:t>
      </w: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Asimismo, se identifican riesgos asociados al manejo, almacenamiento temporal y disposición de residuos no peligrosos, de acuerdo con las directrices establecidas en el Decreto                      N° 594/2000, que aprueba el Reglamento sobre Condiciones Sanitarias y Ambientales Básicas en los Lugares de Trabajo, particularmente respecto de residuos tales como escombros, postes, cables, chatarra y vegetación proveniente de labores de poda o tala asociadas al despeje y mantenimiento de redes eléctricas.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Del mismo modo, se identifican riesgos asociados al manejo, almacenamiento temporal y disposición de residuos peligrosos, de acuerdo con lo establecido en el Decreto N° 148/2004, que aprueba el Reglamento Sanitario sobre Manejo de Residuos Peligrosos, particularmente aquellos residuos contaminados con hidrocarburos u otras sustancias contaminantes, que presenten características de peligrosidad conforme a la normativa aplicable.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Este riesgo también se considera bajo, puesto que existe una supervisión continua y verificación periódica en terreno, junto con controles operacionales efectivos, planes y procedimientos permanentes de gestión que fortalecen el cumplimiento de la normativa ambiental y sanitaria vigente, incluyendo la correcta segregación, almacenamiento temporal, transporte y control documental de los residuos generados.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 este contexto, Compañía General de Electricidad S.A. aplica planes y procedimientos de gestión de residuos orientados a fortalecer el cumplimiento de la normativa ambiental y sanitaria vigente, reforzando la gestión y trazabilidad a través de los sistemas sectoriales de la Ventanilla Única del Registro de Emisiones y Transferencias de Contaminantes (RETC), y asegurando que el transporte y la disposición final de los residuos se realicen mediante gestores autorizados y con resolución sanitaria vigente, fortaleciendo los mecanismos de control y seguimiento desde su generación hasta su disposición final.</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2"/>
        </w:rPr>
      </w:pPr>
      <w:r>
        <w:rPr>
          <w:rFonts w:ascii="Calibri" w:eastAsia="Calibri" w:hAnsi="Calibri" w:cs="Calibri"/>
          <w:b w:val="0"/>
          <w:i w:val="0"/>
          <w:sz w:val="20"/>
        </w:rPr>
        <w:t>En relación con los riesgos ambientales de la subsidiaria Empresa Eléctrica de Magallanes S.A., estos se presentan principalmente en el segmento de generación, dado que las centrales térmicas, durante su operación, podrían superar los límites ambientales asociados a ruido y emisiones gaseosas. No obstante, la compañía mantiene un adecuado monitoreo periódico de los niveles de emisión y de la calidad del aire, mediante campañas de medición de ruido y de concentración de gases, con el objeto de asegurar que estos no superen los máximos permitidos por la autoridad competente, de conformidad con la normativa vigente, entre otros, los Decretos N° 38/2012, N° 13/2011, N° 12/2011, N° 12/2022, N° 40/2024 y N° 115/2002.</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Respecto de eventuales contaminaciones asociadas a residuos peligrosos, Empresa Eléctrica de Magallanes S.A. gestiona estos residuos de acuerdo con las directrices establecidas en el Decreto N° 148/2004. Dichos procesos abarcan todas las etapas, desde la generación hasta la disposición final, e incluyen acciones de manejo, rotulación, segregación, almacenamiento, transporte y eliminación final, asegurando el cumplimiento de la normativa sanitaria y ambiental vigente.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1417" w:right="0" w:firstLine="0"/>
        <w:jc w:val="both"/>
        <w:outlineLvl w:val="9"/>
        <w:rPr>
          <w:rFonts w:ascii="Aptos" w:eastAsia="Aptos" w:hAnsi="Aptos" w:cs="Aptos"/>
          <w:b/>
          <w:i w:val="0"/>
          <w:sz w:val="22"/>
        </w:rPr>
      </w:pPr>
      <w:r>
        <w:rPr>
          <w:rFonts w:ascii="Calibri" w:eastAsia="Calibri" w:hAnsi="Calibri" w:cs="Calibri"/>
          <w:b/>
          <w:i w:val="0"/>
          <w:sz w:val="20"/>
        </w:rPr>
        <w:t xml:space="preserve">5.1.8.- </w:t>
      </w:r>
      <w:r>
        <w:rPr>
          <w:rFonts w:ascii="Calibri" w:eastAsia="Calibri" w:hAnsi="Calibri" w:cs="Calibri"/>
          <w:b/>
          <w:i w:val="0"/>
          <w:sz w:val="20"/>
        </w:rPr>
        <w:tab/>
      </w:r>
      <w:r>
        <w:rPr>
          <w:rFonts w:ascii="Calibri" w:eastAsia="Calibri" w:hAnsi="Calibri" w:cs="Calibri"/>
          <w:b/>
          <w:i w:val="0"/>
          <w:sz w:val="20"/>
        </w:rPr>
        <w:t>Riesgos cambio climático.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condiciones climáticas en la zona de concesión de Compañía General de Electricidad S.A. y de su subsidiaria Empresa Eléctrica de Magallanes S.A. han variado en los últimos años, presentando aumento de temperaturas y mayores niveles de precipitaciones, lo que puede incrementar la exposición de la operación a eventos climáticos que afecten la continuidad del suministro eléctrico.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Para mitigar estos efectos, Compañía General de Electricidad S.A. ejecuta planes de mantenimiento permanentes y diferenciados según la época estacionaria (plan invierno / plan verano), los cuales consideran, entre otras medidas, el despeje preventivo de vegetación como un control operacional orientado a reducir la probabilidad de interrupciones del servicio, además de mantener coordinación constante con organismos públicos como la Corporación Nacional Forestal (CONAF), SEC, municipalidades y el Servicio Nacional de Prevención y Respuesta ante Desastres (SENAPRED). Adicionalmente, la Compañía cuenta con infraestructura diseñada y planes de operación para soportar las condiciones climáticas que puedan darse en su zona de operación.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En Compañía General de Electricidad S.A., los riesgos ambientales y climáticos se gestionan bajo la participación integrada de distintas unidades organizacionales, las cuales, a través de un enfoque preventivo, proactivo y de mejora continua, son articuladas dentro del marco de implementación y mantenimiento del Sistema Integrado de Gestión (SIG), basado en las normas internacionales ISO 14001:2015, ISO 45001:2018, ISO 9001:2015, ISO 55001:2014, ISO 50001:2018, ISO 22301:2020 e ISO 27001:2023, permitiendo una gestión sistemática y transversal de los riesgos ambientales, operacionales y climáticos.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Este sistema consolida la gestión ambiental corporativa, permitiendo la identificación, evaluación y control sistemático de los riesgos e impactos ambientales a lo largo del ciclo de vida de las obras, instalaciones y activos de la compañía, fortaleciendo así el compromiso de la compañía con la sostenibilidad y el cumplimiento ambiental.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Por su parte, las áreas técnicas de Empresa Eléctrica de Magallanes S.A. han dispuesto planes de contingencia que consideran estas condiciones, con el objeto de disminuir el impacto de eventos climáticos extremos en la continuidad del servicio eléctrico, así como la ejecución de planes de mantenimiento basados en inspecciones de estructuras. No obstante lo anterior, la Sociedad cuenta con infraestructura diseñada y planes de operación para soportar las condiciones climáticas que puedan darse en su zona de operación. Respecto de eventos climáticos extremos poco frecuentes que puedan generar daños en los activos y afectar la operación normal de la Sociedad, se cuenta con mecanismos de detección temprana de incidentes, sin perjuicio de que la ocurrencia de este tipo de fenómenos resulte inevitable.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Finalmente, Compañía General de Electricidad S.A. y su subsidiaria Empresa Eléctrica de Magallanes S.A. han contemplado, tanto por efectos del cambio climático como por impactos de eventos inesperados que afecten la disponibilidad de sus activos fijos, entre los que se encuentran edificaciones, infraestructura y equipamiento, así como los riesgos de responsabilidad civil que estos pudiesen originar, su cobertura a través de pólizas de seguro, cuyos términos y condiciones corresponden a los usuales en el mercado.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5.1.9.-</w:t>
      </w:r>
      <w:r>
        <w:rPr>
          <w:rFonts w:ascii="Calibri" w:eastAsia="Calibri" w:hAnsi="Calibri" w:cs="Calibri"/>
          <w:b/>
          <w:i w:val="0"/>
          <w:color w:val="000000"/>
          <w:sz w:val="20"/>
          <w:u w:val="none"/>
        </w:rPr>
        <w:tab/>
      </w:r>
      <w:r>
        <w:rPr>
          <w:rFonts w:ascii="Calibri" w:eastAsia="Calibri" w:hAnsi="Calibri" w:cs="Calibri"/>
          <w:b/>
          <w:i w:val="0"/>
          <w:color w:val="000000"/>
          <w:sz w:val="20"/>
          <w:u w:val="none"/>
        </w:rPr>
        <w:t>Restricciones financieras.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Compañía General de Electricidad S.A. y sus subsidiarias han convenido con bancos y tenedores de bonos covenants financieros medidos sobre la base de los estados financieros consolidados tal como se detalla en Nota 34.4.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intermedios por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la Sociedad y sus subsidiarias incluidas en dicha consolidación se encuentran en cumplimiento de dichas restricciones y compromisos.</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sectPr>
          <w:type w:val="continuous"/>
          <w:pgSz w:w="12240" w:h="15840"/>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90" w:name="Section49"/>
      <w:bookmarkEnd w:id="90"/>
      <w:bookmarkStart w:id="91" w:name="9a325b03dacb487596e98e3e678748b0"/>
      <w:r>
        <w:rPr>
          <w:rFonts w:ascii="Calibri" w:eastAsia="Calibri" w:hAnsi="Calibri" w:cs="Calibri"/>
          <w:b/>
          <w:i w:val="0"/>
          <w:color w:val="000000"/>
          <w:sz w:val="20"/>
          <w:u w:val="none"/>
        </w:rPr>
        <w:t>6.-</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91"/>
    </w:p>
    <w:p>
      <w:pPr>
        <w:keepNext/>
        <w:keepLines/>
        <w:pageBreakBefore w:val="0"/>
        <w:widowControl w:val="0"/>
        <w:numPr>
          <w:ilvl w:val="0"/>
          <w:numId w:val="0"/>
        </w:numPr>
        <w:tabs>
          <w:tab w:val="left" w:pos="700"/>
        </w:tabs>
        <w:spacing w:before="0" w:after="0" w:line="288" w:lineRule="auto"/>
        <w:ind w:left="0" w:right="0" w:firstLine="0"/>
        <w:jc w:val="both"/>
        <w:outlineLvl w:val="9"/>
        <w:sectPr>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92" w:name="Section50"/>
      <w:bookmarkEnd w:id="92"/>
      <w:bookmarkStart w:id="93" w:name="33de65e40b8342689a1c3cef3a68112e"/>
      <w:r>
        <w:rPr>
          <w:rFonts w:ascii="Calibri" w:eastAsia="Calibri" w:hAnsi="Calibri" w:cs="Calibri"/>
          <w:b/>
          <w:i w:val="0"/>
          <w:color w:val="000000"/>
          <w:sz w:val="20"/>
          <w:u w:val="none"/>
        </w:rPr>
        <w:t>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3"/>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17"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efectivo y equivalentes al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Efectivo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Saldos en bancos.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28.288.013</w:t>
            </w:r>
          </w:p>
        </w:tc>
      </w:tr>
      <w:tr>
        <w:tblPrEx>
          <w:tblW w:w="8520" w:type="dxa"/>
          <w:tblInd w:w="1417"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28.288.013</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055"/>
        <w:gridCol w:w="1095"/>
        <w:gridCol w:w="1200"/>
        <w:gridCol w:w="1200"/>
      </w:tblGrid>
      <w:tr>
        <w:tblPrEx>
          <w:tblW w:w="8550" w:type="dxa"/>
          <w:tblInd w:w="1417" w:type="dxa"/>
          <w:tblLayout w:type="fixed"/>
        </w:tblPrEx>
        <w:trPr>
          <w:cantSplit/>
          <w:trHeight w:hRule="auto" w:val="0"/>
        </w:trPr>
        <w:tc>
          <w:tcPr>
            <w:tcW w:w="50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Información del efectivo y equivalentes al efectivo por moneda</w:t>
            </w:r>
          </w:p>
        </w:tc>
        <w:tc>
          <w:tcPr>
            <w:tcW w:w="10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exact" w:val="225"/>
        </w:trPr>
        <w:tc>
          <w:tcPr>
            <w:tcW w:w="5055" w:type="dxa"/>
            <w:vMerge/>
            <w:tcBorders>
              <w:top w:val="nil"/>
              <w:left w:val="single" w:sz="2" w:space="0" w:color="000000"/>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53" w:after="3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505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Monto del efectivo y equivalente al efectivo.</w:t>
            </w: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28.212.992</w:t>
            </w:r>
          </w:p>
        </w:tc>
      </w:tr>
      <w:tr>
        <w:tblPrEx>
          <w:tblW w:w="8550" w:type="dxa"/>
          <w:tblInd w:w="1417" w:type="dxa"/>
          <w:tblLayout w:type="fixed"/>
        </w:tblPrEx>
        <w:trPr>
          <w:cantSplit/>
          <w:trHeight w:hRule="auto" w:val="0"/>
        </w:trPr>
        <w:tc>
          <w:tcPr>
            <w:tcW w:w="5055" w:type="dxa"/>
            <w:vMerge/>
            <w:tcBorders>
              <w:top w:val="nil"/>
              <w:left w:val="single" w:sz="2" w:space="0" w:color="000000"/>
              <w:bottom w:val="nil"/>
              <w:right w:val="nil"/>
            </w:tcBorders>
          </w:tcPr>
          <w:p>
            <w:pPr>
              <w:keepNext/>
              <w:pageBreakBefore w:val="0"/>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21.556</w:t>
            </w:r>
          </w:p>
        </w:tc>
      </w:tr>
      <w:tr>
        <w:tblPrEx>
          <w:tblW w:w="8550" w:type="dxa"/>
          <w:tblInd w:w="1417" w:type="dxa"/>
          <w:tblLayout w:type="fixed"/>
        </w:tblPrEx>
        <w:trPr>
          <w:cantSplit/>
          <w:trHeight w:hRule="auto" w:val="0"/>
        </w:trPr>
        <w:tc>
          <w:tcPr>
            <w:tcW w:w="5055" w:type="dxa"/>
            <w:vMerge/>
            <w:tcBorders>
              <w:top w:val="nil"/>
              <w:left w:val="single" w:sz="2" w:space="0" w:color="000000"/>
              <w:bottom w:val="nil"/>
              <w:right w:val="nil"/>
            </w:tcBorders>
          </w:tcPr>
          <w:p>
            <w:pPr>
              <w:keepNext/>
              <w:pageBreakBefore w:val="0"/>
            </w:pPr>
          </w:p>
        </w:tc>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53.465</w:t>
            </w:r>
          </w:p>
        </w:tc>
      </w:tr>
      <w:tr>
        <w:tblPrEx>
          <w:tblW w:w="8550" w:type="dxa"/>
          <w:tblInd w:w="1417" w:type="dxa"/>
          <w:tblLayout w:type="fixed"/>
        </w:tblPrEx>
        <w:trPr>
          <w:cantSplit/>
          <w:trHeight w:hRule="auto" w:val="0"/>
        </w:trPr>
        <w:tc>
          <w:tcPr>
            <w:tcW w:w="615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28.288.013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fecha no existen restricciones sobre el efectivo y equivalente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tiene disponibles y no utilizadas líneas de sobregiro por</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 xml:space="preserve">M$ 92.361.000 y M$ 128.361.000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Sus subsidiarias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tienen disponibles y no utilizadas líneas de sobregiro por M$ 400.000.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94" w:name="Section51"/>
      <w:bookmarkEnd w:id="94"/>
      <w:bookmarkStart w:id="95" w:name="30762bf65cba4b2ba6d7e9b266357b97"/>
      <w:r>
        <w:rPr>
          <w:rFonts w:ascii="Calibri" w:eastAsia="Calibri" w:hAnsi="Calibri" w:cs="Calibri"/>
          <w:b/>
          <w:i w:val="0"/>
          <w:color w:val="000000"/>
          <w:sz w:val="20"/>
          <w:u w:val="none"/>
        </w:rPr>
        <w:t>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Detalles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composición de los otros cobros y pagos por actividades de la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cobros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Bonificación zona extrema.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65.846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cobros prima de seguro.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495.503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186.778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cobros por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495.503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252.624</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pagos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 de IVA - Impuesto único - Impuestos 2da categoría - Impuesto adicional.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(1.680.450)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(2.153.618)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pagos (Remuneración del directorio y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(72.038)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(101.299)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pagos por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(1.752.488)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(2.254.917)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96" w:name="Section52"/>
      <w:bookmarkEnd w:id="96"/>
      <w:bookmarkStart w:id="97" w:name="185b7117e32841cf80b57efcab5aaadd"/>
      <w:r>
        <w:rPr>
          <w:rFonts w:ascii="Calibri" w:eastAsia="Calibri" w:hAnsi="Calibri" w:cs="Calibri"/>
          <w:b/>
          <w:i w:val="0"/>
          <w:color w:val="000000"/>
          <w:sz w:val="20"/>
          <w:u w:val="none"/>
        </w:rPr>
        <w:t>6.3.-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de los pasivos que surgen de las actividades de financiamiento.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Conciliación de los pasivos que surgen de las actividades de financiamiento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0"/>
        <w:gridCol w:w="900"/>
        <w:gridCol w:w="900"/>
        <w:gridCol w:w="900"/>
        <w:gridCol w:w="900"/>
        <w:gridCol w:w="900"/>
        <w:gridCol w:w="900"/>
        <w:gridCol w:w="900"/>
        <w:gridCol w:w="900"/>
        <w:gridCol w:w="900"/>
        <w:gridCol w:w="900"/>
      </w:tblGrid>
      <w:tr>
        <w:tblPrEx>
          <w:tblW w:w="12150" w:type="dxa"/>
          <w:tblInd w:w="1417" w:type="dxa"/>
          <w:tblLayout w:type="fixed"/>
        </w:tblPrEx>
        <w:trPr>
          <w:cantSplit/>
          <w:trHeight w:hRule="auto" w:val="0"/>
        </w:trPr>
        <w:tc>
          <w:tcPr>
            <w:tcW w:w="31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4500" w:type="dxa"/>
            <w:gridSpan w:val="5"/>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4500" w:type="dxa"/>
            <w:gridSpan w:val="5"/>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2150" w:type="dxa"/>
          <w:tblInd w:w="1417" w:type="dxa"/>
          <w:tblLayout w:type="fixed"/>
        </w:tblPrEx>
        <w:trPr>
          <w:cantSplit/>
          <w:trHeight w:hRule="exact" w:val="225"/>
        </w:trPr>
        <w:tc>
          <w:tcPr>
            <w:tcW w:w="31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31-12-2025</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en valor razonable</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900" w:type="dxa"/>
            <w:vMerge w:val="restart"/>
            <w:tcBorders>
              <w:top w:val="nil"/>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30-06-2026</w:t>
            </w:r>
          </w:p>
        </w:tc>
      </w:tr>
      <w:tr>
        <w:tblPrEx>
          <w:tblW w:w="12150" w:type="dxa"/>
          <w:tblInd w:w="1417" w:type="dxa"/>
          <w:tblLayout w:type="fixed"/>
        </w:tblPrEx>
        <w:trPr>
          <w:cantSplit/>
          <w:trHeight w:hRule="exact" w:val="225"/>
        </w:trPr>
        <w:tc>
          <w:tcPr>
            <w:tcW w:w="31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12150" w:type="dxa"/>
          <w:tblInd w:w="1417" w:type="dxa"/>
          <w:tblLayout w:type="fixed"/>
        </w:tblPrEx>
        <w:trPr>
          <w:cantSplit/>
          <w:trHeight w:hRule="auto" w:val="0"/>
        </w:trPr>
        <w:tc>
          <w:tcPr>
            <w:tcW w:w="31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534.357.429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(83.309.558)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(6.684.547)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444.363.324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(139.713)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444.223.611</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668.962.806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(24.531.675)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(8.199.287)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636.231.844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636.231.762</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14.309.593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(6.244.037)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8.065.556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(1.579.054)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(1.881.256)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(854.393)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3.750.853</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13.103.609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1.053.579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14.157.188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(97.074)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(335.814)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430.757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14.155.057</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 de 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19.293.131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(1.053.579)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18.239.552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97.074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335.814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1.739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18.674.179</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Préstamos de 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313.242.519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(2.950.555)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310.291.964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222.181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310.514.145</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60.874.469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(375.819)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60.498.650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(42.435)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60.456.215</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1.624.143.556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(107.841.233)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(24.454.245)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1.491.848.078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(1.579.054)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(1.881.256)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(381.946)</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1.488.005.822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0"/>
        <w:gridCol w:w="900"/>
        <w:gridCol w:w="900"/>
        <w:gridCol w:w="900"/>
        <w:gridCol w:w="900"/>
        <w:gridCol w:w="900"/>
        <w:gridCol w:w="900"/>
        <w:gridCol w:w="900"/>
        <w:gridCol w:w="900"/>
        <w:gridCol w:w="900"/>
        <w:gridCol w:w="900"/>
      </w:tblGrid>
      <w:tr>
        <w:tblPrEx>
          <w:tblW w:w="12150" w:type="dxa"/>
          <w:tblInd w:w="1417" w:type="dxa"/>
          <w:tblLayout w:type="fixed"/>
        </w:tblPrEx>
        <w:trPr>
          <w:cantSplit/>
          <w:trHeight w:hRule="auto" w:val="0"/>
        </w:trPr>
        <w:tc>
          <w:tcPr>
            <w:tcW w:w="31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4500" w:type="dxa"/>
            <w:gridSpan w:val="5"/>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4500" w:type="dxa"/>
            <w:gridSpan w:val="5"/>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2150" w:type="dxa"/>
          <w:tblInd w:w="1417" w:type="dxa"/>
          <w:tblLayout w:type="fixed"/>
        </w:tblPrEx>
        <w:trPr>
          <w:cantSplit/>
          <w:trHeight w:hRule="exact" w:val="225"/>
        </w:trPr>
        <w:tc>
          <w:tcPr>
            <w:tcW w:w="31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31-12-2024</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en valor razonable</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900"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Otros</w:t>
            </w:r>
          </w:p>
        </w:tc>
        <w:tc>
          <w:tcPr>
            <w:tcW w:w="900" w:type="dxa"/>
            <w:vMerge w:val="restart"/>
            <w:tcBorders>
              <w:top w:val="nil"/>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r>
              <w:rPr>
                <w:rFonts w:ascii="Calibri" w:eastAsia="Calibri" w:hAnsi="Calibri" w:cs="Calibri"/>
                <w:b/>
                <w:i w:val="0"/>
                <w:color w:val="FFFFFF"/>
                <w:sz w:val="12"/>
                <w:u w:val="none"/>
              </w:rPr>
              <w:t>31-12-2025</w:t>
            </w:r>
          </w:p>
        </w:tc>
      </w:tr>
      <w:tr>
        <w:tblPrEx>
          <w:tblW w:w="12150" w:type="dxa"/>
          <w:tblInd w:w="1417" w:type="dxa"/>
          <w:tblLayout w:type="fixed"/>
        </w:tblPrEx>
        <w:trPr>
          <w:cantSplit/>
          <w:trHeight w:hRule="exact" w:val="225"/>
        </w:trPr>
        <w:tc>
          <w:tcPr>
            <w:tcW w:w="315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12150" w:type="dxa"/>
          <w:tblInd w:w="1417" w:type="dxa"/>
          <w:tblLayout w:type="fixed"/>
        </w:tblPrEx>
        <w:trPr>
          <w:cantSplit/>
          <w:trHeight w:hRule="auto" w:val="0"/>
        </w:trPr>
        <w:tc>
          <w:tcPr>
            <w:tcW w:w="315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377.360.061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172.161.184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(4.087.533)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(24.424.139)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521.009.573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(11.747.635)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25.002.667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92.824</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534.357.429</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797.018.041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(152.772.621)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(26.349.808)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617.895.612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24.863.031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26.204.163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668.962.806</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1.959.153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(17.290.485)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(15.331.332)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3.482.238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9.290.006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15.853.499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1.015.182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14.309.593</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8.366.269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(11.473.438)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(3.107.169)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616.854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2.271.707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13.322.217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13.103.609</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 de 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19.576.638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(4.153.591)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15.423.047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578.963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1.427.445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1.863.676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19.293.131</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Préstamos de empresas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150.407.805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168.228.450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(9.426.736)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309.209.519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(4.156.440)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9.542.267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(1.352.827)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313.242.519</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5.655.200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55.992.895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(773.627)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(714.314)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60.160.154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740.955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(26.640)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60.874.469</w:t>
            </w:r>
          </w:p>
        </w:tc>
      </w:tr>
      <w:tr>
        <w:tblPrEx>
          <w:tblW w:w="121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1.360.343.167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396.382.529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(173.260.810)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(78.205.482)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1.505.259.404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3.482.238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19.444.779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81.042.703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14.914.432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1.624.143.556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5"/>
          <w:footerReference w:type="default" r:id="rId26"/>
          <w:type w:val="continuous"/>
          <w:pgSz w:w="15840" w:h="12240" w:orient="landscape"/>
          <w:pgMar w:top="1134" w:right="1134" w:bottom="1134" w:left="1134" w:header="0" w:footer="42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98" w:name="Section53"/>
      <w:bookmarkEnd w:id="98"/>
      <w:bookmarkStart w:id="99" w:name="79bb254510734a0299c44733418b1e5c"/>
      <w:r>
        <w:rPr>
          <w:rFonts w:ascii="Calibri" w:eastAsia="Calibri" w:hAnsi="Calibri" w:cs="Calibri"/>
          <w:b/>
          <w:i w:val="0"/>
          <w:color w:val="000000"/>
          <w:sz w:val="20"/>
          <w:u w:val="none"/>
        </w:rPr>
        <w:t>7.-</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FINANCIEROS.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35"/>
        <w:gridCol w:w="1005"/>
        <w:gridCol w:w="1005"/>
        <w:gridCol w:w="1005"/>
        <w:gridCol w:w="1005"/>
      </w:tblGrid>
      <w:tr>
        <w:tblPrEx>
          <w:tblW w:w="9255" w:type="dxa"/>
          <w:tblInd w:w="709" w:type="dxa"/>
          <w:tblLayout w:type="fixed"/>
        </w:tblPrEx>
        <w:trPr>
          <w:cantSplit/>
          <w:trHeight w:hRule="auto" w:val="0"/>
        </w:trPr>
        <w:tc>
          <w:tcPr>
            <w:tcW w:w="523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financieros</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523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52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Activos de cobertura.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2.531.040</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activos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175.001</w:t>
            </w:r>
          </w:p>
        </w:tc>
      </w:tr>
      <w:tr>
        <w:tblPrEx>
          <w:tblW w:w="9255" w:type="dxa"/>
          <w:tblInd w:w="709" w:type="dxa"/>
          <w:tblLayout w:type="fixed"/>
        </w:tblPrEx>
        <w:trPr>
          <w:cantSplit/>
          <w:trHeight w:hRule="auto" w:val="0"/>
        </w:trPr>
        <w:tc>
          <w:tcPr>
            <w:tcW w:w="5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2.706.041</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sectPr>
          <w:headerReference w:type="default" r:id="rId27"/>
          <w:footerReference w:type="default" r:id="rId28"/>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00" w:name="Section54"/>
      <w:bookmarkEnd w:id="100"/>
      <w:bookmarkStart w:id="101" w:name="d709332017f347b2bdd35b66b7578a65"/>
      <w:r>
        <w:rPr>
          <w:rFonts w:ascii="Calibri" w:eastAsia="Calibri" w:hAnsi="Calibri" w:cs="Calibri"/>
          <w:b/>
          <w:i w:val="0"/>
          <w:color w:val="000000"/>
          <w:sz w:val="20"/>
          <w:u w:val="none"/>
        </w:rPr>
        <w:t>7.1.-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y pasivos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1"/>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manteniendo la política de gestión de riesgos, han suscrito contratos de derivados para cubrir las variaciones de la unidad de fomento y de tipo de cambio de la moneda extranjera. Estos derivados han sido designados como de cobertura y se clasifican bajo los rubros otros activos financieros y otros pasivos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contratos de derivados son valorizados a su valor razonable y reconocidos sus resultados en cuentas de activos o pasivos según corresponda, y en las cuentas de patrimonio denominada otro resultado integral o en el resultado del período o ejercicio, según el tipo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subsidiarias no han reconocido en resultados ineficiencias de partidas cubiertas en instrumentos derivados.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detalla la composición de los activos y pasivos de cobertura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65"/>
        <w:gridCol w:w="705"/>
        <w:gridCol w:w="705"/>
        <w:gridCol w:w="1800"/>
        <w:gridCol w:w="765"/>
        <w:gridCol w:w="795"/>
        <w:gridCol w:w="795"/>
        <w:gridCol w:w="795"/>
        <w:gridCol w:w="795"/>
      </w:tblGrid>
      <w:tr>
        <w:tblPrEx>
          <w:tblW w:w="8520" w:type="dxa"/>
          <w:tblInd w:w="1417" w:type="dxa"/>
          <w:tblLayout w:type="fixed"/>
        </w:tblPrEx>
        <w:trPr>
          <w:cantSplit/>
          <w:trHeight w:hRule="auto" w:val="0"/>
        </w:trPr>
        <w:tc>
          <w:tcPr>
            <w:tcW w:w="5340" w:type="dxa"/>
            <w:gridSpan w:val="5"/>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de coberturas corrientes y no corrientes</w:t>
            </w:r>
          </w:p>
        </w:tc>
        <w:tc>
          <w:tcPr>
            <w:tcW w:w="318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Valor justo</w:t>
            </w:r>
          </w:p>
        </w:tc>
      </w:tr>
      <w:tr>
        <w:tblPrEx>
          <w:tblW w:w="8520" w:type="dxa"/>
          <w:tblInd w:w="1417" w:type="dxa"/>
          <w:tblLayout w:type="fixed"/>
        </w:tblPrEx>
        <w:trPr>
          <w:cantSplit/>
          <w:trHeight w:hRule="auto" w:val="0"/>
        </w:trPr>
        <w:tc>
          <w:tcPr>
            <w:tcW w:w="5340" w:type="dxa"/>
            <w:gridSpan w:val="5"/>
            <w:vMerge/>
            <w:tcBorders>
              <w:top w:val="nil"/>
              <w:left w:val="single" w:sz="2" w:space="0" w:color="000000"/>
              <w:bottom w:val="single" w:sz="4" w:space="0" w:color="FFFFFF"/>
              <w:right w:val="single" w:sz="4" w:space="0" w:color="FFFFFF"/>
            </w:tcBorders>
          </w:tcPr>
          <w:p>
            <w:pPr>
              <w:keepNext/>
              <w:pageBreakBefore w:val="0"/>
            </w:pPr>
          </w:p>
        </w:tc>
        <w:tc>
          <w:tcPr>
            <w:tcW w:w="159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59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8520" w:type="dxa"/>
          <w:tblInd w:w="1417" w:type="dxa"/>
          <w:tblLayout w:type="fixed"/>
        </w:tblPrEx>
        <w:trPr>
          <w:cantSplit/>
          <w:trHeight w:hRule="auto" w:val="0"/>
        </w:trPr>
        <w:tc>
          <w:tcPr>
            <w:tcW w:w="136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contrato</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cobertura</w:t>
            </w:r>
          </w:p>
        </w:tc>
        <w:tc>
          <w:tcPr>
            <w:tcW w:w="18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Riesgo de cobertura</w:t>
            </w:r>
          </w:p>
        </w:tc>
        <w:tc>
          <w:tcPr>
            <w:tcW w:w="76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Partida cubierta</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8520" w:type="dxa"/>
          <w:tblInd w:w="1417" w:type="dxa"/>
          <w:tblLayout w:type="fixed"/>
        </w:tblPrEx>
        <w:trPr>
          <w:cantSplit/>
          <w:trHeight w:hRule="auto" w:val="0"/>
        </w:trPr>
        <w:tc>
          <w:tcPr>
            <w:tcW w:w="136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800"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Unidad de reajuste</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unidades de reajuste.</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2.531.040</w:t>
            </w:r>
          </w:p>
        </w:tc>
      </w:tr>
      <w:tr>
        <w:tblPrEx>
          <w:tblW w:w="8520" w:type="dxa"/>
          <w:tblInd w:w="1417" w:type="dxa"/>
          <w:tblLayout w:type="fixed"/>
        </w:tblPrEx>
        <w:trPr>
          <w:cantSplit/>
          <w:trHeight w:hRule="auto" w:val="0"/>
        </w:trPr>
        <w:tc>
          <w:tcPr>
            <w:tcW w:w="5340" w:type="dxa"/>
            <w:gridSpan w:val="5"/>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2.531.040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365"/>
        <w:gridCol w:w="705"/>
        <w:gridCol w:w="705"/>
        <w:gridCol w:w="1800"/>
        <w:gridCol w:w="765"/>
        <w:gridCol w:w="795"/>
        <w:gridCol w:w="795"/>
        <w:gridCol w:w="795"/>
        <w:gridCol w:w="795"/>
      </w:tblGrid>
      <w:tr>
        <w:tblPrEx>
          <w:tblW w:w="8520" w:type="dxa"/>
          <w:tblInd w:w="1417" w:type="dxa"/>
          <w:tblLayout w:type="fixed"/>
        </w:tblPrEx>
        <w:trPr>
          <w:cantSplit/>
          <w:trHeight w:hRule="auto" w:val="0"/>
        </w:trPr>
        <w:tc>
          <w:tcPr>
            <w:tcW w:w="5340" w:type="dxa"/>
            <w:gridSpan w:val="5"/>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de coberturas corrientes y no corrientes</w:t>
            </w:r>
          </w:p>
        </w:tc>
        <w:tc>
          <w:tcPr>
            <w:tcW w:w="318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Valor justo</w:t>
            </w:r>
          </w:p>
        </w:tc>
      </w:tr>
      <w:tr>
        <w:tblPrEx>
          <w:tblW w:w="8520" w:type="dxa"/>
          <w:tblInd w:w="1417" w:type="dxa"/>
          <w:tblLayout w:type="fixed"/>
        </w:tblPrEx>
        <w:trPr>
          <w:cantSplit/>
          <w:trHeight w:hRule="auto" w:val="0"/>
        </w:trPr>
        <w:tc>
          <w:tcPr>
            <w:tcW w:w="5340" w:type="dxa"/>
            <w:gridSpan w:val="5"/>
            <w:vMerge/>
            <w:tcBorders>
              <w:top w:val="nil"/>
              <w:left w:val="single" w:sz="2" w:space="0" w:color="000000"/>
              <w:bottom w:val="single" w:sz="4" w:space="0" w:color="FFFFFF"/>
              <w:right w:val="single" w:sz="4" w:space="0" w:color="FFFFFF"/>
            </w:tcBorders>
          </w:tcPr>
          <w:p>
            <w:pPr>
              <w:keepNext/>
              <w:pageBreakBefore w:val="0"/>
            </w:pPr>
          </w:p>
        </w:tc>
        <w:tc>
          <w:tcPr>
            <w:tcW w:w="159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59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8520" w:type="dxa"/>
          <w:tblInd w:w="1417" w:type="dxa"/>
          <w:tblLayout w:type="fixed"/>
        </w:tblPrEx>
        <w:trPr>
          <w:cantSplit/>
          <w:trHeight w:hRule="auto" w:val="0"/>
        </w:trPr>
        <w:tc>
          <w:tcPr>
            <w:tcW w:w="136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contrato</w:t>
            </w:r>
          </w:p>
        </w:tc>
        <w:tc>
          <w:tcPr>
            <w:tcW w:w="70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Tipo de cobertura</w:t>
            </w:r>
          </w:p>
        </w:tc>
        <w:tc>
          <w:tcPr>
            <w:tcW w:w="18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Riesgo de cobertura</w:t>
            </w:r>
          </w:p>
        </w:tc>
        <w:tc>
          <w:tcPr>
            <w:tcW w:w="76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Partida cubierta</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8520" w:type="dxa"/>
          <w:tblInd w:w="1417" w:type="dxa"/>
          <w:tblLayout w:type="fixed"/>
        </w:tblPrEx>
        <w:trPr>
          <w:cantSplit/>
          <w:trHeight w:hRule="auto" w:val="0"/>
        </w:trPr>
        <w:tc>
          <w:tcPr>
            <w:tcW w:w="136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800"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auto" w:val="0"/>
        </w:trPr>
        <w:tc>
          <w:tcPr>
            <w:tcW w:w="1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Cross Currency Swap</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Tipo de cambio</w:t>
            </w:r>
          </w:p>
        </w:tc>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Exposición de las variaciones de tipo de cambio.</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Pasivos Financieros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4.766.380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5.434.749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4.645.475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8.874.844</w:t>
            </w:r>
          </w:p>
        </w:tc>
      </w:tr>
      <w:tr>
        <w:tblPrEx>
          <w:tblW w:w="8520" w:type="dxa"/>
          <w:tblInd w:w="1417" w:type="dxa"/>
          <w:tblLayout w:type="fixed"/>
        </w:tblPrEx>
        <w:trPr>
          <w:cantSplit/>
          <w:trHeight w:hRule="auto" w:val="0"/>
        </w:trPr>
        <w:tc>
          <w:tcPr>
            <w:tcW w:w="5340" w:type="dxa"/>
            <w:gridSpan w:val="5"/>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4.766.380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5.434.749</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4.645.475</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8.874.844</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 de diciembre de 2018 se contrató un derivado con Banco de Chile para cubrir las variaciones de unidades de Fomento de obligación por bonos (BCGEIM N° 916) por UF 333.334, el vencimiento de este instrumento es el 1 de diciembre de 2025. Este instrumento no fue renovado.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28 de marzo de 2024 se contrató un derivado con Banco Scotiabank para cubrir las variaciones de tipo de cambio de dólares estadounidenses que se deriven de un préstamo bancario por                          MUS $ 33.000 que se mantiene con Bank of China Panama, el vencimiento de este instrumento es el 28 de marzo de 2025. En su fecha de vencimiento, 28 de marzo de 2025 se contrató un nuevo instrumento derivado con Banco Itaú para cubrir las variaciones de tipo de cambio de dólares estadounidenses, el vencimiento de este instrumento es el 30 de marzo de 2026. Con fecha 24 de marzo de 2026 se contrató un nuevo instrumento derivado con Banco Scotiabank para cubrir las variaciones de tipo de cambio de dólares estadounidenses, el vencimiento de este instrumento es el 15 de marzo de 2027.</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17 de abril de 2024 se contrató un derivado con Banco Itaú para cubrir las variaciones de tipo de cambio del Yuan chino (CNH $) que se deriven de un préstamo bancario por MCNH $ 200.000 que se mantiene con Bank of China Panama, el vencimiento de este instrumento es el 17 de abril de 2025. En su fecha de vencimiento, 17 de abril de 2025 se contrató un nuevo instrumento derivado con Banco de Chile para cubrir las variaciones de tipo de cambio del Yuan chino (CNH $), el vencimiento de este instrumento es el 17 de abril de 2026.</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23 de abril de 2024 se contrató un derivado con JP Morgan para cubrir las variaciones de tipo de cambio del Yuan chino (CNH $) que se deriven de un préstamo bancario por MCNH $ 200.000 que se mantiene con China Development Bank, el vencimiento de este instrumento es el 23 de abril de 2027.</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17 de mayo de 2024 se contrató un derivado con Banco Itaú para cubrir las variaciones de tipo de cambio del Yuan chino (CNH $) que se deriven de un préstamo bancario por MCNH $ 600.000 que se mantiene con China Development Bank, el vencimiento de este instrumento es el 23 de abril de 2027.</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21 de marzo de 2025 se contrató un derivado con Banco Scotiabank para cubrir las variaciones de tipo de cambio de dólares estadounidenses que se deriven de un préstamo bancario por                          MUS $ 63.000 que se mantiene con China Construction Bank (Asia), el vencimiento de este instrumento es el 19 de marzo de 2027.</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22 de mayo de 2025 se contrató un derivado con Banco Itaú para cubrir las variaciones de tipo de cambio de dólares estadounidenses que se deriven de un préstamo bancario por MUS $ 18.201 que se mantiene con China Construction Bank (Asia), el vencimiento de este instrumento es el 22 de marzo de 2027.</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19 de junio de 2025 se contrató un derivado con Banco Santander para cubrir las variaciones de tipo de cambio de Euros que se deriven de un préstamo bancario por MEUR $ 73.000 que se mantiene con State Grid Europe Limited, el vencimiento de este instrumento es el 19 de junio de 2027.</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5 de septiembre de 2025 se contrató un derivado con Banco de Chile para cubrir las variaciones de tipo de cambio de Yuanes que se deriven de un contrato de arrendamientos por                                  CNH $ 2.303.441,25 que se mantiene con State Grid International Leasing Company Limited, el vencimiento de este instrumento es el 2 de septiembre de 2030.</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23 de septiembre de 2025 se contrató un derivado con Banco de Crédito e Inversiones para cubrir las variaciones de tipo de cambio de Euros que se deriven de un préstamo bancario por          MEUR $ 45.000 que se mantiene con State Grid Europe Limited, el vencimiento de este instrumento es el 20 de septiembre de 2028.</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30 de septiembre de 2025 se contrató un derivado con Banco de Chile para cubrir las variaciones de tipo de cambio de Yuanes que se deriven de un contrato de arrendamiento por                                  CNH $ 8.577.119,04 que se mantiene con State Grid International Leasing Company Limited, el vencimiento de este instrumento es el 30 de septiembre de 2030.</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24 de octubre de 2025 se contrató un derivado con Banco de Crédito e Inversiones para cubrir las variaciones de tipo de cambio de Euros que se deriven de un préstamo bancario por MEUR $ 35.000 que se mantiene con State Grid Europe Limited, el vencimiento de este instrumento es el 20 de septiembre de 2028.</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sz w:val="20"/>
        </w:rPr>
        <w:t>Con fecha 20 de enero de 2026 se contrató un derivado con Banco de Chile para cubrir las variaciones de tipo de cambio de Yuanes que se deriven de un préstamo bancario por CNH $ 240.000.000 que se mantiene con Bank of China Panama, el vencimiento de este instrumento es el 22 de enero de 2029.</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sz w:val="20"/>
        </w:rPr>
        <w:t>Con fecha 25 de febrero de 2026 se contrató un derivado con Banco de Crédito e Inversiones para cubrir las variaciones de tipo de cambio de Yuanes que se deriven de un préstamo bancario por                       CNH $ 240.000.000 que se mantiene con Bank of China Panama, el vencimiento de este instrumento es el 16 de febrero de 2029.</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pasivos de coberturas se encuentran expuestos para los efectos de presentación en el estado de situación en la Nota 20.1.</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02" w:name="Section55"/>
      <w:bookmarkEnd w:id="102"/>
      <w:bookmarkStart w:id="103" w:name="c1ea6942172e4ffca7795799c6c3272e"/>
      <w:r>
        <w:rPr>
          <w:rFonts w:ascii="Calibri" w:eastAsia="Calibri" w:hAnsi="Calibri" w:cs="Calibri"/>
          <w:b/>
          <w:i w:val="0"/>
          <w:color w:val="000000"/>
          <w:sz w:val="20"/>
          <w:u w:val="none"/>
        </w:rPr>
        <w:t>7.2.-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los otros activos financieros revelados en nota 7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corresponden solamente a instrumentos de patrimonio y su detalle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975"/>
        <w:gridCol w:w="3060"/>
        <w:gridCol w:w="915"/>
        <w:gridCol w:w="900"/>
        <w:gridCol w:w="900"/>
        <w:gridCol w:w="900"/>
        <w:gridCol w:w="900"/>
      </w:tblGrid>
      <w:tr>
        <w:tblPrEx>
          <w:tblW w:w="8550" w:type="dxa"/>
          <w:tblInd w:w="1417" w:type="dxa"/>
          <w:tblLayout w:type="fixed"/>
        </w:tblPrEx>
        <w:trPr>
          <w:cantSplit/>
          <w:trHeight w:hRule="auto" w:val="0"/>
        </w:trPr>
        <w:tc>
          <w:tcPr>
            <w:tcW w:w="6750" w:type="dxa"/>
            <w:gridSpan w:val="5"/>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 de los instrumentos de patrimonio</w:t>
            </w:r>
          </w:p>
        </w:tc>
        <w:tc>
          <w:tcPr>
            <w:tcW w:w="1800" w:type="dxa"/>
            <w:gridSpan w:val="2"/>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8550" w:type="dxa"/>
          <w:tblInd w:w="1417" w:type="dxa"/>
          <w:tblLayout w:type="fixed"/>
        </w:tblPrEx>
        <w:trPr>
          <w:cantSplit/>
          <w:trHeight w:hRule="auto" w:val="0"/>
        </w:trPr>
        <w:tc>
          <w:tcPr>
            <w:tcW w:w="6750" w:type="dxa"/>
            <w:gridSpan w:val="5"/>
            <w:vMerge/>
            <w:tcBorders>
              <w:top w:val="nil"/>
              <w:left w:val="single" w:sz="2" w:space="0" w:color="000000"/>
              <w:bottom w:val="single" w:sz="4" w:space="0" w:color="FFFFFF"/>
              <w:right w:val="nil"/>
            </w:tcBorders>
          </w:tcPr>
          <w:p>
            <w:pPr>
              <w:keepNext/>
              <w:pageBreakBefore w:val="0"/>
            </w:pPr>
          </w:p>
        </w:tc>
        <w:tc>
          <w:tcPr>
            <w:tcW w:w="1800" w:type="dxa"/>
            <w:gridSpan w:val="2"/>
            <w:vMerge/>
            <w:tcBorders>
              <w:top w:val="nil"/>
              <w:left w:val="single" w:sz="4" w:space="0" w:color="FFFFFF"/>
              <w:bottom w:val="single" w:sz="4" w:space="0" w:color="FFFFFF"/>
              <w:right w:val="single" w:sz="2" w:space="0" w:color="000000"/>
            </w:tcBorders>
          </w:tcPr>
          <w:p>
            <w:pPr>
              <w:keepNext/>
              <w:pageBreakBefore w:val="0"/>
            </w:pPr>
          </w:p>
        </w:tc>
      </w:tr>
      <w:tr>
        <w:tblPrEx>
          <w:tblW w:w="8550" w:type="dxa"/>
          <w:tblInd w:w="1417" w:type="dxa"/>
          <w:tblLayout w:type="fixed"/>
        </w:tblPrEx>
        <w:trPr>
          <w:cantSplit/>
          <w:trHeight w:hRule="auto" w:val="0"/>
        </w:trPr>
        <w:tc>
          <w:tcPr>
            <w:tcW w:w="975"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306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91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Número de acciones</w:t>
            </w: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participación</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975" w:type="dxa"/>
            <w:vMerge/>
            <w:tcBorders>
              <w:top w:val="nil"/>
              <w:left w:val="single" w:sz="2" w:space="0" w:color="000000"/>
              <w:bottom w:val="single" w:sz="2" w:space="0" w:color="000000"/>
              <w:right w:val="nil"/>
            </w:tcBorders>
          </w:tcPr>
          <w:p>
            <w:pPr>
              <w:keepNext/>
              <w:pageBreakBefore w:val="0"/>
            </w:pPr>
          </w:p>
        </w:tc>
        <w:tc>
          <w:tcPr>
            <w:tcW w:w="3060" w:type="dxa"/>
            <w:vMerge/>
            <w:tcBorders>
              <w:top w:val="nil"/>
              <w:left w:val="single" w:sz="4" w:space="0" w:color="FFFFFF"/>
              <w:bottom w:val="single" w:sz="2" w:space="0" w:color="000000"/>
              <w:right w:val="nil"/>
            </w:tcBorders>
          </w:tcPr>
          <w:p>
            <w:pPr>
              <w:keepNext/>
              <w:pageBreakBefore w:val="0"/>
            </w:pPr>
          </w:p>
        </w:tc>
        <w:tc>
          <w:tcPr>
            <w:tcW w:w="91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76.139.483-5</w:t>
            </w:r>
          </w:p>
        </w:tc>
        <w:tc>
          <w:tcPr>
            <w:tcW w:w="30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SCX Bolsa de Clima de Santiago.</w:t>
            </w:r>
          </w:p>
        </w:tc>
        <w:tc>
          <w:tcPr>
            <w:tcW w:w="9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50.000</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5,00000 %</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4"/>
                <w:u w:val="none"/>
              </w:rPr>
              <w:t>5,00000 %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175.001</w:t>
            </w:r>
          </w:p>
        </w:tc>
      </w:tr>
      <w:tr>
        <w:tblPrEx>
          <w:tblW w:w="8550" w:type="dxa"/>
          <w:tblInd w:w="1417" w:type="dxa"/>
          <w:tblLayout w:type="fixed"/>
        </w:tblPrEx>
        <w:trPr>
          <w:cantSplit/>
          <w:trHeight w:hRule="auto" w:val="0"/>
        </w:trPr>
        <w:tc>
          <w:tcPr>
            <w:tcW w:w="6750" w:type="dxa"/>
            <w:gridSpan w:val="5"/>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175.001</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04" w:name="Section56"/>
      <w:bookmarkEnd w:id="104"/>
      <w:bookmarkStart w:id="105" w:name="f3a4f3092794454290d4aacea5cc3969"/>
      <w:r>
        <w:rPr>
          <w:rFonts w:ascii="Calibri" w:eastAsia="Calibri" w:hAnsi="Calibri" w:cs="Calibri"/>
          <w:b/>
          <w:i w:val="0"/>
          <w:color w:val="000000"/>
          <w:sz w:val="20"/>
          <w:u w:val="none"/>
        </w:rPr>
        <w:t>7.3.-</w:t>
      </w:r>
      <w:r>
        <w:rPr>
          <w:rFonts w:ascii="Calibri" w:eastAsia="Calibri" w:hAnsi="Calibri" w:cs="Calibri"/>
          <w:b/>
          <w:i w:val="0"/>
          <w:color w:val="000000"/>
          <w:sz w:val="20"/>
          <w:u w:val="none"/>
        </w:rPr>
        <w:tab/>
      </w:r>
      <w:r>
        <w:rPr>
          <w:rFonts w:ascii="Calibri" w:eastAsia="Calibri" w:hAnsi="Calibri" w:cs="Calibri"/>
          <w:b/>
          <w:i w:val="0"/>
          <w:color w:val="000000"/>
          <w:sz w:val="20"/>
          <w:u w:val="none"/>
        </w:rPr>
        <w:t>Jerarquías del valor razonable.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instrumentos financieros que han sido contabilizados a valor razonable en el estado de situación financiera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han sido medidos en base a las metodologías previstas en la NIIF 9. Dichas metodologías aplicadas para cada clase de instrumentos financieros se clasifican según su jerarquía de la siguiente manera: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I: Valores o precios de cotización en mercados activos para activos y pasivos idénticos.</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II: Información (“inputs”) provenientes de fuentes distintas a los valores de cotización del Nivel I, pero observables en mercados para los activos y pasivos ya sea de manera directa (precios) o indirecta (obtenidos a partir de precios).</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Nivel III: Inputs para activos o pasivos que no se basen en datos de mercados observables.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siguiente tabla presenta los activos y pasivos financieros que son medidos a valor razonable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en la medida que existan saldos vigentes a la fecha de cierre de los estados financieros consolidados.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Activos por instrumentos financieros medidos a valor razonable.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26"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26" w:type="dxa"/>
          <w:tblLayout w:type="fixed"/>
        </w:tblPrEx>
        <w:trPr>
          <w:cantSplit/>
          <w:trHeight w:hRule="auto" w:val="0"/>
        </w:trPr>
        <w:tc>
          <w:tcPr>
            <w:tcW w:w="33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financieros</w:t>
            </w: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26"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sz w:val="20"/>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26"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26" w:type="dxa"/>
          <w:tblLayout w:type="fixed"/>
        </w:tblPrEx>
        <w:trPr>
          <w:cantSplit/>
          <w:trHeight w:hRule="auto" w:val="0"/>
        </w:trPr>
        <w:tc>
          <w:tcPr>
            <w:tcW w:w="33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financieros</w:t>
            </w: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26"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2.531.040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2.531.040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2.531.040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2.531.040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144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Pasivos por instrumentos financieros medidos a valor razonable.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26"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26" w:type="dxa"/>
          <w:tblLayout w:type="fixed"/>
        </w:tblPrEx>
        <w:trPr>
          <w:cantSplit/>
          <w:trHeight w:hRule="auto" w:val="0"/>
        </w:trPr>
        <w:tc>
          <w:tcPr>
            <w:tcW w:w="330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w:t>
            </w:r>
          </w:p>
        </w:tc>
        <w:tc>
          <w:tcPr>
            <w:tcW w:w="180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26"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4.766.380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4.645.475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9.411.855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4.766.380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4.645.475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9.411.855</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26"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Instrumentos financieros medidos a valor razonable</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26"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 financieros</w:t>
            </w: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26"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Derivados de cobertura de flujo de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5.434.749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8.874.844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14.309.593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5.434.749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8.874.844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14.309.593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7.3.3.-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activos financieros.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26"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financieros</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26"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26"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SCX Bolsa de Clima de Santiago.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sz w:val="20"/>
        </w:rPr>
      </w:pPr>
    </w:p>
    <w:tbl>
      <w:tblPr>
        <w:tblW w:w="780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00"/>
        <w:gridCol w:w="900"/>
        <w:gridCol w:w="900"/>
        <w:gridCol w:w="900"/>
        <w:gridCol w:w="900"/>
        <w:gridCol w:w="900"/>
      </w:tblGrid>
      <w:tr>
        <w:tblPrEx>
          <w:tblW w:w="7800" w:type="dxa"/>
          <w:tblInd w:w="2126" w:type="dxa"/>
          <w:tblLayout w:type="fixed"/>
        </w:tblPrEx>
        <w:trPr>
          <w:cantSplit/>
          <w:trHeight w:hRule="auto" w:val="0"/>
        </w:trPr>
        <w:tc>
          <w:tcPr>
            <w:tcW w:w="5100"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financieros</w:t>
            </w:r>
          </w:p>
        </w:tc>
        <w:tc>
          <w:tcPr>
            <w:tcW w:w="270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razonable medido al final del</w:t>
            </w:r>
            <w:r>
              <w:br/>
            </w:r>
            <w:r>
              <w:rPr>
                <w:rFonts w:ascii="Calibri" w:eastAsia="Calibri" w:hAnsi="Calibri" w:cs="Calibri"/>
                <w:b/>
                <w:i w:val="0"/>
                <w:color w:val="FFFFFF"/>
                <w:sz w:val="14"/>
                <w:u w:val="none"/>
              </w:rPr>
              <w:t>periodo de reporte utilizando:</w:t>
            </w:r>
          </w:p>
        </w:tc>
      </w:tr>
      <w:tr>
        <w:tblPrEx>
          <w:tblW w:w="7800" w:type="dxa"/>
          <w:tblInd w:w="2126" w:type="dxa"/>
          <w:tblLayout w:type="fixed"/>
        </w:tblPrEx>
        <w:trPr>
          <w:cantSplit/>
          <w:trHeight w:hRule="auto" w:val="0"/>
        </w:trPr>
        <w:tc>
          <w:tcPr>
            <w:tcW w:w="33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800" w:type="dxa"/>
            <w:gridSpan w:val="2"/>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Nivel II</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Nivel III</w:t>
            </w:r>
          </w:p>
        </w:tc>
      </w:tr>
      <w:tr>
        <w:tblPrEx>
          <w:tblW w:w="7800" w:type="dxa"/>
          <w:tblInd w:w="2126" w:type="dxa"/>
          <w:tblLayout w:type="fixed"/>
        </w:tblPrEx>
        <w:trPr>
          <w:cantSplit/>
          <w:trHeight w:hRule="auto" w:val="0"/>
        </w:trPr>
        <w:tc>
          <w:tcPr>
            <w:tcW w:w="330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SCX Bolsa de Clima de Santiago.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175.001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175.001</w:t>
            </w:r>
          </w:p>
        </w:tc>
      </w:tr>
      <w:tr>
        <w:tblPrEx>
          <w:tblW w:w="7800" w:type="dxa"/>
          <w:tblInd w:w="2126" w:type="dxa"/>
          <w:tblLayout w:type="fixed"/>
        </w:tblPrEx>
        <w:trPr>
          <w:cantSplit/>
          <w:trHeight w:hRule="auto" w:val="0"/>
        </w:trPr>
        <w:tc>
          <w:tcPr>
            <w:tcW w:w="33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175.001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175.001</w:t>
            </w:r>
          </w:p>
        </w:tc>
      </w:tr>
    </w:tbl>
    <w:p>
      <w:pPr>
        <w:keepNext w:val="0"/>
        <w:keepLines/>
        <w:pageBreakBefore w:val="0"/>
        <w:widowControl w:val="0"/>
        <w:numPr>
          <w:ilvl w:val="0"/>
          <w:numId w:val="0"/>
        </w:numPr>
        <w:spacing w:before="0" w:after="0" w:line="288" w:lineRule="auto"/>
        <w:ind w:left="2127" w:right="0" w:hanging="2"/>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Un porcentaje significativo de los valores razonables de los activos financieros que no son comercializados en un mercado activo, han sido determinados utilizando técnicas de valuación como lo señala la Nota 4.2. El valor razonable de las inversiones menores que no tienen un precio de mercado cotizado en un mercado activo, han sido valorizados a su costo de adquisición por la baja significancia que ellos representan.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NIIF 9, las variaciones en el valor justo de estas inversiones son registradas en otros resultados integral y acumuladas en patrimonio hasta su realización, neto de impuesto diferido.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06" w:name="Section57"/>
      <w:bookmarkEnd w:id="106"/>
      <w:bookmarkStart w:id="107" w:name="dd49b461bfc04a40be9d83110ea3f60a"/>
      <w:r>
        <w:rPr>
          <w:rFonts w:ascii="Calibri" w:eastAsia="Calibri" w:hAnsi="Calibri" w:cs="Calibri"/>
          <w:b/>
          <w:i w:val="0"/>
          <w:color w:val="000000"/>
          <w:sz w:val="20"/>
          <w:u w:val="none"/>
        </w:rPr>
        <w:t>7.4.-</w:t>
      </w:r>
      <w:r>
        <w:rPr>
          <w:rFonts w:ascii="Calibri" w:eastAsia="Calibri" w:hAnsi="Calibri" w:cs="Calibri"/>
          <w:b/>
          <w:i w:val="0"/>
          <w:color w:val="000000"/>
          <w:sz w:val="20"/>
          <w:u w:val="none"/>
        </w:rPr>
        <w:tab/>
      </w:r>
      <w:r>
        <w:rPr>
          <w:rFonts w:ascii="Calibri" w:eastAsia="Calibri" w:hAnsi="Calibri" w:cs="Calibri"/>
          <w:b/>
          <w:i w:val="0"/>
          <w:color w:val="000000"/>
          <w:sz w:val="20"/>
          <w:u w:val="none"/>
        </w:rPr>
        <w:t>Categorías de activos y pasivos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07"/>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las diferentes categorías de activos y pasivos financieros, comparando los valores registrados contablemente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y sus respectivos valores razonables.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0"/>
        <w:gridCol w:w="900"/>
        <w:gridCol w:w="900"/>
        <w:gridCol w:w="900"/>
        <w:gridCol w:w="900"/>
        <w:gridCol w:w="900"/>
        <w:gridCol w:w="900"/>
      </w:tblGrid>
      <w:tr>
        <w:tblPrEx>
          <w:tblW w:w="8550" w:type="dxa"/>
          <w:tblInd w:w="1417" w:type="dxa"/>
          <w:tblLayout w:type="fixed"/>
        </w:tblPrEx>
        <w:trPr>
          <w:cantSplit/>
          <w:trHeight w:hRule="exact" w:val="255"/>
        </w:trPr>
        <w:tc>
          <w:tcPr>
            <w:tcW w:w="3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 de junio de 2026</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 valor Razonable</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50" w:type="dxa"/>
          <w:tblInd w:w="1417" w:type="dxa"/>
          <w:tblLayout w:type="fixed"/>
        </w:tblPrEx>
        <w:trPr>
          <w:cantSplit/>
          <w:trHeight w:hRule="auto" w:val="0"/>
        </w:trPr>
        <w:tc>
          <w:tcPr>
            <w:tcW w:w="31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 Cambios en resultado</w:t>
            </w:r>
          </w:p>
        </w:tc>
        <w:tc>
          <w:tcPr>
            <w:tcW w:w="9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 Cambios en Otros resultados integrales</w:t>
            </w: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31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Efectivo y equivalentes al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activos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Deudores comerciales y otras cuentas por cobrar.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a entidades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50" w:type="dxa"/>
          <w:tblInd w:w="1417" w:type="dxa"/>
          <w:tblLayout w:type="fixed"/>
        </w:tblPrEx>
        <w:trPr>
          <w:cantSplit/>
          <w:trHeight w:hRule="exact" w:val="60"/>
        </w:trPr>
        <w:tc>
          <w:tcPr>
            <w:tcW w:w="3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pasivos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Préstamos Bancarios.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33.301.983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33.301.983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621.088.228</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Obligaciones con el público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674.457.784</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Derivados.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4.766.380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4.766.380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4.766.380</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comerciales y otras cuentas por pagar.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4.766.380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33.301.983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38.068.363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1.300.312.392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20"/>
        <w:gridCol w:w="900"/>
        <w:gridCol w:w="900"/>
        <w:gridCol w:w="900"/>
        <w:gridCol w:w="900"/>
        <w:gridCol w:w="900"/>
        <w:gridCol w:w="900"/>
      </w:tblGrid>
      <w:tr>
        <w:tblPrEx>
          <w:tblW w:w="8520" w:type="dxa"/>
          <w:tblInd w:w="1417" w:type="dxa"/>
          <w:tblLayout w:type="fixed"/>
        </w:tblPrEx>
        <w:trPr>
          <w:cantSplit/>
          <w:trHeight w:hRule="auto" w:val="0"/>
        </w:trPr>
        <w:tc>
          <w:tcPr>
            <w:tcW w:w="3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 de diciembre de 2025</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 valor Razonable</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9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90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20" w:type="dxa"/>
          <w:tblInd w:w="1417" w:type="dxa"/>
          <w:tblLayout w:type="fixed"/>
        </w:tblPrEx>
        <w:trPr>
          <w:cantSplit/>
          <w:trHeight w:hRule="auto" w:val="0"/>
        </w:trPr>
        <w:tc>
          <w:tcPr>
            <w:tcW w:w="312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 Cambios en resultado</w:t>
            </w:r>
          </w:p>
        </w:tc>
        <w:tc>
          <w:tcPr>
            <w:tcW w:w="9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 Cambios en Otros resultados integrales</w:t>
            </w: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4" w:space="0" w:color="FFFFFF"/>
            </w:tcBorders>
          </w:tcPr>
          <w:p>
            <w:pPr>
              <w:keepNext/>
              <w:pageBreakBefore w:val="0"/>
            </w:pPr>
          </w:p>
        </w:tc>
        <w:tc>
          <w:tcPr>
            <w:tcW w:w="900" w:type="dxa"/>
            <w:vMerge/>
            <w:tcBorders>
              <w:top w:val="nil"/>
              <w:left w:val="nil"/>
              <w:bottom w:val="nil"/>
              <w:right w:val="single" w:sz="2" w:space="0" w:color="000000"/>
            </w:tcBorders>
          </w:tcPr>
          <w:p>
            <w:pPr>
              <w:keepNext/>
              <w:pageBreakBefore w:val="0"/>
            </w:pPr>
          </w:p>
        </w:tc>
      </w:tr>
      <w:tr>
        <w:tblPrEx>
          <w:tblW w:w="8520" w:type="dxa"/>
          <w:tblInd w:w="1417" w:type="dxa"/>
          <w:tblLayout w:type="fixed"/>
        </w:tblPrEx>
        <w:trPr>
          <w:cantSplit/>
          <w:trHeight w:hRule="auto" w:val="0"/>
        </w:trPr>
        <w:tc>
          <w:tcPr>
            <w:tcW w:w="312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17" w:type="dxa"/>
          <w:tblLayout w:type="fixed"/>
        </w:tblPrEx>
        <w:trPr>
          <w:cantSplit/>
          <w:trHeight w:hRule="exact" w:val="60"/>
        </w:trPr>
        <w:tc>
          <w:tcPr>
            <w:tcW w:w="3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Efectivo y equivalentes al efectivo.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28.288.013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28.288.013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28.288.013</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activos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2.706.041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2.706.041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2.706.041</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Deudores comerciales y otras cuentas por cobrar.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1.493.578.817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1.493.578.817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1.493.578.817</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a entidades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1.867.591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1.867.591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1.867.591</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2.706.041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1.523.734.421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1.526.440.462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1.526.440.462</w:t>
            </w:r>
          </w:p>
        </w:tc>
      </w:tr>
      <w:tr>
        <w:tblPrEx>
          <w:tblW w:w="8520" w:type="dxa"/>
          <w:tblInd w:w="1417" w:type="dxa"/>
          <w:tblLayout w:type="fixed"/>
        </w:tblPrEx>
        <w:trPr>
          <w:cantSplit/>
          <w:trHeight w:hRule="exact" w:val="60"/>
        </w:trPr>
        <w:tc>
          <w:tcPr>
            <w:tcW w:w="3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9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pasivos financieros.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Préstamos Bancarios.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534.357.429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534.357.429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538.709.588</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Obligaciones con el público (bonos).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668.962.806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668.962.806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678.226.153</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 xml:space="preserve">        Derivados.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5.434.749</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5.434.749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5.434.749</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comerciales y otras cuentas por pagar.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852.569.295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852.569.295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852.569.295</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403.328.971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403.328.971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403.328.971</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Pasivos por arrendamientos.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13.103.609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13.103.609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13.103.609</w:t>
            </w:r>
          </w:p>
        </w:tc>
      </w:tr>
      <w:tr>
        <w:tblPrEx>
          <w:tblW w:w="8520" w:type="dxa"/>
          <w:tblInd w:w="1417" w:type="dxa"/>
          <w:tblLayout w:type="fixed"/>
        </w:tblPrEx>
        <w:trPr>
          <w:cantSplit/>
          <w:trHeight w:hRule="auto" w:val="0"/>
        </w:trPr>
        <w:tc>
          <w:tcPr>
            <w:tcW w:w="3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5.434.749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2.472.322.110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2.477.756.859</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2.491.372.365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08" w:name="Section58"/>
      <w:bookmarkEnd w:id="108"/>
      <w:bookmarkStart w:id="109" w:name="453788a3d2df41c08d5768d104910aac"/>
      <w:r>
        <w:rPr>
          <w:rFonts w:ascii="Calibri" w:eastAsia="Calibri" w:hAnsi="Calibri" w:cs="Calibri"/>
          <w:b/>
          <w:i w:val="0"/>
          <w:color w:val="000000"/>
          <w:sz w:val="20"/>
          <w:u w:val="none"/>
        </w:rPr>
        <w:t>8.-</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09"/>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110" w:name="Section59"/>
      <w:bookmarkEnd w:id="110"/>
      <w:bookmarkStart w:id="111" w:name="31b8988844684cd38c2334dc9090ece7"/>
      <w:r>
        <w:rPr>
          <w:rFonts w:ascii="Calibri" w:eastAsia="Calibri" w:hAnsi="Calibri" w:cs="Calibri"/>
          <w:b/>
          <w:i w:val="0"/>
          <w:color w:val="000000"/>
          <w:sz w:val="20"/>
          <w:u w:val="none"/>
        </w:rPr>
        <w:t>8.1.-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11"/>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3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30"/>
        <w:gridCol w:w="1200"/>
        <w:gridCol w:w="1200"/>
        <w:gridCol w:w="1200"/>
        <w:gridCol w:w="1200"/>
      </w:tblGrid>
      <w:tr>
        <w:tblPrEx>
          <w:tblW w:w="7830" w:type="dxa"/>
          <w:tblInd w:w="2126" w:type="dxa"/>
          <w:tblLayout w:type="fixed"/>
        </w:tblPrEx>
        <w:trPr>
          <w:cantSplit/>
          <w:trHeight w:hRule="auto" w:val="0"/>
        </w:trPr>
        <w:tc>
          <w:tcPr>
            <w:tcW w:w="30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neto</w:t>
            </w:r>
          </w:p>
        </w:tc>
        <w:tc>
          <w:tcPr>
            <w:tcW w:w="24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30" w:type="dxa"/>
          <w:tblInd w:w="2126" w:type="dxa"/>
          <w:tblLayout w:type="fixed"/>
        </w:tblPrEx>
        <w:trPr>
          <w:cantSplit/>
          <w:trHeight w:hRule="auto" w:val="0"/>
        </w:trPr>
        <w:tc>
          <w:tcPr>
            <w:tcW w:w="303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30" w:type="dxa"/>
          <w:tblInd w:w="2126" w:type="dxa"/>
          <w:tblLayout w:type="fixed"/>
        </w:tblPrEx>
        <w:trPr>
          <w:cantSplit/>
          <w:trHeight w:hRule="auto" w:val="0"/>
        </w:trPr>
        <w:tc>
          <w:tcPr>
            <w:tcW w:w="303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neto.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(543.200)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550.141.591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40.746.997</w:t>
            </w: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neto.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262.222.623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640.467.606</w:t>
            </w: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(543.200)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812.364.214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681.214.603</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Detalle de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30"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30"/>
        <w:gridCol w:w="1200"/>
        <w:gridCol w:w="1200"/>
        <w:gridCol w:w="1200"/>
        <w:gridCol w:w="1200"/>
      </w:tblGrid>
      <w:tr>
        <w:tblPrEx>
          <w:tblW w:w="7830" w:type="dxa"/>
          <w:tblInd w:w="2126" w:type="dxa"/>
          <w:tblLayout w:type="fixed"/>
        </w:tblPrEx>
        <w:trPr>
          <w:cantSplit/>
          <w:trHeight w:hRule="auto" w:val="0"/>
        </w:trPr>
        <w:tc>
          <w:tcPr>
            <w:tcW w:w="303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cuentas por cobrar, neto</w:t>
            </w:r>
          </w:p>
        </w:tc>
        <w:tc>
          <w:tcPr>
            <w:tcW w:w="24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30" w:type="dxa"/>
          <w:tblInd w:w="2126" w:type="dxa"/>
          <w:tblLayout w:type="fixed"/>
        </w:tblPrEx>
        <w:trPr>
          <w:cantSplit/>
          <w:trHeight w:hRule="auto" w:val="0"/>
        </w:trPr>
        <w:tc>
          <w:tcPr>
            <w:tcW w:w="303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30" w:type="dxa"/>
          <w:tblInd w:w="2126" w:type="dxa"/>
          <w:tblLayout w:type="fixed"/>
        </w:tblPrEx>
        <w:trPr>
          <w:cantSplit/>
          <w:trHeight w:hRule="auto" w:val="0"/>
        </w:trPr>
        <w:tc>
          <w:tcPr>
            <w:tcW w:w="303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30" w:type="dxa"/>
          <w:tblInd w:w="2126" w:type="dxa"/>
          <w:tblLayout w:type="fixed"/>
        </w:tblPrEx>
        <w:trPr>
          <w:cantSplit/>
          <w:trHeight w:hRule="exact" w:val="60"/>
        </w:trPr>
        <w:tc>
          <w:tcPr>
            <w:tcW w:w="30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nil"/>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Por cobrar al personal</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30" w:type="dxa"/>
          <w:tblInd w:w="2126" w:type="dxa"/>
          <w:tblLayout w:type="fixed"/>
        </w:tblPrEx>
        <w:trPr>
          <w:cantSplit/>
          <w:trHeight w:hRule="auto" w:val="0"/>
        </w:trPr>
        <w:tc>
          <w:tcPr>
            <w:tcW w:w="303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al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1.260.189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83.276</w:t>
            </w: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Anticipo de remuneraciones.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368.956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Fondos por rendir.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93.488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1.722.633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83.276</w:t>
            </w:r>
          </w:p>
        </w:tc>
      </w:tr>
      <w:tr>
        <w:tblPrEx>
          <w:tblW w:w="7830" w:type="dxa"/>
          <w:tblInd w:w="2126" w:type="dxa"/>
          <w:tblLayout w:type="fixed"/>
        </w:tblPrEx>
        <w:trPr>
          <w:cantSplit/>
          <w:trHeight w:hRule="auto" w:val="0"/>
        </w:trPr>
        <w:tc>
          <w:tcPr>
            <w:tcW w:w="30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Deudores varios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30" w:type="dxa"/>
          <w:tblInd w:w="2126" w:type="dxa"/>
          <w:tblLayout w:type="fixed"/>
        </w:tblPrEx>
        <w:trPr>
          <w:cantSplit/>
          <w:trHeight w:hRule="exact" w:val="255"/>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Deudores varios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246.097.079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643.732.662</w:t>
            </w: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Anticipo proveedores.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21.405.670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documentos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188.908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Provisión de deterioro.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(7.191.667)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(3.348.332)</w:t>
            </w:r>
          </w:p>
        </w:tc>
      </w:tr>
      <w:tr>
        <w:tblPrEx>
          <w:tblW w:w="7830" w:type="dxa"/>
          <w:tblInd w:w="2126"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260.499.990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640.384.330</w:t>
            </w:r>
          </w:p>
        </w:tc>
      </w:tr>
      <w:tr>
        <w:tblPrEx>
          <w:tblW w:w="7830" w:type="dxa"/>
          <w:tblInd w:w="2126" w:type="dxa"/>
          <w:tblLayout w:type="fixed"/>
        </w:tblPrEx>
        <w:trPr>
          <w:cantSplit/>
          <w:trHeight w:hRule="auto" w:val="0"/>
        </w:trPr>
        <w:tc>
          <w:tcPr>
            <w:tcW w:w="30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30" w:type="dxa"/>
          <w:tblInd w:w="2126" w:type="dxa"/>
          <w:tblLayout w:type="fixed"/>
        </w:tblPrEx>
        <w:trPr>
          <w:cantSplit/>
          <w:trHeight w:hRule="exact" w:val="255"/>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262.222.623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6"/>
                <w:u w:val="none"/>
              </w:rPr>
              <w:t>640.467.606</w:t>
            </w:r>
          </w:p>
        </w:tc>
      </w:tr>
    </w:tbl>
    <w:p>
      <w:pPr>
        <w:keepNext w:val="0"/>
        <w:keepLines/>
        <w:pageBreakBefore w:val="0"/>
        <w:widowControl w:val="0"/>
        <w:numPr>
          <w:ilvl w:val="0"/>
          <w:numId w:val="0"/>
        </w:numPr>
        <w:spacing w:before="0" w:after="0" w:line="288" w:lineRule="auto"/>
        <w:ind w:left="1701"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r>
        <w:rPr>
          <w:rFonts w:ascii="Calibri" w:eastAsia="Calibri" w:hAnsi="Calibri" w:cs="Calibri"/>
          <w:b w:val="0"/>
          <w:i w:val="0"/>
          <w:sz w:val="20"/>
        </w:rPr>
        <w:t>Con fecha 2 de noviembre de 2019, es publicada la Ley N° 21.185, que estableció un mecanismo transitorio de estabilización de precios de generación de energía eléctrica para clientes sujetos a regulación de tarifas, el cual es aplicable a las empresas que operan en el Sistema Eléctrico Nacional. Posteriormente, mediante la Ley N° 21.194, publicada el 21 de diciembre de 2019 se hizo extensiva la aplicación de dicho mecanismo a los Sistemas Medianos.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Dicha ley estipula los criterios para la determinación de los precios estabilizados que deberán ser traspasados a clientes finales, que implica que los ingresos correspondientes al diferencial entre la facturación de consumos con la tarifa estabilizada y las tarifas que correspondería aplicar de conformidad a las condiciones establecidas en los contratos con los suministradores conformarán un saldo que será retribuido a más tardar el 31 de diciembre de 2027.</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Durante la vigencia de la ley de estabilización de precios, estos diferenciales han sido contabilizados en el largo plazo.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Posteriormente, con la publicación de la Ley N° 21.472, el 2 de agosto de 2022, y sus correspondientes adecuaciones indicadas en la Ley N° 21.667, publicada el 30 de abril de 2024, se estableció un fondo adicional de estabilización de tarifas y un nuevo mecanismo de estabilización transitorio de precios de la electricidad para clientes sometidos a regulación de precios.</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Además, establece que la Tesorería General de la República deberá destinar los recursos del Fondo de Estabilización de Tarifas para extinguir los saldos adeudados por la Ley N° 21.185 en representación de las distribuidoras a los suministradores, o a sus cesionarios, con cargo al Fondo de Estabilización de Tarifas, lo que no implicará un cambio de deudor a efectos del cumplimiento del pago.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Entre la entrada en vigencia de la Ley N° 21.667 y el 31 de diciembre de 2027, los recursos se destinarán a la restitución de los saldos adeudados con ocasión de la Ley N° 21.185, debiéndose extinguir esta deuda a más tardar en dicha fecha. Debido a lo anterior, aquella parte de los saldos contabilizados en el ítem Deudores Varios con vencimiento inferior a 12 meses ha sido registrado como una cuenta por cobrar corriente y su saldo remanente con vencimiento hasta el 31 de diciembre de 2027, como una cuenta por cobrar de largo plazo.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Por otra parte, con fecha 7 de junio de 2024 fue publicado el Decreto N° 5T-2024 del Ministerio de Energía, que fija las fórmulas tarifarias para suministros regulados de distribución para el ejercicio noviembre de 2020 a noviembre 2024, comenzando a ser aplicado de forma inmediata.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2"/>
          <w:u w:val="none"/>
        </w:rPr>
      </w:pPr>
      <w:r>
        <w:rPr>
          <w:rFonts w:ascii="Calibri" w:eastAsia="Calibri" w:hAnsi="Calibri" w:cs="Calibri"/>
          <w:b w:val="0"/>
          <w:i w:val="0"/>
          <w:sz w:val="20"/>
        </w:rPr>
        <w:t>No obstante lo anterior, conforme a lo establecido en la Ley N° 21.667, las reliquidaciones que ordena la ley sólo podrán efectuarse cuando el decreto se encuentre totalmente tramitado, es decir, cuando cuente con la toma de razón de la Contraloría General de la República, y luego que la Superintendencia de Electricidad y Combustible imparta las instrucciones respecto del plazo, forma y condiciones de dicha reliquidación. Al respecto, el 9 de abril de 2025 Contraloría dio curso al Decreto N° 5T-2024, no obstante al 31 de diciembre de 2025 aún se encontraban pendientes las instrucciones de reliquidación por parte de la Superintendencia, por lo que los montos registrados en el ítem Deudores Varios asociados a esta reliquidación se encuentran registrados como no corrientes, incluida la estimación de los intereses devengados a la fecha de publicación del citado decreto, conforme a lo establecido en el artículo 192° de la Ley General de Servicios Eléctricos.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9 de febrero de 2026, la Superintendencia de Electricidad y Combustibles mediante Resolución Exenta N° 37.613-2026, comunicó plazo, forma y condiciones en que las empresas deberán abonar o cargar el valor de las diferencias tarifarias producidas por la entrada en vigencia del decreto tarifario 2020-2024 (Decreto N° 5T-2024), de acuerdo a lo indicado en el artículo 192° de la Ley General de Servicios Eléctricos. Posteriormente, mediante Resolución Exenta N° 38.341-2026, de fecha 27 de marzo de 2026, la Superintendencia de Electricidad y Combustibles instruyó a las empresas distribuidoras aplazar el cobro de la reliquidación del Decreto N° 5T-2024 hasta el 1 de julio 2026. Por consecuencia al 31 de marzo de 2026 se encuentra registrado como Corriente las cuotas de reliquidación que serán cobradas en el corto plazo.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bruto.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Clases de deudores comerciales y otras cuentas por cobrar, bruto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722.604.756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40.746.997</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 xml:space="preserve">Otras cuentas por cobrar, bruto.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269.414.290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643.815.938</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992.019.046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684.562.935</w:t>
            </w:r>
          </w:p>
        </w:tc>
      </w:tr>
    </w:tbl>
    <w:p>
      <w:pPr>
        <w:keepNext w:val="0"/>
        <w:keepLines/>
        <w:pageBreakBefore w:val="0"/>
        <w:widowControl w:val="0"/>
        <w:numPr>
          <w:ilvl w:val="0"/>
          <w:numId w:val="0"/>
        </w:numPr>
        <w:spacing w:before="0" w:after="0" w:line="288" w:lineRule="auto"/>
        <w:ind w:left="720" w:right="0" w:firstLine="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 de deudores comerciales y otras cuentas por cobrar.</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Importe en libros de deudores comerciales, otras cuentas por cobrar deteriorados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(171.961.433)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(172.463.165)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(10.539.999)</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(171.961.433)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(183.003.164)</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movimiento de la provisión por deterioro de los </w:t>
      </w:r>
      <w:r>
        <w:rPr>
          <w:rFonts w:ascii="Calibri" w:eastAsia="Calibri" w:hAnsi="Calibri" w:cs="Calibri"/>
          <w:b w:val="0"/>
          <w:i w:val="0"/>
          <w:color w:val="000000"/>
          <w:sz w:val="20"/>
          <w:u w:val="none"/>
        </w:rPr>
        <w:t>deudores</w:t>
      </w:r>
      <w:r>
        <w:rPr>
          <w:rFonts w:ascii="Calibri" w:eastAsia="Calibri" w:hAnsi="Calibri" w:cs="Calibri"/>
          <w:b w:val="0"/>
          <w:i w:val="0"/>
          <w:sz w:val="20"/>
        </w:rPr>
        <w:t xml:space="preserve"> comerciales y otras cuentas por cobrar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se muestra en el siguiente cuadro: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Provisión deudores comerciales y otras cuentas por cobrar vencidos y no pagados con deterioro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Saldo inicial.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(183.003.164)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(150.461.423)</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Baja (reversiones) de deudores comerciales y otras cuentas por cobrar deterioradas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182.459.964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19.898.014</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(Aumento) disminución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(52.439.755)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(543.200)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(183.003.164)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justo de los deudores comerciales y otras cuentas por cobrar no difiere significativamente del valor de libros presentado. Asimismo, el valor libros de los deudores y clientes por cobrar en mora no deteriorados y deteriorados representan una aproximación razonable al valor justo de los mismos y consideran una provisión de deterioro cuando existe evidencia objetiva de que Compañía General de Electricidad S.A. y subsidiarias no será capaz de cobrar el importe que se le adeuda, ello aún luego de aplicar las acciones de cobranza.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exposición máxima al riesgo de crédito a la fecha de reporte es el valor en libros de cada clase de cuenta por cobrar mencionada.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Respecto a la calidad crediticia, en materia de energía eléctrica, las empresas distribuidoras se rigen por el Decreto con Fuerza de Ley N° 1, de Minería de 1982, Ley General de Servicios Eléctricos, y por su Reglamento Eléctrico, Decreto Supremo N° 327 de diciembre de 1997. En el artículo 146 de este último se regula el plazo para el pago del suministro eléctrico por parte del usuario o cliente final, no siendo éste considerado como un crédito y por otro lado, señala que en el inmueble o instalación quedarán radicadas todas las obligaciones derivadas del servicio para con la empresa suministradora. Lo anterior, sumado a que en el artículo 147 se establecen los plazos para suspensión por deudas del suministro eléctrico, se traduce en que las cuentas por cobrar provenientes de la actividad comercial del negocio eléctrico son de riesgo limitado.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Se consideran saldos de dudoso cobro, todos aquellos que se incluyen en la matriz de cálculo de pérdida esperada basado en la experiencia histórica de pérdidas crediticias de Compañía General de Electricidad S.A. y subsidiarias, ajustada por factores prospectivos específicos para los deudores y el entorno económico.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política de provisión de incobrables de Compañía General de Electricidad S.A. y subsidiarias contempla la actualización de las variables macroeconómicas cuando lo amerite en caso de visualizar un cambio significativo.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castigos tributarios son realizados en la medida que las deudas son declaradas sin posibilidad alguna de recupero, de acuerdo a las normas tributarias vigentes.</w:t>
      </w:r>
    </w:p>
    <w:p>
      <w:pPr>
        <w:keepNext w:val="0"/>
        <w:keepLines/>
        <w:pageBreakBefore w:val="0"/>
        <w:widowControl w:val="0"/>
        <w:numPr>
          <w:ilvl w:val="0"/>
          <w:numId w:val="0"/>
        </w:numPr>
        <w:spacing w:before="0" w:after="0" w:line="288" w:lineRule="auto"/>
        <w:ind w:left="127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275"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12" w:name="Section60"/>
      <w:bookmarkEnd w:id="112"/>
      <w:bookmarkStart w:id="113" w:name="b470374219794fb3a3e425caef472ad5"/>
      <w:r>
        <w:rPr>
          <w:rFonts w:ascii="Calibri" w:eastAsia="Calibri" w:hAnsi="Calibri" w:cs="Calibri"/>
          <w:b/>
          <w:i w:val="0"/>
          <w:color w:val="000000"/>
          <w:sz w:val="20"/>
          <w:u w:val="none"/>
        </w:rPr>
        <w:t>8.2.-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Estratificación de la cartera.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11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45"/>
        <w:gridCol w:w="945"/>
        <w:gridCol w:w="945"/>
        <w:gridCol w:w="945"/>
        <w:gridCol w:w="945"/>
        <w:gridCol w:w="945"/>
        <w:gridCol w:w="945"/>
        <w:gridCol w:w="945"/>
        <w:gridCol w:w="945"/>
        <w:gridCol w:w="945"/>
        <w:gridCol w:w="945"/>
        <w:gridCol w:w="945"/>
        <w:gridCol w:w="945"/>
      </w:tblGrid>
      <w:tr>
        <w:tblPrEx>
          <w:tblW w:w="13845" w:type="dxa"/>
          <w:tblInd w:w="709" w:type="dxa"/>
          <w:tblLayout w:type="fixed"/>
        </w:tblPrEx>
        <w:trPr>
          <w:cantSplit/>
          <w:trHeight w:hRule="exact" w:val="195"/>
        </w:trPr>
        <w:tc>
          <w:tcPr>
            <w:tcW w:w="15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corrientes</w:t>
            </w:r>
          </w:p>
        </w:tc>
        <w:tc>
          <w:tcPr>
            <w:tcW w:w="94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09" w:type="dxa"/>
          <w:tblLayout w:type="fixed"/>
        </w:tblPrEx>
        <w:trPr>
          <w:cantSplit/>
          <w:trHeight w:hRule="exact" w:val="195"/>
        </w:trPr>
        <w:tc>
          <w:tcPr>
            <w:tcW w:w="156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exact" w:val="195"/>
        </w:trPr>
        <w:tc>
          <w:tcPr>
            <w:tcW w:w="156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56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343.319.139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104.636.845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30.988.467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15.786.510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11.099.966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9.985.615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10.559.634</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9.864.359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14.795.535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225.399.198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776.435.268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 bruto.</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853.580.176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853.580.176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4.000.726</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29.325.035</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(1.909.168)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(833.808)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(1.045.281)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(2.971.346)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(3.010.457)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(3.059.007)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(3.782.455)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(3.326.461)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(5.776.020)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(146.247.433)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(171.961.436)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(543.200)</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(10.797.843)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(10.797.843)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(7.612.635)</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(3.104.555)</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1.184.192.304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103.803.037</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29.943.186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12.815.164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8.089.509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6.926.608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6.777.179</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6.537.898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9.019.515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79.151.765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1.447.256.165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(4.155.109)</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26.220.480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45"/>
        <w:gridCol w:w="945"/>
        <w:gridCol w:w="945"/>
        <w:gridCol w:w="945"/>
        <w:gridCol w:w="945"/>
        <w:gridCol w:w="945"/>
        <w:gridCol w:w="945"/>
        <w:gridCol w:w="945"/>
        <w:gridCol w:w="945"/>
        <w:gridCol w:w="945"/>
        <w:gridCol w:w="945"/>
        <w:gridCol w:w="945"/>
        <w:gridCol w:w="945"/>
      </w:tblGrid>
      <w:tr>
        <w:tblPrEx>
          <w:tblW w:w="13845" w:type="dxa"/>
          <w:tblInd w:w="709" w:type="dxa"/>
          <w:tblLayout w:type="fixed"/>
        </w:tblPrEx>
        <w:trPr>
          <w:cantSplit/>
          <w:trHeight w:hRule="exact" w:val="195"/>
        </w:trPr>
        <w:tc>
          <w:tcPr>
            <w:tcW w:w="156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4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4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09" w:type="dxa"/>
          <w:tblLayout w:type="fixed"/>
        </w:tblPrEx>
        <w:trPr>
          <w:cantSplit/>
          <w:trHeight w:hRule="exact" w:val="195"/>
        </w:trPr>
        <w:tc>
          <w:tcPr>
            <w:tcW w:w="156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exact" w:val="195"/>
        </w:trPr>
        <w:tc>
          <w:tcPr>
            <w:tcW w:w="1560" w:type="dxa"/>
            <w:vMerge/>
            <w:tcBorders>
              <w:top w:val="nil"/>
              <w:left w:val="single" w:sz="2" w:space="0" w:color="000000"/>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4" w:space="0" w:color="FFFFFF"/>
            </w:tcBorders>
          </w:tcPr>
          <w:p>
            <w:pPr>
              <w:keepNext/>
              <w:pageBreakBefore w:val="0"/>
            </w:pPr>
          </w:p>
        </w:tc>
        <w:tc>
          <w:tcPr>
            <w:tcW w:w="945"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560" w:type="dxa"/>
            <w:vMerge/>
            <w:tcBorders>
              <w:top w:val="nil"/>
              <w:left w:val="single" w:sz="2" w:space="0" w:color="000000"/>
              <w:bottom w:val="single" w:sz="2" w:space="0" w:color="000000"/>
              <w:right w:val="nil"/>
            </w:tcBorders>
          </w:tcPr>
          <w:p>
            <w:pPr>
              <w:keepNext/>
              <w:pageBreakBefore w:val="0"/>
            </w:pP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4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377.871.963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76.918.233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28.229.141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16.659.948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12.248.805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13.567.335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9.652.517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9.067.650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10.295.071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208.841.090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763.351.753</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722.604.756</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40.746.997</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 bruto.</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913.230.228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913.230.228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269.414.290</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643.815.938</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Deudores Comerciales.</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(17.132.806)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(926.128)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(1.000.096)</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(3.193.622)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(3.115.560)</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(4.106.318)</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(3.485.341)</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(3.512.815)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(4.259.477)</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(131.731.002)</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(172.463.165)</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(172.463.165)</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otras cuentas por cobrar.</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(10.539.999)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(10.539.999)</w:t>
            </w:r>
          </w:p>
        </w:tc>
        <w:tc>
          <w:tcPr>
            <w:tcW w:w="9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(7.191.667)</w:t>
            </w:r>
          </w:p>
        </w:tc>
        <w:tc>
          <w:tcPr>
            <w:tcW w:w="94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(3.348.332)</w:t>
            </w:r>
          </w:p>
        </w:tc>
      </w:tr>
      <w:tr>
        <w:tblPrEx>
          <w:tblW w:w="13845" w:type="dxa"/>
          <w:tblInd w:w="709"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1.263.429.386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75.992.105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27.229.045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13.466.326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9.133.245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9.461.017</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6.167.176</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5.554.835</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6.035.594</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77.110.088</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1.493.578.817</w:t>
            </w:r>
          </w:p>
        </w:tc>
        <w:tc>
          <w:tcPr>
            <w:tcW w:w="9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812.364.214</w:t>
            </w:r>
          </w:p>
        </w:tc>
        <w:tc>
          <w:tcPr>
            <w:tcW w:w="94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681.214.603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9"/>
          <w:footerReference w:type="default" r:id="rId30"/>
          <w:footnotePr>
            <w:numRestart w:val="eachPage"/>
          </w:footnotePr>
          <w:type w:val="continuous"/>
          <w:pgSz w:w="16834" w:h="11909"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14" w:name="Section61"/>
      <w:bookmarkEnd w:id="114"/>
      <w:bookmarkStart w:id="115" w:name="ac5c1115e6d54fe387fb5ed273edc813"/>
      <w:r>
        <w:rPr>
          <w:rFonts w:ascii="Calibri" w:eastAsia="Calibri" w:hAnsi="Calibri" w:cs="Calibri"/>
          <w:b/>
          <w:i w:val="0"/>
          <w:color w:val="000000"/>
          <w:sz w:val="20"/>
          <w:u w:val="none"/>
        </w:rPr>
        <w:t>8.3.-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estratificación de la cartera deudores comerciales.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resumen de estratificación de cartera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40"/>
        <w:gridCol w:w="810"/>
        <w:gridCol w:w="900"/>
        <w:gridCol w:w="900"/>
        <w:gridCol w:w="900"/>
        <w:gridCol w:w="900"/>
        <w:gridCol w:w="900"/>
        <w:gridCol w:w="900"/>
        <w:gridCol w:w="900"/>
      </w:tblGrid>
      <w:tr>
        <w:tblPrEx>
          <w:tblW w:w="8550" w:type="dxa"/>
          <w:tblInd w:w="1417" w:type="dxa"/>
          <w:tblLayout w:type="fixed"/>
        </w:tblPrEx>
        <w:trPr>
          <w:cantSplit/>
          <w:trHeight w:hRule="auto" w:val="0"/>
        </w:trPr>
        <w:tc>
          <w:tcPr>
            <w:tcW w:w="855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8550" w:type="dxa"/>
          <w:tblInd w:w="1417" w:type="dxa"/>
          <w:tblLayout w:type="fixed"/>
        </w:tblPrEx>
        <w:trPr>
          <w:cantSplit/>
          <w:trHeight w:hRule="auto" w:val="0"/>
        </w:trPr>
        <w:tc>
          <w:tcPr>
            <w:tcW w:w="144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81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repactada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repactada, bruta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8550" w:type="dxa"/>
          <w:tblInd w:w="1417" w:type="dxa"/>
          <w:tblLayout w:type="fixed"/>
        </w:tblPrEx>
        <w:trPr>
          <w:cantSplit/>
          <w:trHeight w:hRule="auto" w:val="0"/>
        </w:trPr>
        <w:tc>
          <w:tcPr>
            <w:tcW w:w="1440" w:type="dxa"/>
            <w:vMerge/>
            <w:tcBorders>
              <w:top w:val="nil"/>
              <w:left w:val="single" w:sz="2" w:space="0" w:color="000000"/>
              <w:bottom w:val="single" w:sz="2" w:space="0" w:color="000000"/>
              <w:right w:val="nil"/>
            </w:tcBorders>
          </w:tcPr>
          <w:p>
            <w:pPr>
              <w:keepNext/>
              <w:pageBreakBefore w:val="0"/>
            </w:pPr>
          </w:p>
        </w:tc>
        <w:tc>
          <w:tcPr>
            <w:tcW w:w="81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1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81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Vendida y no facturada (1).</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160.437.589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160.437.589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474.823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109.220.772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(781.076)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260.384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73.660.776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(1.128.092)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182.881.548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(1.909.168)</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474.823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269.658.361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(781.076)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260.384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73.660.776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(1.128.092)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343.319.137</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(1.909.168)</w:t>
            </w:r>
          </w:p>
        </w:tc>
      </w:tr>
      <w:tr>
        <w:tblPrEx>
          <w:tblW w:w="8550" w:type="dxa"/>
          <w:tblInd w:w="1417"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1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81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361.332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70.721.076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(761.525)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33.915.769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(72.284)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104.636.845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(833.809)</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94.350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29.296.437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(939.682)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5.398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1.692.030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(105.598)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30.988.467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(1.045.280)</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36.266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14.333.692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(2.639.073)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4.486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1.452.818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(332.272)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15.786.510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(2.971.345)</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27.330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9.870.770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(2.617.022)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4.225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1.229.196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(393.433)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11.099.966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(3.010.455)</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22.827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8.952.918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(2.685.415)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1.032.697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(373.592)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9.985.615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(3.059.007)</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20.191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9.390.788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(3.302.018)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3.189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1.168.847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(480.437)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10.559.635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(3.782.455)</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18.393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8.946.241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(2.940.518)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2.896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918.117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(385.943)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9.864.358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(3.326.461)</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13.533.304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(5.216.136)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1.262.232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(559.884)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14.795.536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(5.776.020)</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605.450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189.664.476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(121.033.632)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119.087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35.734.723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(25.213.801)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225.399.199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(146.247.433)</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1.210.183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354.709.702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(142.135.021)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157.742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78.406.429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(27.917.244)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433.116.131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(170.052.265)</w:t>
            </w:r>
          </w:p>
        </w:tc>
      </w:tr>
      <w:tr>
        <w:tblPrEx>
          <w:tblW w:w="8550" w:type="dxa"/>
          <w:tblInd w:w="1417"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1.685.006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624.368.063</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(142.916.097)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418.126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152.067.205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(29.045.336)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776.435.268</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(171.961.433)</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40"/>
        <w:gridCol w:w="810"/>
        <w:gridCol w:w="900"/>
        <w:gridCol w:w="900"/>
        <w:gridCol w:w="900"/>
        <w:gridCol w:w="900"/>
        <w:gridCol w:w="900"/>
        <w:gridCol w:w="900"/>
        <w:gridCol w:w="900"/>
      </w:tblGrid>
      <w:tr>
        <w:tblPrEx>
          <w:tblW w:w="8550" w:type="dxa"/>
          <w:tblInd w:w="1417" w:type="dxa"/>
          <w:tblLayout w:type="fixed"/>
        </w:tblPrEx>
        <w:trPr>
          <w:cantSplit/>
          <w:trHeight w:hRule="auto" w:val="0"/>
        </w:trPr>
        <w:tc>
          <w:tcPr>
            <w:tcW w:w="8550" w:type="dxa"/>
            <w:gridSpan w:val="9"/>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144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81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repactada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repactada, bruta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8550" w:type="dxa"/>
          <w:tblInd w:w="1417" w:type="dxa"/>
          <w:tblLayout w:type="fixed"/>
        </w:tblPrEx>
        <w:trPr>
          <w:cantSplit/>
          <w:trHeight w:hRule="auto" w:val="0"/>
        </w:trPr>
        <w:tc>
          <w:tcPr>
            <w:tcW w:w="1440" w:type="dxa"/>
            <w:vMerge/>
            <w:tcBorders>
              <w:top w:val="nil"/>
              <w:left w:val="single" w:sz="2" w:space="0" w:color="000000"/>
              <w:bottom w:val="single" w:sz="2" w:space="0" w:color="000000"/>
              <w:right w:val="nil"/>
            </w:tcBorders>
          </w:tcPr>
          <w:p>
            <w:pPr>
              <w:keepNext/>
              <w:pageBreakBefore w:val="0"/>
            </w:pPr>
          </w:p>
        </w:tc>
        <w:tc>
          <w:tcPr>
            <w:tcW w:w="81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1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81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Vendida y no facturada (1).</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170.731.436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170.731.436</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488.821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102.956.898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(753.622)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268.241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104.183.629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(16.379.184)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207.140.527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(17.132.806)</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488.821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273.688.334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(753.622)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268.241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104.183.629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(16.379.184)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377.871.963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(17.132.806)</w:t>
            </w:r>
          </w:p>
        </w:tc>
      </w:tr>
      <w:tr>
        <w:tblPrEx>
          <w:tblW w:w="8550" w:type="dxa"/>
          <w:tblInd w:w="1417"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1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81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371.897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73.376.588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(834.359)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10.603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3.541.645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(91.769)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76.918.233</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(926.128)</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97.142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26.732.173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(902.754)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5.554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1.496.968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(97.342)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28.229.141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(1.000.096)</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37.295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15.228.286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(2.846.002)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1.431.662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(347.620)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16.659.948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(3.193.622)</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28.134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11.164.402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(2.779.730)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4.346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1.084.403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(335.830)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12.248.805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(3.115.560)</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23.510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12.532.291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(3.748.775)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1.035.044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(357.543)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13.567.335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(4.106.318)</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20.764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8.674.765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(3.113.206)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3.279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977.752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(372.135)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9.652.517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(3.485.341)</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18.914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8.045.056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(3.089.527)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1.022.594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(423.288)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9.067.650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(3.512.815)</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24.739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9.151.779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(3.745.218)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4.471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1.143.292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(514.259)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10.295.071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(4.259.477)</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623.639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176.818.184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(109.661.486)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122.695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32.022.906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(22.069.516)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208.841.090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(131.731.002)</w:t>
            </w: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1.246.034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341.723.524</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(130.721.057)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162.467</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43.756.266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(24.609.302)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385.479.790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(155.330.359)</w:t>
            </w:r>
          </w:p>
        </w:tc>
      </w:tr>
      <w:tr>
        <w:tblPrEx>
          <w:tblW w:w="8550" w:type="dxa"/>
          <w:tblInd w:w="1417" w:type="dxa"/>
          <w:tblLayout w:type="fixed"/>
        </w:tblPrEx>
        <w:trPr>
          <w:cantSplit/>
          <w:trHeight w:hRule="exact" w:val="60"/>
        </w:trPr>
        <w:tc>
          <w:tcPr>
            <w:tcW w:w="14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14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1.734.855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615.411.858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(131.474.679)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430.708</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147.939.895</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(40.988.486)</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763.351.753</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(172.463.165)</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Vendida y no facturada: Corresponde a la estimación de energía por facturar que ha sido suministrada hasta la fecha de cierre de los estados financieros.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Por vencer: Corresponde a las facturas y boletas emitidas que al cierre de los estados financieros se encuentran sin vencer su fecha de pago.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Vencidos: Corresponde a las facturas y boletas emitidas que al cierre de los estados financieros tienen como mínimo un día de morosidad con respecto a su fecha de vencimiento.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headerReference w:type="default" r:id="rId31"/>
          <w:footerReference w:type="default" r:id="rId32"/>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16" w:name="Section62"/>
      <w:bookmarkEnd w:id="116"/>
      <w:bookmarkStart w:id="117" w:name="2b582769b55c48399d2cd991b7f7d6d3"/>
      <w:r>
        <w:rPr>
          <w:rFonts w:ascii="Calibri" w:eastAsia="Calibri" w:hAnsi="Calibri" w:cs="Calibri"/>
          <w:b/>
          <w:i w:val="0"/>
          <w:color w:val="000000"/>
          <w:sz w:val="20"/>
          <w:u w:val="none"/>
        </w:rPr>
        <w:t>8.4.-</w:t>
      </w:r>
      <w:r>
        <w:rPr>
          <w:rFonts w:ascii="Calibri" w:eastAsia="Calibri" w:hAnsi="Calibri" w:cs="Calibri"/>
          <w:b/>
          <w:i w:val="0"/>
          <w:color w:val="000000"/>
          <w:sz w:val="20"/>
          <w:u w:val="none"/>
        </w:rPr>
        <w:tab/>
      </w:r>
      <w:r>
        <w:rPr>
          <w:rFonts w:ascii="Calibri" w:eastAsia="Calibri" w:hAnsi="Calibri" w:cs="Calibri"/>
          <w:b/>
          <w:i w:val="0"/>
          <w:color w:val="000000"/>
          <w:sz w:val="20"/>
          <w:u w:val="none"/>
        </w:rPr>
        <w:t>Cartera protestada y en cobranza judicial.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17"/>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cartera protestada y en cobranza judicial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 las cuales forman parte de la cartera morosa: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8550" w:type="dxa"/>
            <w:gridSpan w:val="5"/>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453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01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c>
          <w:tcPr>
            <w:tcW w:w="201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cobranza judicial, cartera no securitizada</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2.971.219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5.146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78.624.849</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330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2.971.219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5.146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78.624.849</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8550" w:type="dxa"/>
            <w:gridSpan w:val="5"/>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4530" w:type="dxa"/>
            <w:vMerge w:val="restart"/>
            <w:tcBorders>
              <w:top w:val="nil"/>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Cartera en cobranza judicial</w:t>
            </w:r>
          </w:p>
        </w:tc>
        <w:tc>
          <w:tcPr>
            <w:tcW w:w="201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cartera protestada, cartera no securitizada</w:t>
            </w:r>
          </w:p>
        </w:tc>
        <w:tc>
          <w:tcPr>
            <w:tcW w:w="2010" w:type="dxa"/>
            <w:gridSpan w:val="2"/>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Documentos por cobrar en cobranza judicial, cartera no securitizada</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Cartera protestada o en cobranza judicial.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2.880.979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2.405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60.771.774</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321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2.880.979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2.405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60.771.774</w:t>
            </w:r>
          </w:p>
        </w:tc>
      </w:tr>
    </w:tbl>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18" w:name="Section63"/>
      <w:bookmarkEnd w:id="118"/>
      <w:bookmarkStart w:id="119" w:name="068fc63c30314c629fd4af92d24e86d5"/>
      <w:r>
        <w:rPr>
          <w:rFonts w:ascii="Calibri" w:eastAsia="Calibri" w:hAnsi="Calibri" w:cs="Calibri"/>
          <w:b/>
          <w:i w:val="0"/>
          <w:color w:val="000000"/>
          <w:sz w:val="20"/>
          <w:u w:val="none"/>
        </w:rPr>
        <w:t xml:space="preserve">8.5.- </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Provisión y castigos.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119"/>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provisión y castigo de la cartera no repactada y repactada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y castigos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0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0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453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0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453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no repactada.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(11.587.482)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(23.911.939)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(468.199)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(11.440.310)</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cartera repactada.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11.943.150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1.322.881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2.844.714</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355.668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(22.589.058)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(468.199)</w:t>
            </w:r>
          </w:p>
        </w:tc>
        <w:tc>
          <w:tcPr>
            <w:tcW w:w="10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(8.595.596)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20" w:name="Section64"/>
      <w:bookmarkEnd w:id="120"/>
      <w:bookmarkStart w:id="121" w:name="0be62792723e46e88993f05af73e1a62"/>
      <w:r>
        <w:rPr>
          <w:rFonts w:ascii="Calibri" w:eastAsia="Calibri" w:hAnsi="Calibri" w:cs="Calibri"/>
          <w:b/>
          <w:i w:val="0"/>
          <w:color w:val="000000"/>
          <w:sz w:val="20"/>
          <w:u w:val="none"/>
        </w:rPr>
        <w:t xml:space="preserve">8.6.- </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y monto de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2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número y monto de operaciones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por segmento venta de energía eléctrica: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vMerge/>
            <w:tcBorders>
              <w:top w:val="nil"/>
              <w:left w:val="nil"/>
              <w:bottom w:val="nil"/>
              <w:right w:val="nil"/>
            </w:tcBorders>
          </w:tcPr>
          <w:p>
            <w:pPr>
              <w:keepNext/>
              <w:pageBreakBefore w:val="0"/>
            </w:pP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-10.647.188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(578.077.177)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-10.647.188</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(578.077.177)</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vMerge/>
            <w:tcBorders>
              <w:top w:val="nil"/>
              <w:left w:val="nil"/>
              <w:bottom w:val="nil"/>
              <w:right w:val="nil"/>
            </w:tcBorders>
          </w:tcPr>
          <w:p>
            <w:pPr>
              <w:keepNext/>
              <w:pageBreakBefore w:val="0"/>
            </w:pP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20.299.588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1.204.819.231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10.336.256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608.746.687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20.299.588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1.204.819.231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10.336.256</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608.746.687</w:t>
            </w:r>
          </w:p>
        </w:tc>
      </w:tr>
    </w:tbl>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22" w:name="Section65"/>
      <w:bookmarkEnd w:id="122"/>
      <w:bookmarkStart w:id="123" w:name="e49f8ef9c5c145c69d57ad8baeb99393"/>
      <w:r>
        <w:rPr>
          <w:rFonts w:ascii="Calibri" w:eastAsia="Calibri" w:hAnsi="Calibri" w:cs="Calibri"/>
          <w:b/>
          <w:i w:val="0"/>
          <w:color w:val="000000"/>
          <w:sz w:val="20"/>
          <w:u w:val="none"/>
        </w:rPr>
        <w:t>9.-</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123"/>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30" w:lineRule="exact"/>
        <w:ind w:left="709" w:right="0" w:firstLine="0"/>
        <w:jc w:val="both"/>
        <w:outlineLvl w:val="9"/>
        <w:rPr>
          <w:rFonts w:ascii="Aptos" w:eastAsia="Aptos" w:hAnsi="Aptos" w:cs="Aptos"/>
          <w:b w:val="0"/>
          <w:i w:val="0"/>
          <w:color w:val="000000"/>
          <w:sz w:val="24"/>
          <w:u w:val="none"/>
        </w:rPr>
      </w:pPr>
      <w:r>
        <w:rPr>
          <w:rFonts w:ascii="Calibri" w:eastAsia="Calibri" w:hAnsi="Calibri" w:cs="Calibri"/>
          <w:b w:val="0"/>
          <w:i w:val="0"/>
          <w:sz w:val="20"/>
        </w:rPr>
        <w:t>Con fecha 14 de diciembre de 2023, la Sociedad firmó un contrato de crédito con el controlador State Grid Chile Electricity SpA. Mediante este contrato el acreedor puso a disposición de Compañía General de Electricidad S.A. un préstamo intercompañía por un monto de M$ 19.964.000, el cual devengará una tasa de interés anual equivalente a 9,13%, con vencimiento al 12 de junio de 2024. Los intereses ordinarios devengados se pagarán trimestralmente los días 12 de marzo de 2024 y 12 de junio de 2024. El contrato no supone ni involucra la constitución de garantías de ningún tipo. Con fecha 12 de junio de 2024, la Sociedad firmó un contrato de extensión de plazo del crédito con el controlador State Grid Chile Electricity SpA., el cual devengará una tasa de interés anual equivalente a 5,486%, con vencimiento al 25 de junio de 2025. Los intereses ordinarios devengados se pagarán los días 12 de septiembre de 2024, 12 de diciembre de 2024, 12 de marzo de 2025, 12 de junio de 2025 y 25 de junio de 2025. El contrato no supone ni involucra la constitución de garantías de ningún tipo. Con fecha 24 de junio de 2025, la Sociedad firmó un contrato de extensión de plazo del crédito con el controlador State Grid Chile Electricity SpA., el cual devengará una tasa de interés anual equivalente a 5,075%, con vencimiento al 12 de junio de 2028. Los intereses ordinarios devengados se pagarán los días 12 de septiembre de 2025, 12 de diciembre de 2025, 12 de marzo de 2026, 12 de junio de 2026, 12 de septiembre de 2026, 12 de diciembre de 2026, 12 de marzo de 2027, 12 de junio de 2027, 12 de septiembre de 2027, 12 de diciembre de 2027, 12 de marzo de 2028 y 12 de junio de 2028.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709" w:right="0" w:firstLine="0"/>
        <w:jc w:val="both"/>
        <w:outlineLvl w:val="9"/>
        <w:rPr>
          <w:rFonts w:ascii="Aptos" w:eastAsia="Aptos" w:hAnsi="Aptos" w:cs="Aptos"/>
          <w:b w:val="0"/>
          <w:i w:val="0"/>
          <w:color w:val="000000"/>
          <w:sz w:val="24"/>
          <w:u w:val="none"/>
        </w:rPr>
      </w:pPr>
      <w:r>
        <w:rPr>
          <w:rFonts w:ascii="Calibri" w:eastAsia="Calibri" w:hAnsi="Calibri" w:cs="Calibri"/>
          <w:b w:val="0"/>
          <w:i w:val="0"/>
          <w:sz w:val="20"/>
        </w:rPr>
        <w:t>Con fecha 14 de diciembre de 2023, la Sociedad firmó un contrato de crédito con el controlador State Grid Chile Electricity SpA. Mediante este contrato el acreedor puso a disposición de Compañía General de Electricidad S.A. un préstamo intercompañía por un monto de M$ 35.400.000, el cual devengará una tasa de interés anual equivalente a 9,08%, con vencimiento al 12 de junio de 2024. Los intereses ordinarios devengados se pagarán trimestralmente los días 12 de marzo de 2024 y 12 de junio de 2024. El contrato no supone ni involucra la constitución de garantías de ningún tipo. Con fecha 14 de junio de 2024, la Sociedad firmó un contrato de extensión de plazo del crédito con el controlador State Grid Chile Electricity SpA., el cual devengará una tasa de interés anual equivalente a 5,486%, con vencimiento al 26 de junio de 2025. Los intereses ordinarios devengados se pagarán los días 16 de septiembre de 2024, 16 de diciembre de 2024, 17 de marzo de 2025, 17 de junio de 2025 y 26 de junio de 2025. El contrato no supone ni involucra la constitución de garantías de ningún tipo. Con fecha 24 de junio de 2025, la Sociedad firmó un contrato de extensión de plazo del crédito con el controlador State Grid Chile Electricity SpA., el cual devengará una tasa de interés anual equivalente a 5,075%, con vencimiento al 12 de junio de 2028. Los intereses ordinarios devengados se pagarán los días 12 de septiembre de 2025, 12 de diciembre de 2025, 12 de marzo de 2026, 12 de junio de 2026, 12 de septiembre de 2026, 12 de diciembre de 2026, 12 de marzo de 2027, 12 de junio de 2027, 12 de septiembre de 2027, 12 de diciembre de 2027, 12 de marzo de 2028 y 12 de junio de 2028.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709" w:right="0" w:firstLine="0"/>
        <w:jc w:val="both"/>
        <w:outlineLvl w:val="9"/>
        <w:rPr>
          <w:rFonts w:ascii="Aptos" w:eastAsia="Aptos" w:hAnsi="Aptos" w:cs="Aptos"/>
          <w:b w:val="0"/>
          <w:i w:val="0"/>
          <w:color w:val="000000"/>
          <w:sz w:val="24"/>
          <w:u w:val="none"/>
        </w:rPr>
      </w:pPr>
      <w:r>
        <w:rPr>
          <w:rFonts w:ascii="Calibri" w:eastAsia="Calibri" w:hAnsi="Calibri" w:cs="Calibri"/>
          <w:b w:val="0"/>
          <w:i w:val="0"/>
          <w:sz w:val="20"/>
        </w:rPr>
        <w:t>Con fecha 14 de diciembre de 2023, la Sociedad firmó un contrato de crédito con el controlador State Grid Chile Electricity SpA. Mediante este contrato el acreedor puso a disposición de Compañía General de Electricidad S.A. un préstamo intercompañía por un monto de M$ 70.720.000, el cual devengará una tasa de interés anual equivalente a 9,13%, con vencimiento al 12 de junio de 2024. Los intereses ordinarios devengados se pagarán trimestralmente los días 12 de marzo de 2024 y 12 de junio de 2024. El contrato no supone ni involucra la constitución de garantías de ningún tipo. Con fecha 14 de junio de 2024, la Sociedad firmó un contrato de extensión de plazo del crédito con el controlador State Grid Chile Electricity SpA., el cual devengará una tasa de interés anual equivalente a 5,486%, con vencimiento al 26 de junio de 2025. Los intereses ordinarios devengados se pagarán los días 16 de septiembre de 2024, 16 de diciembre de 2024, 17 de marzo de 2025, 17 de junio de 2025 y 26 de junio de 2025. El contrato no supone ni involucra la constitución de garantías de ningún tipo. Con fecha 24 de junio de 2025, la Sociedad firmó un contrato de extensión de plazo del crédito con el controlador State Grid Chile Electricity SpA., el cual devengará una tasa de interés anual equivalente a 5,075%, con vencimiento al 12 de junio de 2028. Los intereses ordinarios devengados se pagarán los días 12 de septiembre de 2025, 12 de diciembre de 2025, 12 de marzo de 2026, 12 de junio de 2026, 12 de septiembre de 2026, 12 de diciembre de 2026, 12 de marzo de 2027, 12 de junio de 2027, 12 de septiembre de 2027, 12 de diciembre de 2027, 12 de marzo de 2028 y 12 de junio de 2028.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40" w:lineRule="exact"/>
        <w:ind w:left="709" w:right="0" w:firstLine="0"/>
        <w:jc w:val="both"/>
        <w:outlineLvl w:val="9"/>
        <w:rPr>
          <w:rFonts w:ascii="Aptos" w:eastAsia="Aptos" w:hAnsi="Aptos" w:cs="Aptos"/>
          <w:b w:val="0"/>
          <w:i w:val="0"/>
          <w:color w:val="000000"/>
          <w:sz w:val="24"/>
          <w:highlight w:val="yellow"/>
          <w:u w:val="none"/>
        </w:rPr>
      </w:pPr>
      <w:r>
        <w:rPr>
          <w:rFonts w:ascii="Calibri" w:eastAsia="Calibri" w:hAnsi="Calibri" w:cs="Calibri"/>
          <w:b w:val="0"/>
          <w:i w:val="0"/>
          <w:sz w:val="20"/>
        </w:rPr>
        <w:t>Con fecha 15 de diciembre de 2023, la Sociedad firmó un contrato de crédito con el controlador State Grid Chile Electricity SpA. Mediante este contrato el acreedor puso a disposición de Compañía General de Electricidad S.A. un préstamo intercompañía por un monto de M$ 23.916.000, el cual devengará una tasa de interés anual equivalente a 9,13%, con vencimiento al 17 de junio de 2024. Los intereses ordinarios devengados se pagarán trimestralmente los días 15 de marzo de 2024 y 17 de junio de 2024. El contrato no supone ni involucra la constitución de garantías de ningún tipo. Con fecha 17 de junio de 2024, la Sociedad firmó un contrato de extensión de plazo del crédito con el controlador State Grid Chile Electricity SpA., el cual devengará una tasa de interés anual equivalente a 5,486%, con vencimiento al 12 de junio de 2025. Los intereses ordinarios devengados se pagarán los días 17 de septiembre de 2024, 17 de diciembre de 2024, 17 de marzo de 2025 y 12 de junio de 2025. El contrato no supone ni involucra la constitución de garantías de ningún tipo. Con fecha 11 de junio de 2025 la Sociedad firmó un contrato de extensión de plazo del crédito con el controlador State Grid Chile Electricity SpA., el cual devengará una tasa de interés anual equivalente a 5,075%, con vencimiento al 12 de junio de 2028. Los intereses ordinarios devengados se pagarán los días 12 de septiembre de 2025, 12 de diciembre de 2025, 12 de marzo de 2026, 12 de junio de 2026, 12 de septiembre de 2026, 12 de diciembre de 2026, 12 de marzo de 2027, 12 de junio de 2027, 12 de septiembre de 2027, 12 de diciembre de 2027, 12 de marzo de 2028 y 12 de junio de 2028.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18 de junio de 2025, la Sociedad firmó un contrato de crédito con State Grid Europe Limited. Mediante este contrato el acreedor puso a disposición de Compañía General de Electricidad S.A. un préstamo                    EUR $ 73.000.000, el cual devengará una tasa de interés Euribor para 3 meses más un spread de 40 puntos base, con vencimiento al 19 de junio de 2027. Los intereses ordinarios devengados se pagarán trimestralmente los días 19 de septiembre de 2025, 19 de diciembre de 2025, 19 de marzo de 2026, 19 de junio de 2026, 19 de septiembre de 2026, 19 de diciembre de 2026, 19 de marzo de 2027 y 19 de junio de 2027.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Con fecha 23 de septiembre de 2025, la Sociedad firmó un contrato de crédito con State Grid Europe Limited. Mediante este contrato el acreedor puso a disposición de Compañía General de Electricidad S.A. un préstamo EUR $ 45.000.000, el cual devengará una tasa de interés Euribor para 3 meses más un spread de 40 puntos base, con vencimiento al 20 de septiembre de 2028 Los intereses ordinarios devengados se pagarán trimestralmente los días 20 de diciembre de 2025, 20 de marzo de 2026, 20 de junio de 2026, 20 de septiembre de 2026, 20 de marzo de 2027, 20 de junio de 2027, 20 de septiembre de 2027, 20 de diciembre de 2027, 20 de marzo de 2028, 20 de junio de 2028 y 20 septiembre de 2028.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Con fecha 24 de octubre de 2025, la Sociedad firmó un contrato de crédito con State Grid Europe Limited. Mediante este contrato el acreedor puso a disposición de Compañía General de Electricidad S.A. un préstamo EUR $ 35.000.000, el cual devengará una tasa de interés Euribor para 3 meses más un spread de 40 puntos base, con vencimiento al 20 de septiembre de 2028. Los intereses ordinarios devengados se pagarán trimestralmente los días 20 de diciembre de 2025, 20 de marzo de 2026, 20 de junio de 2026, 20 de septiembre de 2026, 20 de marzo de 2027, 20 de junio de 2027, 20 de septiembre de 2027, 20 de diciembre de 2027, 20 de marzo de 2028, 20 de junio de 2028 y 20 septiembre de 2028. El contrato no supone ni involucra la constitución de garantías de ningún tipo.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 </w:t>
      </w: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tiene como política informar todas las transacciones que efectúa con partes relacionadas durante el período o ejercicio, con excepción de los dividendos pagados, aportes de capital recibidos, los cuales no se entienden como transacciones.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existen garantías otorgadas o recibidas en dichas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24" w:name="Section66"/>
      <w:bookmarkEnd w:id="124"/>
      <w:bookmarkStart w:id="125" w:name="50c9838cbb1041ddb5a362ca75333916"/>
      <w:r>
        <w:rPr>
          <w:rFonts w:ascii="Calibri" w:eastAsia="Calibri" w:hAnsi="Calibri" w:cs="Calibri"/>
          <w:b/>
          <w:i w:val="0"/>
          <w:color w:val="000000"/>
          <w:sz w:val="20"/>
          <w:u w:val="none"/>
        </w:rPr>
        <w:t>9.1.-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5"/>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160"/>
        <w:gridCol w:w="885"/>
        <w:gridCol w:w="1905"/>
        <w:gridCol w:w="1005"/>
        <w:gridCol w:w="1005"/>
        <w:gridCol w:w="705"/>
        <w:gridCol w:w="900"/>
        <w:gridCol w:w="900"/>
        <w:gridCol w:w="900"/>
        <w:gridCol w:w="900"/>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1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8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160" w:type="dxa"/>
            <w:vMerge/>
            <w:tcBorders>
              <w:top w:val="nil"/>
              <w:left w:val="single" w:sz="4" w:space="0" w:color="FFFFFF"/>
              <w:bottom w:val="nil"/>
              <w:right w:val="nil"/>
            </w:tcBorders>
          </w:tcPr>
          <w:p>
            <w:pPr>
              <w:keepNext/>
              <w:pageBreakBefore w:val="0"/>
            </w:pPr>
          </w:p>
        </w:tc>
        <w:tc>
          <w:tcPr>
            <w:tcW w:w="885"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160" w:type="dxa"/>
            <w:vMerge/>
            <w:tcBorders>
              <w:top w:val="nil"/>
              <w:left w:val="single" w:sz="4" w:space="0" w:color="FFFFFF"/>
              <w:bottom w:val="single" w:sz="2" w:space="0" w:color="000000"/>
              <w:right w:val="nil"/>
            </w:tcBorders>
          </w:tcPr>
          <w:p>
            <w:pPr>
              <w:keepNext/>
              <w:pageBreakBefore w:val="0"/>
            </w:pPr>
          </w:p>
        </w:tc>
        <w:tc>
          <w:tcPr>
            <w:tcW w:w="885" w:type="dxa"/>
            <w:vMerge/>
            <w:tcBorders>
              <w:top w:val="nil"/>
              <w:left w:val="single" w:sz="4" w:space="0" w:color="FFFFFF"/>
              <w:bottom w:val="single" w:sz="2" w:space="0" w:color="000000"/>
              <w:right w:val="nil"/>
            </w:tcBorders>
          </w:tcPr>
          <w:p>
            <w:pPr>
              <w:keepNext/>
              <w:pageBreakBefore w:val="0"/>
            </w:pPr>
          </w:p>
        </w:tc>
        <w:tc>
          <w:tcPr>
            <w:tcW w:w="19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76.306.442-5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Eletrans II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1.890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62.878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13.114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77.316.204-2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8.179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77.316.204-2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77.316.204-2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14.359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77.316.204-2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activo fijo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77.332.779-3</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77.332.779-3</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1.403.112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equipos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174.256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78.512.190-2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Energy Sur Ingeniería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propiedades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3.948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11.254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91.344.000-5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Eléctrica del Litoral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96.766.110-4</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Energía de Casablanca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96.813.520-1</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96.813.520-1</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96.813.520-1</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7.630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96.866.680-0</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96.884.450-4</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Linares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166.971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77.125.502-7</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Holding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94.959.000-3</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Generadora Eléctrica Sauce Los Andes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55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1.867.591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la siguiente:</w:t>
      </w:r>
    </w:p>
    <w:p>
      <w:pPr>
        <w:keepNext w:val="0"/>
        <w:keepLines/>
        <w:pageBreakBefore w:val="0"/>
        <w:widowControl w:val="0"/>
        <w:numPr>
          <w:ilvl w:val="0"/>
          <w:numId w:val="0"/>
        </w:numPr>
        <w:spacing w:before="0" w:after="0" w:line="288" w:lineRule="auto"/>
        <w:ind w:left="1776" w:right="0" w:firstLine="348"/>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160"/>
        <w:gridCol w:w="885"/>
        <w:gridCol w:w="1905"/>
        <w:gridCol w:w="1005"/>
        <w:gridCol w:w="1005"/>
        <w:gridCol w:w="705"/>
        <w:gridCol w:w="900"/>
        <w:gridCol w:w="900"/>
        <w:gridCol w:w="900"/>
        <w:gridCol w:w="900"/>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1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8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160" w:type="dxa"/>
            <w:vMerge/>
            <w:tcBorders>
              <w:top w:val="nil"/>
              <w:left w:val="single" w:sz="4" w:space="0" w:color="FFFFFF"/>
              <w:bottom w:val="nil"/>
              <w:right w:val="nil"/>
            </w:tcBorders>
          </w:tcPr>
          <w:p>
            <w:pPr>
              <w:keepNext/>
              <w:pageBreakBefore w:val="0"/>
            </w:pPr>
          </w:p>
        </w:tc>
        <w:tc>
          <w:tcPr>
            <w:tcW w:w="885"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160" w:type="dxa"/>
            <w:vMerge/>
            <w:tcBorders>
              <w:top w:val="nil"/>
              <w:left w:val="single" w:sz="4" w:space="0" w:color="FFFFFF"/>
              <w:bottom w:val="single" w:sz="2" w:space="0" w:color="000000"/>
              <w:right w:val="nil"/>
            </w:tcBorders>
          </w:tcPr>
          <w:p>
            <w:pPr>
              <w:keepNext/>
              <w:pageBreakBefore w:val="0"/>
            </w:pPr>
          </w:p>
        </w:tc>
        <w:tc>
          <w:tcPr>
            <w:tcW w:w="885" w:type="dxa"/>
            <w:vMerge/>
            <w:tcBorders>
              <w:top w:val="nil"/>
              <w:left w:val="single" w:sz="4" w:space="0" w:color="FFFFFF"/>
              <w:bottom w:val="single" w:sz="2" w:space="0" w:color="000000"/>
              <w:right w:val="nil"/>
            </w:tcBorders>
          </w:tcPr>
          <w:p>
            <w:pPr>
              <w:keepNext/>
              <w:pageBreakBefore w:val="0"/>
            </w:pPr>
          </w:p>
        </w:tc>
        <w:tc>
          <w:tcPr>
            <w:tcW w:w="19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Europe Limited</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Reino Unido</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Intereses devengados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un año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127.062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Europe Limited</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Reino Unido</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Préstamo recibido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EUR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162.692.540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0-E</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International Leasing Company Limited</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China</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Arriendos intangibles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CNH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275.264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1.142.260</w:t>
            </w: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4.881.573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1.344.193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4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6.818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materiales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124.710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77.302.440-5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Tecnored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77.316.204-2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26.012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77.316.204-2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57.455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77.316.204-2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equipos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213.548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4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77.332.779-3</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3.497.200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77.332.779-3</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Préstamo recibido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150.000.000</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77.332.779-3</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Intereses devengados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un año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422.917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Arriendos intangibles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UF</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3.389.678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14.485.929</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UF</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14.927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33.911.942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53.066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78.512.190-2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Energy Sur Ingeniería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81.533.000-5</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Danilo Jordán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Director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3.001.585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materiales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1.487.959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38.173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96.884.450-4</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Linares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96.866.680-0</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S.A.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91.367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77.125.502-7</w:t>
            </w:r>
          </w:p>
        </w:tc>
        <w:tc>
          <w:tcPr>
            <w:tcW w:w="21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State Grid Chile Holding SpA.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22.042.781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2150" w:type="dxa"/>
          <w:tblInd w:w="1417" w:type="dxa"/>
          <w:tblLayout w:type="fixed"/>
        </w:tblPrEx>
        <w:trPr>
          <w:cantSplit/>
          <w:trHeight w:hRule="auto" w:val="0"/>
        </w:trPr>
        <w:tc>
          <w:tcPr>
            <w:tcW w:w="855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75.008.242</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328.320.729</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períodos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1635"/>
        <w:gridCol w:w="840"/>
        <w:gridCol w:w="960"/>
        <w:gridCol w:w="2400"/>
        <w:gridCol w:w="600"/>
        <w:gridCol w:w="765"/>
        <w:gridCol w:w="765"/>
        <w:gridCol w:w="765"/>
        <w:gridCol w:w="765"/>
        <w:gridCol w:w="765"/>
        <w:gridCol w:w="765"/>
        <w:gridCol w:w="765"/>
        <w:gridCol w:w="765"/>
      </w:tblGrid>
      <w:tr>
        <w:tblPrEx>
          <w:tblW w:w="13560" w:type="dxa"/>
          <w:tblInd w:w="0" w:type="dxa"/>
          <w:tblLayout w:type="fixed"/>
        </w:tblPrEx>
        <w:trPr>
          <w:cantSplit/>
          <w:trHeight w:hRule="auto" w:val="0"/>
          <w:tblHeader/>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163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8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9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53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53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530" w:type="dxa"/>
            <w:gridSpan w:val="2"/>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53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13560" w:type="dxa"/>
          <w:tblInd w:w="0"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1635" w:type="dxa"/>
            <w:vMerge/>
            <w:tcBorders>
              <w:top w:val="nil"/>
              <w:left w:val="single" w:sz="4" w:space="0" w:color="FFFFFF"/>
              <w:bottom w:val="nil"/>
              <w:right w:val="nil"/>
            </w:tcBorders>
          </w:tcPr>
          <w:p>
            <w:pPr>
              <w:keepNext/>
              <w:pageBreakBefore w:val="0"/>
            </w:pPr>
          </w:p>
        </w:tc>
        <w:tc>
          <w:tcPr>
            <w:tcW w:w="840" w:type="dxa"/>
            <w:vMerge/>
            <w:tcBorders>
              <w:top w:val="nil"/>
              <w:left w:val="single" w:sz="4" w:space="0" w:color="FFFFFF"/>
              <w:bottom w:val="nil"/>
              <w:right w:val="nil"/>
            </w:tcBorders>
          </w:tcPr>
          <w:p>
            <w:pPr>
              <w:keepNext/>
              <w:pageBreakBefore w:val="0"/>
            </w:pPr>
          </w:p>
        </w:tc>
        <w:tc>
          <w:tcPr>
            <w:tcW w:w="960" w:type="dxa"/>
            <w:vMerge/>
            <w:tcBorders>
              <w:top w:val="nil"/>
              <w:left w:val="single" w:sz="4" w:space="0" w:color="FFFFFF"/>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single" w:sz="4" w:space="0" w:color="FFFFFF"/>
            </w:tcBorders>
          </w:tcPr>
          <w:p>
            <w:pPr>
              <w:keepNext/>
              <w:pageBreakBefore w:val="0"/>
            </w:pPr>
          </w:p>
        </w:tc>
        <w:tc>
          <w:tcPr>
            <w:tcW w:w="153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53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530" w:type="dxa"/>
            <w:gridSpan w:val="2"/>
            <w:tcBorders>
              <w:top w:val="nil"/>
              <w:left w:val="nil"/>
              <w:bottom w:val="single" w:sz="8"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530" w:type="dxa"/>
            <w:gridSpan w:val="2"/>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13560" w:type="dxa"/>
          <w:tblInd w:w="0"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1635" w:type="dxa"/>
            <w:vMerge/>
            <w:tcBorders>
              <w:top w:val="nil"/>
              <w:left w:val="single" w:sz="4" w:space="0" w:color="FFFFFF"/>
              <w:bottom w:val="nil"/>
              <w:right w:val="nil"/>
            </w:tcBorders>
          </w:tcPr>
          <w:p>
            <w:pPr>
              <w:keepNext/>
              <w:pageBreakBefore w:val="0"/>
            </w:pPr>
          </w:p>
        </w:tc>
        <w:tc>
          <w:tcPr>
            <w:tcW w:w="840" w:type="dxa"/>
            <w:vMerge/>
            <w:tcBorders>
              <w:top w:val="nil"/>
              <w:left w:val="single" w:sz="4" w:space="0" w:color="FFFFFF"/>
              <w:bottom w:val="nil"/>
              <w:right w:val="nil"/>
            </w:tcBorders>
          </w:tcPr>
          <w:p>
            <w:pPr>
              <w:keepNext/>
              <w:pageBreakBefore w:val="0"/>
            </w:pPr>
          </w:p>
        </w:tc>
        <w:tc>
          <w:tcPr>
            <w:tcW w:w="960" w:type="dxa"/>
            <w:vMerge/>
            <w:tcBorders>
              <w:top w:val="nil"/>
              <w:left w:val="single" w:sz="4" w:space="0" w:color="FFFFFF"/>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Operación</w:t>
            </w:r>
          </w:p>
        </w:tc>
        <w:tc>
          <w:tcPr>
            <w:tcW w:w="7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Efecto en resultados (cargo) / abono</w:t>
            </w: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Operación</w:t>
            </w:r>
          </w:p>
        </w:tc>
        <w:tc>
          <w:tcPr>
            <w:tcW w:w="7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Efecto en resultados (cargo) / abono</w:t>
            </w:r>
          </w:p>
        </w:tc>
        <w:tc>
          <w:tcPr>
            <w:tcW w:w="76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Operación</w:t>
            </w:r>
          </w:p>
        </w:tc>
        <w:tc>
          <w:tcPr>
            <w:tcW w:w="765"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Efecto en resultados (cargo) / abono</w:t>
            </w:r>
          </w:p>
        </w:tc>
        <w:tc>
          <w:tcPr>
            <w:tcW w:w="76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Operación</w:t>
            </w:r>
          </w:p>
        </w:tc>
        <w:tc>
          <w:tcPr>
            <w:tcW w:w="765"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Efecto en resultados (cargo) / abono</w:t>
            </w:r>
          </w:p>
        </w:tc>
      </w:tr>
      <w:tr>
        <w:tblPrEx>
          <w:tblW w:w="13560" w:type="dxa"/>
          <w:tblInd w:w="0" w:type="dxa"/>
          <w:tblLayout w:type="fixed"/>
        </w:tblPrEx>
        <w:trPr>
          <w:cantSplit/>
          <w:trHeight w:hRule="auto" w:val="0"/>
          <w:tblHeader/>
        </w:trPr>
        <w:tc>
          <w:tcPr>
            <w:tcW w:w="1005" w:type="dxa"/>
            <w:vMerge/>
            <w:tcBorders>
              <w:top w:val="nil"/>
              <w:left w:val="single" w:sz="2" w:space="0" w:color="000000"/>
              <w:bottom w:val="single" w:sz="2" w:space="0" w:color="000000"/>
              <w:right w:val="nil"/>
            </w:tcBorders>
          </w:tcPr>
          <w:p>
            <w:pPr>
              <w:pageBreakBefore w:val="0"/>
            </w:pPr>
          </w:p>
        </w:tc>
        <w:tc>
          <w:tcPr>
            <w:tcW w:w="1635" w:type="dxa"/>
            <w:vMerge/>
            <w:tcBorders>
              <w:top w:val="nil"/>
              <w:left w:val="single" w:sz="4" w:space="0" w:color="FFFFFF"/>
              <w:bottom w:val="single" w:sz="2" w:space="0" w:color="000000"/>
              <w:right w:val="nil"/>
            </w:tcBorders>
          </w:tcPr>
          <w:p>
            <w:pPr>
              <w:pageBreakBefore w:val="0"/>
            </w:pPr>
          </w:p>
        </w:tc>
        <w:tc>
          <w:tcPr>
            <w:tcW w:w="840" w:type="dxa"/>
            <w:vMerge/>
            <w:tcBorders>
              <w:top w:val="nil"/>
              <w:left w:val="single" w:sz="4" w:space="0" w:color="FFFFFF"/>
              <w:bottom w:val="single" w:sz="2" w:space="0" w:color="000000"/>
              <w:right w:val="nil"/>
            </w:tcBorders>
          </w:tcPr>
          <w:p>
            <w:pPr>
              <w:pageBreakBefore w:val="0"/>
            </w:pPr>
          </w:p>
        </w:tc>
        <w:tc>
          <w:tcPr>
            <w:tcW w:w="960" w:type="dxa"/>
            <w:vMerge/>
            <w:tcBorders>
              <w:top w:val="nil"/>
              <w:left w:val="single" w:sz="4" w:space="0" w:color="FFFFFF"/>
              <w:bottom w:val="single" w:sz="2" w:space="0" w:color="000000"/>
              <w:right w:val="nil"/>
            </w:tcBorders>
          </w:tcPr>
          <w:p>
            <w:pPr>
              <w:pageBreakBefore w:val="0"/>
            </w:pPr>
          </w:p>
        </w:tc>
        <w:tc>
          <w:tcPr>
            <w:tcW w:w="2400" w:type="dxa"/>
            <w:vMerge/>
            <w:tcBorders>
              <w:top w:val="nil"/>
              <w:left w:val="single" w:sz="4" w:space="0" w:color="FFFFFF"/>
              <w:bottom w:val="single" w:sz="2" w:space="0" w:color="000000"/>
              <w:right w:val="nil"/>
            </w:tcBorders>
          </w:tcPr>
          <w:p>
            <w:pPr>
              <w:pageBreakBefore w:val="0"/>
            </w:pPr>
          </w:p>
        </w:tc>
        <w:tc>
          <w:tcPr>
            <w:tcW w:w="600" w:type="dxa"/>
            <w:vMerge/>
            <w:tcBorders>
              <w:top w:val="nil"/>
              <w:left w:val="single" w:sz="4" w:space="0" w:color="FFFFFF"/>
              <w:bottom w:val="single" w:sz="2" w:space="0" w:color="000000"/>
              <w:right w:val="nil"/>
            </w:tcBorders>
          </w:tcPr>
          <w:p>
            <w:pPr>
              <w:pageBreakBefore w:val="0"/>
            </w:pP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765" w:type="dxa"/>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765" w:type="dxa"/>
            <w:tcBorders>
              <w:top w:val="nil"/>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765" w:type="dxa"/>
            <w:tcBorders>
              <w:top w:val="nil"/>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76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0-E</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Europe Limited</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Reino Unido</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Intereses préstamo recibido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EUR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965.492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965.492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0-E</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Europe Limited</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Reino Unido</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Tipo de cambio préstamo recibido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EUR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56.610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56.610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0-E</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Europe Limited</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Reino Unido</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Amortización ITE préstamo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EUR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0-E</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Europe Limited</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Reino Unido</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Préstamo recibido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EUR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76.230.505-4</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Eletrans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389.492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389.492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966.043</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966.043</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76.306.442-5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Eletrans II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5.492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(5.492)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4.226</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(4.226)</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76.306.442-5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Eletrans II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171.366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171.366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316.829</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316.829</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administrativos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4.060.364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4.060.364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comerciales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326.318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326.318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4.058.339</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4.058.339</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operativos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2.107.127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2.107.127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437.247</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437.247</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operativos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11.011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(11.011)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1.812.559</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1.812.559</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administrativos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28.402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(28.402)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Recuperación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10.697</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(10.697)</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Reembolso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27.590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(27.590)</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Tesorería centralizada (cargos)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193.696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Tesorería centralizada (abonos)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Gastos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42.916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42.916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3.716.524</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Ingresos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arriendo de propiedades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11.427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(11.427)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56.505</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56.505</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informáticos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774.003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(774.003)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arriendo equipos microinformáticos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4.964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(4.964)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11.691</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(11.691)</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 de comunicación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13.527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(13.527)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751.874</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(751.874)</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76.412.700-5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Construcción de redes eléctricas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694.167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3.158</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(3.158)</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76.680.107-2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Transmisora del Norte Grande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281.744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281.744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13.056</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(13.056)</w:t>
            </w: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76.680.107-2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Transmisora del Norte Grande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674.320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76.680.107-2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Transmisora del Norte Grande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284.126</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284.126</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76.763.747-0</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Eletrans III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272.113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272.113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76.954.578-6</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Transquinta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158.352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158.352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77.125.502-7</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Chile Holding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Tesorería centralizada (abonos)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296.214</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296.214</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77.125.502-7</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Chile Holding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Gastos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112.767</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112.767</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77.125.502-7</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Chile Holding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Tesorería centralizada (cargos)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663.420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77.125.502-7</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Chile Holding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Ingresos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exact" w:val="225"/>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77.302.440-5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Tecnored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Compra de materiales y equipos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995.341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77.302.440-5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Tecnored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Operación y mantenimiento de líneas y redes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9.500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9.500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77.302.440-5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Tecnored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33.417</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(33.417)</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77.302.440-5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Tecnored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77.302.440-5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Tecnored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45.993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(45.993)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77.302.440-5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Tecnored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arriendo de propiedades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administrativos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comerciales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28.546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(28.546)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operativos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22.004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(22.004)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27.728</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(27.728)</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sistemas de información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97.629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(97.629)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21.376</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(21.376)</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216.858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(216.858)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94.838</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(94.838)</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materiales y equipos eléctricos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217.682</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(217.682)</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Arriendo de equipos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537.500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537.500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Recuperación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9.757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353.963</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353.963</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Reembolso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4.153</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77.316.204-2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Comercializadora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Construcción de obras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42.208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77.332.779-3</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Intereses préstamo recibido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1.903.125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1.903.125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77.332.779-3</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informáticos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12.638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(12.638)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2.465.055</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2.465.055</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77.332.779-3</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Recuperación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12.277</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(12.277)</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77.332.779-3</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Préstamo recibido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77.332.779-3</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Chile Electricity SpA.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Pago préstamo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77.402.186-8</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Arriendo de intangibles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UF</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1.053.579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77.402.186-8</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Intereses arriendo de intangibles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UF</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326.622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326.622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77.402.186-8</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Tipo de cambio arriendo de intangibles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UF</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48.904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1.023.456</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77.402.187-6</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Chilquinta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1.167.904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1.167.904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368.610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368.610</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operativos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34.608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34.608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239.035</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16.349.795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16.349.795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1.191.064</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1.191.064</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administrativos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8.712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(8.712)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comerciales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43.076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(43.076)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20.559.507</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20.559.507</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operativos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345.920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(345.920)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sistemas de información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1.720.434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(1.720.434)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8.462</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(8.462)</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arriendo de equipos de generación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41.845</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(41.845)</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Recuperación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12.629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369.649</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(369.649)</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Compra de activo fijo para obras en curso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1.671.245</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(1.671.245)</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materiales y equipos eléctricos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2.136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(2.136)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254.080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(254.080)</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53.789</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activo</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Reembolso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3.500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(3.500)</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Tesorería centralizada (abonos)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Tesorería centralizada (cargos)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1.445.008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Ingresos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4.921.675</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Gastos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332.249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332.249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Arriendo de propiedades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198.042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198.042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414.092</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(414.092)</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77.465.741-K</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CGE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333.260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(333.260)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4.341</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4.341</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77.470.427-2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Parral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132.278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132.278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191.840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191.840</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77.470.446-9</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Litoral Transmisión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19.383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19.383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268.328</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(268.328)</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78.512.190-2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Energy Sur Ingeniería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13.510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(13.510)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185.810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185.810</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78.512.190-2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Energy Sur Ingeniería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Operación y mantenimiento de líneas y redes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11.541</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11.541</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Compra de materiales y equipos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1.622.925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5.898</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(5.898)</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operativos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7.341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(7.341)</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Tesorería centralizada (cargos)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1.756.957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505.584</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Tesorería centralizada (abonos)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7.130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(7.130)</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Ingresos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7.934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(7.934)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Gastos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655</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751.354</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arriendo de propiedades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11.878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(11.878)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148</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(148)</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Operación y mantenimiento de líneas y redes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5.272.698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5.272.698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1.501</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1.501</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Mantención de equipos eléctricos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11.506</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(11.506)</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(73)</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7.720.310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7.720.310</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Cobro de multas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37.176</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Reembolso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91.344.000-5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Eléctrica del Litoral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40.132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(40.132)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91.344.000-5</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Eléctrica del Litoral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Equidad tarifaria residencial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27.566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27.566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96.766.110-4</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Energía de Casablanca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17.740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(17.740)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60.399</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(60.399)</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96.766.110-4</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Energía de Casablanca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96.813.520-1</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318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(318)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24.944</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(24.944)</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96.813.520-1</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5.658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(5.658)</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96.813.520-1</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623.314</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(623.314)</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96.866.680-0</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Parral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26.117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26.117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6.223</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(6.223)</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96.866.680-0</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Parral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Equidad tarifaria residencial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398.519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398.519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256</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(256)</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96.866.680-0</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Parral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47.609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(47.609)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2.529</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2.529</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96.866.680-0</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Parral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7.659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(7.659)</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389.237</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389.237</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96.884.450-4</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Linares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nil"/>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34.439</w:t>
            </w:r>
          </w:p>
        </w:tc>
        <w:tc>
          <w:tcPr>
            <w:tcW w:w="765" w:type="dxa"/>
            <w:tcBorders>
              <w:top w:val="single" w:sz="2" w:space="0" w:color="000000"/>
              <w:left w:val="single" w:sz="2" w:space="0" w:color="000000"/>
              <w:bottom w:val="nil"/>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34.439</w:t>
            </w:r>
          </w:p>
        </w:tc>
        <w:tc>
          <w:tcPr>
            <w:tcW w:w="765" w:type="dxa"/>
            <w:tcBorders>
              <w:top w:val="single" w:sz="2" w:space="0" w:color="000000"/>
              <w:left w:val="single" w:sz="2" w:space="0" w:color="000000"/>
              <w:bottom w:val="nil"/>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58.936</w:t>
            </w:r>
          </w:p>
        </w:tc>
        <w:tc>
          <w:tcPr>
            <w:tcW w:w="765" w:type="dxa"/>
            <w:tcBorders>
              <w:top w:val="single" w:sz="2" w:space="0" w:color="000000"/>
              <w:left w:val="single" w:sz="2" w:space="0" w:color="000000"/>
              <w:bottom w:val="nil"/>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(58.936)</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96.884.450-4</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Linares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Cargo único troncal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nil"/>
              <w:left w:val="single" w:sz="2" w:space="0" w:color="000000"/>
              <w:bottom w:val="nil"/>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0</w:t>
            </w:r>
          </w:p>
        </w:tc>
        <w:tc>
          <w:tcPr>
            <w:tcW w:w="765" w:type="dxa"/>
            <w:tcBorders>
              <w:top w:val="nil"/>
              <w:left w:val="single" w:sz="2" w:space="0" w:color="000000"/>
              <w:bottom w:val="nil"/>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0</w:t>
            </w:r>
          </w:p>
        </w:tc>
        <w:tc>
          <w:tcPr>
            <w:tcW w:w="765" w:type="dxa"/>
            <w:tcBorders>
              <w:top w:val="nil"/>
              <w:left w:val="single" w:sz="2" w:space="0" w:color="000000"/>
              <w:bottom w:val="nil"/>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0</w:t>
            </w:r>
          </w:p>
        </w:tc>
        <w:tc>
          <w:tcPr>
            <w:tcW w:w="765" w:type="dxa"/>
            <w:tcBorders>
              <w:top w:val="nil"/>
              <w:left w:val="single" w:sz="2" w:space="0" w:color="000000"/>
              <w:bottom w:val="nil"/>
              <w:right w:val="single" w:sz="2" w:space="0" w:color="000000"/>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0</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96.884.450-4</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Linares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Equidad tarifaria residencial</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nil"/>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462.170</w:t>
            </w:r>
          </w:p>
        </w:tc>
        <w:tc>
          <w:tcPr>
            <w:tcW w:w="765" w:type="dxa"/>
            <w:tcBorders>
              <w:top w:val="nil"/>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462.170</w:t>
            </w:r>
          </w:p>
        </w:tc>
        <w:tc>
          <w:tcPr>
            <w:tcW w:w="765" w:type="dxa"/>
            <w:tcBorders>
              <w:top w:val="nil"/>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5.859</w:t>
            </w:r>
          </w:p>
        </w:tc>
        <w:tc>
          <w:tcPr>
            <w:tcW w:w="765" w:type="dxa"/>
            <w:tcBorders>
              <w:top w:val="nil"/>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(5.859)</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96.884.450-4</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Linares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Ingreso por servicios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22.164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(22.164)</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96.884.450-4</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Linares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15.956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(15.956)</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96.884.450-4</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Luz Linares S.A.</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6.993</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6.993</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0-E</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International Leasing Company Limited</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China</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Arriendo de equipos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CNH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538.683</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538.683</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0-E</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International Leasing Company Limited</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China</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Intereses arriendo de equipos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CNH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9.192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9.192</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51.183</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(51.183)</w:t>
            </w:r>
          </w:p>
        </w:tc>
      </w:tr>
      <w:tr>
        <w:tblPrEx>
          <w:tblW w:w="13560" w:type="dxa"/>
          <w:tblInd w:w="0"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0-E</w:t>
            </w:r>
          </w:p>
        </w:tc>
        <w:tc>
          <w:tcPr>
            <w:tcW w:w="16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State Grid International Leasing Company Limited</w:t>
            </w:r>
          </w:p>
        </w:tc>
        <w:tc>
          <w:tcPr>
            <w:tcW w:w="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China</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Tipo de cambio arriendo de equipos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CNH $</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48.170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48.170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12.041</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(12.041)</w:t>
            </w:r>
          </w:p>
        </w:tc>
      </w:tr>
      <w:tr>
        <w:tblPrEx>
          <w:tblW w:w="13560" w:type="dxa"/>
          <w:tblInd w:w="0" w:type="dxa"/>
          <w:tblLayout w:type="fixed"/>
        </w:tblPrEx>
        <w:trPr>
          <w:cantSplit/>
          <w:trHeight w:hRule="auto" w:val="0"/>
        </w:trPr>
        <w:tc>
          <w:tcPr>
            <w:tcW w:w="7440" w:type="dxa"/>
            <w:gridSpan w:val="6"/>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47.921.626</w:t>
            </w:r>
          </w:p>
        </w:tc>
        <w:tc>
          <w:tcPr>
            <w:tcW w:w="765" w:type="dxa"/>
            <w:tcBorders>
              <w:top w:val="single" w:sz="2" w:space="0" w:color="000000"/>
              <w:left w:val="nil"/>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32.198.397</w:t>
            </w:r>
          </w:p>
        </w:tc>
        <w:tc>
          <w:tcPr>
            <w:tcW w:w="765" w:type="dxa"/>
            <w:tcBorders>
              <w:top w:val="single" w:sz="2" w:space="0" w:color="000000"/>
              <w:left w:val="nil"/>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60.050.791</w:t>
            </w:r>
          </w:p>
        </w:tc>
        <w:tc>
          <w:tcPr>
            <w:tcW w:w="765" w:type="dxa"/>
            <w:tcBorders>
              <w:top w:val="single" w:sz="2" w:space="0" w:color="000000"/>
              <w:left w:val="nil"/>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37.202.921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33"/>
          <w:footerReference w:type="default" r:id="rId34"/>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26" w:name="Section67"/>
      <w:bookmarkEnd w:id="126"/>
      <w:bookmarkStart w:id="127" w:name="3f0d19e6546c46cc863a840eae14f3e0"/>
      <w:r>
        <w:rPr>
          <w:rFonts w:ascii="Calibri" w:eastAsia="Calibri" w:hAnsi="Calibri" w:cs="Calibri"/>
          <w:b/>
          <w:i w:val="0"/>
          <w:color w:val="000000"/>
          <w:sz w:val="20"/>
          <w:u w:val="none"/>
        </w:rPr>
        <w:t>9.2.-</w:t>
      </w:r>
      <w:r>
        <w:rPr>
          <w:rFonts w:ascii="Calibri" w:eastAsia="Calibri" w:hAnsi="Calibri" w:cs="Calibri"/>
          <w:b/>
          <w:i w:val="0"/>
          <w:color w:val="000000"/>
          <w:sz w:val="20"/>
          <w:u w:val="none"/>
        </w:rPr>
        <w:tab/>
      </w:r>
      <w:r>
        <w:rPr>
          <w:rFonts w:ascii="Calibri" w:eastAsia="Calibri" w:hAnsi="Calibri" w:cs="Calibri"/>
          <w:b/>
          <w:i w:val="0"/>
          <w:color w:val="000000"/>
          <w:sz w:val="20"/>
          <w:u w:val="none"/>
        </w:rPr>
        <w:t>Directorio y gerencia de la sociedad.</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7"/>
    </w:p>
    <w:p>
      <w:pPr>
        <w:pStyle w:val="Normal-wk"/>
        <w:keepNext w:val="0"/>
        <w:keepLines/>
        <w:pageBreakBefore w:val="0"/>
        <w:widowControl w:val="0"/>
        <w:numPr>
          <w:ilvl w:val="0"/>
          <w:numId w:val="0"/>
        </w:numPr>
        <w:spacing w:before="0" w:after="0" w:line="214"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fecha 2</w:t>
      </w: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 xml:space="preserve"> de abril de 20</w:t>
      </w:r>
      <w:r>
        <w:rPr>
          <w:rFonts w:ascii="Calibri" w:eastAsia="Calibri" w:hAnsi="Calibri" w:cs="Calibri"/>
          <w:b w:val="0"/>
          <w:i w:val="0"/>
          <w:color w:val="000000"/>
          <w:sz w:val="20"/>
          <w:u w:val="none"/>
        </w:rPr>
        <w:t>26</w:t>
      </w:r>
      <w:r>
        <w:rPr>
          <w:rFonts w:ascii="Calibri" w:eastAsia="Calibri" w:hAnsi="Calibri" w:cs="Calibri"/>
          <w:b w:val="0"/>
          <w:i w:val="0"/>
          <w:color w:val="000000"/>
          <w:sz w:val="20"/>
          <w:u w:val="none"/>
        </w:rPr>
        <w:t xml:space="preserve"> se celebró la Jun</w:t>
      </w:r>
      <w:r>
        <w:rPr>
          <w:rFonts w:ascii="Calibri" w:eastAsia="Calibri" w:hAnsi="Calibri" w:cs="Calibri"/>
          <w:b w:val="0"/>
          <w:i w:val="0"/>
          <w:color w:val="000000"/>
          <w:sz w:val="20"/>
          <w:u w:val="none"/>
        </w:rPr>
        <w:t>ta Ordinaria de Accionistas de la Sociedad en la cual, entre otros acuerdos, se procedió a la renovación total del directorio de la misma, quedando designados por un período de 3 años los siguientes directores: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Yan Dai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Shang Jingfu</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Futao Huang</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Ran</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 xml:space="preserve">Zhang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Nicolás Eyzaguirre Guzmán      </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Sesión de Directorio del </w:t>
      </w:r>
      <w:r>
        <w:rPr>
          <w:rFonts w:ascii="Calibri" w:eastAsia="Calibri" w:hAnsi="Calibri" w:cs="Calibri"/>
          <w:b w:val="0"/>
          <w:i w:val="0"/>
          <w:color w:val="000000"/>
          <w:sz w:val="20"/>
          <w:u w:val="none"/>
        </w:rPr>
        <w:t xml:space="preserve">30 </w:t>
      </w:r>
      <w:r>
        <w:rPr>
          <w:rFonts w:ascii="Calibri" w:eastAsia="Calibri" w:hAnsi="Calibri" w:cs="Calibri"/>
          <w:b w:val="0"/>
          <w:i w:val="0"/>
          <w:color w:val="000000"/>
          <w:sz w:val="20"/>
          <w:u w:val="none"/>
        </w:rPr>
        <w:t>de abril de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 xml:space="preserve"> se procedió a la designación del Presidente, quedando compuesto el Directorio de la siguiente forma:</w:t>
      </w:r>
    </w:p>
    <w:p>
      <w:pPr>
        <w:keepNext w:val="0"/>
        <w:keepLines/>
        <w:pageBreakBefore w:val="0"/>
        <w:widowControl w:val="0"/>
        <w:numPr>
          <w:ilvl w:val="0"/>
          <w:numId w:val="0"/>
        </w:numPr>
        <w:tabs>
          <w:tab w:val="left" w:pos="700"/>
        </w:tabs>
        <w:spacing w:before="0" w:after="0" w:line="288" w:lineRule="auto"/>
        <w:ind w:left="1417"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Yan Dai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Presidente</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Shang Jingfu</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Director</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Futao Huang</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Director</w:t>
      </w: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Ran Zhang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Director</w:t>
      </w:r>
    </w:p>
    <w:p>
      <w:pPr>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Nicolás Eyzaguirre Guzmán      </w:t>
      </w:r>
      <w:r>
        <w:rPr>
          <w:rFonts w:ascii="Calibri" w:eastAsia="Calibri" w:hAnsi="Calibri" w:cs="Calibri"/>
          <w:b w:val="0"/>
          <w:i w:val="0"/>
          <w:color w:val="000000"/>
          <w:sz w:val="20"/>
          <w:u w:val="none"/>
        </w:rPr>
        <w:t>Director</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57"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Remuneración del Directorio.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Junta Ordinaria de accionistas celebrada el 2</w:t>
      </w: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 xml:space="preserve"> de abril de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 se determinó y aprobó la remuneración del directorio para el ejercicio 202</w:t>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t xml:space="preserve"> de acuerdo a lo siguiente:</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66"/>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Una remuneración fija mensual, a todo evento equivalente a 75 Unidades de Fomento para cada miembro del Directorio, correspondiéndole al Presidente el equivalente a 1,5 veces dicha cantidad.</w:t>
      </w:r>
    </w:p>
    <w:p>
      <w:pPr>
        <w:keepNext w:val="0"/>
        <w:keepLines/>
        <w:pageBreakBefore w:val="0"/>
        <w:widowControl w:val="0"/>
        <w:numPr>
          <w:ilvl w:val="0"/>
          <w:numId w:val="67"/>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Una remuneración ascendente a 37,5 Unidades de Fomento por cada Sesión Ordinaria de Directorio a la que deban asistir.</w:t>
      </w:r>
    </w:p>
    <w:p>
      <w:pPr>
        <w:keepNext w:val="0"/>
        <w:keepLines/>
        <w:pageBreakBefore w:val="0"/>
        <w:widowControl w:val="0"/>
        <w:numPr>
          <w:ilvl w:val="0"/>
          <w:numId w:val="68"/>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Una remuneración ascendente a 75 Unidades de Fomento por cada Sesión Extraordinaria de Directorio a la que deban asistir.</w:t>
      </w:r>
    </w:p>
    <w:p>
      <w:pPr>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1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remuneraciones pagadas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son las siguientes: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480"/>
        <w:gridCol w:w="765"/>
        <w:gridCol w:w="900"/>
        <w:gridCol w:w="900"/>
        <w:gridCol w:w="900"/>
        <w:gridCol w:w="900"/>
      </w:tblGrid>
      <w:tr>
        <w:tblPrEx>
          <w:tblW w:w="7845" w:type="dxa"/>
          <w:tblInd w:w="2126" w:type="dxa"/>
          <w:tblLayout w:type="fixed"/>
        </w:tblPrEx>
        <w:trPr>
          <w:cantSplit/>
          <w:trHeight w:hRule="auto" w:val="0"/>
        </w:trPr>
        <w:tc>
          <w:tcPr>
            <w:tcW w:w="34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w:t>
            </w:r>
          </w:p>
        </w:tc>
        <w:tc>
          <w:tcPr>
            <w:tcW w:w="76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Cargo</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01-01-2025</w:t>
            </w:r>
          </w:p>
        </w:tc>
        <w:tc>
          <w:tcPr>
            <w:tcW w:w="900" w:type="dxa"/>
            <w:tcBorders>
              <w:top w:val="single" w:sz="2" w:space="0" w:color="000000"/>
              <w:left w:val="nil"/>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01-04-2026</w:t>
            </w:r>
          </w:p>
        </w:tc>
        <w:tc>
          <w:tcPr>
            <w:tcW w:w="900" w:type="dxa"/>
            <w:tcBorders>
              <w:top w:val="single" w:sz="2" w:space="0" w:color="000000"/>
              <w:left w:val="nil"/>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01-04-2025</w:t>
            </w:r>
          </w:p>
        </w:tc>
      </w:tr>
      <w:tr>
        <w:tblPrEx>
          <w:tblW w:w="7845" w:type="dxa"/>
          <w:tblInd w:w="2126" w:type="dxa"/>
          <w:tblLayout w:type="fixed"/>
        </w:tblPrEx>
        <w:trPr>
          <w:cantSplit/>
          <w:trHeight w:hRule="auto" w:val="0"/>
        </w:trPr>
        <w:tc>
          <w:tcPr>
            <w:tcW w:w="3480" w:type="dxa"/>
            <w:vMerge/>
            <w:tcBorders>
              <w:top w:val="nil"/>
              <w:left w:val="single" w:sz="2" w:space="0" w:color="000000"/>
              <w:bottom w:val="nil"/>
              <w:right w:val="single" w:sz="4" w:space="0" w:color="FFFFFF"/>
            </w:tcBorders>
          </w:tcPr>
          <w:p>
            <w:pPr>
              <w:keepNext/>
              <w:pageBreakBefore w:val="0"/>
            </w:pPr>
          </w:p>
        </w:tc>
        <w:tc>
          <w:tcPr>
            <w:tcW w:w="765" w:type="dxa"/>
            <w:vMerge/>
            <w:tcBorders>
              <w:top w:val="nil"/>
              <w:left w:val="nil"/>
              <w:bottom w:val="nil"/>
              <w:right w:val="nil"/>
            </w:tcBorders>
          </w:tcPr>
          <w:p>
            <w:pPr>
              <w:keepNext/>
              <w:pageBreakBefore w:val="0"/>
            </w:pPr>
          </w:p>
        </w:tc>
        <w:tc>
          <w:tcPr>
            <w:tcW w:w="900" w:type="dxa"/>
            <w:tcBorders>
              <w:top w:val="nil"/>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single" w:sz="4" w:space="0" w:color="FFFFFF"/>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c>
          <w:tcPr>
            <w:tcW w:w="900" w:type="dxa"/>
            <w:tcBorders>
              <w:top w:val="nil"/>
              <w:left w:val="nil"/>
              <w:bottom w:val="single" w:sz="8"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900" w:type="dxa"/>
            <w:tcBorders>
              <w:top w:val="nil"/>
              <w:left w:val="nil"/>
              <w:bottom w:val="single" w:sz="8"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7845" w:type="dxa"/>
          <w:tblInd w:w="2126" w:type="dxa"/>
          <w:tblLayout w:type="fixed"/>
        </w:tblPrEx>
        <w:trPr>
          <w:cantSplit/>
          <w:trHeight w:hRule="auto" w:val="0"/>
        </w:trPr>
        <w:tc>
          <w:tcPr>
            <w:tcW w:w="3480" w:type="dxa"/>
            <w:vMerge/>
            <w:tcBorders>
              <w:top w:val="nil"/>
              <w:left w:val="single" w:sz="2" w:space="0" w:color="000000"/>
              <w:bottom w:val="nil"/>
              <w:right w:val="single" w:sz="4" w:space="0" w:color="FFFFFF"/>
            </w:tcBorders>
          </w:tcPr>
          <w:p>
            <w:pPr>
              <w:keepNext/>
              <w:pageBreakBefore w:val="0"/>
            </w:pPr>
          </w:p>
        </w:tc>
        <w:tc>
          <w:tcPr>
            <w:tcW w:w="765" w:type="dxa"/>
            <w:vMerge/>
            <w:tcBorders>
              <w:top w:val="nil"/>
              <w:left w:val="nil"/>
              <w:bottom w:val="nil"/>
              <w:right w:val="nil"/>
            </w:tcBorders>
          </w:tcPr>
          <w:p>
            <w:pPr>
              <w:keepNext/>
              <w:pageBreakBefore w:val="0"/>
            </w:pP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Dieta</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Dieta</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Dieta</w:t>
            </w:r>
          </w:p>
        </w:tc>
        <w:tc>
          <w:tcPr>
            <w:tcW w:w="90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Dieta</w:t>
            </w:r>
          </w:p>
        </w:tc>
      </w:tr>
      <w:tr>
        <w:tblPrEx>
          <w:tblW w:w="7845" w:type="dxa"/>
          <w:tblInd w:w="2126" w:type="dxa"/>
          <w:tblLayout w:type="fixed"/>
        </w:tblPrEx>
        <w:trPr>
          <w:cantSplit/>
          <w:trHeight w:hRule="auto" w:val="0"/>
        </w:trPr>
        <w:tc>
          <w:tcPr>
            <w:tcW w:w="3480" w:type="dxa"/>
            <w:vMerge/>
            <w:tcBorders>
              <w:top w:val="nil"/>
              <w:left w:val="single" w:sz="2" w:space="0" w:color="000000"/>
              <w:bottom w:val="nil"/>
              <w:right w:val="single" w:sz="4" w:space="0" w:color="FFFFFF"/>
            </w:tcBorders>
          </w:tcPr>
          <w:p>
            <w:pPr>
              <w:keepNext/>
              <w:pageBreakBefore w:val="0"/>
            </w:pPr>
          </w:p>
        </w:tc>
        <w:tc>
          <w:tcPr>
            <w:tcW w:w="765" w:type="dxa"/>
            <w:vMerge/>
            <w:tcBorders>
              <w:top w:val="nil"/>
              <w:left w:val="nil"/>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4"/>
                <w:u w:val="none"/>
              </w:rPr>
              <w:t>directorio</w:t>
            </w:r>
          </w:p>
        </w:tc>
        <w:tc>
          <w:tcPr>
            <w:tcW w:w="90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4"/>
                <w:u w:val="none"/>
              </w:rPr>
              <w:t>directorio</w:t>
            </w:r>
          </w:p>
        </w:tc>
        <w:tc>
          <w:tcPr>
            <w:tcW w:w="900" w:type="dxa"/>
            <w:tcBorders>
              <w:top w:val="nil"/>
              <w:left w:val="single" w:sz="2" w:space="0" w:color="000000"/>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4"/>
                <w:u w:val="none"/>
              </w:rPr>
              <w:t>directorio</w:t>
            </w:r>
          </w:p>
        </w:tc>
        <w:tc>
          <w:tcPr>
            <w:tcW w:w="900" w:type="dxa"/>
            <w:tcBorders>
              <w:top w:val="nil"/>
              <w:left w:val="single" w:sz="8" w:space="0" w:color="FFFFFF"/>
              <w:bottom w:val="nil"/>
              <w:right w:val="nil"/>
            </w:tcBorders>
            <w:tcMar>
              <w:top w:w="0" w:type="dxa"/>
              <w:left w:w="53" w:type="dxa"/>
              <w:bottom w:w="0" w:type="dxa"/>
              <w:right w:w="53" w:type="dxa"/>
            </w:tcMar>
            <w:vAlign w:val="top"/>
          </w:tcPr>
          <w:p>
            <w:pPr>
              <w:keepNext/>
              <w:pageBreakBefore w:val="0"/>
              <w:spacing w:before="43" w:after="20" w:line="240" w:lineRule="auto"/>
              <w:jc w:val="center"/>
            </w:pPr>
            <w:r>
              <w:rPr>
                <w:rFonts w:ascii="Calibri" w:eastAsia="Calibri" w:hAnsi="Calibri" w:cs="Calibri"/>
                <w:b/>
                <w:i w:val="0"/>
                <w:color w:val="FFFFFF"/>
                <w:sz w:val="14"/>
                <w:u w:val="none"/>
              </w:rPr>
              <w:t>directorio</w:t>
            </w:r>
          </w:p>
        </w:tc>
      </w:tr>
      <w:tr>
        <w:tblPrEx>
          <w:tblW w:w="7845" w:type="dxa"/>
          <w:tblInd w:w="2126" w:type="dxa"/>
          <w:tblLayout w:type="fixed"/>
        </w:tblPrEx>
        <w:trPr>
          <w:cantSplit/>
          <w:trHeight w:hRule="auto" w:val="0"/>
        </w:trPr>
        <w:tc>
          <w:tcPr>
            <w:tcW w:w="348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left"/>
            </w:pP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left"/>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7845" w:type="dxa"/>
          <w:tblInd w:w="2126" w:type="dxa"/>
          <w:tblLayout w:type="fixed"/>
        </w:tblPrEx>
        <w:trPr>
          <w:cantSplit/>
          <w:trHeight w:hRule="auto" w:val="0"/>
        </w:trPr>
        <w:tc>
          <w:tcPr>
            <w:tcW w:w="3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Nicolás Eyzaguirre Guzmán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Director</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29.110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(13.412)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12.995</w:t>
            </w:r>
          </w:p>
        </w:tc>
      </w:tr>
      <w:tr>
        <w:tblPrEx>
          <w:tblW w:w="7845" w:type="dxa"/>
          <w:tblInd w:w="2126" w:type="dxa"/>
          <w:tblLayout w:type="fixed"/>
        </w:tblPrEx>
        <w:trPr>
          <w:cantSplit/>
          <w:trHeight w:hRule="auto" w:val="0"/>
        </w:trPr>
        <w:tc>
          <w:tcPr>
            <w:tcW w:w="4245"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29.110</w:t>
            </w:r>
          </w:p>
        </w:tc>
        <w:tc>
          <w:tcPr>
            <w:tcW w:w="9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(13.412)</w:t>
            </w:r>
          </w:p>
        </w:tc>
        <w:tc>
          <w:tcPr>
            <w:tcW w:w="9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12.995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remuneraciones correspondientes al Directorio y Comité de Directores de subsidiarias ascendieron a M$ </w:t>
      </w:r>
      <w:r>
        <w:rPr>
          <w:rFonts w:ascii="Calibri" w:eastAsia="Calibri" w:hAnsi="Calibri" w:cs="Calibri"/>
          <w:b w:val="0"/>
          <w:i w:val="0"/>
          <w:color w:val="000000"/>
          <w:sz w:val="20"/>
          <w:u w:val="none"/>
        </w:rPr>
        <w:t>58.626</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73.360</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los período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se han pagado remuneraciones a los directores que representan al controlador, por renuncia expresa a ella.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9.2.2.-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Remuneración del equipo gerencial.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remuneraciones con cargo a resultados del equipo gerencial de la sociedad ascienden a      M$ </w:t>
      </w:r>
      <w:r>
        <w:rPr>
          <w:rFonts w:ascii="Calibri" w:eastAsia="Calibri" w:hAnsi="Calibri" w:cs="Calibri"/>
          <w:b w:val="0"/>
          <w:i w:val="0"/>
          <w:color w:val="000000"/>
          <w:sz w:val="20"/>
          <w:u w:val="none"/>
        </w:rPr>
        <w:t>105.099</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224.820</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remuneraciones con cargo a resultados del equipo gerencial de subsidiarias ascienden a M$ </w:t>
      </w:r>
      <w:r>
        <w:rPr>
          <w:rFonts w:ascii="Calibri" w:eastAsia="Calibri" w:hAnsi="Calibri" w:cs="Calibri"/>
          <w:b w:val="0"/>
          <w:i w:val="0"/>
          <w:color w:val="000000"/>
          <w:sz w:val="20"/>
          <w:u w:val="none"/>
        </w:rPr>
        <w:t>82.270</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80.828</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y las subsidiarias tienen establecido, para sus ejecutivos, un plan de incentivo por cumplimiento de objetivos individuales de aportación a los resultados de las sociedades, estos incentivos están estructurados en un mínimo y máximo de remuneraciones brutas y son canceladas una vez al año.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35"/>
          <w:footerReference w:type="default" r:id="rId36"/>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28" w:name="Section68"/>
      <w:bookmarkEnd w:id="128"/>
      <w:bookmarkStart w:id="129" w:name="1066edcc448748ffaa5d634887617e8a"/>
      <w:r>
        <w:rPr>
          <w:rFonts w:ascii="Calibri" w:eastAsia="Calibri" w:hAnsi="Calibri" w:cs="Calibri"/>
          <w:b/>
          <w:i w:val="0"/>
          <w:color w:val="000000"/>
          <w:sz w:val="20"/>
          <w:u w:val="none"/>
        </w:rPr>
        <w:t>10.-</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12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inventarios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Suministros para la producción.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3.970.070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Suministros para mantención.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482.527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4.452.597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no </w:t>
      </w:r>
      <w:r>
        <w:rPr>
          <w:rFonts w:ascii="Calibri" w:eastAsia="Calibri" w:hAnsi="Calibri" w:cs="Calibri"/>
          <w:b w:val="0"/>
          <w:i w:val="0"/>
          <w:color w:val="000000"/>
          <w:sz w:val="20"/>
          <w:u w:val="none"/>
        </w:rPr>
        <w:t>hay inventarios pignorados en garantía del cumplimiento de deudas contraídas.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30" w:name="Section69"/>
      <w:bookmarkEnd w:id="130"/>
      <w:bookmarkStart w:id="131" w:name="83e4879ed31f4b3e87de8ad0884c9918"/>
      <w:r>
        <w:rPr>
          <w:rFonts w:ascii="Calibri" w:eastAsia="Calibri" w:hAnsi="Calibri" w:cs="Calibri"/>
          <w:b/>
          <w:i w:val="0"/>
          <w:color w:val="000000"/>
          <w:sz w:val="20"/>
          <w:u w:val="none"/>
        </w:rPr>
        <w:t>10.1.-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adicional de inventarios.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3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90"/>
        <w:gridCol w:w="990"/>
        <w:gridCol w:w="990"/>
        <w:gridCol w:w="990"/>
        <w:gridCol w:w="990"/>
      </w:tblGrid>
      <w:tr>
        <w:tblPrEx>
          <w:tblW w:w="8550" w:type="dxa"/>
          <w:tblInd w:w="1417" w:type="dxa"/>
          <w:tblLayout w:type="fixed"/>
        </w:tblPrEx>
        <w:trPr>
          <w:cantSplit/>
          <w:trHeight w:hRule="auto" w:val="0"/>
        </w:trPr>
        <w:tc>
          <w:tcPr>
            <w:tcW w:w="459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 información de inventarios</w:t>
            </w:r>
          </w:p>
        </w:tc>
        <w:tc>
          <w:tcPr>
            <w:tcW w:w="198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990" w:type="dxa"/>
            <w:tcBorders>
              <w:top w:val="nil"/>
              <w:left w:val="single" w:sz="2" w:space="0" w:color="000000"/>
              <w:bottom w:val="single" w:sz="8" w:space="0" w:color="FFFFFF"/>
              <w:right w:val="nil"/>
            </w:tcBorders>
            <w:tcMar>
              <w:top w:w="0" w:type="dxa"/>
              <w:left w:w="0" w:type="dxa"/>
              <w:bottom w:w="0" w:type="dxa"/>
              <w:right w:w="0" w:type="dxa"/>
            </w:tcMar>
            <w:vAlign w:val="bottom"/>
          </w:tcPr>
          <w:p>
            <w:pPr>
              <w:keepNext/>
              <w:pageBreakBefore w:val="0"/>
              <w:spacing w:before="0" w:after="0"/>
            </w:pPr>
          </w:p>
        </w:tc>
        <w:tc>
          <w:tcPr>
            <w:tcW w:w="990" w:type="dxa"/>
            <w:tcBorders>
              <w:top w:val="nil"/>
              <w:left w:val="nil"/>
              <w:bottom w:val="single" w:sz="8" w:space="0" w:color="FFFFFF"/>
              <w:right w:val="single" w:sz="2" w:space="0" w:color="000000"/>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90" w:type="dxa"/>
            <w:vMerge/>
            <w:tcBorders>
              <w:top w:val="nil"/>
              <w:left w:val="single" w:sz="2" w:space="0" w:color="000000"/>
              <w:bottom w:val="nil"/>
              <w:right w:val="nil"/>
            </w:tcBorders>
          </w:tcPr>
          <w:p>
            <w:pPr>
              <w:keepNext/>
              <w:pageBreakBefore w:val="0"/>
            </w:pPr>
          </w:p>
        </w:tc>
        <w:tc>
          <w:tcPr>
            <w:tcW w:w="99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01-01-2026</w:t>
            </w:r>
          </w:p>
        </w:tc>
        <w:tc>
          <w:tcPr>
            <w:tcW w:w="99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01-01-2025</w:t>
            </w:r>
          </w:p>
        </w:tc>
        <w:tc>
          <w:tcPr>
            <w:tcW w:w="990" w:type="dxa"/>
            <w:tcBorders>
              <w:top w:val="single" w:sz="8" w:space="0" w:color="FFFFFF"/>
              <w:left w:val="single" w:sz="2" w:space="0" w:color="000000"/>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01-04-2026</w:t>
            </w:r>
          </w:p>
        </w:tc>
        <w:tc>
          <w:tcPr>
            <w:tcW w:w="99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4590" w:type="dxa"/>
            <w:vMerge/>
            <w:tcBorders>
              <w:top w:val="nil"/>
              <w:left w:val="single" w:sz="2" w:space="0" w:color="000000"/>
              <w:bottom w:val="nil"/>
              <w:right w:val="nil"/>
            </w:tcBorders>
          </w:tcPr>
          <w:p>
            <w:pPr>
              <w:keepNext/>
              <w:pageBreakBefore w:val="0"/>
            </w:pPr>
          </w:p>
        </w:tc>
        <w:tc>
          <w:tcPr>
            <w:tcW w:w="99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99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c>
          <w:tcPr>
            <w:tcW w:w="990" w:type="dxa"/>
            <w:tcBorders>
              <w:top w:val="nil"/>
              <w:left w:val="single" w:sz="2" w:space="0" w:color="000000"/>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990" w:type="dxa"/>
            <w:tcBorders>
              <w:top w:val="nil"/>
              <w:left w:val="single" w:sz="8"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4590" w:type="dxa"/>
            <w:vMerge/>
            <w:tcBorders>
              <w:top w:val="nil"/>
              <w:left w:val="single" w:sz="2" w:space="0" w:color="000000"/>
              <w:bottom w:val="single" w:sz="2" w:space="0" w:color="000000"/>
              <w:right w:val="nil"/>
            </w:tcBorders>
          </w:tcPr>
          <w:p>
            <w:pPr>
              <w:keepNext/>
              <w:pageBreakBefore w:val="0"/>
            </w:pPr>
          </w:p>
        </w:tc>
        <w:tc>
          <w:tcPr>
            <w:tcW w:w="99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9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9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99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5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4"/>
                <w:u w:val="none"/>
              </w:rPr>
              <w:t>Costos de inventarios reconocidos como gastos durante el periodo o ejercicio.</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(1.184.925)</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(2.192.533)</w:t>
            </w:r>
          </w:p>
        </w:tc>
        <w:tc>
          <w:tcPr>
            <w:tcW w:w="99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p>
        </w:tc>
        <w:tc>
          <w:tcPr>
            <w:tcW w:w="99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4"/>
                <w:u w:val="none"/>
              </w:rPr>
              <w:t>(2.192.533)</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reversiones, en caso de existir, están dadas por liquidaciones de inventarios y reversos de la provisión por deterioro dado por el incremento en el valor neto realizable.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32" w:name="Section70"/>
      <w:bookmarkEnd w:id="132"/>
      <w:bookmarkStart w:id="133" w:name="537e1d8fb004452aa966aef37d004265"/>
      <w:r>
        <w:rPr>
          <w:rFonts w:ascii="Calibri" w:eastAsia="Calibri" w:hAnsi="Calibri" w:cs="Calibri"/>
          <w:b/>
          <w:i w:val="0"/>
          <w:color w:val="000000"/>
          <w:sz w:val="20"/>
          <w:u w:val="none"/>
        </w:rPr>
        <w:t>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PASIVOS POR IMPUESTOS.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33"/>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pasivos por impuestos</w:t>
            </w:r>
          </w:p>
        </w:tc>
        <w:tc>
          <w:tcPr>
            <w:tcW w:w="24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Pagos provisionales mensuales.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628.330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Impuestos por recuperar ejercicios anteriores.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89.185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Créditos al impuesto.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202.700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Incentivo al desarrollo regiones extremas.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1.258.126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activos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2.178.341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 a la renta de primera categoría.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(1.144.097)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(1.144.097)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1.034.244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34" w:name="Section71"/>
      <w:bookmarkEnd w:id="134"/>
      <w:bookmarkStart w:id="135" w:name="c47852f7c29a45d1ae3e7919e229a74b"/>
      <w:r>
        <w:rPr>
          <w:rFonts w:ascii="Calibri" w:eastAsia="Calibri" w:hAnsi="Calibri" w:cs="Calibri"/>
          <w:b/>
          <w:i w:val="0"/>
          <w:color w:val="000000"/>
          <w:sz w:val="20"/>
          <w:u w:val="none"/>
        </w:rPr>
        <w:t>12.-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NO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35"/>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no financieros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Gastos pagados por anticipado.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2.898.790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Boletas en garantía.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43.060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activos.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137.346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8.280</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3.079.196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8.280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pagados por anticipado corresponden principalmente anticipos de licenciamiento de software, seguros pagados por anticipado y desembolsos por recuperar de compañías de seguros.</w:t>
      </w: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36" w:name="Section72"/>
      <w:bookmarkEnd w:id="136"/>
      <w:bookmarkStart w:id="137" w:name="485d6edeb5054c369ae466a2483eb6c9"/>
      <w:r>
        <w:rPr>
          <w:rFonts w:ascii="Calibri" w:eastAsia="Calibri" w:hAnsi="Calibri" w:cs="Calibri"/>
          <w:b/>
          <w:i w:val="0"/>
          <w:color w:val="000000"/>
          <w:sz w:val="20"/>
          <w:u w:val="none"/>
        </w:rPr>
        <w:t>13.-</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CONTABILIZADAS UTILIZANDO EL MÉTODO DE LA PARTICIPACIÓN.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bookmarkEnd w:id="137"/>
    </w:p>
    <w:p>
      <w:pPr>
        <w:keepNext/>
        <w:keepLines/>
        <w:pageBreakBefore w:val="0"/>
        <w:widowControl w:val="0"/>
        <w:numPr>
          <w:ilvl w:val="0"/>
          <w:numId w:val="0"/>
        </w:numPr>
        <w:tabs>
          <w:tab w:val="left" w:pos="700"/>
        </w:tabs>
        <w:spacing w:before="0" w:after="0" w:line="288" w:lineRule="auto"/>
        <w:ind w:left="0" w:right="0" w:firstLine="0"/>
        <w:jc w:val="both"/>
        <w:outlineLvl w:val="9"/>
        <w:sectPr>
          <w:headerReference w:type="default" r:id="rId37"/>
          <w:footerReference w:type="default" r:id="rId38"/>
          <w:type w:val="continuous"/>
          <w:pgSz w:w="15840" w:h="12240" w:orient="landscape"/>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88" w:lineRule="auto"/>
        <w:ind w:left="711" w:right="0" w:firstLine="0"/>
        <w:jc w:val="both"/>
        <w:outlineLvl w:val="1"/>
        <w:rPr>
          <w:rFonts w:ascii="Calibri" w:eastAsia="Calibri" w:hAnsi="Calibri" w:cs="Calibri"/>
          <w:b/>
          <w:i w:val="0"/>
          <w:color w:val="000000"/>
          <w:sz w:val="20"/>
          <w:u w:val="none"/>
        </w:rPr>
      </w:pPr>
      <w:bookmarkStart w:id="138" w:name="Section73"/>
      <w:bookmarkEnd w:id="138"/>
      <w:bookmarkStart w:id="139" w:name="94cea5e338e54366a8f718638051fce3"/>
      <w:r>
        <w:rPr>
          <w:rFonts w:ascii="Calibri" w:eastAsia="Calibri" w:hAnsi="Calibri" w:cs="Calibri"/>
          <w:b/>
          <w:i w:val="0"/>
          <w:color w:val="000000"/>
          <w:sz w:val="20"/>
          <w:u w:val="none"/>
        </w:rPr>
        <w:t xml:space="preserve">13.1.- </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Inversiones en subsidiarias.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9"/>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Inversión en subsidiaria contabilizada usando el método de la participación.</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valorización de las inversiones en subsidiarias consolidadas usando el método de la participación se presentan a continuación para efectos informativos.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0"/>
        <w:gridCol w:w="615"/>
        <w:gridCol w:w="660"/>
        <w:gridCol w:w="900"/>
        <w:gridCol w:w="900"/>
        <w:gridCol w:w="1005"/>
        <w:gridCol w:w="1005"/>
        <w:gridCol w:w="1005"/>
        <w:gridCol w:w="1005"/>
        <w:gridCol w:w="1005"/>
        <w:gridCol w:w="1095"/>
      </w:tblGrid>
      <w:tr>
        <w:tblPrEx>
          <w:tblW w:w="11445" w:type="dxa"/>
          <w:tblInd w:w="2126" w:type="dxa"/>
          <w:tblLayout w:type="fixed"/>
        </w:tblPrEx>
        <w:trPr>
          <w:cantSplit/>
          <w:trHeight w:hRule="auto" w:val="0"/>
        </w:trPr>
        <w:tc>
          <w:tcPr>
            <w:tcW w:w="22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sociedades subsidiarias</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 incremento (decremento)</w:t>
            </w:r>
          </w:p>
        </w:tc>
        <w:tc>
          <w:tcPr>
            <w:tcW w:w="1005" w:type="dxa"/>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 Dividendos pagados a participaciones no controladoras</w:t>
            </w:r>
          </w:p>
        </w:tc>
      </w:tr>
      <w:tr>
        <w:tblPrEx>
          <w:tblW w:w="11445" w:type="dxa"/>
          <w:tblInd w:w="2126" w:type="dxa"/>
          <w:tblLayout w:type="fixed"/>
        </w:tblPrEx>
        <w:trPr>
          <w:cantSplit/>
          <w:trHeight w:hRule="auto" w:val="0"/>
        </w:trPr>
        <w:tc>
          <w:tcPr>
            <w:tcW w:w="2250"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095" w:type="dxa"/>
            <w:vMerge/>
            <w:tcBorders>
              <w:top w:val="nil"/>
              <w:left w:val="nil"/>
              <w:bottom w:val="nil"/>
              <w:right w:val="single" w:sz="2" w:space="0" w:color="000000"/>
            </w:tcBorders>
          </w:tcPr>
          <w:p>
            <w:pPr>
              <w:keepNext/>
              <w:pageBreakBefore w:val="0"/>
            </w:pPr>
          </w:p>
        </w:tc>
      </w:tr>
      <w:tr>
        <w:tblPrEx>
          <w:tblW w:w="11445" w:type="dxa"/>
          <w:tblInd w:w="2126" w:type="dxa"/>
          <w:tblLayout w:type="fixed"/>
        </w:tblPrEx>
        <w:trPr>
          <w:cantSplit/>
          <w:trHeight w:hRule="auto" w:val="0"/>
        </w:trPr>
        <w:tc>
          <w:tcPr>
            <w:tcW w:w="2250"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1445" w:type="dxa"/>
          <w:tblInd w:w="2126" w:type="dxa"/>
          <w:tblLayout w:type="fixed"/>
        </w:tblPrEx>
        <w:trPr>
          <w:cantSplit/>
          <w:trHeight w:hRule="exact" w:val="225"/>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3"/>
                <w:u w:val="none"/>
              </w:rPr>
              <w:t>CGE Magallanes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48" w:after="30" w:line="240" w:lineRule="auto"/>
              <w:jc w:val="right"/>
            </w:pPr>
            <w:r>
              <w:rPr>
                <w:rFonts w:ascii="Calibri" w:eastAsia="Calibri" w:hAnsi="Calibri" w:cs="Calibri"/>
                <w:b w:val="0"/>
                <w:i w:val="0"/>
                <w:color w:val="000000"/>
                <w:sz w:val="13"/>
                <w:u w:val="none"/>
              </w:rPr>
              <w:tab/>
              <w:t>99,89482 %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654"/>
              </w:tabs>
              <w:spacing w:before="48" w:after="30" w:line="240" w:lineRule="auto"/>
              <w:jc w:val="right"/>
            </w:pPr>
            <w:r>
              <w:rPr>
                <w:rFonts w:ascii="Calibri" w:eastAsia="Calibri" w:hAnsi="Calibri" w:cs="Calibri"/>
                <w:b w:val="0"/>
                <w:i w:val="0"/>
                <w:color w:val="000000"/>
                <w:sz w:val="13"/>
                <w:u w:val="none"/>
              </w:rPr>
              <w:tab/>
              <w:t>99,89482 %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55.258.437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55.258.437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0</w:t>
            </w:r>
          </w:p>
        </w:tc>
      </w:tr>
      <w:tr>
        <w:tblPrEx>
          <w:tblW w:w="11445" w:type="dxa"/>
          <w:tblInd w:w="2126" w:type="dxa"/>
          <w:tblLayout w:type="fixed"/>
        </w:tblPrEx>
        <w:trPr>
          <w:cantSplit/>
          <w:trHeight w:hRule="exact" w:val="225"/>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3"/>
                <w:u w:val="none"/>
              </w:rPr>
              <w:t>Empresa Eléctrica de Magallanes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499"/>
              </w:tabs>
              <w:spacing w:before="48" w:after="30" w:line="240" w:lineRule="auto"/>
              <w:jc w:val="right"/>
            </w:pPr>
            <w:r>
              <w:rPr>
                <w:rFonts w:ascii="Calibri" w:eastAsia="Calibri" w:hAnsi="Calibri" w:cs="Calibri"/>
                <w:b w:val="0"/>
                <w:i w:val="0"/>
                <w:color w:val="000000"/>
                <w:sz w:val="13"/>
                <w:u w:val="none"/>
              </w:rPr>
              <w:tab/>
              <w:t>0,11467</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 w:val="left" w:pos="589"/>
              </w:tabs>
              <w:spacing w:before="48" w:after="30" w:line="240" w:lineRule="auto"/>
              <w:jc w:val="right"/>
            </w:pPr>
            <w:r>
              <w:rPr>
                <w:rFonts w:ascii="Calibri" w:eastAsia="Calibri" w:hAnsi="Calibri" w:cs="Calibri"/>
                <w:b w:val="0"/>
                <w:i w:val="0"/>
                <w:color w:val="000000"/>
                <w:sz w:val="13"/>
                <w:u w:val="none"/>
              </w:rPr>
              <w:tab/>
              <w:t>0,11467 %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53.853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53.853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000000"/>
                <w:sz w:val="13"/>
                <w:u w:val="none"/>
              </w:rPr>
              <w:t>0</w:t>
            </w:r>
          </w:p>
        </w:tc>
      </w:tr>
      <w:tr>
        <w:tblPrEx>
          <w:tblW w:w="11445" w:type="dxa"/>
          <w:tblInd w:w="2126" w:type="dxa"/>
          <w:tblLayout w:type="fixed"/>
        </w:tblPrEx>
        <w:trPr>
          <w:cantSplit/>
          <w:trHeight w:hRule="exact" w:val="225"/>
        </w:trPr>
        <w:tc>
          <w:tcPr>
            <w:tcW w:w="5325"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55.312.290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55.312.290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48" w:after="30" w:line="240" w:lineRule="auto"/>
              <w:jc w:val="right"/>
            </w:pPr>
            <w:r>
              <w:rPr>
                <w:rFonts w:ascii="Calibri" w:eastAsia="Calibri" w:hAnsi="Calibri" w:cs="Calibri"/>
                <w:b/>
                <w:i w:val="0"/>
                <w:color w:val="FFFFFF"/>
                <w:sz w:val="13"/>
                <w:u w:val="none"/>
              </w:rPr>
              <w:t>0</w:t>
            </w:r>
          </w:p>
        </w:tc>
      </w:tr>
    </w:tbl>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Al</w:t>
      </w:r>
      <w:r>
        <w:rPr>
          <w:rFonts w:ascii="Calibri" w:eastAsia="Calibri" w:hAnsi="Calibri" w:cs="Calibri"/>
          <w:b w:val="0"/>
          <w:i w:val="0"/>
          <w:sz w:val="20"/>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0"/>
        <w:gridCol w:w="615"/>
        <w:gridCol w:w="660"/>
        <w:gridCol w:w="900"/>
        <w:gridCol w:w="900"/>
        <w:gridCol w:w="1005"/>
        <w:gridCol w:w="1005"/>
        <w:gridCol w:w="1005"/>
        <w:gridCol w:w="1005"/>
        <w:gridCol w:w="1005"/>
        <w:gridCol w:w="1095"/>
      </w:tblGrid>
      <w:tr>
        <w:tblPrEx>
          <w:tblW w:w="11445" w:type="dxa"/>
          <w:tblInd w:w="2126" w:type="dxa"/>
          <w:tblLayout w:type="fixed"/>
        </w:tblPrEx>
        <w:trPr>
          <w:cantSplit/>
          <w:trHeight w:hRule="auto" w:val="0"/>
        </w:trPr>
        <w:tc>
          <w:tcPr>
            <w:tcW w:w="22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Movimiento de inversiones en sociedades subsidiarias</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6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 funcional</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participación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Porcentaje poder de votos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Participación en ganancia (pérdida)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Dividendos recibidos</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 incremento (decremento)</w:t>
            </w:r>
          </w:p>
        </w:tc>
        <w:tc>
          <w:tcPr>
            <w:tcW w:w="1005" w:type="dxa"/>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Saldo al </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 xml:space="preserve"> Dividendos pagados a participaciones no controladoras</w:t>
            </w:r>
          </w:p>
        </w:tc>
      </w:tr>
      <w:tr>
        <w:tblPrEx>
          <w:tblW w:w="11445" w:type="dxa"/>
          <w:tblInd w:w="2126" w:type="dxa"/>
          <w:tblLayout w:type="fixed"/>
        </w:tblPrEx>
        <w:trPr>
          <w:cantSplit/>
          <w:trHeight w:hRule="auto" w:val="0"/>
        </w:trPr>
        <w:tc>
          <w:tcPr>
            <w:tcW w:w="2250" w:type="dxa"/>
            <w:vMerge/>
            <w:tcBorders>
              <w:top w:val="nil"/>
              <w:left w:val="single" w:sz="2" w:space="0" w:color="000000"/>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31-12-2025</w:t>
            </w:r>
          </w:p>
        </w:tc>
        <w:tc>
          <w:tcPr>
            <w:tcW w:w="1095" w:type="dxa"/>
            <w:vMerge/>
            <w:tcBorders>
              <w:top w:val="nil"/>
              <w:left w:val="nil"/>
              <w:bottom w:val="nil"/>
              <w:right w:val="single" w:sz="2" w:space="0" w:color="000000"/>
            </w:tcBorders>
          </w:tcPr>
          <w:p>
            <w:pPr>
              <w:keepNext/>
              <w:pageBreakBefore w:val="0"/>
            </w:pPr>
          </w:p>
        </w:tc>
      </w:tr>
      <w:tr>
        <w:tblPrEx>
          <w:tblW w:w="11445" w:type="dxa"/>
          <w:tblInd w:w="2126" w:type="dxa"/>
          <w:tblLayout w:type="fixed"/>
        </w:tblPrEx>
        <w:trPr>
          <w:cantSplit/>
          <w:trHeight w:hRule="auto" w:val="0"/>
        </w:trPr>
        <w:tc>
          <w:tcPr>
            <w:tcW w:w="2250" w:type="dxa"/>
            <w:vMerge/>
            <w:tcBorders>
              <w:top w:val="nil"/>
              <w:left w:val="single" w:sz="2" w:space="0" w:color="000000"/>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1445" w:type="dxa"/>
          <w:tblInd w:w="2126" w:type="dxa"/>
          <w:tblLayout w:type="fixed"/>
        </w:tblPrEx>
        <w:trPr>
          <w:cantSplit/>
          <w:trHeight w:hRule="exact" w:val="225"/>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Magallanes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3"/>
                <w:u w:val="none"/>
              </w:rPr>
              <w:tab/>
              <w:t>99,89482 %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654"/>
              </w:tabs>
              <w:spacing w:before="0" w:after="0" w:line="240" w:lineRule="auto"/>
              <w:jc w:val="right"/>
            </w:pPr>
            <w:r>
              <w:rPr>
                <w:rFonts w:ascii="Calibri" w:eastAsia="Calibri" w:hAnsi="Calibri" w:cs="Calibri"/>
                <w:b w:val="0"/>
                <w:i w:val="0"/>
                <w:color w:val="000000"/>
                <w:sz w:val="13"/>
                <w:u w:val="none"/>
              </w:rPr>
              <w:tab/>
              <w:t>99,89482 %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53.976.950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6.076.047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(4.806.898)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12.338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55.258.437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(5.056)</w:t>
            </w:r>
          </w:p>
        </w:tc>
      </w:tr>
      <w:tr>
        <w:tblPrEx>
          <w:tblW w:w="11445" w:type="dxa"/>
          <w:tblInd w:w="2126" w:type="dxa"/>
          <w:tblLayout w:type="fixed"/>
        </w:tblPrEx>
        <w:trPr>
          <w:cantSplit/>
          <w:trHeight w:hRule="exact" w:val="225"/>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Empresa Eléctrica de Magallanes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459"/>
              </w:tabs>
              <w:spacing w:before="0" w:after="0" w:line="240" w:lineRule="auto"/>
              <w:jc w:val="right"/>
            </w:pPr>
            <w:r>
              <w:rPr>
                <w:rFonts w:ascii="Calibri" w:eastAsia="Calibri" w:hAnsi="Calibri" w:cs="Calibri"/>
                <w:b w:val="0"/>
                <w:i w:val="0"/>
                <w:color w:val="000000"/>
                <w:sz w:val="13"/>
                <w:u w:val="none"/>
              </w:rPr>
              <w:tab/>
              <w:t>0,11467</w:t>
              <w:tab/>
              <w:t>%</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589"/>
              </w:tabs>
              <w:spacing w:before="0" w:after="0" w:line="240" w:lineRule="auto"/>
              <w:jc w:val="right"/>
            </w:pPr>
            <w:r>
              <w:rPr>
                <w:rFonts w:ascii="Calibri" w:eastAsia="Calibri" w:hAnsi="Calibri" w:cs="Calibri"/>
                <w:b w:val="0"/>
                <w:i w:val="0"/>
                <w:color w:val="000000"/>
                <w:sz w:val="13"/>
                <w:u w:val="none"/>
              </w:rPr>
              <w:tab/>
              <w:t>0,11467 %</w:t>
              <w:tab/>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47.363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13.139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(6.675)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3"/>
                <w:u w:val="none"/>
              </w:rPr>
              <w:t>26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53.853</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3"/>
                <w:u w:val="none"/>
              </w:rPr>
              <w:t>(2.993)</w:t>
            </w:r>
          </w:p>
        </w:tc>
      </w:tr>
      <w:tr>
        <w:tblPrEx>
          <w:tblW w:w="11445" w:type="dxa"/>
          <w:tblInd w:w="2126" w:type="dxa"/>
          <w:tblLayout w:type="fixed"/>
        </w:tblPrEx>
        <w:trPr>
          <w:cantSplit/>
          <w:trHeight w:hRule="exact" w:val="225"/>
        </w:trPr>
        <w:tc>
          <w:tcPr>
            <w:tcW w:w="5325"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3"/>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54.024.313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6.089.186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(4.813.573)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12.364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55.312.290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(8.049)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13.1.2.-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Información resumida de las subsidiarias consolidadas.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35"/>
        <w:gridCol w:w="705"/>
        <w:gridCol w:w="705"/>
        <w:gridCol w:w="705"/>
        <w:gridCol w:w="705"/>
        <w:gridCol w:w="705"/>
        <w:gridCol w:w="705"/>
        <w:gridCol w:w="705"/>
        <w:gridCol w:w="705"/>
        <w:gridCol w:w="705"/>
        <w:gridCol w:w="705"/>
        <w:gridCol w:w="705"/>
        <w:gridCol w:w="645"/>
        <w:gridCol w:w="660"/>
        <w:gridCol w:w="645"/>
        <w:gridCol w:w="705"/>
      </w:tblGrid>
      <w:tr>
        <w:tblPrEx>
          <w:tblW w:w="11445" w:type="dxa"/>
          <w:tblInd w:w="2126" w:type="dxa"/>
          <w:tblLayout w:type="fixed"/>
        </w:tblPrEx>
        <w:trPr>
          <w:cantSplit/>
          <w:trHeight w:hRule="auto" w:val="0"/>
        </w:trPr>
        <w:tc>
          <w:tcPr>
            <w:tcW w:w="10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Inversiones en sociedades subsidiarias directas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Porcentaje participación</w:t>
            </w:r>
          </w:p>
        </w:tc>
        <w:tc>
          <w:tcPr>
            <w:tcW w:w="9705"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r>
      <w:tr>
        <w:tblPrEx>
          <w:tblW w:w="11445" w:type="dxa"/>
          <w:tblInd w:w="2126" w:type="dxa"/>
          <w:tblLayout w:type="fixed"/>
        </w:tblPrEx>
        <w:trPr>
          <w:cantSplit/>
          <w:trHeight w:hRule="auto" w:val="0"/>
        </w:trPr>
        <w:tc>
          <w:tcPr>
            <w:tcW w:w="1035"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activos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pasivos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Patrimonio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Ingresos ordinarios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Costo de ventas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Otros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neta</w:t>
            </w:r>
          </w:p>
        </w:tc>
        <w:tc>
          <w:tcPr>
            <w:tcW w:w="66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controlador</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w:t>
            </w:r>
          </w:p>
        </w:tc>
        <w:tc>
          <w:tcPr>
            <w:tcW w:w="7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 controlador</w:t>
            </w:r>
          </w:p>
        </w:tc>
      </w:tr>
      <w:tr>
        <w:tblPrEx>
          <w:tblW w:w="11445" w:type="dxa"/>
          <w:tblInd w:w="2126" w:type="dxa"/>
          <w:tblLayout w:type="fixed"/>
        </w:tblPrEx>
        <w:trPr>
          <w:cantSplit/>
          <w:trHeight w:hRule="auto" w:val="0"/>
        </w:trPr>
        <w:tc>
          <w:tcPr>
            <w:tcW w:w="103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11445" w:type="dxa"/>
          <w:tblInd w:w="2126" w:type="dxa"/>
          <w:tblLayout w:type="fixed"/>
        </w:tblPrEx>
        <w:trPr>
          <w:cantSplit/>
          <w:trHeight w:hRule="auto" w:val="0"/>
        </w:trPr>
        <w:tc>
          <w:tcPr>
            <w:tcW w:w="1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CGE Magallanes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99,89482 %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0</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587.032</w:t>
            </w:r>
          </w:p>
        </w:tc>
        <w:tc>
          <w:tcPr>
            <w:tcW w:w="7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(203.145)</w:t>
            </w:r>
          </w:p>
        </w:tc>
      </w:tr>
      <w:tr>
        <w:tblPrEx>
          <w:tblW w:w="11445" w:type="dxa"/>
          <w:tblInd w:w="2126" w:type="dxa"/>
          <w:tblLayout w:type="fixed"/>
        </w:tblPrEx>
        <w:trPr>
          <w:cantSplit/>
          <w:trHeight w:hRule="auto" w:val="0"/>
        </w:trPr>
        <w:tc>
          <w:tcPr>
            <w:tcW w:w="174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0</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587.032</w:t>
            </w:r>
          </w:p>
        </w:tc>
        <w:tc>
          <w:tcPr>
            <w:tcW w:w="7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(203.145)</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Al</w:t>
      </w:r>
      <w:r>
        <w:rPr>
          <w:rFonts w:ascii="Calibri" w:eastAsia="Calibri" w:hAnsi="Calibri" w:cs="Calibri"/>
          <w:b w:val="0"/>
          <w:i w:val="0"/>
          <w:sz w:val="20"/>
        </w:rPr>
        <w:t xml:space="preserve">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35"/>
        <w:gridCol w:w="705"/>
        <w:gridCol w:w="705"/>
        <w:gridCol w:w="705"/>
        <w:gridCol w:w="705"/>
        <w:gridCol w:w="705"/>
        <w:gridCol w:w="705"/>
        <w:gridCol w:w="705"/>
        <w:gridCol w:w="705"/>
        <w:gridCol w:w="705"/>
        <w:gridCol w:w="705"/>
        <w:gridCol w:w="705"/>
        <w:gridCol w:w="645"/>
        <w:gridCol w:w="660"/>
        <w:gridCol w:w="645"/>
        <w:gridCol w:w="705"/>
      </w:tblGrid>
      <w:tr>
        <w:tblPrEx>
          <w:tblW w:w="11445" w:type="dxa"/>
          <w:tblInd w:w="2126" w:type="dxa"/>
          <w:tblLayout w:type="fixed"/>
        </w:tblPrEx>
        <w:trPr>
          <w:cantSplit/>
          <w:trHeight w:hRule="auto" w:val="0"/>
        </w:trPr>
        <w:tc>
          <w:tcPr>
            <w:tcW w:w="10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Inversiones en sociedades subsidiarias directas</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Porcentaje participación</w:t>
            </w:r>
          </w:p>
        </w:tc>
        <w:tc>
          <w:tcPr>
            <w:tcW w:w="9705" w:type="dxa"/>
            <w:gridSpan w:val="1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31-12-2025</w:t>
            </w:r>
          </w:p>
        </w:tc>
      </w:tr>
      <w:tr>
        <w:tblPrEx>
          <w:tblW w:w="11445" w:type="dxa"/>
          <w:tblInd w:w="2126" w:type="dxa"/>
          <w:tblLayout w:type="fixed"/>
        </w:tblPrEx>
        <w:trPr>
          <w:cantSplit/>
          <w:trHeight w:hRule="auto" w:val="0"/>
        </w:trPr>
        <w:tc>
          <w:tcPr>
            <w:tcW w:w="1035" w:type="dxa"/>
            <w:vMerge/>
            <w:tcBorders>
              <w:top w:val="nil"/>
              <w:left w:val="single" w:sz="2" w:space="0" w:color="000000"/>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Activos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activos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Pasivos no corrientes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Total pasivos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Patrimonio</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Ingresos ordinarios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Costo de ventas</w:t>
            </w:r>
          </w:p>
        </w:tc>
        <w:tc>
          <w:tcPr>
            <w:tcW w:w="7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Otros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neta</w:t>
            </w:r>
          </w:p>
        </w:tc>
        <w:tc>
          <w:tcPr>
            <w:tcW w:w="66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Ganancia (pérdida) controlador</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w:t>
            </w:r>
          </w:p>
        </w:tc>
        <w:tc>
          <w:tcPr>
            <w:tcW w:w="7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Resultado Integral controlador</w:t>
            </w:r>
          </w:p>
        </w:tc>
      </w:tr>
      <w:tr>
        <w:tblPrEx>
          <w:tblW w:w="11445" w:type="dxa"/>
          <w:tblInd w:w="2126" w:type="dxa"/>
          <w:tblLayout w:type="fixed"/>
        </w:tblPrEx>
        <w:trPr>
          <w:cantSplit/>
          <w:trHeight w:hRule="auto" w:val="0"/>
        </w:trPr>
        <w:tc>
          <w:tcPr>
            <w:tcW w:w="1035" w:type="dxa"/>
            <w:vMerge/>
            <w:tcBorders>
              <w:top w:val="nil"/>
              <w:left w:val="single" w:sz="2" w:space="0" w:color="000000"/>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6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11445" w:type="dxa"/>
          <w:tblInd w:w="2126" w:type="dxa"/>
          <w:tblLayout w:type="fixed"/>
        </w:tblPrEx>
        <w:trPr>
          <w:cantSplit/>
          <w:trHeight w:hRule="auto" w:val="0"/>
        </w:trPr>
        <w:tc>
          <w:tcPr>
            <w:tcW w:w="1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CGE Magallanes S.A.</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1"/>
                <w:u w:val="none"/>
              </w:rPr>
              <w:tab/>
              <w:t>99,89482 %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22.979.688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156.885.118</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179.864.806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47.230.455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37.881.321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85.111.776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94.753.030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64.057.975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(40.490.180)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(12.341.606)</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11.226.189</w:t>
            </w:r>
          </w:p>
        </w:tc>
        <w:tc>
          <w:tcPr>
            <w:tcW w:w="66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6.082.444</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11.248.583</w:t>
            </w:r>
          </w:p>
        </w:tc>
        <w:tc>
          <w:tcPr>
            <w:tcW w:w="7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000000"/>
                <w:sz w:val="11"/>
                <w:u w:val="none"/>
              </w:rPr>
              <w:t>6.094.795</w:t>
            </w:r>
          </w:p>
        </w:tc>
      </w:tr>
      <w:tr>
        <w:tblPrEx>
          <w:tblW w:w="11445" w:type="dxa"/>
          <w:tblInd w:w="2126" w:type="dxa"/>
          <w:tblLayout w:type="fixed"/>
        </w:tblPrEx>
        <w:trPr>
          <w:cantSplit/>
          <w:trHeight w:hRule="auto" w:val="0"/>
        </w:trPr>
        <w:tc>
          <w:tcPr>
            <w:tcW w:w="174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22.979.688</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156.885.118</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179.864.806</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47.230.455</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37.881.321</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85.111.776</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94.753.030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64.057.975</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(40.490.180)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(12.341.606)</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11.226.189</w:t>
            </w:r>
          </w:p>
        </w:tc>
        <w:tc>
          <w:tcPr>
            <w:tcW w:w="66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6.082.444</w:t>
            </w:r>
          </w:p>
        </w:tc>
        <w:tc>
          <w:tcPr>
            <w:tcW w:w="64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11.248.583</w:t>
            </w:r>
          </w:p>
        </w:tc>
        <w:tc>
          <w:tcPr>
            <w:tcW w:w="7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6.094.795</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sectPr>
          <w:headerReference w:type="default" r:id="rId39"/>
          <w:type w:val="continuous"/>
          <w:pgSz w:w="15840" w:h="12240" w:orient="landscape"/>
          <w:pgMar w:top="1134" w:right="1134" w:bottom="1134" w:left="1134" w:header="0" w:footer="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40" w:name="Section74"/>
      <w:bookmarkEnd w:id="140"/>
      <w:bookmarkStart w:id="141" w:name="d4d8859cd3094cf285ec654250c06c3a"/>
      <w:r>
        <w:rPr>
          <w:rFonts w:ascii="Calibri" w:eastAsia="Calibri" w:hAnsi="Calibri" w:cs="Calibri"/>
          <w:b/>
          <w:i w:val="0"/>
          <w:color w:val="000000"/>
          <w:sz w:val="20"/>
          <w:u w:val="none"/>
        </w:rPr>
        <w:t>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1"/>
    </w:p>
    <w:p>
      <w:pPr>
        <w:keepNext w:val="0"/>
        <w:keepLines/>
        <w:pageBreakBefore w:val="0"/>
        <w:widowControl w:val="0"/>
        <w:numPr>
          <w:ilvl w:val="0"/>
          <w:numId w:val="0"/>
        </w:numPr>
        <w:spacing w:before="0" w:after="0" w:line="288" w:lineRule="auto"/>
        <w:ind w:left="0" w:right="0" w:firstLine="0"/>
        <w:jc w:val="both"/>
        <w:outlineLvl w:val="9"/>
        <w:sectPr>
          <w:headerReference w:type="default" r:id="rId40"/>
          <w:footerReference w:type="default" r:id="rId41"/>
          <w:type w:val="continuous"/>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Calibri" w:eastAsia="Calibri" w:hAnsi="Calibri" w:cs="Calibri"/>
          <w:b/>
          <w:i w:val="0"/>
          <w:color w:val="000000"/>
          <w:sz w:val="24"/>
          <w:u w:val="none"/>
        </w:rPr>
      </w:pPr>
      <w:bookmarkStart w:id="142" w:name="Section75"/>
      <w:bookmarkEnd w:id="142"/>
      <w:bookmarkStart w:id="143" w:name="591014035b18468083338b7780ea7234"/>
      <w:r>
        <w:rPr>
          <w:rFonts w:ascii="Calibri" w:eastAsia="Calibri" w:hAnsi="Calibri" w:cs="Calibri"/>
          <w:b/>
          <w:i w:val="0"/>
          <w:color w:val="000000"/>
          <w:sz w:val="20"/>
          <w:u w:val="none"/>
        </w:rPr>
        <w:t>14.1.-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los activos intangibles.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Este rubro está compuesto principalmente por concesiones, servidumbres de paso y software computacionales. Su detalle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Programas informáticos.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activos intangibles identificables.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56.178.000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56.178.000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56.178.000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56.178.000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Programas informáticos.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106.703.933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(92.378.491)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14.325.442</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activos intangibles identificables.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603.226.942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(51.393)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603.175.549</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709.930.875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(92.429.884)</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617.500.991</w:t>
            </w:r>
          </w:p>
        </w:tc>
      </w:tr>
    </w:tbl>
    <w:p>
      <w:pPr>
        <w:keepNext w:val="0"/>
        <w:keepLines/>
        <w:pageBreakBefore w:val="0"/>
        <w:widowControl w:val="0"/>
        <w:numPr>
          <w:ilvl w:val="0"/>
          <w:numId w:val="0"/>
        </w:numPr>
        <w:spacing w:before="0" w:after="0" w:line="288" w:lineRule="auto"/>
        <w:ind w:left="707"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otros activos intangibles identificables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se encuentra en nota 14.1.1.</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amortización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alcanza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M$ </w:t>
      </w:r>
      <w:r>
        <w:rPr>
          <w:rFonts w:ascii="Calibri" w:eastAsia="Calibri" w:hAnsi="Calibri" w:cs="Calibri"/>
          <w:b w:val="0"/>
          <w:i w:val="0"/>
          <w:color w:val="000000"/>
          <w:sz w:val="20"/>
          <w:u w:val="none"/>
        </w:rPr>
        <w:t>(92.429.884)</w:t>
      </w:r>
      <w:r>
        <w:rPr>
          <w:rFonts w:ascii="Calibri" w:eastAsia="Calibri" w:hAnsi="Calibri" w:cs="Calibri"/>
          <w:b w:val="0"/>
          <w:i w:val="0"/>
          <w:color w:val="000000"/>
          <w:sz w:val="20"/>
          <w:u w:val="none"/>
        </w:rPr>
        <w:t xml:space="preserve"> respectivamente, la que corresponde a los activos intangibles distintos a la plusvalía con vida útil finita.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vidas útiles aplicadas en el rubro Intangibles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05"/>
        <w:gridCol w:w="1305"/>
        <w:gridCol w:w="1305"/>
        <w:gridCol w:w="1305"/>
      </w:tblGrid>
      <w:tr>
        <w:tblPrEx>
          <w:tblW w:w="8520" w:type="dxa"/>
          <w:tblInd w:w="1417" w:type="dxa"/>
          <w:tblLayout w:type="fixed"/>
        </w:tblPrEx>
        <w:trPr>
          <w:cantSplit/>
          <w:trHeight w:hRule="auto" w:val="0"/>
        </w:trPr>
        <w:tc>
          <w:tcPr>
            <w:tcW w:w="4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Vidas útiles estimadas o tasas de amortización utilizadas</w:t>
            </w:r>
          </w:p>
        </w:tc>
        <w:tc>
          <w:tcPr>
            <w:tcW w:w="13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 tasa</w:t>
            </w:r>
          </w:p>
        </w:tc>
        <w:tc>
          <w:tcPr>
            <w:tcW w:w="130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Mínima</w:t>
            </w:r>
          </w:p>
        </w:tc>
        <w:tc>
          <w:tcPr>
            <w:tcW w:w="130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Máxima</w:t>
            </w:r>
          </w:p>
        </w:tc>
      </w:tr>
      <w:tr>
        <w:tblPrEx>
          <w:tblW w:w="8520" w:type="dxa"/>
          <w:tblInd w:w="1417" w:type="dxa"/>
          <w:tblLayout w:type="fixed"/>
        </w:tblPrEx>
        <w:trPr>
          <w:cantSplit/>
          <w:trHeight w:hRule="auto" w:val="0"/>
        </w:trPr>
        <w:tc>
          <w:tcPr>
            <w:tcW w:w="4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Programas Informáticos.</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Vida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1</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5</w:t>
            </w:r>
          </w:p>
        </w:tc>
      </w:tr>
      <w:tr>
        <w:tblPrEx>
          <w:tblW w:w="8520" w:type="dxa"/>
          <w:tblInd w:w="1417" w:type="dxa"/>
          <w:tblLayout w:type="fixed"/>
        </w:tblPrEx>
        <w:trPr>
          <w:cantSplit/>
          <w:trHeight w:hRule="auto" w:val="0"/>
        </w:trPr>
        <w:tc>
          <w:tcPr>
            <w:tcW w:w="4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activos intangibles identificables.</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Vida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20</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20</w:t>
            </w:r>
          </w:p>
        </w:tc>
      </w:tr>
      <w:tr>
        <w:tblPrEx>
          <w:tblW w:w="8520" w:type="dxa"/>
          <w:tblInd w:w="1417" w:type="dxa"/>
          <w:tblLayout w:type="fixed"/>
        </w:tblPrEx>
        <w:trPr>
          <w:cantSplit/>
          <w:trHeight w:hRule="auto" w:val="0"/>
        </w:trPr>
        <w:tc>
          <w:tcPr>
            <w:tcW w:w="4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Servidumbres.</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Vida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8520" w:type="dxa"/>
          <w:tblInd w:w="1417" w:type="dxa"/>
          <w:tblLayout w:type="fixed"/>
        </w:tblPrEx>
        <w:trPr>
          <w:cantSplit/>
          <w:trHeight w:hRule="auto" w:val="0"/>
        </w:trPr>
        <w:tc>
          <w:tcPr>
            <w:tcW w:w="46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Concesiones.</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Vida</w:t>
            </w:r>
          </w:p>
        </w:tc>
        <w:tc>
          <w:tcPr>
            <w:tcW w:w="13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c>
          <w:tcPr>
            <w:tcW w:w="13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Indefinida</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intangibles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65"/>
        <w:gridCol w:w="1395"/>
        <w:gridCol w:w="1395"/>
        <w:gridCol w:w="1395"/>
      </w:tblGrid>
      <w:tr>
        <w:tblPrEx>
          <w:tblW w:w="8550" w:type="dxa"/>
          <w:tblInd w:w="1417" w:type="dxa"/>
          <w:tblLayout w:type="fixed"/>
        </w:tblPrEx>
        <w:trPr>
          <w:cantSplit/>
          <w:trHeight w:hRule="auto" w:val="0"/>
        </w:trPr>
        <w:tc>
          <w:tcPr>
            <w:tcW w:w="43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41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4365" w:type="dxa"/>
            <w:vMerge/>
            <w:tcBorders>
              <w:top w:val="nil"/>
              <w:left w:val="single" w:sz="2" w:space="0" w:color="000000"/>
              <w:bottom w:val="nil"/>
              <w:right w:val="nil"/>
            </w:tcBorders>
          </w:tcPr>
          <w:p>
            <w:pPr>
              <w:keepNext/>
              <w:pageBreakBefore w:val="0"/>
            </w:pPr>
          </w:p>
        </w:tc>
        <w:tc>
          <w:tcPr>
            <w:tcW w:w="13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3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 neto</w:t>
            </w:r>
          </w:p>
        </w:tc>
        <w:tc>
          <w:tcPr>
            <w:tcW w:w="13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50" w:type="dxa"/>
          <w:tblInd w:w="1417" w:type="dxa"/>
          <w:tblLayout w:type="fixed"/>
        </w:tblPrEx>
        <w:trPr>
          <w:cantSplit/>
          <w:trHeight w:hRule="auto" w:val="0"/>
        </w:trPr>
        <w:tc>
          <w:tcPr>
            <w:tcW w:w="4365" w:type="dxa"/>
            <w:vMerge/>
            <w:tcBorders>
              <w:top w:val="nil"/>
              <w:left w:val="single" w:sz="2" w:space="0" w:color="000000"/>
              <w:bottom w:val="single" w:sz="2" w:space="0" w:color="000000"/>
              <w:right w:val="nil"/>
            </w:tcBorders>
          </w:tcPr>
          <w:p>
            <w:pPr>
              <w:keepNext/>
              <w:pageBreakBefore w:val="0"/>
            </w:pP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2026</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14.325.442</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603.175.549</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617.500.991</w:t>
            </w:r>
          </w:p>
        </w:tc>
      </w:tr>
      <w:tr>
        <w:tblPrEx>
          <w:tblW w:w="8550" w:type="dxa"/>
          <w:tblInd w:w="1417" w:type="dxa"/>
          <w:tblLayout w:type="fixed"/>
        </w:tblPrEx>
        <w:trPr>
          <w:cantSplit/>
          <w:trHeight w:hRule="exact" w:val="6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Incrementos distintos de los procedentes de combinaciones de negocios.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5.491</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5.491</w:t>
            </w: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Retiros de servicio.</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39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Amortización.</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(1.630.312)</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(238)</w:t>
            </w:r>
          </w:p>
        </w:tc>
        <w:tc>
          <w:tcPr>
            <w:tcW w:w="1395" w:type="dxa"/>
            <w:tcBorders>
              <w:top w:val="single" w:sz="4" w:space="0" w:color="FFFFFF"/>
              <w:left w:val="single" w:sz="2" w:space="0" w:color="000000"/>
              <w:bottom w:val="single" w:sz="8"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(1.630.550)</w:t>
            </w: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4"/>
                <w:u w:val="none"/>
              </w:rPr>
              <w:t>Incrementos (disminuciones) por otros cambios.</w:t>
            </w: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13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p>
        </w:tc>
        <w:tc>
          <w:tcPr>
            <w:tcW w:w="1395" w:type="dxa"/>
            <w:tcBorders>
              <w:top w:val="single" w:sz="8"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4"/>
                <w:u w:val="none"/>
              </w:rPr>
              <w:t>Cambios, total</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4"/>
                <w:u w:val="none"/>
              </w:rPr>
              <w:t>(1.624.821)</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4"/>
                <w:u w:val="none"/>
              </w:rPr>
              <w:t>(238)</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4"/>
                <w:u w:val="none"/>
              </w:rPr>
              <w:t>(1.625.059)</w:t>
            </w:r>
          </w:p>
        </w:tc>
      </w:tr>
      <w:tr>
        <w:tblPrEx>
          <w:tblW w:w="8550" w:type="dxa"/>
          <w:tblInd w:w="1417" w:type="dxa"/>
          <w:tblLayout w:type="fixed"/>
        </w:tblPrEx>
        <w:trPr>
          <w:cantSplit/>
          <w:trHeight w:hRule="auto" w:val="0"/>
        </w:trPr>
        <w:tc>
          <w:tcPr>
            <w:tcW w:w="43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3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30 de junio de 2026</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12.700.621</w:t>
            </w:r>
          </w:p>
        </w:tc>
        <w:tc>
          <w:tcPr>
            <w:tcW w:w="13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603.175.311</w:t>
            </w:r>
          </w:p>
        </w:tc>
        <w:tc>
          <w:tcPr>
            <w:tcW w:w="13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615.875.932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10"/>
        <w:gridCol w:w="1380"/>
        <w:gridCol w:w="1380"/>
        <w:gridCol w:w="1380"/>
      </w:tblGrid>
      <w:tr>
        <w:tblPrEx>
          <w:tblW w:w="8550" w:type="dxa"/>
          <w:tblInd w:w="1417" w:type="dxa"/>
          <w:tblLayout w:type="fixed"/>
        </w:tblPrEx>
        <w:trPr>
          <w:cantSplit/>
          <w:trHeight w:hRule="auto" w:val="0"/>
        </w:trPr>
        <w:tc>
          <w:tcPr>
            <w:tcW w:w="441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414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4410" w:type="dxa"/>
            <w:vMerge/>
            <w:tcBorders>
              <w:top w:val="nil"/>
              <w:left w:val="single" w:sz="2" w:space="0" w:color="000000"/>
              <w:bottom w:val="nil"/>
              <w:right w:val="nil"/>
            </w:tcBorders>
          </w:tcPr>
          <w:p>
            <w:pPr>
              <w:keepNext/>
              <w:pageBreakBefore w:val="0"/>
            </w:pPr>
          </w:p>
        </w:tc>
        <w:tc>
          <w:tcPr>
            <w:tcW w:w="13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3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activos intangibles identificables, neto</w:t>
            </w:r>
          </w:p>
        </w:tc>
        <w:tc>
          <w:tcPr>
            <w:tcW w:w="138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50" w:type="dxa"/>
          <w:tblInd w:w="1417" w:type="dxa"/>
          <w:tblLayout w:type="fixed"/>
        </w:tblPrEx>
        <w:trPr>
          <w:cantSplit/>
          <w:trHeight w:hRule="auto" w:val="0"/>
        </w:trPr>
        <w:tc>
          <w:tcPr>
            <w:tcW w:w="4410" w:type="dxa"/>
            <w:vMerge/>
            <w:tcBorders>
              <w:top w:val="nil"/>
              <w:left w:val="single" w:sz="2" w:space="0" w:color="000000"/>
              <w:bottom w:val="single" w:sz="2" w:space="0" w:color="000000"/>
              <w:right w:val="nil"/>
            </w:tcBorders>
          </w:tcPr>
          <w:p>
            <w:pPr>
              <w:keepNext/>
              <w:pageBreakBefore w:val="0"/>
            </w:pPr>
          </w:p>
        </w:tc>
        <w:tc>
          <w:tcPr>
            <w:tcW w:w="13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3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4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2025</w:t>
            </w:r>
          </w:p>
        </w:tc>
        <w:tc>
          <w:tcPr>
            <w:tcW w:w="13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17.943.229</w:t>
            </w:r>
          </w:p>
        </w:tc>
        <w:tc>
          <w:tcPr>
            <w:tcW w:w="13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603.176.890</w:t>
            </w:r>
          </w:p>
        </w:tc>
        <w:tc>
          <w:tcPr>
            <w:tcW w:w="13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621.120.119</w:t>
            </w:r>
          </w:p>
        </w:tc>
      </w:tr>
      <w:tr>
        <w:tblPrEx>
          <w:tblW w:w="8550" w:type="dxa"/>
          <w:tblInd w:w="1417" w:type="dxa"/>
          <w:tblLayout w:type="fixed"/>
        </w:tblPrEx>
        <w:trPr>
          <w:cantSplit/>
          <w:trHeight w:hRule="exact" w:val="60"/>
        </w:trPr>
        <w:tc>
          <w:tcPr>
            <w:tcW w:w="44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Incrementos distintos de los procedentes de combinaciones de negocios.</w:t>
            </w:r>
          </w:p>
        </w:tc>
        <w:tc>
          <w:tcPr>
            <w:tcW w:w="13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3.746.193</w:t>
            </w:r>
          </w:p>
        </w:tc>
        <w:tc>
          <w:tcPr>
            <w:tcW w:w="13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38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3.746.193</w:t>
            </w:r>
          </w:p>
        </w:tc>
      </w:tr>
      <w:tr>
        <w:tblPrEx>
          <w:tblW w:w="8550" w:type="dxa"/>
          <w:tblInd w:w="1417" w:type="dxa"/>
          <w:tblLayout w:type="fixed"/>
        </w:tblPrEx>
        <w:trPr>
          <w:cantSplit/>
          <w:trHeight w:hRule="auto" w:val="0"/>
        </w:trPr>
        <w:tc>
          <w:tcPr>
            <w:tcW w:w="4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Retiros de servicio.</w:t>
            </w:r>
          </w:p>
        </w:tc>
        <w:tc>
          <w:tcPr>
            <w:tcW w:w="13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(1.232)</w:t>
            </w:r>
          </w:p>
        </w:tc>
        <w:tc>
          <w:tcPr>
            <w:tcW w:w="13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3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(1.232)</w:t>
            </w:r>
          </w:p>
        </w:tc>
      </w:tr>
      <w:tr>
        <w:tblPrEx>
          <w:tblW w:w="8550" w:type="dxa"/>
          <w:tblInd w:w="1417" w:type="dxa"/>
          <w:tblLayout w:type="fixed"/>
        </w:tblPrEx>
        <w:trPr>
          <w:cantSplit/>
          <w:trHeight w:hRule="exact" w:val="225"/>
        </w:trPr>
        <w:tc>
          <w:tcPr>
            <w:tcW w:w="4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4"/>
                <w:u w:val="none"/>
              </w:rPr>
              <w:t>Amortización.</w:t>
            </w:r>
          </w:p>
        </w:tc>
        <w:tc>
          <w:tcPr>
            <w:tcW w:w="13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val="0"/>
                <w:i w:val="0"/>
                <w:color w:val="000000"/>
                <w:sz w:val="14"/>
                <w:u w:val="none"/>
              </w:rPr>
              <w:t>(7.362.748)</w:t>
            </w:r>
          </w:p>
        </w:tc>
        <w:tc>
          <w:tcPr>
            <w:tcW w:w="13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val="0"/>
                <w:i w:val="0"/>
                <w:color w:val="000000"/>
                <w:sz w:val="14"/>
                <w:u w:val="none"/>
              </w:rPr>
              <w:t>(1.341)</w:t>
            </w:r>
          </w:p>
        </w:tc>
        <w:tc>
          <w:tcPr>
            <w:tcW w:w="138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43" w:after="30" w:line="240" w:lineRule="auto"/>
              <w:jc w:val="right"/>
            </w:pPr>
            <w:r>
              <w:rPr>
                <w:rFonts w:ascii="Calibri" w:eastAsia="Calibri" w:hAnsi="Calibri" w:cs="Calibri"/>
                <w:b/>
                <w:i w:val="0"/>
                <w:color w:val="FFFFFF"/>
                <w:sz w:val="14"/>
                <w:u w:val="none"/>
              </w:rPr>
              <w:t>(7.364.089)</w:t>
            </w:r>
          </w:p>
        </w:tc>
      </w:tr>
      <w:tr>
        <w:tblPrEx>
          <w:tblW w:w="8550" w:type="dxa"/>
          <w:tblInd w:w="1417" w:type="dxa"/>
          <w:tblLayout w:type="fixed"/>
        </w:tblPrEx>
        <w:trPr>
          <w:cantSplit/>
          <w:trHeight w:hRule="exact" w:val="60"/>
        </w:trPr>
        <w:tc>
          <w:tcPr>
            <w:tcW w:w="44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4" w:space="0" w:color="FFFFFF"/>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4"/>
                <w:u w:val="none"/>
              </w:rPr>
              <w:t>Cambios, total</w:t>
            </w:r>
          </w:p>
        </w:tc>
        <w:tc>
          <w:tcPr>
            <w:tcW w:w="13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4"/>
                <w:u w:val="none"/>
              </w:rPr>
              <w:t>(3.617.787)</w:t>
            </w:r>
          </w:p>
        </w:tc>
        <w:tc>
          <w:tcPr>
            <w:tcW w:w="13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4"/>
                <w:u w:val="none"/>
              </w:rPr>
              <w:t>(1.341)</w:t>
            </w:r>
          </w:p>
        </w:tc>
        <w:tc>
          <w:tcPr>
            <w:tcW w:w="13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4"/>
                <w:u w:val="none"/>
              </w:rPr>
              <w:t>(3.619.128)</w:t>
            </w:r>
          </w:p>
        </w:tc>
      </w:tr>
      <w:tr>
        <w:tblPrEx>
          <w:tblW w:w="8550" w:type="dxa"/>
          <w:tblInd w:w="1417" w:type="dxa"/>
          <w:tblLayout w:type="fixed"/>
        </w:tblPrEx>
        <w:trPr>
          <w:cantSplit/>
          <w:trHeight w:hRule="exact" w:val="60"/>
        </w:trPr>
        <w:tc>
          <w:tcPr>
            <w:tcW w:w="44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3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25"/>
        </w:trPr>
        <w:tc>
          <w:tcPr>
            <w:tcW w:w="4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31 de diciembre de 2025</w:t>
            </w:r>
          </w:p>
        </w:tc>
        <w:tc>
          <w:tcPr>
            <w:tcW w:w="13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14.325.442</w:t>
            </w:r>
          </w:p>
        </w:tc>
        <w:tc>
          <w:tcPr>
            <w:tcW w:w="13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603.175.549</w:t>
            </w:r>
          </w:p>
        </w:tc>
        <w:tc>
          <w:tcPr>
            <w:tcW w:w="13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617.500.991</w:t>
            </w:r>
          </w:p>
        </w:tc>
      </w:tr>
    </w:tbl>
    <w:p>
      <w:pPr>
        <w:keepNext w:val="0"/>
        <w:keepLines/>
        <w:pageBreakBefore w:val="0"/>
        <w:widowControl w:val="0"/>
        <w:numPr>
          <w:ilvl w:val="0"/>
          <w:numId w:val="0"/>
        </w:numPr>
        <w:spacing w:before="0" w:after="0" w:line="288" w:lineRule="auto"/>
        <w:ind w:left="567" w:right="0" w:firstLine="85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El detalle del importe de activos intangibles identificables individuales significativos y su vida útil o período de amortización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95"/>
        <w:gridCol w:w="1665"/>
        <w:gridCol w:w="2385"/>
      </w:tblGrid>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de otros activos identificables al</w:t>
            </w:r>
          </w:p>
        </w:tc>
        <w:tc>
          <w:tcPr>
            <w:tcW w:w="166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Importe en libros de activo individual intangible significativo</w:t>
            </w:r>
          </w:p>
        </w:tc>
        <w:tc>
          <w:tcPr>
            <w:tcW w:w="23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Explicación del periodo o ejercicio de amortización restante de activo intangible individual identificable significativo</w:t>
            </w:r>
          </w:p>
        </w:tc>
      </w:tr>
      <w:tr>
        <w:tblPrEx>
          <w:tblW w:w="7845" w:type="dxa"/>
          <w:tblInd w:w="2126" w:type="dxa"/>
          <w:tblLayout w:type="fixed"/>
        </w:tblPrEx>
        <w:trPr>
          <w:cantSplit/>
          <w:trHeight w:hRule="auto" w:val="0"/>
        </w:trPr>
        <w:tc>
          <w:tcPr>
            <w:tcW w:w="37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6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2385" w:type="dxa"/>
            <w:vMerge/>
            <w:tcBorders>
              <w:top w:val="nil"/>
              <w:left w:val="single" w:sz="4" w:space="0" w:color="FFFFFF"/>
              <w:bottom w:val="single" w:sz="2" w:space="0" w:color="000000"/>
              <w:right w:val="single" w:sz="2" w:space="0" w:color="000000"/>
            </w:tcBorders>
          </w:tcPr>
          <w:p>
            <w:pPr>
              <w:keepNext/>
              <w:pageBreakBefore w:val="0"/>
            </w:pP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Concesiones.</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599.161.524</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Servidumbres.</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3.998.815</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Servidumbres.</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14.972</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Definida </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6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603.175.311</w:t>
            </w:r>
          </w:p>
        </w:tc>
        <w:tc>
          <w:tcPr>
            <w:tcW w:w="238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95"/>
        <w:gridCol w:w="1665"/>
        <w:gridCol w:w="2385"/>
      </w:tblGrid>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de otros activos identificables al</w:t>
            </w:r>
          </w:p>
        </w:tc>
        <w:tc>
          <w:tcPr>
            <w:tcW w:w="166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Importe en libros de activo individual intangible significativo</w:t>
            </w:r>
          </w:p>
        </w:tc>
        <w:tc>
          <w:tcPr>
            <w:tcW w:w="23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Explicación del periodo o ejercicio de amortización restante de activo intangible individual identificable significativo</w:t>
            </w:r>
          </w:p>
        </w:tc>
      </w:tr>
      <w:tr>
        <w:tblPrEx>
          <w:tblW w:w="7845" w:type="dxa"/>
          <w:tblInd w:w="2126" w:type="dxa"/>
          <w:tblLayout w:type="fixed"/>
        </w:tblPrEx>
        <w:trPr>
          <w:cantSplit/>
          <w:trHeight w:hRule="auto" w:val="0"/>
        </w:trPr>
        <w:tc>
          <w:tcPr>
            <w:tcW w:w="379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6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2385" w:type="dxa"/>
            <w:vMerge/>
            <w:tcBorders>
              <w:top w:val="nil"/>
              <w:left w:val="single" w:sz="4" w:space="0" w:color="FFFFFF"/>
              <w:bottom w:val="single" w:sz="2" w:space="0" w:color="000000"/>
              <w:right w:val="single" w:sz="2" w:space="0" w:color="000000"/>
            </w:tcBorders>
          </w:tcPr>
          <w:p>
            <w:pPr>
              <w:keepNext/>
              <w:pageBreakBefore w:val="0"/>
            </w:pP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Concesiones.</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599.161.524</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Servidumbres.</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3.998.815</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Indefinida</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Servidumbres.</w:t>
            </w:r>
          </w:p>
        </w:tc>
        <w:tc>
          <w:tcPr>
            <w:tcW w:w="16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15.210</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 xml:space="preserve">Definida </w:t>
            </w:r>
          </w:p>
        </w:tc>
      </w:tr>
      <w:tr>
        <w:tblPrEx>
          <w:tblW w:w="7845" w:type="dxa"/>
          <w:tblInd w:w="2126"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6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603.175.549</w:t>
            </w:r>
          </w:p>
        </w:tc>
        <w:tc>
          <w:tcPr>
            <w:tcW w:w="238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left"/>
            </w:pP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cargo a resultados del período por amortización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125"/>
        <w:gridCol w:w="840"/>
        <w:gridCol w:w="840"/>
        <w:gridCol w:w="840"/>
        <w:gridCol w:w="840"/>
        <w:gridCol w:w="840"/>
        <w:gridCol w:w="840"/>
        <w:gridCol w:w="840"/>
        <w:gridCol w:w="840"/>
      </w:tblGrid>
      <w:tr>
        <w:tblPrEx>
          <w:tblW w:w="7845" w:type="dxa"/>
          <w:tblInd w:w="2126" w:type="dxa"/>
          <w:tblLayout w:type="fixed"/>
        </w:tblPrEx>
        <w:trPr>
          <w:cantSplit/>
          <w:trHeight w:hRule="auto" w:val="0"/>
        </w:trPr>
        <w:tc>
          <w:tcPr>
            <w:tcW w:w="11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Línea de partida en el estado de resultados que incluye amortización de activos intangibles identificables</w:t>
            </w:r>
          </w:p>
        </w:tc>
        <w:tc>
          <w:tcPr>
            <w:tcW w:w="1680" w:type="dxa"/>
            <w:gridSpan w:val="2"/>
            <w:tcBorders>
              <w:top w:val="single" w:sz="2" w:space="0" w:color="000000"/>
              <w:left w:val="nil"/>
              <w:bottom w:val="nil"/>
              <w:right w:val="single" w:sz="4" w:space="0" w:color="FFFFFF"/>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3"/>
                <w:u w:val="none"/>
              </w:rPr>
              <w:t>01-01-2026</w:t>
            </w:r>
          </w:p>
        </w:tc>
        <w:tc>
          <w:tcPr>
            <w:tcW w:w="1680" w:type="dxa"/>
            <w:gridSpan w:val="2"/>
            <w:tcBorders>
              <w:top w:val="single" w:sz="2" w:space="0" w:color="000000"/>
              <w:left w:val="nil"/>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3"/>
                <w:u w:val="none"/>
              </w:rPr>
              <w:t>01-01-2025</w:t>
            </w:r>
          </w:p>
        </w:tc>
        <w:tc>
          <w:tcPr>
            <w:tcW w:w="1680" w:type="dxa"/>
            <w:gridSpan w:val="2"/>
            <w:tcBorders>
              <w:top w:val="single" w:sz="2" w:space="0" w:color="000000"/>
              <w:left w:val="nil"/>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3"/>
                <w:u w:val="none"/>
              </w:rPr>
              <w:t>01-04-2026</w:t>
            </w:r>
          </w:p>
        </w:tc>
        <w:tc>
          <w:tcPr>
            <w:tcW w:w="1680" w:type="dxa"/>
            <w:gridSpan w:val="2"/>
            <w:tcBorders>
              <w:top w:val="single" w:sz="2" w:space="0" w:color="000000"/>
              <w:left w:val="nil"/>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3"/>
                <w:u w:val="none"/>
              </w:rPr>
              <w:t>01-04-2025</w:t>
            </w:r>
          </w:p>
        </w:tc>
      </w:tr>
      <w:tr>
        <w:tblPrEx>
          <w:tblW w:w="7845" w:type="dxa"/>
          <w:tblInd w:w="2126" w:type="dxa"/>
          <w:tblLayout w:type="fixed"/>
        </w:tblPrEx>
        <w:trPr>
          <w:cantSplit/>
          <w:trHeight w:hRule="auto" w:val="0"/>
        </w:trPr>
        <w:tc>
          <w:tcPr>
            <w:tcW w:w="1125" w:type="dxa"/>
            <w:vMerge/>
            <w:tcBorders>
              <w:top w:val="nil"/>
              <w:left w:val="single" w:sz="2" w:space="0" w:color="000000"/>
              <w:bottom w:val="nil"/>
              <w:right w:val="single" w:sz="4" w:space="0" w:color="FFFFFF"/>
            </w:tcBorders>
          </w:tcPr>
          <w:p>
            <w:pPr>
              <w:keepNext/>
              <w:pageBreakBefore w:val="0"/>
            </w:pPr>
          </w:p>
        </w:tc>
        <w:tc>
          <w:tcPr>
            <w:tcW w:w="1680" w:type="dxa"/>
            <w:gridSpan w:val="2"/>
            <w:tcBorders>
              <w:top w:val="nil"/>
              <w:left w:val="nil"/>
              <w:bottom w:val="single" w:sz="4" w:space="0" w:color="FFFFFF"/>
              <w:right w:val="single" w:sz="4" w:space="0" w:color="FFFFFF"/>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30-06-2026</w:t>
            </w:r>
          </w:p>
        </w:tc>
        <w:tc>
          <w:tcPr>
            <w:tcW w:w="1680" w:type="dxa"/>
            <w:gridSpan w:val="2"/>
            <w:tcBorders>
              <w:top w:val="nil"/>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30-06-2025</w:t>
            </w:r>
          </w:p>
        </w:tc>
        <w:tc>
          <w:tcPr>
            <w:tcW w:w="1680" w:type="dxa"/>
            <w:gridSpan w:val="2"/>
            <w:tcBorders>
              <w:top w:val="nil"/>
              <w:left w:val="nil"/>
              <w:bottom w:val="single" w:sz="8"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30-06-2026</w:t>
            </w:r>
          </w:p>
        </w:tc>
        <w:tc>
          <w:tcPr>
            <w:tcW w:w="1680" w:type="dxa"/>
            <w:gridSpan w:val="2"/>
            <w:tcBorders>
              <w:top w:val="nil"/>
              <w:left w:val="nil"/>
              <w:bottom w:val="single" w:sz="8" w:space="0" w:color="FFFFFF"/>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30-06-2025</w:t>
            </w:r>
          </w:p>
        </w:tc>
      </w:tr>
      <w:tr>
        <w:tblPrEx>
          <w:tblW w:w="7845" w:type="dxa"/>
          <w:tblInd w:w="2126" w:type="dxa"/>
          <w:tblLayout w:type="fixed"/>
        </w:tblPrEx>
        <w:trPr>
          <w:cantSplit/>
          <w:trHeight w:hRule="auto" w:val="0"/>
        </w:trPr>
        <w:tc>
          <w:tcPr>
            <w:tcW w:w="1125" w:type="dxa"/>
            <w:vMerge/>
            <w:tcBorders>
              <w:top w:val="nil"/>
              <w:left w:val="single" w:sz="2" w:space="0" w:color="000000"/>
              <w:bottom w:val="nil"/>
              <w:right w:val="nil"/>
            </w:tcBorders>
          </w:tcPr>
          <w:p>
            <w:pPr>
              <w:keepNext/>
              <w:pageBreakBefore w:val="0"/>
            </w:pP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Programas informáticos</w:t>
            </w:r>
          </w:p>
        </w:tc>
        <w:tc>
          <w:tcPr>
            <w:tcW w:w="84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Otros activos intangibles identificables</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Programas informáticos</w:t>
            </w:r>
          </w:p>
        </w:tc>
        <w:tc>
          <w:tcPr>
            <w:tcW w:w="84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Otros activos intangibles identificables</w:t>
            </w:r>
          </w:p>
        </w:tc>
        <w:tc>
          <w:tcPr>
            <w:tcW w:w="84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Programas informáticos</w:t>
            </w:r>
          </w:p>
        </w:tc>
        <w:tc>
          <w:tcPr>
            <w:tcW w:w="840"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Otros activos intangibles identificables</w:t>
            </w:r>
          </w:p>
        </w:tc>
        <w:tc>
          <w:tcPr>
            <w:tcW w:w="84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Programas informáticos</w:t>
            </w:r>
          </w:p>
        </w:tc>
        <w:tc>
          <w:tcPr>
            <w:tcW w:w="84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Otros activos intangibles identificables</w:t>
            </w:r>
          </w:p>
        </w:tc>
      </w:tr>
      <w:tr>
        <w:tblPrEx>
          <w:tblW w:w="7845" w:type="dxa"/>
          <w:tblInd w:w="2126" w:type="dxa"/>
          <w:tblLayout w:type="fixed"/>
        </w:tblPrEx>
        <w:trPr>
          <w:cantSplit/>
          <w:trHeight w:hRule="auto" w:val="0"/>
        </w:trPr>
        <w:tc>
          <w:tcPr>
            <w:tcW w:w="1125" w:type="dxa"/>
            <w:vMerge/>
            <w:tcBorders>
              <w:top w:val="nil"/>
              <w:left w:val="single" w:sz="2" w:space="0" w:color="000000"/>
              <w:bottom w:val="single" w:sz="2" w:space="0" w:color="000000"/>
              <w:right w:val="nil"/>
            </w:tcBorders>
          </w:tcPr>
          <w:p>
            <w:pPr>
              <w:keepNext/>
              <w:pageBreakBefore w:val="0"/>
            </w:pP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M$</w:t>
            </w:r>
          </w:p>
        </w:tc>
        <w:tc>
          <w:tcPr>
            <w:tcW w:w="840"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M$</w:t>
            </w:r>
          </w:p>
        </w:tc>
        <w:tc>
          <w:tcPr>
            <w:tcW w:w="840"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M$</w:t>
            </w:r>
          </w:p>
        </w:tc>
        <w:tc>
          <w:tcPr>
            <w:tcW w:w="840" w:type="dxa"/>
            <w:tcBorders>
              <w:top w:val="nil"/>
              <w:left w:val="single" w:sz="8"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M$</w:t>
            </w:r>
          </w:p>
        </w:tc>
        <w:tc>
          <w:tcPr>
            <w:tcW w:w="84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3"/>
                <w:u w:val="none"/>
              </w:rPr>
              <w:t>M$</w:t>
            </w:r>
          </w:p>
        </w:tc>
      </w:tr>
      <w:tr>
        <w:tblPrEx>
          <w:tblW w:w="7845" w:type="dxa"/>
          <w:tblInd w:w="2126" w:type="dxa"/>
          <w:tblLayout w:type="fixed"/>
        </w:tblPrEx>
        <w:trPr>
          <w:cantSplit/>
          <w:trHeight w:hRule="auto" w:val="0"/>
        </w:trPr>
        <w:tc>
          <w:tcPr>
            <w:tcW w:w="1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3"/>
                <w:u w:val="none"/>
              </w:rPr>
              <w:t>Costo de ventas.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35.908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34.843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34.843</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1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3"/>
                <w:u w:val="none"/>
              </w:rPr>
              <w:t>Gastos de administración.</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1.594.404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238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3.761.903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670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1.870.117</w:t>
            </w:r>
          </w:p>
        </w:tc>
        <w:tc>
          <w:tcPr>
            <w:tcW w:w="8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335</w:t>
            </w:r>
          </w:p>
        </w:tc>
      </w:tr>
      <w:tr>
        <w:tblPrEx>
          <w:tblW w:w="7845" w:type="dxa"/>
          <w:tblInd w:w="2126" w:type="dxa"/>
          <w:tblLayout w:type="fixed"/>
        </w:tblPrEx>
        <w:trPr>
          <w:cantSplit/>
          <w:trHeight w:hRule="auto" w:val="0"/>
        </w:trPr>
        <w:tc>
          <w:tcPr>
            <w:tcW w:w="11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3"/>
                <w:u w:val="none"/>
              </w:rPr>
              <w:t>Total</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1.630.312</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238</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3.796.746</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670</w:t>
            </w:r>
          </w:p>
        </w:tc>
        <w:tc>
          <w:tcPr>
            <w:tcW w:w="84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0</w:t>
            </w:r>
          </w:p>
        </w:tc>
        <w:tc>
          <w:tcPr>
            <w:tcW w:w="84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0</w:t>
            </w:r>
          </w:p>
        </w:tc>
        <w:tc>
          <w:tcPr>
            <w:tcW w:w="84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1.904.960</w:t>
            </w:r>
          </w:p>
        </w:tc>
        <w:tc>
          <w:tcPr>
            <w:tcW w:w="84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3"/>
                <w:u w:val="none"/>
              </w:rPr>
              <w:t>335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44" w:name="Section76"/>
      <w:bookmarkEnd w:id="144"/>
      <w:bookmarkStart w:id="145" w:name="71658b6bedec4396bdf38d076c1edb6b"/>
      <w:r>
        <w:rPr>
          <w:rFonts w:ascii="Calibri" w:eastAsia="Calibri" w:hAnsi="Calibri" w:cs="Calibri"/>
          <w:b/>
          <w:i w:val="0"/>
          <w:color w:val="000000"/>
          <w:sz w:val="20"/>
          <w:u w:val="none"/>
        </w:rPr>
        <w:t>14.2.-</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con vida útil indefinida.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5"/>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Servidumbres.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servidumbre se presentan al costo. El período de explotación de dichos derechos en general no tiene límite por lo que son considerados activos con una vida útil indefinida, y en consecuencia no están sujetos a amortización.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14.2.2.-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Información sobre las concesiones de servicio.</w:t>
      </w:r>
    </w:p>
    <w:p>
      <w:pPr>
        <w:keepNext/>
        <w:keepLines/>
        <w:pageBreakBefore w:val="0"/>
        <w:widowControl w:val="0"/>
        <w:numPr>
          <w:ilvl w:val="0"/>
          <w:numId w:val="0"/>
        </w:numPr>
        <w:spacing w:before="0" w:after="0" w:line="288" w:lineRule="auto"/>
        <w:ind w:left="21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derechos de explotación exclusiva de clientes regulados adquiridos a través de combinaciones de negocios han sido determinados en base a los flujos netos estimados a la fecha de adquisición que se recibirán por el uso de dicho activo. Dichos intangibles no se amortizan pues poseen vida útil indefinida, ya que dicha concesión no posee un plazo de expiración.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concesiones para establecer operar y explotar las instalaciones de servicio público de distribución de energía eléctrica en Chile registradas, provienen de la valoración de derechos de explotación exclusiva de clientes regulados establecidos en el DFL N°4/20.018 de 2006 del Ministerio de Economía Fomento y Turismo y que fueron adquiridas a través de combinaciones de negocios. Dichas concesiones tienen vida útil indefinida y están sujetas a caducidad sólo si la calidad del servicio suministrado no corresponde a las exigencias preestablecidas en dicho cuerpo normativo o en sus reglamentos, o a las condiciones estipuladas en los decretos de concesión. Por lo tanto, la actividad de distribución de energía eléctrica en Chile constituye un negocio regulado y no una concesión de servicios en los términos de IFRIC 12.</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vida útil de todos los activos intangibles de vida útil indefinida, previamente enunciados es objeto de revisión en cada período para el que se presente información, para determinar si la consideración de vida útil indefinida sigue siendo aplicable. Estos activos se someten a pruebas de deterioro de valor anualmente.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46" w:name="Section77"/>
      <w:bookmarkEnd w:id="146"/>
      <w:bookmarkStart w:id="147" w:name="2316eeeb3c404cc180a4e56fe5fee71e"/>
      <w:r>
        <w:rPr>
          <w:rFonts w:ascii="Calibri" w:eastAsia="Calibri" w:hAnsi="Calibri" w:cs="Calibri"/>
          <w:b/>
          <w:i w:val="0"/>
          <w:color w:val="000000"/>
          <w:sz w:val="20"/>
          <w:u w:val="none"/>
        </w:rPr>
        <w:t>15.-</w:t>
      </w:r>
      <w:r>
        <w:rPr>
          <w:rFonts w:ascii="Calibri" w:eastAsia="Calibri" w:hAnsi="Calibri" w:cs="Calibri"/>
          <w:b/>
          <w:i w:val="0"/>
          <w:color w:val="000000"/>
          <w:sz w:val="20"/>
          <w:u w:val="none"/>
        </w:rPr>
        <w:tab/>
      </w:r>
      <w:r>
        <w:rPr>
          <w:rFonts w:ascii="Calibri" w:eastAsia="Calibri" w:hAnsi="Calibri" w:cs="Calibri"/>
          <w:b/>
          <w:i w:val="0"/>
          <w:color w:val="000000"/>
          <w:sz w:val="20"/>
          <w:u w:val="none"/>
        </w:rPr>
        <w:t>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 plusvalía comprada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5"/>
        <w:gridCol w:w="3435"/>
        <w:gridCol w:w="705"/>
        <w:gridCol w:w="1410"/>
        <w:gridCol w:w="705"/>
        <w:gridCol w:w="765"/>
        <w:gridCol w:w="765"/>
        <w:gridCol w:w="765"/>
      </w:tblGrid>
      <w:tr>
        <w:tblPrEx>
          <w:tblW w:w="9255" w:type="dxa"/>
          <w:tblInd w:w="709" w:type="dxa"/>
          <w:tblLayout w:type="fixed"/>
        </w:tblPrEx>
        <w:trPr>
          <w:cantSplit/>
          <w:trHeight w:hRule="auto" w:val="0"/>
        </w:trPr>
        <w:tc>
          <w:tcPr>
            <w:tcW w:w="7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Rut</w:t>
            </w:r>
          </w:p>
        </w:tc>
        <w:tc>
          <w:tcPr>
            <w:tcW w:w="343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Sociedad sobre la cual se mantiene la plusvalía</w:t>
            </w:r>
          </w:p>
        </w:tc>
        <w:tc>
          <w:tcPr>
            <w:tcW w:w="7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Fecha de generación plusvalía</w:t>
            </w:r>
          </w:p>
        </w:tc>
        <w:tc>
          <w:tcPr>
            <w:tcW w:w="141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Sociedad adquirente</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Relación con vendedor</w:t>
            </w:r>
          </w:p>
        </w:tc>
        <w:tc>
          <w:tcPr>
            <w:tcW w:w="153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Movimientos 2025</w:t>
            </w:r>
          </w:p>
        </w:tc>
        <w:tc>
          <w:tcPr>
            <w:tcW w:w="765"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Movimientos 2026</w:t>
            </w:r>
          </w:p>
        </w:tc>
      </w:tr>
      <w:tr>
        <w:tblPrEx>
          <w:tblW w:w="9255" w:type="dxa"/>
          <w:tblInd w:w="709" w:type="dxa"/>
          <w:tblLayout w:type="fixed"/>
        </w:tblPrEx>
        <w:trPr>
          <w:cantSplit/>
          <w:trHeight w:hRule="auto" w:val="0"/>
        </w:trPr>
        <w:tc>
          <w:tcPr>
            <w:tcW w:w="705" w:type="dxa"/>
            <w:vMerge/>
            <w:tcBorders>
              <w:top w:val="nil"/>
              <w:left w:val="single" w:sz="2" w:space="0" w:color="000000"/>
              <w:bottom w:val="nil"/>
              <w:right w:val="nil"/>
            </w:tcBorders>
          </w:tcPr>
          <w:p>
            <w:pPr>
              <w:keepNext/>
              <w:pageBreakBefore w:val="0"/>
            </w:pPr>
          </w:p>
        </w:tc>
        <w:tc>
          <w:tcPr>
            <w:tcW w:w="343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1410"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Saldo al</w:t>
            </w:r>
          </w:p>
        </w:tc>
        <w:tc>
          <w:tcPr>
            <w:tcW w:w="7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Saldo al</w:t>
            </w:r>
          </w:p>
        </w:tc>
        <w:tc>
          <w:tcPr>
            <w:tcW w:w="76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Saldo al</w:t>
            </w:r>
          </w:p>
        </w:tc>
      </w:tr>
      <w:tr>
        <w:tblPrEx>
          <w:tblW w:w="9255" w:type="dxa"/>
          <w:tblInd w:w="709" w:type="dxa"/>
          <w:tblLayout w:type="fixed"/>
        </w:tblPrEx>
        <w:trPr>
          <w:cantSplit/>
          <w:trHeight w:hRule="auto" w:val="0"/>
        </w:trPr>
        <w:tc>
          <w:tcPr>
            <w:tcW w:w="705" w:type="dxa"/>
            <w:vMerge/>
            <w:tcBorders>
              <w:top w:val="nil"/>
              <w:left w:val="single" w:sz="2" w:space="0" w:color="000000"/>
              <w:bottom w:val="nil"/>
              <w:right w:val="nil"/>
            </w:tcBorders>
          </w:tcPr>
          <w:p>
            <w:pPr>
              <w:keepNext/>
              <w:pageBreakBefore w:val="0"/>
            </w:pPr>
          </w:p>
        </w:tc>
        <w:tc>
          <w:tcPr>
            <w:tcW w:w="343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1410"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76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31-12-2025</w:t>
            </w:r>
          </w:p>
        </w:tc>
        <w:tc>
          <w:tcPr>
            <w:tcW w:w="76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r>
      <w:tr>
        <w:tblPrEx>
          <w:tblW w:w="9255" w:type="dxa"/>
          <w:tblInd w:w="709" w:type="dxa"/>
          <w:tblLayout w:type="fixed"/>
        </w:tblPrEx>
        <w:trPr>
          <w:cantSplit/>
          <w:trHeight w:hRule="auto" w:val="0"/>
        </w:trPr>
        <w:tc>
          <w:tcPr>
            <w:tcW w:w="705" w:type="dxa"/>
            <w:vMerge/>
            <w:tcBorders>
              <w:top w:val="nil"/>
              <w:left w:val="single" w:sz="2" w:space="0" w:color="000000"/>
              <w:bottom w:val="single" w:sz="2" w:space="0" w:color="000000"/>
              <w:right w:val="nil"/>
            </w:tcBorders>
          </w:tcPr>
          <w:p>
            <w:pPr>
              <w:keepNext/>
              <w:pageBreakBefore w:val="0"/>
            </w:pPr>
          </w:p>
        </w:tc>
        <w:tc>
          <w:tcPr>
            <w:tcW w:w="343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1410"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6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9255" w:type="dxa"/>
          <w:tblInd w:w="709" w:type="dxa"/>
          <w:tblLayout w:type="fixed"/>
        </w:tblPrEx>
        <w:trPr>
          <w:cantSplit/>
          <w:trHeight w:hRule="auto" w:val="0"/>
        </w:trPr>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91.143.000-2</w:t>
            </w:r>
          </w:p>
        </w:tc>
        <w:tc>
          <w:tcPr>
            <w:tcW w:w="3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Compañía Nacional de Fuerza Eléctrica S.A. y subsidiaria.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14-11-2014</w:t>
            </w:r>
          </w:p>
        </w:tc>
        <w:tc>
          <w:tcPr>
            <w:tcW w:w="1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Gas Natural Fenosa Chile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Sin relación</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54.621.000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54.621.000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54.621.000</w:t>
            </w:r>
          </w:p>
        </w:tc>
      </w:tr>
      <w:tr>
        <w:tblPrEx>
          <w:tblW w:w="9255" w:type="dxa"/>
          <w:tblInd w:w="709" w:type="dxa"/>
          <w:tblLayout w:type="fixed"/>
        </w:tblPrEx>
        <w:trPr>
          <w:cantSplit/>
          <w:trHeight w:hRule="auto" w:val="0"/>
        </w:trPr>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99.513.400-4</w:t>
            </w:r>
          </w:p>
        </w:tc>
        <w:tc>
          <w:tcPr>
            <w:tcW w:w="3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CGE Distribución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14-11-2014</w:t>
            </w:r>
          </w:p>
        </w:tc>
        <w:tc>
          <w:tcPr>
            <w:tcW w:w="1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Gas Natural Fenosa Chile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Sin relación</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90.592.000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90.592.000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90.592.000</w:t>
            </w:r>
          </w:p>
        </w:tc>
      </w:tr>
      <w:tr>
        <w:tblPrEx>
          <w:tblW w:w="9255" w:type="dxa"/>
          <w:tblInd w:w="709" w:type="dxa"/>
          <w:tblLayout w:type="fixed"/>
        </w:tblPrEx>
        <w:trPr>
          <w:cantSplit/>
          <w:trHeight w:hRule="auto" w:val="0"/>
        </w:trPr>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88.221.200-9</w:t>
            </w:r>
          </w:p>
        </w:tc>
        <w:tc>
          <w:tcPr>
            <w:tcW w:w="3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Edelmag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14-11-2014</w:t>
            </w:r>
          </w:p>
        </w:tc>
        <w:tc>
          <w:tcPr>
            <w:tcW w:w="1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Gas Natural Fenosa Chile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Sin relación</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8.126.000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8.126.000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8.126.000</w:t>
            </w:r>
          </w:p>
        </w:tc>
      </w:tr>
      <w:tr>
        <w:tblPrEx>
          <w:tblW w:w="9255" w:type="dxa"/>
          <w:tblInd w:w="709" w:type="dxa"/>
          <w:tblLayout w:type="fixed"/>
        </w:tblPrEx>
        <w:trPr>
          <w:cantSplit/>
          <w:trHeight w:hRule="auto" w:val="0"/>
        </w:trPr>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76.144.275-9</w:t>
            </w:r>
          </w:p>
        </w:tc>
        <w:tc>
          <w:tcPr>
            <w:tcW w:w="3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Emel Norte S.A. y subsidiarias</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14-11-2014</w:t>
            </w:r>
          </w:p>
        </w:tc>
        <w:tc>
          <w:tcPr>
            <w:tcW w:w="1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Gas Natural Fenosa Chile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Sin relación</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12.849.000</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12.849.000</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12.849.000</w:t>
            </w:r>
          </w:p>
        </w:tc>
      </w:tr>
      <w:tr>
        <w:tblPrEx>
          <w:tblW w:w="9255" w:type="dxa"/>
          <w:tblInd w:w="709" w:type="dxa"/>
          <w:tblLayout w:type="fixed"/>
        </w:tblPrEx>
        <w:trPr>
          <w:cantSplit/>
          <w:trHeight w:hRule="auto" w:val="0"/>
        </w:trPr>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90.042.000-5</w:t>
            </w:r>
          </w:p>
        </w:tc>
        <w:tc>
          <w:tcPr>
            <w:tcW w:w="34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Compañía General de Electricidad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14-11-2014</w:t>
            </w:r>
          </w:p>
        </w:tc>
        <w:tc>
          <w:tcPr>
            <w:tcW w:w="14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Gas Natural Fenosa Chile S.A.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1"/>
                <w:u w:val="none"/>
              </w:rPr>
              <w:t>Sin relación</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(4.741.767)</w:t>
            </w:r>
          </w:p>
        </w:tc>
        <w:tc>
          <w:tcPr>
            <w:tcW w:w="7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(4.741.767)</w:t>
            </w:r>
          </w:p>
        </w:tc>
        <w:tc>
          <w:tcPr>
            <w:tcW w:w="76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(4.741.767)</w:t>
            </w:r>
          </w:p>
        </w:tc>
      </w:tr>
      <w:tr>
        <w:tblPrEx>
          <w:tblW w:w="9255" w:type="dxa"/>
          <w:tblInd w:w="709" w:type="dxa"/>
          <w:tblLayout w:type="fixed"/>
        </w:tblPrEx>
        <w:trPr>
          <w:cantSplit/>
          <w:trHeight w:hRule="auto" w:val="0"/>
        </w:trPr>
        <w:tc>
          <w:tcPr>
            <w:tcW w:w="696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Totales</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161.446.233</w:t>
            </w:r>
          </w:p>
        </w:tc>
        <w:tc>
          <w:tcPr>
            <w:tcW w:w="7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161.446.233</w:t>
            </w:r>
          </w:p>
        </w:tc>
        <w:tc>
          <w:tcPr>
            <w:tcW w:w="76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161.446.233</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plusvalías registradas se originan de la combinación de negocios por la adquisición de las acciones de Compañía General de Electricidad S.A. y subsidiarias por Gas Natural Fenosa Chile S.A. (hoy Compañía General de Electricidad S.A.) en noviembre de 2014. Las sociedades sobre las cuales se mantenía la plusvalía Compañía Nacional de Fuerza Eléctrica S.A. y subsidiaria, CGE Distribución S.A., Emel Norte S.A. y subsidiarias producto de la reorganización societaria fueron absorbidas por Compañía General de Electricidad S.A.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48" w:name="Section78"/>
      <w:bookmarkEnd w:id="148"/>
      <w:bookmarkStart w:id="149" w:name="b6b3e94be6b04566bf41f43337e80971"/>
      <w:r>
        <w:rPr>
          <w:rFonts w:ascii="Calibri" w:eastAsia="Calibri" w:hAnsi="Calibri" w:cs="Calibri"/>
          <w:b/>
          <w:i w:val="0"/>
          <w:color w:val="000000"/>
          <w:sz w:val="20"/>
          <w:u w:val="none"/>
        </w:rPr>
        <w:t>16.-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705" w:right="0" w:hanging="705"/>
        <w:jc w:val="both"/>
        <w:outlineLvl w:val="9"/>
        <w:rPr>
          <w:rFonts w:ascii="Calibri" w:eastAsia="Calibri" w:hAnsi="Calibri" w:cs="Calibri"/>
          <w:b w:val="0"/>
          <w:i w:val="0"/>
          <w:color w:val="000000"/>
          <w:sz w:val="20"/>
          <w:u w:val="none"/>
        </w:rPr>
      </w:pPr>
      <w:bookmarkEnd w:id="14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y el movimiento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5" w:right="0" w:hanging="705"/>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hanging="705"/>
        <w:jc w:val="both"/>
        <w:outlineLvl w:val="9"/>
        <w:sectPr>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50" w:name="Section79"/>
      <w:bookmarkEnd w:id="150"/>
      <w:bookmarkStart w:id="151" w:name="7cbe5653add64a59a5e9cb3160715610"/>
      <w:r>
        <w:rPr>
          <w:rFonts w:ascii="Calibri" w:eastAsia="Calibri" w:hAnsi="Calibri" w:cs="Calibri"/>
          <w:b/>
          <w:i w:val="0"/>
          <w:color w:val="000000"/>
          <w:sz w:val="20"/>
          <w:u w:val="none"/>
        </w:rPr>
        <w:t>16.1.-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las propiedades de inversión.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360"/>
        <w:gridCol w:w="1095"/>
        <w:gridCol w:w="1095"/>
      </w:tblGrid>
      <w:tr>
        <w:tblPrEx>
          <w:tblW w:w="8550" w:type="dxa"/>
          <w:tblInd w:w="1417" w:type="dxa"/>
          <w:tblLayout w:type="fixed"/>
        </w:tblPrEx>
        <w:trPr>
          <w:cantSplit/>
          <w:trHeight w:hRule="auto" w:val="0"/>
        </w:trPr>
        <w:tc>
          <w:tcPr>
            <w:tcW w:w="63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de inversión, modelo del valor razonable</w:t>
            </w:r>
          </w:p>
        </w:tc>
        <w:tc>
          <w:tcPr>
            <w:tcW w:w="109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360"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Propiedades de inversión al comienzo del periodo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10.854.348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9.068.051</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Transferencias de (a) bienes inmuebles ocupados por el propietario.</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(928.251)</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por ajustes del valor razonable.</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2.714.548</w:t>
            </w: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propiedades de inversión</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1.786.297</w:t>
            </w:r>
          </w:p>
        </w:tc>
      </w:tr>
      <w:tr>
        <w:tblPrEx>
          <w:tblW w:w="8550" w:type="dxa"/>
          <w:tblInd w:w="1417" w:type="dxa"/>
          <w:tblLayout w:type="fixed"/>
        </w:tblPrEx>
        <w:trPr>
          <w:cantSplit/>
          <w:trHeight w:hRule="auto" w:val="0"/>
        </w:trPr>
        <w:tc>
          <w:tcPr>
            <w:tcW w:w="63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3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Propiedades de inversión al final del periodo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10.854.348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10.854.348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elementos de propiedades de inversión (Terreno y edificios) han sido contabilizados a valor razonable en el estado de situación financiera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en base a lo previsto en la NIC 40. Dicha metodología aplicada para estos bienes se clasifica en Nivel II de la jerarquía de valor razonable, donde la información proviene de fuentes distintas a los valores de cotización del Nivel de jerarquía I, pero son observables en mercados para los activos y pasivos ya sea de manera directa (precios) o indirecta (obtenidos a partir de precios), ya que debido al método de retasación periódica los valores se obtienen de tasaciones que se llevan a cabo, a base del valor de mercado.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tasaciones para los efectos de determinar el valor razonable de las propiedades de inversión son evaluadas y efectuadas en forma anual. El valor razonable de las propiedades de inversión fue determinada por peritos externos independientes con una capacidad profesional reconocida y experiencia en la valorización de activos similares.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de Tasación informado por dichos profesionales corresponde a una estimación metodológica del valor de cada activo a través de un enfoque de Valor de Mercado o Valor Comercial, que reconoce un mercado definido y comparable para cada activo.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valor de costo histórico de las propiedades de inversión alcanza a M$ </w:t>
      </w:r>
      <w:r>
        <w:rPr>
          <w:rFonts w:ascii="Calibri" w:eastAsia="Calibri" w:hAnsi="Calibri" w:cs="Calibri"/>
          <w:b w:val="0"/>
          <w:i w:val="0"/>
          <w:color w:val="000000"/>
          <w:sz w:val="20"/>
          <w:u w:val="none"/>
        </w:rPr>
        <w:t>3.521.353</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52" w:name="Section80"/>
      <w:bookmarkEnd w:id="152"/>
      <w:bookmarkStart w:id="153" w:name="5a39927b2a4549e2b5bba445055e5ade"/>
      <w:r>
        <w:rPr>
          <w:rFonts w:ascii="Calibri" w:eastAsia="Calibri" w:hAnsi="Calibri" w:cs="Calibri"/>
          <w:b/>
          <w:i w:val="0"/>
          <w:color w:val="000000"/>
          <w:sz w:val="20"/>
          <w:u w:val="none"/>
        </w:rPr>
        <w:t>16.2.-</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y gastos de propiedades de inversión.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8" w:space="0" w:color="FFFFFF"/>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375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Ingresos y gastos de propiedades de inversión</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8" w:space="0" w:color="FFFFFF"/>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375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8" w:space="0" w:color="FFFFFF"/>
              <w:bottom w:val="single" w:sz="2" w:space="0" w:color="000000"/>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 de ingresos por alquileres de propiedades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22.886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471.062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(184.077)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259.262</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Importes de gastos directos de operación de las propiedades de inversión generadoras de ingresos de alquileres.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54" w:name="Section81"/>
      <w:bookmarkEnd w:id="154"/>
      <w:bookmarkStart w:id="155" w:name="5871820832204734945d98a8544fcb56"/>
      <w:r>
        <w:rPr>
          <w:rFonts w:ascii="Calibri" w:eastAsia="Calibri" w:hAnsi="Calibri" w:cs="Calibri"/>
          <w:b/>
          <w:i w:val="0"/>
          <w:color w:val="000000"/>
          <w:sz w:val="20"/>
          <w:u w:val="none"/>
        </w:rPr>
        <w:t>17.-</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5"/>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56" w:name="Section82"/>
      <w:bookmarkEnd w:id="156"/>
      <w:bookmarkStart w:id="157" w:name="5861b9f573e64a1e8e2f99d10a501e2d"/>
      <w:r>
        <w:rPr>
          <w:rFonts w:ascii="Calibri" w:eastAsia="Calibri" w:hAnsi="Calibri" w:cs="Calibri"/>
          <w:b/>
          <w:i w:val="0"/>
          <w:color w:val="000000"/>
          <w:sz w:val="20"/>
          <w:u w:val="none"/>
        </w:rPr>
        <w:t>17.1.-</w:t>
      </w:r>
      <w:r>
        <w:rPr>
          <w:rFonts w:ascii="Calibri" w:eastAsia="Calibri" w:hAnsi="Calibri" w:cs="Calibri"/>
          <w:b/>
          <w:i w:val="0"/>
          <w:color w:val="000000"/>
          <w:sz w:val="20"/>
          <w:u w:val="none"/>
        </w:rPr>
        <w:tab/>
      </w:r>
      <w:r>
        <w:rPr>
          <w:rFonts w:ascii="Calibri" w:eastAsia="Calibri" w:hAnsi="Calibri" w:cs="Calibri"/>
          <w:b/>
          <w:i w:val="0"/>
          <w:color w:val="000000"/>
          <w:sz w:val="20"/>
          <w:u w:val="none"/>
        </w:rPr>
        <w:t>Vidas útiles.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siguiente cuadro muestra las vidas útiles técnicas para los bienes de Compañía General de Electricidad S.A. y subsidiarias.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útil para la depreciación de propiedades, planta y equipo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Vida útil</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Mínima</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Máxima</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edificios.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planta y equipo.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equipamiento de tecnologías de la información.</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instalaciones fijas y accesorios.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45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vehículos de motor.</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 xml:space="preserve">Vida útil para otras propiedades, planta y equipo. </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br/>
      </w: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Considera la depreciación de componentes por horas de uso para las unidades generadoras y sus repuestos.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58" w:name="Section83"/>
      <w:bookmarkEnd w:id="158"/>
      <w:bookmarkStart w:id="159" w:name="a43a993f314743ba8702d1e1d846c6e0"/>
      <w:r>
        <w:rPr>
          <w:rFonts w:ascii="Calibri" w:eastAsia="Calibri" w:hAnsi="Calibri" w:cs="Calibri"/>
          <w:b/>
          <w:i w:val="0"/>
          <w:color w:val="000000"/>
          <w:sz w:val="20"/>
          <w:u w:val="none"/>
        </w:rPr>
        <w:t>17.2.-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los rubros.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netos de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neto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322.945.406</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15.061.606</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14.906.743</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1.298.233.262</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2.814.160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348.011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172.364.664</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1.066.987.650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21.684.229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34.034.548</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1.756.288</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60.306.286</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1.151.145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8.637.368</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2.377.176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48.140.597</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9.438.091</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Mejoras de bienes arrendados.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1.541.958</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663.502</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1.724.853.142</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brutos de propiedades, planta y equipo.</w:t>
      </w:r>
    </w:p>
    <w:p>
      <w:pPr>
        <w:keepNext/>
        <w:keepLines/>
        <w:pageBreakBefore w:val="0"/>
        <w:widowControl w:val="0"/>
        <w:numPr>
          <w:ilvl w:val="0"/>
          <w:numId w:val="0"/>
        </w:numPr>
        <w:tabs>
          <w:tab w:val="left" w:pos="700"/>
        </w:tabs>
        <w:spacing w:before="0" w:after="0" w:line="288" w:lineRule="auto"/>
        <w:ind w:left="0" w:right="-1"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bruto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Construcciones en curso.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322.945.406</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Terrenos.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15.061.606</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30.213.448</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1.892.159.301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5.182.826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628.814</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242.871.594</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1.508.912.494</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62.716.559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71.847.014</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19.625.072</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110.828.559</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5.586.151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27.066.348</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7.897.301</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70.278.759</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19.887.050</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Mejoras de bienes arrendados.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7.317.013</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1.854.365</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2.419.891.820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Depreciación acumulada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Depreciación acumulada y deterioro, propiedades, planta y equipo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Edificios.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15.306.705</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Planta y equipos.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593.926.039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poder.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2.368.666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de transporte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280.803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Subestaciones de distribución.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70.506.930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Líneas y redes de media y baja tensión.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441.924.844</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Máquinas y equipos de generación.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41.032.330</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Medidores.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37.812.466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17.868.784</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50.522.273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Equipos de comunicaciones.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4.435.006</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Herramientas.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18.428.980</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Muebles y útiles.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5.520.125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22.138.162</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Vehículos de motor.</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10.448.959</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Mejoras de bienes arrendados.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5.775.055</w:t>
            </w:r>
          </w:p>
        </w:tc>
      </w:tr>
      <w:tr>
        <w:tblPrEx>
          <w:tblW w:w="7845" w:type="dxa"/>
          <w:tblInd w:w="2126" w:type="dxa"/>
          <w:tblLayout w:type="fixed"/>
        </w:tblPrEx>
        <w:trPr>
          <w:cantSplit/>
          <w:trHeight w:hRule="auto" w:val="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1.190.863</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695.038.678</w:t>
            </w:r>
          </w:p>
        </w:tc>
      </w:tr>
    </w:tbl>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60" w:name="Section84"/>
      <w:bookmarkEnd w:id="160"/>
      <w:bookmarkStart w:id="161" w:name="add83a3bcd86490a826a3569b8640364"/>
      <w:r>
        <w:rPr>
          <w:rFonts w:ascii="Calibri" w:eastAsia="Calibri" w:hAnsi="Calibri" w:cs="Calibri"/>
          <w:b/>
          <w:i w:val="0"/>
          <w:color w:val="000000"/>
          <w:sz w:val="20"/>
          <w:u w:val="none"/>
        </w:rPr>
        <w:t>17.3.-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 cambios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1"/>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112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
        <w:gridCol w:w="540"/>
        <w:gridCol w:w="2235"/>
        <w:gridCol w:w="825"/>
        <w:gridCol w:w="825"/>
        <w:gridCol w:w="825"/>
        <w:gridCol w:w="825"/>
        <w:gridCol w:w="825"/>
        <w:gridCol w:w="825"/>
        <w:gridCol w:w="825"/>
        <w:gridCol w:w="825"/>
        <w:gridCol w:w="825"/>
        <w:gridCol w:w="825"/>
      </w:tblGrid>
      <w:tr>
        <w:tblPrEx>
          <w:tblW w:w="11250" w:type="dxa"/>
          <w:tblInd w:w="1417" w:type="dxa"/>
          <w:tblLayout w:type="fixed"/>
        </w:tblPrEx>
        <w:trPr>
          <w:cantSplit/>
          <w:trHeight w:hRule="exact" w:val="195"/>
        </w:trPr>
        <w:tc>
          <w:tcPr>
            <w:tcW w:w="3000" w:type="dxa"/>
            <w:gridSpan w:val="3"/>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82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Mejoras de bienes arrendados, neto</w:t>
            </w:r>
          </w:p>
        </w:tc>
        <w:tc>
          <w:tcPr>
            <w:tcW w:w="82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Repuestos</w:t>
            </w:r>
          </w:p>
        </w:tc>
        <w:tc>
          <w:tcPr>
            <w:tcW w:w="82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auto" w:val="0"/>
        </w:trPr>
        <w:tc>
          <w:tcPr>
            <w:tcW w:w="3000" w:type="dxa"/>
            <w:gridSpan w:val="3"/>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250" w:type="dxa"/>
          <w:tblInd w:w="1417" w:type="dxa"/>
          <w:tblLayout w:type="fixed"/>
        </w:tblPrEx>
        <w:trPr>
          <w:cantSplit/>
          <w:trHeight w:hRule="exact" w:val="6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322.945.406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15.061.606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14.906.743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1.298.233.262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1.756.288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60.306.286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9.438.091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1.541.958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663.502</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1.724.853.142</w:t>
            </w:r>
          </w:p>
        </w:tc>
      </w:tr>
      <w:tr>
        <w:tblPrEx>
          <w:tblW w:w="11250" w:type="dxa"/>
          <w:tblInd w:w="1417" w:type="dxa"/>
          <w:tblLayout w:type="fixed"/>
        </w:tblPrEx>
        <w:trPr>
          <w:cantSplit/>
          <w:trHeight w:hRule="exact" w:val="6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exact" w:val="345"/>
        </w:trPr>
        <w:tc>
          <w:tcPr>
            <w:tcW w:w="22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38.519.486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258.433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38.778.151</w:t>
            </w:r>
          </w:p>
        </w:tc>
      </w:tr>
      <w:tr>
        <w:tblPrEx>
          <w:tblW w:w="1125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(4.092)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(4.272.575)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(4.277.123)</w:t>
            </w:r>
          </w:p>
        </w:tc>
      </w:tr>
      <w:tr>
        <w:tblPrEx>
          <w:tblW w:w="1125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(115.787)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(12.091.201)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(194.190)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(2.961.916)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(771.407)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(50.272)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(22.377)</w:t>
            </w: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(16.207.150)</w:t>
            </w:r>
          </w:p>
        </w:tc>
      </w:tr>
      <w:tr>
        <w:tblPrEx>
          <w:tblW w:w="11250" w:type="dxa"/>
          <w:tblInd w:w="1417" w:type="dxa"/>
          <w:tblLayout w:type="fixed"/>
        </w:tblPrEx>
        <w:trPr>
          <w:cantSplit/>
          <w:trHeight w:hRule="auto" w:val="0"/>
        </w:trPr>
        <w:tc>
          <w:tcPr>
            <w:tcW w:w="225" w:type="dxa"/>
            <w:vMerge/>
            <w:tcBorders>
              <w:top w:val="nil"/>
              <w:left w:val="single" w:sz="2" w:space="0" w:color="000000"/>
              <w:bottom w:val="nil"/>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(46.863.747)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33.728.998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183.584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12.914.900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36.265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1250" w:type="dxa"/>
          <w:tblInd w:w="1417" w:type="dxa"/>
          <w:tblLayout w:type="fixed"/>
        </w:tblPrEx>
        <w:trPr>
          <w:cantSplit/>
          <w:trHeight w:hRule="auto" w:val="0"/>
        </w:trPr>
        <w:tc>
          <w:tcPr>
            <w:tcW w:w="225" w:type="dxa"/>
            <w:vMerge/>
            <w:tcBorders>
              <w:top w:val="nil"/>
              <w:left w:val="single" w:sz="2" w:space="0" w:color="000000"/>
              <w:bottom w:val="single" w:sz="2" w:space="0" w:color="000000"/>
              <w:right w:val="nil"/>
            </w:tcBorders>
          </w:tcPr>
          <w:p>
            <w:pPr>
              <w:keepNext/>
              <w:pageBreakBefore w:val="0"/>
            </w:pPr>
          </w:p>
        </w:tc>
        <w:tc>
          <w:tcPr>
            <w:tcW w:w="277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(8.612)</w:t>
            </w:r>
          </w:p>
        </w:tc>
        <w:tc>
          <w:tcPr>
            <w:tcW w:w="82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(8.612)</w:t>
            </w:r>
          </w:p>
        </w:tc>
      </w:tr>
      <w:tr>
        <w:tblPrEx>
          <w:tblW w:w="11250" w:type="dxa"/>
          <w:tblInd w:w="1417" w:type="dxa"/>
          <w:tblLayout w:type="fixed"/>
        </w:tblPrEx>
        <w:trPr>
          <w:cantSplit/>
          <w:trHeight w:hRule="auto" w:val="0"/>
        </w:trPr>
        <w:tc>
          <w:tcPr>
            <w:tcW w:w="2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(8.348.353)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(115.787)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17.623.655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(11.062)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9.953.216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(735.142)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(50.272)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(30.989)</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18.285.266</w:t>
            </w:r>
          </w:p>
        </w:tc>
      </w:tr>
      <w:tr>
        <w:tblPrEx>
          <w:tblW w:w="11250" w:type="dxa"/>
          <w:tblInd w:w="1417" w:type="dxa"/>
          <w:tblLayout w:type="fixed"/>
        </w:tblPrEx>
        <w:trPr>
          <w:cantSplit/>
          <w:trHeight w:hRule="auto" w:val="0"/>
        </w:trPr>
        <w:tc>
          <w:tcPr>
            <w:tcW w:w="2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314.597.053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15.061.606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14.790.956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1.315.856.917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1.745.226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70.259.502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8.702.949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1.491.686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632.513</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1.743.138.408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112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5"/>
        <w:gridCol w:w="540"/>
        <w:gridCol w:w="2295"/>
        <w:gridCol w:w="825"/>
        <w:gridCol w:w="825"/>
        <w:gridCol w:w="825"/>
        <w:gridCol w:w="825"/>
        <w:gridCol w:w="825"/>
        <w:gridCol w:w="825"/>
        <w:gridCol w:w="825"/>
        <w:gridCol w:w="825"/>
        <w:gridCol w:w="825"/>
        <w:gridCol w:w="825"/>
      </w:tblGrid>
      <w:tr>
        <w:tblPrEx>
          <w:tblW w:w="11250" w:type="dxa"/>
          <w:tblInd w:w="1417" w:type="dxa"/>
          <w:tblLayout w:type="fixed"/>
        </w:tblPrEx>
        <w:trPr>
          <w:cantSplit/>
          <w:trHeight w:hRule="exact" w:val="195"/>
        </w:trPr>
        <w:tc>
          <w:tcPr>
            <w:tcW w:w="3000" w:type="dxa"/>
            <w:gridSpan w:val="3"/>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Construcción en curso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 neto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 neto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 neto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 neto</w:t>
            </w:r>
          </w:p>
        </w:tc>
        <w:tc>
          <w:tcPr>
            <w:tcW w:w="82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 de motor, neto</w:t>
            </w:r>
          </w:p>
        </w:tc>
        <w:tc>
          <w:tcPr>
            <w:tcW w:w="825"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Mejoras de bienes arrendados, neto</w:t>
            </w:r>
          </w:p>
        </w:tc>
        <w:tc>
          <w:tcPr>
            <w:tcW w:w="82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Repuestos</w:t>
            </w:r>
          </w:p>
        </w:tc>
        <w:tc>
          <w:tcPr>
            <w:tcW w:w="82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Propiedades, planta y equipo, neto</w:t>
            </w: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exact" w:val="195"/>
        </w:trPr>
        <w:tc>
          <w:tcPr>
            <w:tcW w:w="3000" w:type="dxa"/>
            <w:gridSpan w:val="3"/>
            <w:vMerge/>
            <w:tcBorders>
              <w:top w:val="nil"/>
              <w:left w:val="single" w:sz="2" w:space="0" w:color="000000"/>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single" w:sz="4" w:space="0" w:color="FFFFFF"/>
            </w:tcBorders>
          </w:tcPr>
          <w:p>
            <w:pPr>
              <w:keepNext/>
              <w:pageBreakBefore w:val="0"/>
            </w:pPr>
          </w:p>
        </w:tc>
        <w:tc>
          <w:tcPr>
            <w:tcW w:w="825" w:type="dxa"/>
            <w:vMerge/>
            <w:tcBorders>
              <w:top w:val="nil"/>
              <w:left w:val="nil"/>
              <w:bottom w:val="nil"/>
              <w:right w:val="nil"/>
            </w:tcBorders>
          </w:tcPr>
          <w:p>
            <w:pPr>
              <w:keepNext/>
              <w:pageBreakBefore w:val="0"/>
            </w:pPr>
          </w:p>
        </w:tc>
        <w:tc>
          <w:tcPr>
            <w:tcW w:w="825" w:type="dxa"/>
            <w:vMerge/>
            <w:tcBorders>
              <w:top w:val="nil"/>
              <w:left w:val="single" w:sz="4" w:space="0" w:color="FFFFFF"/>
              <w:bottom w:val="nil"/>
              <w:right w:val="single" w:sz="4" w:space="0" w:color="FFFFFF"/>
            </w:tcBorders>
          </w:tcPr>
          <w:p>
            <w:pPr>
              <w:keepNext/>
              <w:pageBreakBefore w:val="0"/>
            </w:pPr>
          </w:p>
        </w:tc>
        <w:tc>
          <w:tcPr>
            <w:tcW w:w="825" w:type="dxa"/>
            <w:vMerge/>
            <w:tcBorders>
              <w:top w:val="nil"/>
              <w:left w:val="nil"/>
              <w:bottom w:val="nil"/>
              <w:right w:val="single" w:sz="2" w:space="0" w:color="000000"/>
            </w:tcBorders>
          </w:tcPr>
          <w:p>
            <w:pPr>
              <w:keepNext/>
              <w:pageBreakBefore w:val="0"/>
            </w:pPr>
          </w:p>
        </w:tc>
      </w:tr>
      <w:tr>
        <w:tblPrEx>
          <w:tblW w:w="11250" w:type="dxa"/>
          <w:tblInd w:w="1417" w:type="dxa"/>
          <w:tblLayout w:type="fixed"/>
        </w:tblPrEx>
        <w:trPr>
          <w:cantSplit/>
          <w:trHeight w:hRule="auto" w:val="0"/>
        </w:trPr>
        <w:tc>
          <w:tcPr>
            <w:tcW w:w="3000" w:type="dxa"/>
            <w:gridSpan w:val="3"/>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2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250" w:type="dxa"/>
          <w:tblInd w:w="1417" w:type="dxa"/>
          <w:tblLayout w:type="fixed"/>
        </w:tblPrEx>
        <w:trPr>
          <w:cantSplit/>
          <w:trHeight w:hRule="exact" w:val="60"/>
        </w:trPr>
        <w:tc>
          <w:tcPr>
            <w:tcW w:w="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330.606.240</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14.053.695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15.161.886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1.170.388.103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1.779.171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46.829.801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10.231.306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362.231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232.731</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1.589.645.164</w:t>
            </w:r>
          </w:p>
        </w:tc>
      </w:tr>
      <w:tr>
        <w:tblPrEx>
          <w:tblW w:w="11250" w:type="dxa"/>
          <w:tblInd w:w="1417" w:type="dxa"/>
          <w:tblLayout w:type="fixed"/>
        </w:tblPrEx>
        <w:trPr>
          <w:cantSplit/>
          <w:trHeight w:hRule="exact" w:val="60"/>
        </w:trPr>
        <w:tc>
          <w:tcPr>
            <w:tcW w:w="1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exact" w:val="345"/>
        </w:trPr>
        <w:tc>
          <w:tcPr>
            <w:tcW w:w="16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2"/>
                <w:u w:val="none"/>
              </w:rPr>
              <w:t>Cambios</w:t>
            </w: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distintos de los procedentes de combinaciones de negocios.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204.862.508</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1.215.836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78.039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213.491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1.974.457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208.344.331</w:t>
            </w:r>
          </w:p>
        </w:tc>
      </w:tr>
      <w:tr>
        <w:tblPrEx>
          <w:tblW w:w="11250" w:type="dxa"/>
          <w:tblInd w:w="1417" w:type="dxa"/>
          <w:tblLayout w:type="fixed"/>
        </w:tblPrEx>
        <w:trPr>
          <w:cantSplit/>
          <w:trHeight w:hRule="auto" w:val="0"/>
        </w:trPr>
        <w:tc>
          <w:tcPr>
            <w:tcW w:w="165" w:type="dxa"/>
            <w:vMerge/>
            <w:tcBorders>
              <w:top w:val="nil"/>
              <w:left w:val="single" w:sz="2" w:space="0" w:color="000000"/>
              <w:bottom w:val="nil"/>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(hacia) propiedades de inversión.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1.007.911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(79.660)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928.251</w:t>
            </w:r>
          </w:p>
        </w:tc>
      </w:tr>
      <w:tr>
        <w:tblPrEx>
          <w:tblW w:w="11250" w:type="dxa"/>
          <w:tblInd w:w="1417" w:type="dxa"/>
          <w:tblLayout w:type="fixed"/>
        </w:tblPrEx>
        <w:trPr>
          <w:cantSplit/>
          <w:trHeight w:hRule="auto" w:val="0"/>
        </w:trPr>
        <w:tc>
          <w:tcPr>
            <w:tcW w:w="165" w:type="dxa"/>
            <w:vMerge/>
            <w:tcBorders>
              <w:top w:val="nil"/>
              <w:left w:val="single" w:sz="2" w:space="0" w:color="000000"/>
              <w:bottom w:val="nil"/>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(3.794.270)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(22.591)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(11.915.616)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(4.954)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(2.989)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(37.229)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(15.777.649)</w:t>
            </w:r>
          </w:p>
        </w:tc>
      </w:tr>
      <w:tr>
        <w:tblPrEx>
          <w:tblW w:w="11250" w:type="dxa"/>
          <w:tblInd w:w="1417" w:type="dxa"/>
          <w:tblLayout w:type="fixed"/>
        </w:tblPrEx>
        <w:trPr>
          <w:cantSplit/>
          <w:trHeight w:hRule="auto" w:val="0"/>
        </w:trPr>
        <w:tc>
          <w:tcPr>
            <w:tcW w:w="165" w:type="dxa"/>
            <w:vMerge/>
            <w:tcBorders>
              <w:top w:val="nil"/>
              <w:left w:val="single" w:sz="2" w:space="0" w:color="000000"/>
              <w:bottom w:val="nil"/>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(474.179)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(45.124.694)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(1.075.461)</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(8.029.143)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(2.982.710)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(95.577)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(52.053)</w:t>
            </w: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(57.833.817)</w:t>
            </w:r>
          </w:p>
        </w:tc>
      </w:tr>
      <w:tr>
        <w:tblPrEx>
          <w:tblW w:w="11250" w:type="dxa"/>
          <w:tblInd w:w="1417" w:type="dxa"/>
          <w:tblLayout w:type="fixed"/>
        </w:tblPrEx>
        <w:trPr>
          <w:cantSplit/>
          <w:trHeight w:hRule="auto" w:val="0"/>
        </w:trPr>
        <w:tc>
          <w:tcPr>
            <w:tcW w:w="165" w:type="dxa"/>
            <w:vMerge/>
            <w:tcBorders>
              <w:top w:val="nil"/>
              <w:left w:val="single" w:sz="2" w:space="0" w:color="000000"/>
              <w:bottom w:val="nil"/>
              <w:right w:val="single" w:sz="2" w:space="0" w:color="000000"/>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transferencias desde construcciones en proceso, propiedades, planta y equipo.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(208.712.357)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321.287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184.576.282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979.493</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21.934.262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74.585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813.850</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12.598</w:t>
            </w:r>
          </w:p>
        </w:tc>
        <w:tc>
          <w:tcPr>
            <w:tcW w:w="82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11250" w:type="dxa"/>
          <w:tblInd w:w="1417" w:type="dxa"/>
          <w:tblLayout w:type="fixed"/>
        </w:tblPrEx>
        <w:trPr>
          <w:cantSplit/>
          <w:trHeight w:hRule="auto" w:val="0"/>
        </w:trPr>
        <w:tc>
          <w:tcPr>
            <w:tcW w:w="165" w:type="dxa"/>
            <w:vMerge/>
            <w:tcBorders>
              <w:top w:val="nil"/>
              <w:left w:val="single" w:sz="2" w:space="0" w:color="000000"/>
              <w:bottom w:val="single" w:sz="2" w:space="0" w:color="000000"/>
              <w:right w:val="nil"/>
            </w:tcBorders>
          </w:tcPr>
          <w:p>
            <w:pPr>
              <w:keepNext/>
              <w:pageBreakBefore w:val="0"/>
            </w:pPr>
          </w:p>
        </w:tc>
        <w:tc>
          <w:tcPr>
            <w:tcW w:w="283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Incrementos (disminuciones) por otros cambios.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(16.715)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(906.649)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(639.136)</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177.682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461.454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470.226</w:t>
            </w:r>
          </w:p>
        </w:tc>
        <w:tc>
          <w:tcPr>
            <w:tcW w:w="82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(453.138)</w:t>
            </w:r>
          </w:p>
        </w:tc>
      </w:tr>
      <w:tr>
        <w:tblPrEx>
          <w:tblW w:w="11250" w:type="dxa"/>
          <w:tblInd w:w="1417" w:type="dxa"/>
          <w:tblLayout w:type="fixed"/>
        </w:tblPrEx>
        <w:trPr>
          <w:cantSplit/>
          <w:trHeight w:hRule="auto" w:val="0"/>
        </w:trPr>
        <w:tc>
          <w:tcPr>
            <w:tcW w:w="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auto" w:val="0"/>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(7.660.834)</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1.007.911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(255.143)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127.845.159</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(22.883)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13.476.485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(793.215)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1.179.727</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430.771</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135.207.978</w:t>
            </w:r>
          </w:p>
        </w:tc>
      </w:tr>
      <w:tr>
        <w:tblPrEx>
          <w:tblW w:w="11250" w:type="dxa"/>
          <w:tblInd w:w="1417" w:type="dxa"/>
          <w:tblLayout w:type="fixed"/>
        </w:tblPrEx>
        <w:trPr>
          <w:cantSplit/>
          <w:trHeight w:hRule="auto" w:val="0"/>
        </w:trPr>
        <w:tc>
          <w:tcPr>
            <w:tcW w:w="1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2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1250" w:type="dxa"/>
          <w:tblInd w:w="1417" w:type="dxa"/>
          <w:tblLayout w:type="fixed"/>
        </w:tblPrEx>
        <w:trPr>
          <w:cantSplit/>
          <w:trHeight w:hRule="exact" w:val="225"/>
        </w:trPr>
        <w:tc>
          <w:tcPr>
            <w:tcW w:w="300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322.945.406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15.061.606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14.906.743</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1.298.233.262</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1.756.288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60.306.286</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9.438.091</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1.541.958</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663.502</w:t>
            </w:r>
          </w:p>
        </w:tc>
        <w:tc>
          <w:tcPr>
            <w:tcW w:w="82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1.724.853.142</w:t>
            </w:r>
          </w:p>
        </w:tc>
      </w:tr>
    </w:tbl>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sectPr>
          <w:headerReference w:type="default" r:id="rId42"/>
          <w:footerReference w:type="default" r:id="rId43"/>
          <w:type w:val="continuous"/>
          <w:pgSz w:w="15840" w:h="12240" w:orient="landscape"/>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62" w:name="Section85"/>
      <w:bookmarkEnd w:id="162"/>
      <w:bookmarkStart w:id="163" w:name="d68d1d0d42164d22b768a327c74ce8ac"/>
      <w:r>
        <w:rPr>
          <w:rFonts w:ascii="Calibri" w:eastAsia="Calibri" w:hAnsi="Calibri" w:cs="Calibri"/>
          <w:b/>
          <w:i w:val="0"/>
          <w:color w:val="000000"/>
          <w:sz w:val="20"/>
          <w:u w:val="none"/>
        </w:rPr>
        <w:t>17.4.-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inversiones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Compañía General de Electricidad S.A. y subsidiarias, han mantenido tradicionalmente una política de llevar a cabo todas las obras necesarias para satisfacer los incrementos de la demanda, conservar en buen estado las instalaciones y adaptar el sistema a los avances tecnológicos, con el objeto de cumplir cabalmente con las normas de calidad y continuidad de suministro establecidos por la regulación vigente tanto en el sector electricidad, como asimismo con los contratos comerciales suscritos con sus clientes. El monto de adiciones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w:t>
      </w:r>
      <w:r>
        <w:rPr>
          <w:rFonts w:ascii="Calibri" w:eastAsia="Calibri" w:hAnsi="Calibri" w:cs="Calibri"/>
          <w:b w:val="0"/>
          <w:i w:val="0"/>
          <w:color w:val="000000"/>
          <w:sz w:val="20"/>
          <w:u w:val="none"/>
        </w:rPr>
        <w:t>M$ 38.778.151</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M$ 208.344.331</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y el valor contable de obras en curso alcanzó a un monto de </w:t>
      </w:r>
      <w:r>
        <w:rPr>
          <w:rFonts w:ascii="Calibri" w:eastAsia="Calibri" w:hAnsi="Calibri" w:cs="Calibri"/>
          <w:b w:val="0"/>
          <w:i w:val="0"/>
          <w:color w:val="000000"/>
          <w:sz w:val="20"/>
          <w:u w:val="none"/>
        </w:rPr>
        <w:t>M$ 314.597.053</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M$ 322.945.406</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sz w:val="20"/>
        </w:rPr>
        <w:t xml:space="preserve"> </w:t>
      </w:r>
      <w:r>
        <w:rPr>
          <w:rFonts w:ascii="Calibri" w:eastAsia="Calibri" w:hAnsi="Calibri" w:cs="Calibri"/>
          <w:b w:val="0"/>
          <w:i w:val="0"/>
          <w:color w:val="000000"/>
          <w:sz w:val="20"/>
          <w:u w:val="none"/>
        </w:rPr>
        <w:t>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ejercicio 2025 se han actualizado las vidas útiles y valor residual de los bienes de propiedades, planta y equipo de Compañía General de Electricidad S.A. y subsidiarias, generando un menor gasto por depreciación en el ejercicio por M$ 773.919.</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restricciones en la titularidad de propiedades, plantas y equipos de Compañía General de Electricidad S.A y subsidiarias.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17.4.1.-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Informaciones adicionales a revelar sobre propiedades, planta y equipos.</w:t>
      </w: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Informaciones adicionales a revelar sobre propiedades, planta y equipos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 en libros de propiedades, planta y equipo retiradas no mantenidas para la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4.277.123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15.777.649</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Importe de desembolsos sobre cuentas de propiedades, planta y equipos en proceso de construcción.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38.519.486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6"/>
                <w:u w:val="none"/>
              </w:rPr>
              <w:t>204.862.508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headerReference w:type="default" r:id="rId44"/>
          <w:footerReference w:type="default" r:id="rId45"/>
          <w:type w:val="continuous"/>
          <w:pgSz w:w="12240" w:h="15840"/>
          <w:pgMar w:top="1134" w:right="1134" w:bottom="1134" w:left="1134" w:header="0" w:footer="283"/>
          <w:cols w:space="708"/>
        </w:sectPr>
      </w:pPr>
    </w:p>
    <w:p>
      <w:pPr>
        <w:pStyle w:val="Heading2-wk"/>
        <w:keepNext/>
        <w:keepLines/>
        <w:pageBreakBefore w:val="0"/>
        <w:widowControl w:val="0"/>
        <w:numPr>
          <w:ilvl w:val="0"/>
          <w:numId w:val="0"/>
        </w:numPr>
        <w:spacing w:before="0" w:after="0" w:line="288" w:lineRule="auto"/>
        <w:ind w:left="709" w:right="0" w:firstLine="0"/>
        <w:jc w:val="both"/>
        <w:outlineLvl w:val="1"/>
        <w:rPr>
          <w:rFonts w:ascii="Calibri" w:eastAsia="Calibri" w:hAnsi="Calibri" w:cs="Calibri"/>
          <w:b/>
          <w:i w:val="0"/>
          <w:color w:val="000000"/>
          <w:sz w:val="20"/>
          <w:u w:val="none"/>
        </w:rPr>
      </w:pPr>
      <w:bookmarkStart w:id="164" w:name="Section86"/>
      <w:bookmarkEnd w:id="164"/>
      <w:bookmarkStart w:id="165" w:name="30489cfd71b74b71bd87d1b12bfab878"/>
      <w:r>
        <w:rPr>
          <w:rFonts w:ascii="Calibri" w:eastAsia="Calibri" w:hAnsi="Calibri" w:cs="Calibri"/>
          <w:b/>
          <w:i w:val="0"/>
          <w:color w:val="000000"/>
          <w:sz w:val="20"/>
          <w:u w:val="none"/>
        </w:rPr>
        <w:t>17.5.-</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color w:val="000000"/>
          <w:sz w:val="20"/>
          <w:u w:val="none"/>
        </w:rPr>
        <w:t xml:space="preserve"> no se han capitalizado intereses por no tener activos aptos para dicho efecto.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283"/>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66" w:name="Section87"/>
      <w:bookmarkEnd w:id="166"/>
      <w:bookmarkStart w:id="167" w:name="79dbbf489c0a495ea48b5accf11f6622"/>
      <w:r>
        <w:rPr>
          <w:rFonts w:ascii="Calibri" w:eastAsia="Calibri" w:hAnsi="Calibri" w:cs="Calibri"/>
          <w:b/>
          <w:i w:val="0"/>
          <w:color w:val="000000"/>
          <w:sz w:val="20"/>
          <w:u w:val="none"/>
        </w:rPr>
        <w:t>18.-</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w:t>
      </w:r>
    </w:p>
    <w:p>
      <w:pPr>
        <w:keepNext/>
        <w:keepLines/>
        <w:pageBreakBefore w:val="0"/>
        <w:widowControl w:val="0"/>
        <w:numPr>
          <w:ilvl w:val="0"/>
          <w:numId w:val="0"/>
        </w:numPr>
        <w:tabs>
          <w:tab w:val="left" w:pos="700"/>
        </w:tabs>
        <w:spacing w:before="0" w:after="0" w:line="288" w:lineRule="auto"/>
        <w:ind w:left="1417" w:right="0" w:hanging="709"/>
        <w:jc w:val="both"/>
        <w:outlineLvl w:val="9"/>
        <w:rPr>
          <w:rFonts w:ascii="Calibri" w:eastAsia="Calibri" w:hAnsi="Calibri" w:cs="Calibri"/>
          <w:b w:val="0"/>
          <w:i w:val="0"/>
          <w:color w:val="000000"/>
          <w:sz w:val="20"/>
          <w:u w:val="none"/>
        </w:rPr>
      </w:pPr>
      <w:bookmarkEnd w:id="167"/>
    </w:p>
    <w:p>
      <w:pPr>
        <w:keepNext/>
        <w:keepLines/>
        <w:pageBreakBefore w:val="0"/>
        <w:widowControl w:val="0"/>
        <w:numPr>
          <w:ilvl w:val="0"/>
          <w:numId w:val="0"/>
        </w:numPr>
        <w:tabs>
          <w:tab w:val="left" w:pos="700"/>
        </w:tabs>
        <w:spacing w:before="0" w:after="0" w:line="288" w:lineRule="auto"/>
        <w:ind w:left="1417" w:right="0" w:hanging="709"/>
        <w:jc w:val="both"/>
        <w:outlineLvl w:val="9"/>
        <w:sectPr>
          <w:type w:val="continuous"/>
          <w:pgSz w:w="12240" w:h="15840"/>
          <w:pgMar w:top="1134" w:right="1134" w:bottom="1134" w:left="1134" w:header="0" w:footer="283"/>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Calibri" w:eastAsia="Calibri" w:hAnsi="Calibri" w:cs="Calibri"/>
          <w:b/>
          <w:i w:val="0"/>
          <w:color w:val="000000"/>
          <w:sz w:val="20"/>
          <w:u w:val="none"/>
        </w:rPr>
      </w:pPr>
      <w:bookmarkStart w:id="168" w:name="Section88"/>
      <w:bookmarkEnd w:id="168"/>
      <w:bookmarkStart w:id="169" w:name="d7e261f0766144428c709a416867d318"/>
      <w:r>
        <w:rPr>
          <w:rFonts w:ascii="Calibri" w:eastAsia="Calibri" w:hAnsi="Calibri" w:cs="Calibri"/>
          <w:b/>
          <w:i w:val="0"/>
          <w:color w:val="000000"/>
          <w:sz w:val="20"/>
          <w:u w:val="none"/>
        </w:rPr>
        <w:t>18.1.-</w:t>
      </w:r>
      <w:r>
        <w:rPr>
          <w:rFonts w:ascii="Calibri" w:eastAsia="Calibri" w:hAnsi="Calibri" w:cs="Calibri"/>
          <w:b/>
          <w:i w:val="0"/>
          <w:color w:val="000000"/>
          <w:sz w:val="20"/>
          <w:u w:val="none"/>
        </w:rPr>
        <w:tab/>
      </w:r>
      <w:r>
        <w:rPr>
          <w:rFonts w:ascii="Calibri" w:eastAsia="Calibri" w:hAnsi="Calibri" w:cs="Calibri"/>
          <w:b/>
          <w:i w:val="0"/>
          <w:color w:val="000000"/>
          <w:sz w:val="20"/>
          <w:u w:val="none"/>
        </w:rPr>
        <w:t>Prueba de deterioro de propiedad, planta y equipos, plusvalía comprada y otros activos intangibles de vida útil indefinida.</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sz w:val="20"/>
        </w:rPr>
      </w:pPr>
      <w:bookmarkEnd w:id="169"/>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Compañía General de Electricidad S.A. evalúa anualmente o siempre y cuando existan indicadores, si la plusvalía comprada y demás activos intangibles de vida útil indefinida han sufrido algún deterioro, de acuerdo con la política contable que se describe en la Nota 3.13.- Los montos recuperables de las unidades generadoras de efectivo han sido determinados sobre la base de cálculos de sus valores en uso. En el caso de las Unidades Generadoras de Efectivo a las que se han asignado plusvalías o activos intangibles con una vida útil indefinida, el análisis de su recuperabilidad se realiza de forma sistemática anualmente al cierre de cada ejercicio, a menos que existan indicios de deterioro que impliquen una revisión previa.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criterio utilizado para identificar las Unidades Generadoras de Efectivo se basa en las características específicas del negocio, en las normas y regulaciones operativas del mercado en que la Sociedad opera y en la organización corporativa, y como tal se ha identificado una única UGE para todo el negocio de distribución en Chile de Compañía General de Electricidad S.A. y subsidiarias.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estimación del valor en uso ha requerido que la administración realice las estimaciones de los flujos de efectivo futuros esperados, utilizando las proyecciones sectoriales, la experiencia del pasado y las expectativas futuras.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estimar el valor en uso, el Grupo prepara las proyecciones de flujos de caja futuros, estos han sido proyectados hasta el año 2031.</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principales parámetros e indicadores utilizados por Compañía General de Electricidad S.A. para la determinación de valor en uso y la evaluación de un eventual deterioro son: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Margen de energía, IPC, CPI, TC (CLP/USD), crecimiento de ventas físicas y crecimiento del número de clientes.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1"/>
          <w:numId w:val="69"/>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Margen de servicios complementarios, se incrementan según número de clientes, IPC.</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1"/>
          <w:numId w:val="70"/>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ajustes en dotación en base a necesidades de la compañía, ajustes salariales en línea con el IPC.</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1"/>
          <w:numId w:val="71"/>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Costo O&amp;M y Administración, los cuales se incrementan según número de clientes, IPC, variación de propiedades, planta y equipo.</w:t>
      </w:r>
    </w:p>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describe con mayor detalle los enfoques utilizados para la determinación del primer punto proyectado: </w:t>
      </w:r>
    </w:p>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color w:val="000000"/>
          <w:sz w:val="20"/>
          <w:u w:val="none"/>
        </w:rPr>
      </w:pPr>
    </w:p>
    <w:p>
      <w:pPr>
        <w:pStyle w:val="ListParagraph-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1.-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Los principales componentes del margen de energía son el valor agregado de distribución (VAD) y las pérdidas de energía. Para proyectar estos conceptos los principales supuestos fueron los siguientes: </w:t>
      </w:r>
    </w:p>
    <w:p>
      <w:pPr>
        <w:keepNext w:val="0"/>
        <w:keepLines/>
        <w:pageBreakBefore w:val="0"/>
        <w:widowControl w:val="0"/>
        <w:numPr>
          <w:ilvl w:val="0"/>
          <w:numId w:val="0"/>
        </w:numPr>
        <w:spacing w:before="0" w:after="0" w:line="288" w:lineRule="auto"/>
        <w:ind w:left="249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72"/>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VAD, se consideran las tarifas del Decreto N° 5T publicado el 7 de junio de 2024 indexadas con los parámetros macroeconómicos estimados, crecimiento de ventas físicas y clientes, resultados de fijaciones tarifarias estimados por el área de regulación para proceso VAD 2024-2028.</w:t>
      </w:r>
    </w:p>
    <w:p>
      <w:pPr>
        <w:keepNext w:val="0"/>
        <w:keepLines/>
        <w:pageBreakBefore w:val="0"/>
        <w:widowControl w:val="0"/>
        <w:numPr>
          <w:ilvl w:val="0"/>
          <w:numId w:val="0"/>
        </w:numPr>
        <w:spacing w:before="0" w:after="0" w:line="288" w:lineRule="auto"/>
        <w:ind w:left="1407" w:right="0" w:firstLine="0"/>
        <w:jc w:val="both"/>
        <w:outlineLvl w:val="9"/>
        <w:rPr>
          <w:rFonts w:ascii="Calibri" w:eastAsia="Calibri" w:hAnsi="Calibri" w:cs="Calibri"/>
          <w:b w:val="0"/>
          <w:i w:val="0"/>
          <w:sz w:val="20"/>
        </w:rPr>
      </w:pPr>
    </w:p>
    <w:p>
      <w:pPr>
        <w:keepNext w:val="0"/>
        <w:keepLines/>
        <w:pageBreakBefore w:val="0"/>
        <w:widowControl w:val="0"/>
        <w:numPr>
          <w:ilvl w:val="0"/>
          <w:numId w:val="73"/>
        </w:numPr>
        <w:spacing w:before="0" w:after="0" w:line="240" w:lineRule="exact"/>
        <w:ind w:left="2127"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Pérdidas de energía en base a estimación de los precios de compra (indexación considerando los parámetros macroeconómicos estimados y entrada de nuevos contratos de generación en base a licitaciones ya realizadas), cantidad de energía perdida considerando información histórica y nuevos planes de mejoras en pérdidas. </w:t>
      </w:r>
    </w:p>
    <w:p>
      <w:pPr>
        <w:keepNext w:val="0"/>
        <w:keepLines/>
        <w:pageBreakBefore w:val="0"/>
        <w:widowControl w:val="0"/>
        <w:numPr>
          <w:ilvl w:val="0"/>
          <w:numId w:val="0"/>
        </w:numPr>
        <w:spacing w:before="0" w:after="0" w:line="288" w:lineRule="auto"/>
        <w:ind w:left="1776" w:right="0" w:firstLine="0"/>
        <w:jc w:val="both"/>
        <w:outlineLvl w:val="9"/>
        <w:rPr>
          <w:rFonts w:ascii="Calibri" w:eastAsia="Calibri" w:hAnsi="Calibri" w:cs="Calibri"/>
          <w:b w:val="0"/>
          <w:i w:val="0"/>
          <w:color w:val="000000"/>
          <w:sz w:val="20"/>
          <w:u w:val="none"/>
        </w:rPr>
      </w:pPr>
    </w:p>
    <w:p>
      <w:pPr>
        <w:pStyle w:val="ListParagraph-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Crecimiento ventas físicas: Las ventas físicas se proyectan en base a información histórica entre un 2,0% a un 3,0% considerando crecimientos anualizados, más crecimiento adicional por nuevos planes de mejora en pérdidas a implementar durante el periodo de las estimaciones.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ListParagraph-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Crecimiento de clientes: Los clientes se proyectan en base a información histórica entre un 2,0% a un 3,0%.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extender las estimaciones se utilizaron los supuestos macroeconómicos (IPC, CPI, USD/CLP) extraídos desde distintas fuentes, entre las que se incluyen Bloomberg, Risk America y estimaciones internas de la Sociedad en base a información histórica.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el flujo terminal se utiliza una tasa de 3,0% que es la meta inflacionaria de largo plazo de Chile.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18"/>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tasa de descuento nominal después de impuesto aplicada al cierre de los estados financieros consolidados al </w:t>
      </w:r>
      <w:r>
        <w:rPr>
          <w:rFonts w:ascii="Calibri" w:eastAsia="Calibri" w:hAnsi="Calibri" w:cs="Calibri"/>
          <w:b w:val="0"/>
          <w:i w:val="0"/>
          <w:sz w:val="20"/>
        </w:rPr>
        <w:t>31 de diciembre de 2025</w:t>
      </w:r>
      <w:r>
        <w:rPr>
          <w:rFonts w:ascii="Calibri" w:eastAsia="Calibri" w:hAnsi="Calibri" w:cs="Calibri"/>
          <w:b w:val="0"/>
          <w:i w:val="0"/>
          <w:color w:val="000000"/>
          <w:sz w:val="20"/>
          <w:u w:val="none"/>
        </w:rPr>
        <w:t xml:space="preserve"> fue de un 6,63%.</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Como resultado de estas pruebas, Compañía General de Electricidad S.A. determinó que no existen deterioros en el rubro propiedades, planta y equipo, activos intangibles de vida útil indefinida y plusvalía al 31 de diciembre de 2025.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Adicionalmente, al </w:t>
      </w:r>
      <w:r>
        <w:rPr>
          <w:rFonts w:ascii="Calibri" w:eastAsia="Calibri" w:hAnsi="Calibri" w:cs="Calibri"/>
          <w:b w:val="0"/>
          <w:i w:val="0"/>
          <w:sz w:val="20"/>
        </w:rPr>
        <w:t>31 de diciembre de 2025</w:t>
      </w:r>
      <w:r>
        <w:rPr>
          <w:rFonts w:ascii="Calibri" w:eastAsia="Calibri" w:hAnsi="Calibri" w:cs="Calibri"/>
          <w:b w:val="0"/>
          <w:i w:val="0"/>
          <w:color w:val="000000"/>
          <w:sz w:val="20"/>
          <w:u w:val="none"/>
        </w:rPr>
        <w:t xml:space="preserve"> </w:t>
      </w:r>
      <w:r>
        <w:rPr>
          <w:rFonts w:ascii="Calibri" w:eastAsia="Calibri" w:hAnsi="Calibri" w:cs="Calibri"/>
          <w:b w:val="0"/>
          <w:i w:val="0"/>
          <w:sz w:val="20"/>
        </w:rPr>
        <w:t>se han realizado sensibilizaciones del efecto de la variación en la tasa de descuento, específicamente aumentándola y disminuyéndola en un 1%, teniendo el siguiente efecto en el valor presente de los flujos futuros M$ (993.728.553) y M$ 1.749.383.082, respectivamente.</w:t>
      </w:r>
    </w:p>
    <w:p>
      <w:pPr>
        <w:pStyle w:val="Normal-wk"/>
        <w:keepNext w:val="0"/>
        <w:keepLines/>
        <w:pageBreakBefore w:val="0"/>
        <w:widowControl w:val="0"/>
        <w:numPr>
          <w:ilvl w:val="0"/>
          <w:numId w:val="0"/>
        </w:numPr>
        <w:spacing w:before="0" w:after="0" w:line="240" w:lineRule="exact"/>
        <w:ind w:left="1416" w:right="0" w:firstLine="0"/>
        <w:jc w:val="both"/>
        <w:outlineLvl w:val="9"/>
        <w:sectPr>
          <w:type w:val="continuous"/>
          <w:pgSz w:w="12240" w:h="15840"/>
          <w:pgMar w:top="1134" w:right="1134" w:bottom="1134" w:left="1134" w:header="0" w:footer="283"/>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70" w:name="Section89"/>
      <w:bookmarkEnd w:id="170"/>
      <w:bookmarkStart w:id="171" w:name="0bc8c55d5da24a1db9779b2b27275bdf"/>
      <w:r>
        <w:rPr>
          <w:rFonts w:ascii="Calibri" w:eastAsia="Calibri" w:hAnsi="Calibri" w:cs="Calibri"/>
          <w:b/>
          <w:i w:val="0"/>
          <w:color w:val="000000"/>
          <w:sz w:val="20"/>
          <w:u w:val="none"/>
        </w:rPr>
        <w:t>18.2.-</w:t>
      </w:r>
      <w:r>
        <w:rPr>
          <w:rFonts w:ascii="Calibri" w:eastAsia="Calibri" w:hAnsi="Calibri" w:cs="Calibri"/>
          <w:b/>
          <w:i w:val="0"/>
          <w:color w:val="000000"/>
          <w:sz w:val="20"/>
          <w:u w:val="none"/>
        </w:rPr>
        <w:tab/>
      </w:r>
      <w:r>
        <w:rPr>
          <w:rFonts w:ascii="Calibri" w:eastAsia="Calibri" w:hAnsi="Calibri" w:cs="Calibri"/>
          <w:b/>
          <w:i w:val="0"/>
          <w:color w:val="000000"/>
          <w:sz w:val="20"/>
          <w:u w:val="none"/>
        </w:rPr>
        <w:t>Pérdidas por deterioro del valor y reversión de las pérdidas por deterioro del valor.</w:t>
      </w:r>
    </w:p>
    <w:p>
      <w:pPr>
        <w:keepNext w:val="0"/>
        <w:keepLines/>
        <w:pageBreakBefore w:val="0"/>
        <w:widowControl w:val="0"/>
        <w:numPr>
          <w:ilvl w:val="0"/>
          <w:numId w:val="0"/>
        </w:numPr>
        <w:spacing w:before="0" w:after="0" w:line="288" w:lineRule="auto"/>
        <w:ind w:left="0" w:right="0" w:firstLine="708"/>
        <w:jc w:val="both"/>
        <w:outlineLvl w:val="9"/>
        <w:rPr>
          <w:rFonts w:ascii="Calibri" w:eastAsia="Calibri" w:hAnsi="Calibri" w:cs="Calibri"/>
          <w:b w:val="0"/>
          <w:i w:val="0"/>
          <w:color w:val="000000"/>
          <w:sz w:val="20"/>
          <w:u w:val="none"/>
        </w:rPr>
      </w:pPr>
      <w:bookmarkEnd w:id="17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montos reconocidos en resultados por pérdidas por deterioro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Pérdidas por deterioro del valor y reversión de las pérdidas por deterioro del valor</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800" w:type="dxa"/>
            <w:gridSpan w:val="2"/>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Activos financieros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c>
          <w:tcPr>
            <w:tcW w:w="9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financieros</w:t>
            </w:r>
          </w:p>
        </w:tc>
        <w:tc>
          <w:tcPr>
            <w:tcW w:w="90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4950" w:type="dxa"/>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Reversión de pérdidas por deterioro de valor reconocidas en el resultado del periodo.</w:t>
            </w:r>
          </w:p>
        </w:tc>
        <w:tc>
          <w:tcPr>
            <w:tcW w:w="900" w:type="dxa"/>
            <w:tcBorders>
              <w:top w:val="nil"/>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355.668</w:t>
            </w:r>
          </w:p>
        </w:tc>
        <w:tc>
          <w:tcPr>
            <w:tcW w:w="900" w:type="dxa"/>
            <w:tcBorders>
              <w:top w:val="nil"/>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355.668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(468.199)</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(468.199)</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65"/>
        <w:gridCol w:w="900"/>
        <w:gridCol w:w="900"/>
        <w:gridCol w:w="900"/>
        <w:gridCol w:w="900"/>
      </w:tblGrid>
      <w:tr>
        <w:tblPrEx>
          <w:tblW w:w="8565" w:type="dxa"/>
          <w:tblInd w:w="1417" w:type="dxa"/>
          <w:tblLayout w:type="fixed"/>
        </w:tblPrEx>
        <w:trPr>
          <w:cantSplit/>
          <w:trHeight w:hRule="auto" w:val="0"/>
        </w:trPr>
        <w:tc>
          <w:tcPr>
            <w:tcW w:w="49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Pérdidas por deterioro del valor y reversión de las pérdidas por deterioro del valor</w:t>
            </w:r>
          </w:p>
        </w:tc>
        <w:tc>
          <w:tcPr>
            <w:tcW w:w="180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8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65" w:type="dxa"/>
          <w:tblInd w:w="1417" w:type="dxa"/>
          <w:tblLayout w:type="fixed"/>
        </w:tblPrEx>
        <w:trPr>
          <w:cantSplit/>
          <w:trHeight w:hRule="auto" w:val="0"/>
        </w:trPr>
        <w:tc>
          <w:tcPr>
            <w:tcW w:w="4965" w:type="dxa"/>
            <w:vMerge/>
            <w:tcBorders>
              <w:top w:val="nil"/>
              <w:left w:val="single" w:sz="2" w:space="0" w:color="000000"/>
              <w:bottom w:val="nil"/>
              <w:right w:val="single" w:sz="4" w:space="0" w:color="FFFFFF"/>
            </w:tcBorders>
          </w:tcPr>
          <w:p>
            <w:pPr>
              <w:keepNext/>
              <w:pageBreakBefore w:val="0"/>
            </w:pPr>
          </w:p>
        </w:tc>
        <w:tc>
          <w:tcPr>
            <w:tcW w:w="180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8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65" w:type="dxa"/>
          <w:tblInd w:w="1417" w:type="dxa"/>
          <w:tblLayout w:type="fixed"/>
        </w:tblPrEx>
        <w:trPr>
          <w:cantSplit/>
          <w:trHeight w:hRule="auto" w:val="0"/>
        </w:trPr>
        <w:tc>
          <w:tcPr>
            <w:tcW w:w="4965"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Activos financieros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Activos financieros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65" w:type="dxa"/>
          <w:tblInd w:w="1417" w:type="dxa"/>
          <w:tblLayout w:type="fixed"/>
        </w:tblPrEx>
        <w:trPr>
          <w:cantSplit/>
          <w:trHeight w:hRule="auto" w:val="0"/>
        </w:trPr>
        <w:tc>
          <w:tcPr>
            <w:tcW w:w="4965"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65" w:type="dxa"/>
          <w:tblInd w:w="1417" w:type="dxa"/>
          <w:tblLayout w:type="fixed"/>
        </w:tblPrEx>
        <w:trPr>
          <w:cantSplit/>
          <w:trHeight w:hRule="auto" w:val="0"/>
        </w:trPr>
        <w:tc>
          <w:tcPr>
            <w:tcW w:w="49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Pérdidas por deterioro de valor reconocidas en el resultado del periodo.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(22.589.058)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(22.589.058)</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(13.993.462)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(13.993.462)</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reversiones y (pérdidas) por deterioro de activos financieros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corresponden al deterioro de cuentas por cobrar registrado en nota 8.5.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283"/>
          <w:cols w:space="708"/>
        </w:sectPr>
      </w:pPr>
    </w:p>
    <w:p>
      <w:pPr>
        <w:pStyle w:val="Heading1-wk"/>
        <w:keepNext w:val="0"/>
        <w:keepLines/>
        <w:pageBreakBefore w:val="0"/>
        <w:widowControl w:val="0"/>
        <w:numPr>
          <w:ilvl w:val="0"/>
          <w:numId w:val="0"/>
        </w:numPr>
        <w:spacing w:before="0" w:after="0" w:line="288" w:lineRule="auto"/>
        <w:ind w:left="0" w:right="0" w:firstLine="0"/>
        <w:jc w:val="left"/>
        <w:outlineLvl w:val="0"/>
        <w:rPr>
          <w:rFonts w:ascii="Calibri" w:eastAsia="Calibri" w:hAnsi="Calibri" w:cs="Calibri"/>
          <w:b/>
          <w:i w:val="0"/>
          <w:color w:val="000000"/>
          <w:sz w:val="20"/>
          <w:u w:val="none"/>
        </w:rPr>
      </w:pPr>
      <w:bookmarkStart w:id="172" w:name="Section90"/>
      <w:bookmarkEnd w:id="172"/>
      <w:bookmarkStart w:id="173" w:name="d9e3454b48a84c5b8dc5964e724e8f2d"/>
      <w:r>
        <w:rPr>
          <w:rFonts w:ascii="Calibri" w:eastAsia="Calibri" w:hAnsi="Calibri" w:cs="Calibri"/>
          <w:b/>
          <w:i w:val="0"/>
          <w:color w:val="000000"/>
          <w:sz w:val="20"/>
          <w:u w:val="none"/>
        </w:rPr>
        <w:t>19.-</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IMPUESTOS DIFERIDOS.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73"/>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283"/>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74" w:name="Section91"/>
      <w:bookmarkEnd w:id="174"/>
      <w:bookmarkStart w:id="175" w:name="faf8ab05e94e4c17b3388270a539424c"/>
      <w:r>
        <w:rPr>
          <w:rFonts w:ascii="Calibri" w:eastAsia="Calibri" w:hAnsi="Calibri" w:cs="Calibri"/>
          <w:b/>
          <w:i w:val="0"/>
          <w:color w:val="000000"/>
          <w:sz w:val="20"/>
          <w:u w:val="none"/>
        </w:rPr>
        <w:t>19.1.-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ingresos anticipados.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5.609.475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obligaciones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9.595.970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pérdidas fiscales.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272.447.872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54.607.569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los inventarios.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426.268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contratos de leasing.</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8.638.687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34.307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351.360.148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recuperación de los saldos de activos por impuestos diferidos, requieren de la obtención de utilidades tributarias suficientes en el futuro. Compañía General de Electricidad S.A. estima con proyecciones futuras de utilidades que estas cubrirán el recupero de estos activos.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relativos a pérdidas fiscales corresponden principalmente a la base imponible negativa de Compañía General de Electricidad S.A. Estos créditos se han generado básicamente por la aplicación de un incentivo fiscal de depreciación. La recuperación de estos créditos está asegurada por no tener plazo de vencimiento y corresponden a sociedades que han venido obteniendo históricamente beneficios de manera recurrente.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283"/>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76" w:name="Section92"/>
      <w:bookmarkEnd w:id="176"/>
      <w:bookmarkStart w:id="177" w:name="32abeb89a0be4235ad3eb20e26c7a0e8"/>
      <w:r>
        <w:rPr>
          <w:rFonts w:ascii="Calibri" w:eastAsia="Calibri" w:hAnsi="Calibri" w:cs="Calibri"/>
          <w:b/>
          <w:i w:val="0"/>
          <w:color w:val="000000"/>
          <w:sz w:val="20"/>
          <w:u w:val="none"/>
        </w:rPr>
        <w:t>19.2.-</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7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 y equipos.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161.019.428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intangibles.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63.853.777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113.063.700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844.157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1.838.090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340.619.152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283"/>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78" w:name="Section93"/>
      <w:bookmarkEnd w:id="178"/>
      <w:bookmarkStart w:id="179" w:name="f088291d176f4213b97d817dd7c4e149"/>
      <w:r>
        <w:rPr>
          <w:rFonts w:ascii="Calibri" w:eastAsia="Calibri" w:hAnsi="Calibri" w:cs="Calibri"/>
          <w:b/>
          <w:i w:val="0"/>
          <w:color w:val="000000"/>
          <w:sz w:val="20"/>
          <w:u w:val="none"/>
        </w:rPr>
        <w:t>19.3.-</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Movimientos de impuesto diferido del estado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79"/>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activos por impuestos diferidos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351.360.148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274.854.172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(1.179.266)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75.774.164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(376.454)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731.812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activos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(1.555.720)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76.505.976</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349.804.428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351.360.148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pasivos por impuestos diferidos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340.619.152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266.128.866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(340.619.152)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74.490.286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pasivos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(340.619.152)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74.490.286</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340.619.152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283"/>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80" w:name="Section94"/>
      <w:bookmarkEnd w:id="180"/>
      <w:bookmarkStart w:id="181" w:name="43709297311e4513948afa489eef06ca"/>
      <w:r>
        <w:rPr>
          <w:rFonts w:ascii="Calibri" w:eastAsia="Calibri" w:hAnsi="Calibri" w:cs="Calibri"/>
          <w:b/>
          <w:i w:val="0"/>
          <w:color w:val="000000"/>
          <w:sz w:val="20"/>
          <w:u w:val="none"/>
        </w:rPr>
        <w:t>19.4.-</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Compensación de partidas.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18"/>
          <w:u w:val="none"/>
        </w:rPr>
      </w:pPr>
      <w:bookmarkEnd w:id="18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activos y pasivos se compensan cuando existe derecho legalmente ejecutable de compensar los activos tributarios corrientes contra los pasivos tributarios corrientes y cuando los impuestos a la renta diferidos activos y pasivos están relacionados con el impuesto a la renta que grava la misma autoridad tributaria a la misma entidad gravada o a diferentes entidades gravadas por las que existe la intención de liquidar los saldos sobre bases netas. Los montos compensados son los siguientes: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00"/>
        <w:gridCol w:w="975"/>
        <w:gridCol w:w="975"/>
        <w:gridCol w:w="975"/>
        <w:gridCol w:w="975"/>
        <w:gridCol w:w="975"/>
        <w:gridCol w:w="975"/>
      </w:tblGrid>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92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7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9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r>
      <w:tr>
        <w:tblPrEx>
          <w:tblW w:w="8550" w:type="dxa"/>
          <w:tblInd w:w="1417" w:type="dxa"/>
          <w:tblLayout w:type="fixed"/>
        </w:tblPrEx>
        <w:trPr>
          <w:cantSplit/>
          <w:trHeight w:hRule="auto" w:val="0"/>
        </w:trPr>
        <w:tc>
          <w:tcPr>
            <w:tcW w:w="27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351.360.148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(312.025.482)</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39.334.666</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por impuestos diferidos.</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(340.619.152)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312.025.482</w:t>
            </w:r>
          </w:p>
        </w:tc>
        <w:tc>
          <w:tcPr>
            <w:tcW w:w="9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(28.593.670)</w:t>
            </w:r>
          </w:p>
        </w:tc>
      </w:tr>
      <w:tr>
        <w:tblPrEx>
          <w:tblW w:w="8550" w:type="dxa"/>
          <w:tblInd w:w="1417" w:type="dxa"/>
          <w:tblLayout w:type="fixed"/>
        </w:tblPrEx>
        <w:trPr>
          <w:cantSplit/>
          <w:trHeight w:hRule="auto" w:val="0"/>
        </w:trPr>
        <w:tc>
          <w:tcPr>
            <w:tcW w:w="27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10.740.996</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10.740.996</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283"/>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82" w:name="Section95"/>
      <w:bookmarkEnd w:id="182"/>
      <w:bookmarkStart w:id="183" w:name="242e5e9abc514d9fb3672152e51ec423"/>
      <w:r>
        <w:rPr>
          <w:rFonts w:ascii="Calibri" w:eastAsia="Calibri" w:hAnsi="Calibri" w:cs="Calibri"/>
          <w:b/>
          <w:i w:val="0"/>
          <w:color w:val="000000"/>
          <w:sz w:val="20"/>
          <w:u w:val="none"/>
        </w:rPr>
        <w:t>20.-</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FINANCIEROS</w:t>
      </w:r>
      <w:r>
        <w:rPr>
          <w:rFonts w:ascii="Calibri" w:eastAsia="Calibri" w:hAnsi="Calibri" w:cs="Calibri"/>
          <w:b w:val="0"/>
          <w:i w:val="0"/>
          <w:color w:val="365F91"/>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3"/>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para los cierres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283"/>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84" w:name="Section96"/>
      <w:bookmarkEnd w:id="184"/>
      <w:bookmarkStart w:id="185" w:name="0f2383f037a74e179abb3a6c6c711016"/>
      <w:r>
        <w:rPr>
          <w:rFonts w:ascii="Calibri" w:eastAsia="Calibri" w:hAnsi="Calibri" w:cs="Calibri"/>
          <w:b/>
          <w:i w:val="0"/>
          <w:color w:val="000000"/>
          <w:sz w:val="20"/>
          <w:u w:val="none"/>
        </w:rPr>
        <w:t>20.1.-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Clases de otros pasivos financieros.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50"/>
        <w:gridCol w:w="900"/>
        <w:gridCol w:w="1200"/>
        <w:gridCol w:w="1200"/>
        <w:gridCol w:w="1200"/>
        <w:gridCol w:w="1200"/>
      </w:tblGrid>
      <w:tr>
        <w:tblPrEx>
          <w:tblW w:w="8550" w:type="dxa"/>
          <w:tblInd w:w="1417" w:type="dxa"/>
          <w:tblLayout w:type="fixed"/>
        </w:tblPrEx>
        <w:trPr>
          <w:cantSplit/>
          <w:trHeight w:hRule="auto" w:val="0"/>
        </w:trPr>
        <w:tc>
          <w:tcPr>
            <w:tcW w:w="28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 Pasivos financieros</w:t>
            </w:r>
          </w:p>
        </w:tc>
        <w:tc>
          <w:tcPr>
            <w:tcW w:w="9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2850" w:type="dxa"/>
            <w:vMerge/>
            <w:tcBorders>
              <w:top w:val="nil"/>
              <w:left w:val="single" w:sz="2" w:space="0" w:color="000000"/>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Corrientes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2850" w:type="dxa"/>
            <w:vMerge/>
            <w:tcBorders>
              <w:top w:val="nil"/>
              <w:left w:val="single" w:sz="2" w:space="0" w:color="000000"/>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CL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8.588.626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2.200.000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225.138.953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52.085.380</w:t>
            </w:r>
          </w:p>
        </w:tc>
      </w:tr>
      <w:tr>
        <w:tblPrEx>
          <w:tblW w:w="8550" w:type="dxa"/>
          <w:tblInd w:w="1417" w:type="dxa"/>
          <w:tblLayout w:type="fixed"/>
        </w:tblPrEx>
        <w:trPr>
          <w:cantSplit/>
          <w:trHeight w:hRule="exact" w:val="24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20.888.860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1.624.497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52.355.645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73.617.582</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bancarios.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CNH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79.402.470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51.757.399</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 préstamos bancarios</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29.477.486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3.824.497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356.897.068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177.460.361</w:t>
            </w:r>
          </w:p>
        </w:tc>
      </w:tr>
      <w:tr>
        <w:tblPrEx>
          <w:tblW w:w="8550" w:type="dxa"/>
          <w:tblInd w:w="1417" w:type="dxa"/>
          <w:tblLayout w:type="fixed"/>
        </w:tblPrEx>
        <w:trPr>
          <w:cantSplit/>
          <w:trHeight w:hRule="auto" w:val="0"/>
        </w:trPr>
        <w:tc>
          <w:tcPr>
            <w:tcW w:w="28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Obligaciones con el público (bonos)</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U.F.</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55.078.849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613.883.957</w:t>
            </w:r>
          </w:p>
        </w:tc>
      </w:tr>
      <w:tr>
        <w:tblPrEx>
          <w:tblW w:w="8550" w:type="dxa"/>
          <w:tblInd w:w="1417" w:type="dxa"/>
          <w:tblLayout w:type="fixed"/>
        </w:tblPrEx>
        <w:trPr>
          <w:cantSplit/>
          <w:trHeight w:hRule="auto" w:val="0"/>
        </w:trPr>
        <w:tc>
          <w:tcPr>
            <w:tcW w:w="28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de cobertura (Nota 7.1).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US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2.609.962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2.375.397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2.496.340</w:t>
            </w:r>
          </w:p>
        </w:tc>
      </w:tr>
      <w:tr>
        <w:tblPrEx>
          <w:tblW w:w="8550" w:type="dxa"/>
          <w:tblInd w:w="1417" w:type="dxa"/>
          <w:tblLayout w:type="fixed"/>
        </w:tblPrEx>
        <w:trPr>
          <w:cantSplit/>
          <w:trHeight w:hRule="exact" w:val="255"/>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val="0"/>
                <w:i w:val="0"/>
                <w:color w:val="000000"/>
                <w:sz w:val="16"/>
                <w:u w:val="none"/>
              </w:rPr>
              <w:t>Pasivos de cobertura (Nota 7.1).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r>
              <w:rPr>
                <w:rFonts w:ascii="Calibri" w:eastAsia="Calibri" w:hAnsi="Calibri" w:cs="Calibri"/>
                <w:b w:val="0"/>
                <w:i w:val="0"/>
                <w:color w:val="000000"/>
                <w:sz w:val="16"/>
                <w:u w:val="none"/>
              </w:rPr>
              <w:t>EUR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133.254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4.502.356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126.452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4.469.564</w:t>
            </w:r>
          </w:p>
        </w:tc>
      </w:tr>
      <w:tr>
        <w:tblPrEx>
          <w:tblW w:w="8550" w:type="dxa"/>
          <w:tblInd w:w="1417" w:type="dxa"/>
          <w:tblLayout w:type="fixed"/>
        </w:tblPrEx>
        <w:trPr>
          <w:cantSplit/>
          <w:trHeight w:hRule="auto" w:val="0"/>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de cobertura (Nota 7.1).</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CNH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2.023.164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143.119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2.932.900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1.908.940</w:t>
            </w:r>
          </w:p>
        </w:tc>
      </w:tr>
      <w:tr>
        <w:tblPrEx>
          <w:tblW w:w="8550" w:type="dxa"/>
          <w:tblInd w:w="1417" w:type="dxa"/>
          <w:tblLayout w:type="fixed"/>
        </w:tblPrEx>
        <w:trPr>
          <w:cantSplit/>
          <w:trHeight w:hRule="exact" w:val="255"/>
        </w:trPr>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6"/>
                <w:u w:val="none"/>
              </w:rPr>
              <w:t>Pasivos de cobertura</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center"/>
            </w:pP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4.766.380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4.645.475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5.434.749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8.874.844</w:t>
            </w:r>
          </w:p>
        </w:tc>
      </w:tr>
      <w:tr>
        <w:tblPrEx>
          <w:tblW w:w="8550" w:type="dxa"/>
          <w:tblInd w:w="1417" w:type="dxa"/>
          <w:tblLayout w:type="fixed"/>
        </w:tblPrEx>
        <w:trPr>
          <w:cantSplit/>
          <w:trHeight w:hRule="auto" w:val="0"/>
        </w:trPr>
        <w:tc>
          <w:tcPr>
            <w:tcW w:w="28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34.243.866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8.469.972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417.410.666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800.219.162</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14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CL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Peso chileno.</w:t>
      </w:r>
    </w:p>
    <w:p>
      <w:pPr>
        <w:pStyle w:val="Normal-wk"/>
        <w:keepNext w:val="0"/>
        <w:keepLines/>
        <w:pageBreakBefore w:val="0"/>
        <w:widowControl w:val="0"/>
        <w:numPr>
          <w:ilvl w:val="0"/>
          <w:numId w:val="0"/>
        </w:numPr>
        <w:tabs>
          <w:tab w:val="left" w:pos="1400"/>
        </w:tabs>
        <w:spacing w:before="0" w:after="0" w:line="216"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US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Dólar</w:t>
      </w:r>
      <w:r>
        <w:rPr>
          <w:rFonts w:ascii="Calibri" w:eastAsia="Calibri" w:hAnsi="Calibri" w:cs="Calibri"/>
          <w:b w:val="0"/>
          <w:i w:val="0"/>
          <w:color w:val="000000"/>
          <w:sz w:val="18"/>
          <w:u w:val="none"/>
        </w:rPr>
        <w:t xml:space="preserve"> estadounidense.</w:t>
      </w:r>
    </w:p>
    <w:p>
      <w:pPr>
        <w:pStyle w:val="Normal-wk"/>
        <w:keepNext w:val="0"/>
        <w:keepLines/>
        <w:pageBreakBefore w:val="0"/>
        <w:widowControl w:val="0"/>
        <w:numPr>
          <w:ilvl w:val="0"/>
          <w:numId w:val="0"/>
        </w:numPr>
        <w:tabs>
          <w:tab w:val="left" w:pos="14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8"/>
          <w:u w:val="none"/>
        </w:rPr>
        <w:t>U.F.</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Unidad de fomento.</w:t>
      </w:r>
    </w:p>
    <w:p>
      <w:pPr>
        <w:pStyle w:val="Normal-wk"/>
        <w:keepNext w:val="0"/>
        <w:keepLines/>
        <w:pageBreakBefore w:val="0"/>
        <w:widowControl w:val="0"/>
        <w:numPr>
          <w:ilvl w:val="0"/>
          <w:numId w:val="0"/>
        </w:numPr>
        <w:tabs>
          <w:tab w:val="left" w:pos="1400"/>
        </w:tabs>
        <w:spacing w:before="0" w:after="0" w:line="288" w:lineRule="auto"/>
        <w:ind w:left="1417" w:right="0" w:firstLine="0"/>
        <w:jc w:val="both"/>
        <w:outlineLvl w:val="9"/>
        <w:rPr>
          <w:rFonts w:ascii="Calibri" w:eastAsia="Calibri" w:hAnsi="Calibri" w:cs="Calibri"/>
          <w:b w:val="0"/>
          <w:i w:val="0"/>
          <w:color w:val="000000"/>
          <w:sz w:val="18"/>
          <w:u w:val="none"/>
        </w:rPr>
      </w:pPr>
      <w:r>
        <w:rPr>
          <w:rFonts w:ascii="Calibri" w:eastAsia="Calibri" w:hAnsi="Calibri" w:cs="Calibri"/>
          <w:b w:val="0"/>
          <w:i w:val="0"/>
          <w:color w:val="000000"/>
          <w:sz w:val="18"/>
          <w:u w:val="none"/>
        </w:rPr>
        <w:t>EUR $</w:t>
      </w:r>
      <w:r>
        <w:rPr>
          <w:rFonts w:ascii="Calibri" w:eastAsia="Calibri" w:hAnsi="Calibri" w:cs="Calibri"/>
          <w:b w:val="0"/>
          <w:i w:val="0"/>
          <w:color w:val="000000"/>
          <w:sz w:val="18"/>
          <w:u w:val="none"/>
        </w:rPr>
        <w:tab/>
      </w:r>
      <w:r>
        <w:rPr>
          <w:rFonts w:ascii="Calibri" w:eastAsia="Calibri" w:hAnsi="Calibri" w:cs="Calibri"/>
          <w:b w:val="0"/>
          <w:i w:val="0"/>
          <w:color w:val="000000"/>
          <w:sz w:val="18"/>
          <w:u w:val="none"/>
        </w:rPr>
        <w:t>: Euro.</w:t>
      </w:r>
    </w:p>
    <w:p>
      <w:pPr>
        <w:keepNext w:val="0"/>
        <w:keepLines/>
        <w:pageBreakBefore w:val="0"/>
        <w:widowControl w:val="0"/>
        <w:numPr>
          <w:ilvl w:val="0"/>
          <w:numId w:val="0"/>
        </w:numPr>
        <w:tabs>
          <w:tab w:val="left" w:pos="1400"/>
        </w:tabs>
        <w:spacing w:before="0" w:after="0" w:line="288" w:lineRule="auto"/>
        <w:ind w:left="1417" w:right="0" w:firstLine="0"/>
        <w:jc w:val="both"/>
        <w:outlineLvl w:val="9"/>
        <w:rPr>
          <w:rFonts w:ascii="Calibri" w:eastAsia="Calibri" w:hAnsi="Calibri" w:cs="Calibri"/>
          <w:b w:val="0"/>
          <w:i w:val="0"/>
          <w:color w:val="000000"/>
          <w:sz w:val="18"/>
          <w:u w:val="none"/>
        </w:rPr>
      </w:pPr>
      <w:r>
        <w:rPr>
          <w:rFonts w:ascii="Calibri" w:eastAsia="Calibri" w:hAnsi="Calibri" w:cs="Calibri"/>
          <w:b w:val="0"/>
          <w:i w:val="0"/>
          <w:sz w:val="18"/>
        </w:rPr>
        <w:t>CNH $</w:t>
      </w:r>
      <w:r>
        <w:rPr>
          <w:rFonts w:ascii="Calibri" w:eastAsia="Calibri" w:hAnsi="Calibri" w:cs="Calibri"/>
          <w:b w:val="0"/>
          <w:i w:val="0"/>
          <w:sz w:val="18"/>
        </w:rPr>
        <w:tab/>
      </w:r>
      <w:r>
        <w:rPr>
          <w:rFonts w:ascii="Calibri" w:eastAsia="Calibri" w:hAnsi="Calibri" w:cs="Calibri"/>
          <w:b w:val="0"/>
          <w:i w:val="0"/>
          <w:sz w:val="18"/>
        </w:rPr>
        <w:t>: Yuan chino.</w:t>
      </w:r>
    </w:p>
    <w:p>
      <w:pPr>
        <w:keepNext w:val="0"/>
        <w:keepLines/>
        <w:pageBreakBefore w:val="0"/>
        <w:widowControl w:val="0"/>
        <w:numPr>
          <w:ilvl w:val="0"/>
          <w:numId w:val="0"/>
        </w:numPr>
        <w:tabs>
          <w:tab w:val="left" w:pos="1400"/>
        </w:tabs>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283"/>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86" w:name="Section97"/>
      <w:bookmarkEnd w:id="186"/>
      <w:bookmarkStart w:id="187" w:name="5af8340b3b5b440988dd5b08a6b9c634"/>
      <w:r>
        <w:rPr>
          <w:rFonts w:ascii="Calibri" w:eastAsia="Calibri" w:hAnsi="Calibri" w:cs="Calibri"/>
          <w:b/>
          <w:i w:val="0"/>
          <w:color w:val="000000"/>
          <w:sz w:val="20"/>
          <w:u w:val="none"/>
        </w:rPr>
        <w:t>20.2.-</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bancarios - desglose de monedas y vencimientos.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7"/>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9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5"/>
        <w:gridCol w:w="645"/>
        <w:gridCol w:w="1785"/>
        <w:gridCol w:w="1545"/>
        <w:gridCol w:w="480"/>
        <w:gridCol w:w="765"/>
        <w:gridCol w:w="465"/>
        <w:gridCol w:w="465"/>
        <w:gridCol w:w="600"/>
        <w:gridCol w:w="720"/>
        <w:gridCol w:w="720"/>
        <w:gridCol w:w="720"/>
        <w:gridCol w:w="720"/>
        <w:gridCol w:w="720"/>
        <w:gridCol w:w="720"/>
        <w:gridCol w:w="720"/>
      </w:tblGrid>
      <w:tr>
        <w:tblPrEx>
          <w:tblW w:w="12195" w:type="dxa"/>
          <w:tblInd w:w="709" w:type="dxa"/>
          <w:tblLayout w:type="fixed"/>
        </w:tblPrEx>
        <w:trPr>
          <w:cantSplit/>
          <w:trHeight w:hRule="exact" w:val="255"/>
          <w:tblHeader/>
        </w:trPr>
        <w:tc>
          <w:tcPr>
            <w:tcW w:w="4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País</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RUT Empresa Deudora</w:t>
            </w:r>
          </w:p>
        </w:tc>
        <w:tc>
          <w:tcPr>
            <w:tcW w:w="178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Sociedad deudora</w:t>
            </w:r>
          </w:p>
        </w:tc>
        <w:tc>
          <w:tcPr>
            <w:tcW w:w="15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Institución acreedora</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Moneda</w:t>
            </w:r>
          </w:p>
        </w:tc>
        <w:tc>
          <w:tcPr>
            <w:tcW w:w="7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Tipo de amortización</w:t>
            </w:r>
          </w:p>
        </w:tc>
        <w:tc>
          <w:tcPr>
            <w:tcW w:w="4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 xml:space="preserve">Tasa efectiva anual </w:t>
            </w:r>
          </w:p>
        </w:tc>
        <w:tc>
          <w:tcPr>
            <w:tcW w:w="4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Tasa nominal anual</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Garantía</w:t>
            </w:r>
          </w:p>
        </w:tc>
        <w:tc>
          <w:tcPr>
            <w:tcW w:w="28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Corrientes</w:t>
            </w:r>
          </w:p>
        </w:tc>
        <w:tc>
          <w:tcPr>
            <w:tcW w:w="216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No Corrientes</w:t>
            </w:r>
          </w:p>
        </w:tc>
      </w:tr>
      <w:tr>
        <w:tblPrEx>
          <w:tblW w:w="12195" w:type="dxa"/>
          <w:tblInd w:w="709" w:type="dxa"/>
          <w:tblLayout w:type="fixed"/>
        </w:tblPrEx>
        <w:trPr>
          <w:cantSplit/>
          <w:trHeight w:hRule="exact" w:val="255"/>
          <w:tblHeader/>
        </w:trPr>
        <w:tc>
          <w:tcPr>
            <w:tcW w:w="405" w:type="dxa"/>
            <w:vMerge/>
            <w:tcBorders>
              <w:top w:val="nil"/>
              <w:left w:val="single" w:sz="2" w:space="0" w:color="000000"/>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785" w:type="dxa"/>
            <w:vMerge/>
            <w:tcBorders>
              <w:top w:val="nil"/>
              <w:left w:val="single" w:sz="4" w:space="0" w:color="FFFFFF"/>
              <w:bottom w:val="nil"/>
              <w:right w:val="nil"/>
            </w:tcBorders>
          </w:tcPr>
          <w:p>
            <w:pPr>
              <w:keepNext/>
              <w:pageBreakBefore w:val="0"/>
            </w:pPr>
          </w:p>
        </w:tc>
        <w:tc>
          <w:tcPr>
            <w:tcW w:w="1545"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465" w:type="dxa"/>
            <w:vMerge/>
            <w:tcBorders>
              <w:top w:val="nil"/>
              <w:left w:val="single" w:sz="4" w:space="0" w:color="FFFFFF"/>
              <w:bottom w:val="nil"/>
              <w:right w:val="nil"/>
            </w:tcBorders>
          </w:tcPr>
          <w:p>
            <w:pPr>
              <w:keepNext/>
              <w:pageBreakBefore w:val="0"/>
            </w:pPr>
          </w:p>
        </w:tc>
        <w:tc>
          <w:tcPr>
            <w:tcW w:w="46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single" w:sz="4" w:space="0" w:color="FFFFFF"/>
            </w:tcBorders>
          </w:tcPr>
          <w:p>
            <w:pPr>
              <w:keepNext/>
              <w:pageBreakBefore w:val="0"/>
            </w:pPr>
          </w:p>
        </w:tc>
        <w:tc>
          <w:tcPr>
            <w:tcW w:w="216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2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corrientes</w:t>
            </w:r>
          </w:p>
        </w:tc>
        <w:tc>
          <w:tcPr>
            <w:tcW w:w="144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2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no corrientes</w:t>
            </w:r>
          </w:p>
        </w:tc>
      </w:tr>
      <w:tr>
        <w:tblPrEx>
          <w:tblW w:w="12195" w:type="dxa"/>
          <w:tblInd w:w="709" w:type="dxa"/>
          <w:tblLayout w:type="fixed"/>
        </w:tblPrEx>
        <w:trPr>
          <w:cantSplit/>
          <w:trHeight w:hRule="exact" w:val="255"/>
          <w:tblHeader/>
        </w:trPr>
        <w:tc>
          <w:tcPr>
            <w:tcW w:w="405" w:type="dxa"/>
            <w:vMerge/>
            <w:tcBorders>
              <w:top w:val="nil"/>
              <w:left w:val="single" w:sz="2" w:space="0" w:color="000000"/>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785" w:type="dxa"/>
            <w:vMerge/>
            <w:tcBorders>
              <w:top w:val="nil"/>
              <w:left w:val="single" w:sz="4" w:space="0" w:color="FFFFFF"/>
              <w:bottom w:val="nil"/>
              <w:right w:val="nil"/>
            </w:tcBorders>
          </w:tcPr>
          <w:p>
            <w:pPr>
              <w:keepNext/>
              <w:pageBreakBefore w:val="0"/>
            </w:pPr>
          </w:p>
        </w:tc>
        <w:tc>
          <w:tcPr>
            <w:tcW w:w="1545"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465" w:type="dxa"/>
            <w:vMerge/>
            <w:tcBorders>
              <w:top w:val="nil"/>
              <w:left w:val="single" w:sz="4" w:space="0" w:color="FFFFFF"/>
              <w:bottom w:val="nil"/>
              <w:right w:val="nil"/>
            </w:tcBorders>
          </w:tcPr>
          <w:p>
            <w:pPr>
              <w:keepNext/>
              <w:pageBreakBefore w:val="0"/>
            </w:pPr>
          </w:p>
        </w:tc>
        <w:tc>
          <w:tcPr>
            <w:tcW w:w="46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hasta 1 mes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a 3 meses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 a 12 meses</w:t>
            </w: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hasta 2 años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2</w:t>
            </w:r>
            <w:r>
              <w:br/>
            </w:r>
            <w:r>
              <w:rPr>
                <w:rFonts w:ascii="Calibri" w:eastAsia="Calibri" w:hAnsi="Calibri" w:cs="Calibri"/>
                <w:b/>
                <w:i w:val="0"/>
                <w:color w:val="FFFFFF"/>
                <w:sz w:val="10"/>
                <w:u w:val="none"/>
              </w:rPr>
              <w:t>hasta 3 años</w:t>
            </w:r>
          </w:p>
        </w:tc>
        <w:tc>
          <w:tcPr>
            <w:tcW w:w="72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r>
      <w:tr>
        <w:tblPrEx>
          <w:tblW w:w="12195" w:type="dxa"/>
          <w:tblInd w:w="709" w:type="dxa"/>
          <w:tblLayout w:type="fixed"/>
        </w:tblPrEx>
        <w:trPr>
          <w:cantSplit/>
          <w:trHeight w:hRule="exact" w:val="255"/>
          <w:tblHeader/>
        </w:trPr>
        <w:tc>
          <w:tcPr>
            <w:tcW w:w="405" w:type="dxa"/>
            <w:vMerge/>
            <w:tcBorders>
              <w:top w:val="nil"/>
              <w:left w:val="single" w:sz="2" w:space="0" w:color="000000"/>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1785" w:type="dxa"/>
            <w:vMerge/>
            <w:tcBorders>
              <w:top w:val="nil"/>
              <w:left w:val="single" w:sz="4" w:space="0" w:color="FFFFFF"/>
              <w:bottom w:val="single" w:sz="2" w:space="0" w:color="000000"/>
              <w:right w:val="nil"/>
            </w:tcBorders>
          </w:tcPr>
          <w:p>
            <w:pPr>
              <w:keepNext/>
              <w:pageBreakBefore w:val="0"/>
            </w:pPr>
          </w:p>
        </w:tc>
        <w:tc>
          <w:tcPr>
            <w:tcW w:w="1545" w:type="dxa"/>
            <w:vMerge/>
            <w:tcBorders>
              <w:top w:val="nil"/>
              <w:left w:val="single" w:sz="4" w:space="0" w:color="FFFFFF"/>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765" w:type="dxa"/>
            <w:vMerge/>
            <w:tcBorders>
              <w:top w:val="nil"/>
              <w:left w:val="single" w:sz="4" w:space="0" w:color="FFFFFF"/>
              <w:bottom w:val="single" w:sz="2" w:space="0" w:color="000000"/>
              <w:right w:val="nil"/>
            </w:tcBorders>
          </w:tcPr>
          <w:p>
            <w:pPr>
              <w:keepNext/>
              <w:pageBreakBefore w:val="0"/>
            </w:pPr>
          </w:p>
        </w:tc>
        <w:tc>
          <w:tcPr>
            <w:tcW w:w="465" w:type="dxa"/>
            <w:vMerge/>
            <w:tcBorders>
              <w:top w:val="nil"/>
              <w:left w:val="single" w:sz="4" w:space="0" w:color="FFFFFF"/>
              <w:bottom w:val="single" w:sz="2" w:space="0" w:color="000000"/>
              <w:right w:val="nil"/>
            </w:tcBorders>
          </w:tcPr>
          <w:p>
            <w:pPr>
              <w:keepNext/>
              <w:pageBreakBefore w:val="0"/>
            </w:pPr>
          </w:p>
        </w:tc>
        <w:tc>
          <w:tcPr>
            <w:tcW w:w="46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2195" w:type="dxa"/>
          <w:tblInd w:w="709" w:type="dxa"/>
          <w:tblLayout w:type="fixed"/>
        </w:tblPrEx>
        <w:trPr>
          <w:cantSplit/>
          <w:trHeight w:hRule="exact" w:val="60"/>
          <w:tblHeader/>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95"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Agencia en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5,13 %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5,13 %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22.532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22.532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2.360.000</w:t>
            </w:r>
          </w:p>
        </w:tc>
        <w:tc>
          <w:tcPr>
            <w:tcW w:w="72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2.360.000</w:t>
            </w:r>
          </w:p>
        </w:tc>
      </w:tr>
      <w:tr>
        <w:tblPrEx>
          <w:tblW w:w="12195"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Santander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5,80 %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5,30 %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33.125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24.998.962</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25.032.087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2.922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2.922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10.000.000</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10.000.000</w:t>
            </w:r>
          </w:p>
        </w:tc>
      </w:tr>
      <w:tr>
        <w:tblPrEx>
          <w:tblW w:w="12195"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Crédito e Inversiones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5,48 %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5,02 %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719.533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59.999.311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60.718.844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Agencia en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5,12 %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5,12 %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70.884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70.884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5.600.000</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5.600.000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73.523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73.523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7.400.000</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7.400.000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Santander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6,20 %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5,30 %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29.444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19.997.761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20.027.205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Santander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5,13 %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5,13 %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131.100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131.100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23.000.000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23.000.000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HSBC Bank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4,83 %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4,83 %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69.995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14.100.000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14.169.995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4,30 %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4,30 %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7.313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30.606.180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30.613.493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CNH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2,55 %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2,55 %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27.581.386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27.581.386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China Development Bank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CNH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3,22 %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2,90 %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15.467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13.458.000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13.473.467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13.402.633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13.402.633</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China Development Bank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CNH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3,22 %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2,90 %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46.400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40.374.000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40.420.400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40.211.075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40.211.075</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5,65 %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5,30 %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270.300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26.912.275</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27.182.575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5,20 %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177.667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177.667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30.000.000</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30.000.000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Construction Bank ( Asia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4,21 %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81.947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58.206.329</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58.288.276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Construction Bank ( Asia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4,31 %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76.884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16.808.937</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16.885.821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5,73 %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4,95 %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280.500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29.944.391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30.224.891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 xml:space="preserve"> 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CNH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2,52 %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2,20 %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136.195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136.195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32.066.603</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32.066.603</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Crédito e Inversiones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5,05 %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4,98 %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102.367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19.858.014</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19.960.381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CNH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2,61 %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2,30 %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70.161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70.161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32.065.189</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32.065.189</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China Construction Bank, Agencia en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4,84 %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4,84 %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15.936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15.936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1.624.497</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1.624.497</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Crédito e Inversiones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5,18 %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5,18 %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73.382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7.500.000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7.573.382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de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15.349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15.349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2.200.000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2.200.000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China Construction Bank, Agencia en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4,74 %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4,74 %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3.485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2.037.254</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2.040.739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18.253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1.716.163</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1.734.416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11.986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1.126.991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1.138.977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61.979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5.564.760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5.626.739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25.853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2.782.380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2.808.233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Itaú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4,50 %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4,50 %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4.244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1.212.681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1.216.925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Banco de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6,37 %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5,47 %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760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999.135</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999.895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4,81 %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4,81 %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666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996.626</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997.292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3.726.037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3.726.037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7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5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 xml:space="preserve"> Scotiabank Chile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4,76 %</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1.583.566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1.583.566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95" w:type="dxa"/>
          <w:tblInd w:w="709" w:type="dxa"/>
          <w:tblLayout w:type="fixed"/>
        </w:tblPrEx>
        <w:trPr>
          <w:cantSplit/>
          <w:trHeight w:hRule="exact" w:val="60"/>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7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5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95" w:type="dxa"/>
          <w:tblInd w:w="709" w:type="dxa"/>
          <w:tblLayout w:type="fixed"/>
        </w:tblPrEx>
        <w:trPr>
          <w:cantSplit/>
          <w:trHeight w:hRule="auto" w:val="0"/>
        </w:trPr>
        <w:tc>
          <w:tcPr>
            <w:tcW w:w="7155" w:type="dxa"/>
            <w:gridSpan w:val="9"/>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Totales</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29.377.709</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6.163.432</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379.200.150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414.741.291</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78.813.708</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121.116.289</w:t>
            </w:r>
          </w:p>
        </w:tc>
        <w:tc>
          <w:tcPr>
            <w:tcW w:w="7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199.929.997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6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05"/>
        <w:gridCol w:w="645"/>
        <w:gridCol w:w="1665"/>
        <w:gridCol w:w="1620"/>
        <w:gridCol w:w="480"/>
        <w:gridCol w:w="735"/>
        <w:gridCol w:w="465"/>
        <w:gridCol w:w="465"/>
        <w:gridCol w:w="645"/>
        <w:gridCol w:w="720"/>
        <w:gridCol w:w="720"/>
        <w:gridCol w:w="720"/>
        <w:gridCol w:w="720"/>
        <w:gridCol w:w="720"/>
        <w:gridCol w:w="720"/>
        <w:gridCol w:w="720"/>
      </w:tblGrid>
      <w:tr>
        <w:tblPrEx>
          <w:tblW w:w="12165" w:type="dxa"/>
          <w:tblInd w:w="709" w:type="dxa"/>
          <w:tblLayout w:type="fixed"/>
        </w:tblPrEx>
        <w:trPr>
          <w:cantSplit/>
          <w:trHeight w:hRule="auto" w:val="0"/>
          <w:tblHeader/>
        </w:trPr>
        <w:tc>
          <w:tcPr>
            <w:tcW w:w="4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País</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RUT Empresa Deudora</w:t>
            </w:r>
          </w:p>
        </w:tc>
        <w:tc>
          <w:tcPr>
            <w:tcW w:w="16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Sociedad deudora</w:t>
            </w:r>
          </w:p>
        </w:tc>
        <w:tc>
          <w:tcPr>
            <w:tcW w:w="162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Institución acreedora</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Moneda</w:t>
            </w:r>
          </w:p>
        </w:tc>
        <w:tc>
          <w:tcPr>
            <w:tcW w:w="73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Tipo de amortización</w:t>
            </w:r>
          </w:p>
        </w:tc>
        <w:tc>
          <w:tcPr>
            <w:tcW w:w="4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 xml:space="preserve">Tasa efectiva anual </w:t>
            </w:r>
          </w:p>
        </w:tc>
        <w:tc>
          <w:tcPr>
            <w:tcW w:w="4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Tasa nominal anual</w:t>
            </w:r>
          </w:p>
        </w:tc>
        <w:tc>
          <w:tcPr>
            <w:tcW w:w="64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Garantía</w:t>
            </w:r>
          </w:p>
        </w:tc>
        <w:tc>
          <w:tcPr>
            <w:tcW w:w="2880" w:type="dxa"/>
            <w:gridSpan w:val="4"/>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Corrientes</w:t>
            </w:r>
          </w:p>
        </w:tc>
        <w:tc>
          <w:tcPr>
            <w:tcW w:w="2160"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No Corrientes</w:t>
            </w:r>
          </w:p>
        </w:tc>
      </w:tr>
      <w:tr>
        <w:tblPrEx>
          <w:tblW w:w="12165" w:type="dxa"/>
          <w:tblInd w:w="709"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665" w:type="dxa"/>
            <w:vMerge/>
            <w:tcBorders>
              <w:top w:val="nil"/>
              <w:left w:val="single" w:sz="4" w:space="0" w:color="FFFFFF"/>
              <w:bottom w:val="nil"/>
              <w:right w:val="nil"/>
            </w:tcBorders>
          </w:tcPr>
          <w:p>
            <w:pPr>
              <w:keepNext/>
              <w:pageBreakBefore w:val="0"/>
            </w:pPr>
          </w:p>
        </w:tc>
        <w:tc>
          <w:tcPr>
            <w:tcW w:w="1620"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735" w:type="dxa"/>
            <w:vMerge/>
            <w:tcBorders>
              <w:top w:val="nil"/>
              <w:left w:val="single" w:sz="4" w:space="0" w:color="FFFFFF"/>
              <w:bottom w:val="nil"/>
              <w:right w:val="nil"/>
            </w:tcBorders>
          </w:tcPr>
          <w:p>
            <w:pPr>
              <w:keepNext/>
              <w:pageBreakBefore w:val="0"/>
            </w:pPr>
          </w:p>
        </w:tc>
        <w:tc>
          <w:tcPr>
            <w:tcW w:w="465" w:type="dxa"/>
            <w:vMerge/>
            <w:tcBorders>
              <w:top w:val="nil"/>
              <w:left w:val="single" w:sz="4" w:space="0" w:color="FFFFFF"/>
              <w:bottom w:val="nil"/>
              <w:right w:val="nil"/>
            </w:tcBorders>
          </w:tcPr>
          <w:p>
            <w:pPr>
              <w:keepNext/>
              <w:pageBreakBefore w:val="0"/>
            </w:pPr>
          </w:p>
        </w:tc>
        <w:tc>
          <w:tcPr>
            <w:tcW w:w="46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single" w:sz="4" w:space="0" w:color="FFFFFF"/>
            </w:tcBorders>
          </w:tcPr>
          <w:p>
            <w:pPr>
              <w:keepNext/>
              <w:pageBreakBefore w:val="0"/>
            </w:pPr>
          </w:p>
        </w:tc>
        <w:tc>
          <w:tcPr>
            <w:tcW w:w="216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2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corrientes</w:t>
            </w:r>
          </w:p>
        </w:tc>
        <w:tc>
          <w:tcPr>
            <w:tcW w:w="144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Vencimientos</w:t>
            </w:r>
          </w:p>
        </w:tc>
        <w:tc>
          <w:tcPr>
            <w:tcW w:w="72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Total no corrientes</w:t>
            </w:r>
          </w:p>
        </w:tc>
      </w:tr>
      <w:tr>
        <w:tblPrEx>
          <w:tblW w:w="12165" w:type="dxa"/>
          <w:tblInd w:w="709" w:type="dxa"/>
          <w:tblLayout w:type="fixed"/>
        </w:tblPrEx>
        <w:trPr>
          <w:cantSplit/>
          <w:trHeight w:hRule="auto" w:val="0"/>
          <w:tblHeader/>
        </w:trPr>
        <w:tc>
          <w:tcPr>
            <w:tcW w:w="405" w:type="dxa"/>
            <w:vMerge/>
            <w:tcBorders>
              <w:top w:val="nil"/>
              <w:left w:val="single" w:sz="2" w:space="0" w:color="000000"/>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665" w:type="dxa"/>
            <w:vMerge/>
            <w:tcBorders>
              <w:top w:val="nil"/>
              <w:left w:val="single" w:sz="4" w:space="0" w:color="FFFFFF"/>
              <w:bottom w:val="nil"/>
              <w:right w:val="nil"/>
            </w:tcBorders>
          </w:tcPr>
          <w:p>
            <w:pPr>
              <w:keepNext/>
              <w:pageBreakBefore w:val="0"/>
            </w:pPr>
          </w:p>
        </w:tc>
        <w:tc>
          <w:tcPr>
            <w:tcW w:w="1620" w:type="dxa"/>
            <w:vMerge/>
            <w:tcBorders>
              <w:top w:val="nil"/>
              <w:left w:val="single" w:sz="4" w:space="0" w:color="FFFFFF"/>
              <w:bottom w:val="nil"/>
              <w:right w:val="nil"/>
            </w:tcBorders>
          </w:tcPr>
          <w:p>
            <w:pPr>
              <w:keepNext/>
              <w:pageBreakBefore w:val="0"/>
            </w:pPr>
          </w:p>
        </w:tc>
        <w:tc>
          <w:tcPr>
            <w:tcW w:w="480" w:type="dxa"/>
            <w:vMerge/>
            <w:tcBorders>
              <w:top w:val="nil"/>
              <w:left w:val="single" w:sz="4" w:space="0" w:color="FFFFFF"/>
              <w:bottom w:val="nil"/>
              <w:right w:val="nil"/>
            </w:tcBorders>
          </w:tcPr>
          <w:p>
            <w:pPr>
              <w:keepNext/>
              <w:pageBreakBefore w:val="0"/>
            </w:pPr>
          </w:p>
        </w:tc>
        <w:tc>
          <w:tcPr>
            <w:tcW w:w="735" w:type="dxa"/>
            <w:vMerge/>
            <w:tcBorders>
              <w:top w:val="nil"/>
              <w:left w:val="single" w:sz="4" w:space="0" w:color="FFFFFF"/>
              <w:bottom w:val="nil"/>
              <w:right w:val="nil"/>
            </w:tcBorders>
          </w:tcPr>
          <w:p>
            <w:pPr>
              <w:keepNext/>
              <w:pageBreakBefore w:val="0"/>
            </w:pPr>
          </w:p>
        </w:tc>
        <w:tc>
          <w:tcPr>
            <w:tcW w:w="465" w:type="dxa"/>
            <w:vMerge/>
            <w:tcBorders>
              <w:top w:val="nil"/>
              <w:left w:val="single" w:sz="4" w:space="0" w:color="FFFFFF"/>
              <w:bottom w:val="nil"/>
              <w:right w:val="nil"/>
            </w:tcBorders>
          </w:tcPr>
          <w:p>
            <w:pPr>
              <w:keepNext/>
              <w:pageBreakBefore w:val="0"/>
            </w:pPr>
          </w:p>
        </w:tc>
        <w:tc>
          <w:tcPr>
            <w:tcW w:w="46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hasta 1 mes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a 3 meses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 a 12 meses</w:t>
            </w: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c>
          <w:tcPr>
            <w:tcW w:w="72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1 hasta 2 años</w:t>
            </w:r>
          </w:p>
        </w:tc>
        <w:tc>
          <w:tcPr>
            <w:tcW w:w="72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más de 2</w:t>
            </w:r>
            <w:r>
              <w:br/>
            </w:r>
            <w:r>
              <w:rPr>
                <w:rFonts w:ascii="Calibri" w:eastAsia="Calibri" w:hAnsi="Calibri" w:cs="Calibri"/>
                <w:b/>
                <w:i w:val="0"/>
                <w:color w:val="FFFFFF"/>
                <w:sz w:val="10"/>
                <w:u w:val="none"/>
              </w:rPr>
              <w:t>hasta 3 años</w:t>
            </w:r>
          </w:p>
        </w:tc>
        <w:tc>
          <w:tcPr>
            <w:tcW w:w="72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31-12-2025</w:t>
            </w:r>
          </w:p>
        </w:tc>
      </w:tr>
      <w:tr>
        <w:tblPrEx>
          <w:tblW w:w="12165" w:type="dxa"/>
          <w:tblInd w:w="709" w:type="dxa"/>
          <w:tblLayout w:type="fixed"/>
        </w:tblPrEx>
        <w:trPr>
          <w:cantSplit/>
          <w:trHeight w:hRule="auto" w:val="0"/>
          <w:tblHeader/>
        </w:trPr>
        <w:tc>
          <w:tcPr>
            <w:tcW w:w="405" w:type="dxa"/>
            <w:vMerge/>
            <w:tcBorders>
              <w:top w:val="nil"/>
              <w:left w:val="single" w:sz="2" w:space="0" w:color="000000"/>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1665" w:type="dxa"/>
            <w:vMerge/>
            <w:tcBorders>
              <w:top w:val="nil"/>
              <w:left w:val="single" w:sz="4" w:space="0" w:color="FFFFFF"/>
              <w:bottom w:val="single" w:sz="2" w:space="0" w:color="000000"/>
              <w:right w:val="nil"/>
            </w:tcBorders>
          </w:tcPr>
          <w:p>
            <w:pPr>
              <w:keepNext/>
              <w:pageBreakBefore w:val="0"/>
            </w:pPr>
          </w:p>
        </w:tc>
        <w:tc>
          <w:tcPr>
            <w:tcW w:w="1620" w:type="dxa"/>
            <w:vMerge/>
            <w:tcBorders>
              <w:top w:val="nil"/>
              <w:left w:val="single" w:sz="4" w:space="0" w:color="FFFFFF"/>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735" w:type="dxa"/>
            <w:vMerge/>
            <w:tcBorders>
              <w:top w:val="nil"/>
              <w:left w:val="single" w:sz="4" w:space="0" w:color="FFFFFF"/>
              <w:bottom w:val="single" w:sz="2" w:space="0" w:color="000000"/>
              <w:right w:val="nil"/>
            </w:tcBorders>
          </w:tcPr>
          <w:p>
            <w:pPr>
              <w:keepNext/>
              <w:pageBreakBefore w:val="0"/>
            </w:pPr>
          </w:p>
        </w:tc>
        <w:tc>
          <w:tcPr>
            <w:tcW w:w="465" w:type="dxa"/>
            <w:vMerge/>
            <w:tcBorders>
              <w:top w:val="nil"/>
              <w:left w:val="single" w:sz="4" w:space="0" w:color="FFFFFF"/>
              <w:bottom w:val="single" w:sz="2" w:space="0" w:color="000000"/>
              <w:right w:val="nil"/>
            </w:tcBorders>
          </w:tcPr>
          <w:p>
            <w:pPr>
              <w:keepNext/>
              <w:pageBreakBefore w:val="0"/>
            </w:pPr>
          </w:p>
        </w:tc>
        <w:tc>
          <w:tcPr>
            <w:tcW w:w="46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c>
          <w:tcPr>
            <w:tcW w:w="72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M$</w:t>
            </w:r>
          </w:p>
        </w:tc>
      </w:tr>
      <w:tr>
        <w:tblPrEx>
          <w:tblW w:w="12165" w:type="dxa"/>
          <w:tblInd w:w="709" w:type="dxa"/>
          <w:tblLayout w:type="fixed"/>
        </w:tblPrEx>
        <w:trPr>
          <w:cantSplit/>
          <w:trHeight w:hRule="exact" w:val="60"/>
          <w:tblHeader/>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65"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Crédito e Inversiones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5,40 %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5,40 %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9.664.300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9.664.300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Agencia en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6,27 %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5,37 %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2.384.290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2.384.290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Santander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5,94 %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5,44 %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83.111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24.998.491</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25.081.602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blHeader/>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5,27 %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5,27 %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2.928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2.928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10.000.000</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10.000.000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Crédito e Inversiones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5,61 %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5,15 %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755.333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59.998.667</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60.754.000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Agencia en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5,24 %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5,24 %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74.175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74.175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5.600.000</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5.600.000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5,36 %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5,36 %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77.124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77.124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7.400.000</w:t>
            </w: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7.400.000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Santander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6,34 %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5,44 %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66.489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19.996.702</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20.063.191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Scotiabank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5,98 %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5,50 %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23.451.285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23.451.285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HSBC Bank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6,13 %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5,65 %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14.384.063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14.384.063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4,29 %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4,29 %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30.076.106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30.076.106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Bank of China Panama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CNH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2,55 %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2,55 %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26.503.469</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26.503.469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Development Bank</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CNH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3,22 %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2,90 %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211.750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13.013.000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13.224.750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12.938.279</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12.938.279</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Development Bank</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CNH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3,22 %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2,90 %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20.154.751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19.519.500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39.674.251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38.819.120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38.819.120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5,75 %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5,40 %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283.500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283.500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26.885.380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26.885.380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Crédito e Inversiones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6,17 %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5,30 %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30.158.085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30.158.085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Construction Bank ( Asia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4,21 %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67.052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67.052</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57.123.505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57.123.505</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Construction Bank ( Asia )</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5,48 %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4,53 %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83.426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83.426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16.494.077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16.494.077</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76.411.321-7</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Compañía General de Electricidad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5,73 %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4,95 %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288.750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29.879.395</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30.168.145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Construction Bank, Agencia en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4,62 %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4,62 %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1.611.343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1.611.343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Crédito e Inversiones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5,28 %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5,28 %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77.000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7.500.000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7.577.000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5,58 %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5,58 %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16.368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16.368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2.200.000</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2.200.000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China Construction Bank, Agencia en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4,75 %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3.434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2.001.494</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2.004.928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4,85 %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19.516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1.686.038</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1.705.554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4,85 %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4,85 %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12.816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1.107.209</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1.120.025</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4,87 %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4,87 %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66.513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5.467.080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5.533.593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Itaú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4,46 %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26.076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2.733.540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2.759.616</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Estado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4,63 %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4,63 %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1.195.687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1.195.687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Banco de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CL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6,38 %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5,48 %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761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998.137</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998.898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Scotiabank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4,79 %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4,79 %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651</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979.132</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979.783</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Scotiabank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4,91 %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4,91 %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17.407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3.644.720</w:t>
            </w:r>
          </w:p>
        </w:tc>
        <w:tc>
          <w:tcPr>
            <w:tcW w:w="72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3.662.127</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Chile</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88.221.200-9</w:t>
            </w:r>
          </w:p>
        </w:tc>
        <w:tc>
          <w:tcPr>
            <w:tcW w:w="16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0"/>
                <w:u w:val="none"/>
              </w:rPr>
              <w:t>Empresa Eléctrica de Magallanes S.A.</w:t>
            </w:r>
          </w:p>
        </w:tc>
        <w:tc>
          <w:tcPr>
            <w:tcW w:w="16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Scotiabank Chile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US $</w:t>
            </w:r>
          </w:p>
        </w:tc>
        <w:tc>
          <w:tcPr>
            <w:tcW w:w="7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Al vencimiento</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4,91 %</w:t>
            </w:r>
          </w:p>
        </w:tc>
        <w:tc>
          <w:tcPr>
            <w:tcW w:w="46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4,91 %</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0"/>
                <w:u w:val="none"/>
              </w:rPr>
              <w:t>Sin Garantía</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7.398</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0"/>
                <w:u w:val="none"/>
              </w:rPr>
              <w:t>1.549.006</w:t>
            </w:r>
          </w:p>
        </w:tc>
        <w:tc>
          <w:tcPr>
            <w:tcW w:w="72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1.556.404</w:t>
            </w: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2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0"/>
                <w:u w:val="none"/>
              </w:rPr>
              <w:t>0</w:t>
            </w:r>
          </w:p>
        </w:tc>
      </w:tr>
      <w:tr>
        <w:tblPrEx>
          <w:tblW w:w="12165" w:type="dxa"/>
          <w:tblInd w:w="709" w:type="dxa"/>
          <w:tblLayout w:type="fixed"/>
        </w:tblPrEx>
        <w:trPr>
          <w:cantSplit/>
          <w:trHeight w:hRule="auto" w:val="0"/>
        </w:trPr>
        <w:tc>
          <w:tcPr>
            <w:tcW w:w="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6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165" w:type="dxa"/>
          <w:tblInd w:w="709" w:type="dxa"/>
          <w:tblLayout w:type="fixed"/>
        </w:tblPrEx>
        <w:trPr>
          <w:cantSplit/>
          <w:trHeight w:hRule="auto" w:val="0"/>
        </w:trPr>
        <w:tc>
          <w:tcPr>
            <w:tcW w:w="7125" w:type="dxa"/>
            <w:gridSpan w:val="9"/>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Totales</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15.051.986</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120.269.502</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221.575.580</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356.897.068</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154.460.361</w:t>
            </w:r>
          </w:p>
        </w:tc>
        <w:tc>
          <w:tcPr>
            <w:tcW w:w="72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23.000.000</w:t>
            </w:r>
          </w:p>
        </w:tc>
        <w:tc>
          <w:tcPr>
            <w:tcW w:w="72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177.460.361</w:t>
            </w:r>
          </w:p>
        </w:tc>
      </w:tr>
    </w:tbl>
    <w:p>
      <w:pPr>
        <w:keepNext w:val="0"/>
        <w:keepLines/>
        <w:pageBreakBefore w:val="0"/>
        <w:widowControl w:val="0"/>
        <w:numPr>
          <w:ilvl w:val="0"/>
          <w:numId w:val="0"/>
        </w:numPr>
        <w:spacing w:before="0" w:after="0" w:line="288" w:lineRule="auto"/>
        <w:ind w:left="1416" w:right="0" w:hanging="1416"/>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hanging="1416"/>
        <w:jc w:val="both"/>
        <w:outlineLvl w:val="9"/>
        <w:rPr>
          <w:rFonts w:ascii="Calibri" w:eastAsia="Calibri" w:hAnsi="Calibri" w:cs="Calibri"/>
          <w:b w:val="0"/>
          <w:i w:val="0"/>
          <w:color w:val="000000"/>
          <w:sz w:val="20"/>
          <w:u w:val="none"/>
        </w:rPr>
        <w:sectPr>
          <w:headerReference w:type="default" r:id="rId46"/>
          <w:footerReference w:type="default" r:id="rId47"/>
          <w:type w:val="continuous"/>
          <w:pgSz w:w="15840" w:h="12240" w:orient="landscape"/>
          <w:pgMar w:top="1134" w:right="1134" w:bottom="1134" w:left="1134" w:header="0" w:footer="283"/>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88" w:name="Section98"/>
      <w:bookmarkEnd w:id="188"/>
      <w:bookmarkStart w:id="189" w:name="24ca455d4bb64342b6558e7f77a13b4d"/>
      <w:r>
        <w:rPr>
          <w:rFonts w:ascii="Calibri" w:eastAsia="Calibri" w:hAnsi="Calibri" w:cs="Calibri"/>
          <w:b/>
          <w:i w:val="0"/>
          <w:color w:val="000000"/>
          <w:sz w:val="20"/>
          <w:u w:val="none"/>
        </w:rPr>
        <w:t>20.3.-</w:t>
      </w:r>
      <w:r>
        <w:rPr>
          <w:rFonts w:ascii="Calibri" w:eastAsia="Calibri" w:hAnsi="Calibri" w:cs="Calibri"/>
          <w:b/>
          <w:i w:val="0"/>
          <w:color w:val="000000"/>
          <w:sz w:val="20"/>
          <w:u w:val="none"/>
        </w:rPr>
        <w:tab/>
      </w:r>
      <w:r>
        <w:rPr>
          <w:rFonts w:ascii="Calibri" w:eastAsia="Calibri" w:hAnsi="Calibri" w:cs="Calibri"/>
          <w:b/>
          <w:i w:val="0"/>
          <w:color w:val="000000"/>
          <w:sz w:val="20"/>
          <w:u w:val="none"/>
        </w:rPr>
        <w:t>Obligaciones con el público. (Bonos)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89"/>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br/>
      </w: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80"/>
        <w:gridCol w:w="540"/>
        <w:gridCol w:w="600"/>
        <w:gridCol w:w="525"/>
        <w:gridCol w:w="525"/>
        <w:gridCol w:w="525"/>
        <w:gridCol w:w="675"/>
        <w:gridCol w:w="645"/>
        <w:gridCol w:w="600"/>
        <w:gridCol w:w="795"/>
        <w:gridCol w:w="735"/>
        <w:gridCol w:w="735"/>
        <w:gridCol w:w="735"/>
        <w:gridCol w:w="735"/>
        <w:gridCol w:w="735"/>
        <w:gridCol w:w="735"/>
        <w:gridCol w:w="735"/>
        <w:gridCol w:w="735"/>
        <w:gridCol w:w="735"/>
        <w:gridCol w:w="735"/>
      </w:tblGrid>
      <w:tr>
        <w:tblPrEx>
          <w:tblW w:w="13560" w:type="dxa"/>
          <w:tblInd w:w="0" w:type="dxa"/>
          <w:tblLayout w:type="fixed"/>
        </w:tblPrEx>
        <w:trPr>
          <w:cantSplit/>
          <w:trHeight w:hRule="exact" w:val="300"/>
        </w:trPr>
        <w:tc>
          <w:tcPr>
            <w:tcW w:w="7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 de Inscripción o identificación del instrumento</w:t>
            </w:r>
          </w:p>
        </w:tc>
        <w:tc>
          <w:tcPr>
            <w:tcW w:w="5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Serie</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Monto nominal colocado vigente</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Unidad de reajuste del bono</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Tasa nominal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Tasa efectiva anual</w:t>
            </w:r>
          </w:p>
        </w:tc>
        <w:tc>
          <w:tcPr>
            <w:tcW w:w="6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Plazo Final</w:t>
            </w:r>
          </w:p>
        </w:tc>
        <w:tc>
          <w:tcPr>
            <w:tcW w:w="64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Colocación en Chile o en el extranjero</w:t>
            </w:r>
          </w:p>
        </w:tc>
        <w:tc>
          <w:tcPr>
            <w:tcW w:w="1395" w:type="dxa"/>
            <w:gridSpan w:val="2"/>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Periodicidad</w:t>
            </w:r>
          </w:p>
        </w:tc>
        <w:tc>
          <w:tcPr>
            <w:tcW w:w="220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Corrientes</w:t>
            </w:r>
          </w:p>
        </w:tc>
        <w:tc>
          <w:tcPr>
            <w:tcW w:w="5145" w:type="dxa"/>
            <w:gridSpan w:val="7"/>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No Corrientes</w:t>
            </w:r>
          </w:p>
        </w:tc>
      </w:tr>
      <w:tr>
        <w:tblPrEx>
          <w:tblW w:w="13560" w:type="dxa"/>
          <w:tblInd w:w="0" w:type="dxa"/>
          <w:tblLayout w:type="fixed"/>
        </w:tblPrEx>
        <w:trPr>
          <w:cantSplit/>
          <w:trHeight w:hRule="exact" w:val="300"/>
        </w:trPr>
        <w:tc>
          <w:tcPr>
            <w:tcW w:w="780" w:type="dxa"/>
            <w:vMerge/>
            <w:tcBorders>
              <w:top w:val="nil"/>
              <w:left w:val="single" w:sz="2" w:space="0" w:color="000000"/>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single" w:sz="4" w:space="0" w:color="FFFFFF"/>
            </w:tcBorders>
          </w:tcPr>
          <w:p>
            <w:pPr>
              <w:keepNext/>
              <w:pageBreakBefore w:val="0"/>
            </w:pPr>
          </w:p>
        </w:tc>
        <w:tc>
          <w:tcPr>
            <w:tcW w:w="1395" w:type="dxa"/>
            <w:gridSpan w:val="2"/>
            <w:vMerge/>
            <w:tcBorders>
              <w:top w:val="nil"/>
              <w:left w:val="nil"/>
              <w:bottom w:val="single" w:sz="4" w:space="0" w:color="FFFFFF"/>
              <w:right w:val="single" w:sz="4" w:space="0" w:color="FFFFFF"/>
            </w:tcBorders>
          </w:tcPr>
          <w:p>
            <w:pPr>
              <w:keepNext/>
              <w:pageBreakBefore w:val="0"/>
            </w:pPr>
          </w:p>
        </w:tc>
        <w:tc>
          <w:tcPr>
            <w:tcW w:w="147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3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corrientes</w:t>
            </w:r>
          </w:p>
        </w:tc>
        <w:tc>
          <w:tcPr>
            <w:tcW w:w="4410" w:type="dxa"/>
            <w:gridSpan w:val="6"/>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3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no corrientes</w:t>
            </w:r>
          </w:p>
        </w:tc>
      </w:tr>
      <w:tr>
        <w:tblPrEx>
          <w:tblW w:w="13560" w:type="dxa"/>
          <w:tblInd w:w="0" w:type="dxa"/>
          <w:tblLayout w:type="fixed"/>
        </w:tblPrEx>
        <w:trPr>
          <w:cantSplit/>
          <w:trHeight w:hRule="auto" w:val="0"/>
        </w:trPr>
        <w:tc>
          <w:tcPr>
            <w:tcW w:w="780" w:type="dxa"/>
            <w:vMerge/>
            <w:tcBorders>
              <w:top w:val="nil"/>
              <w:left w:val="single" w:sz="2" w:space="0" w:color="000000"/>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Pago de intereses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Pago de amortización</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a 3 meses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 a 12 meses</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hasta 2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2</w:t>
            </w:r>
            <w:r>
              <w:br/>
            </w:r>
            <w:r>
              <w:rPr>
                <w:rFonts w:ascii="Calibri" w:eastAsia="Calibri" w:hAnsi="Calibri" w:cs="Calibri"/>
                <w:b/>
                <w:i w:val="0"/>
                <w:color w:val="FFFFFF"/>
                <w:sz w:val="12"/>
                <w:u w:val="none"/>
              </w:rPr>
              <w:t>hasta 3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w:t>
            </w:r>
            <w:r>
              <w:br/>
            </w:r>
            <w:r>
              <w:rPr>
                <w:rFonts w:ascii="Calibri" w:eastAsia="Calibri" w:hAnsi="Calibri" w:cs="Calibri"/>
                <w:b/>
                <w:i w:val="0"/>
                <w:color w:val="FFFFFF"/>
                <w:sz w:val="12"/>
                <w:u w:val="none"/>
              </w:rPr>
              <w:t>hasta 4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4</w:t>
            </w:r>
            <w:r>
              <w:br/>
            </w:r>
            <w:r>
              <w:rPr>
                <w:rFonts w:ascii="Calibri" w:eastAsia="Calibri" w:hAnsi="Calibri" w:cs="Calibri"/>
                <w:b/>
                <w:i w:val="0"/>
                <w:color w:val="FFFFFF"/>
                <w:sz w:val="12"/>
                <w:u w:val="none"/>
              </w:rPr>
              <w:t>hasta 5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5</w:t>
            </w:r>
            <w:r>
              <w:br/>
            </w:r>
            <w:r>
              <w:rPr>
                <w:rFonts w:ascii="Calibri" w:eastAsia="Calibri" w:hAnsi="Calibri" w:cs="Calibri"/>
                <w:b/>
                <w:i w:val="0"/>
                <w:color w:val="FFFFFF"/>
                <w:sz w:val="12"/>
                <w:u w:val="none"/>
              </w:rPr>
              <w:t>hasta 10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10 o más años</w:t>
            </w:r>
          </w:p>
        </w:tc>
        <w:tc>
          <w:tcPr>
            <w:tcW w:w="73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13560" w:type="dxa"/>
          <w:tblInd w:w="0" w:type="dxa"/>
          <w:tblLayout w:type="fixed"/>
        </w:tblPrEx>
        <w:trPr>
          <w:cantSplit/>
          <w:trHeight w:hRule="auto" w:val="0"/>
        </w:trPr>
        <w:tc>
          <w:tcPr>
            <w:tcW w:w="780" w:type="dxa"/>
            <w:vMerge/>
            <w:tcBorders>
              <w:top w:val="nil"/>
              <w:left w:val="single" w:sz="2" w:space="0" w:color="000000"/>
              <w:bottom w:val="single" w:sz="2" w:space="0" w:color="000000"/>
              <w:right w:val="nil"/>
            </w:tcBorders>
          </w:tcPr>
          <w:p>
            <w:pPr>
              <w:keepNext/>
              <w:pageBreakBefore w:val="0"/>
            </w:pPr>
          </w:p>
        </w:tc>
        <w:tc>
          <w:tcPr>
            <w:tcW w:w="54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67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600" w:type="dxa"/>
            <w:tcBorders>
              <w:top w:val="nil"/>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560" w:type="dxa"/>
          <w:tblInd w:w="0" w:type="dxa"/>
          <w:tblLayout w:type="fixed"/>
        </w:tblPrEx>
        <w:trPr>
          <w:cantSplit/>
          <w:trHeight w:hRule="exact" w:val="60"/>
        </w:trPr>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BCGEI-I</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3.208.332</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4,65%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4,76%</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11-08-2029</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02-2024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37.331.053</w:t>
            </w:r>
          </w:p>
        </w:tc>
        <w:tc>
          <w:tcPr>
            <w:tcW w:w="73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37.331.053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36.521.606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36.521.606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16.624.454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89.667.666</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BCGEI-J</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4,75%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5,10%</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12-01-2029</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201.517</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201.517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19.706.444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19.706.444</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541</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BCGEI-K</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4,05%</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02-12-2031</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1.040.473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1.040.473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78.516.052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78.516.052</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610</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BCGET-D</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1.431.825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4,30%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4,20%</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10-09-2030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03-2020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12.821.975</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12.821.975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12.676.870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12.676.870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12.676.870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6.437.276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44.467.886</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765</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BCGED-E</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3,85%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3,89%</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30-09-2034</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03-2032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33.031</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33.031</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158.971.748</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158.971.748</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917</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BCGEI-N</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2,90%</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01-12-2041</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06-2035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1.124.423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1.124.423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17.075.046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102.045.316</w:t>
            </w: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119.120.362</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917</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BCGEI-Q</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1,70%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1,29%</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20-06-2030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377.983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377.983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80.722.963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80.722.963</w:t>
            </w:r>
          </w:p>
        </w:tc>
      </w:tr>
      <w:tr>
        <w:tblPrEx>
          <w:tblW w:w="13560" w:type="dxa"/>
          <w:tblInd w:w="0" w:type="dxa"/>
          <w:tblLayout w:type="fixed"/>
        </w:tblPrEx>
        <w:trPr>
          <w:cantSplit/>
          <w:trHeight w:hRule="auto" w:val="0"/>
        </w:trPr>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210" w:type="dxa"/>
            <w:gridSpan w:val="10"/>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Totales</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2.542.879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50.387.576</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52.930.455</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49.198.476</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49.198.476</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49.007.768</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87.160.239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254.562.846</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102.045.316</w:t>
            </w:r>
          </w:p>
        </w:tc>
        <w:tc>
          <w:tcPr>
            <w:tcW w:w="7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591.173.121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13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80"/>
        <w:gridCol w:w="540"/>
        <w:gridCol w:w="600"/>
        <w:gridCol w:w="525"/>
        <w:gridCol w:w="525"/>
        <w:gridCol w:w="525"/>
        <w:gridCol w:w="675"/>
        <w:gridCol w:w="645"/>
        <w:gridCol w:w="600"/>
        <w:gridCol w:w="795"/>
        <w:gridCol w:w="735"/>
        <w:gridCol w:w="735"/>
        <w:gridCol w:w="735"/>
        <w:gridCol w:w="735"/>
        <w:gridCol w:w="735"/>
        <w:gridCol w:w="735"/>
        <w:gridCol w:w="735"/>
        <w:gridCol w:w="735"/>
        <w:gridCol w:w="735"/>
        <w:gridCol w:w="735"/>
      </w:tblGrid>
      <w:tr>
        <w:tblPrEx>
          <w:tblW w:w="13560" w:type="dxa"/>
          <w:tblInd w:w="0" w:type="dxa"/>
          <w:tblLayout w:type="fixed"/>
        </w:tblPrEx>
        <w:trPr>
          <w:cantSplit/>
          <w:trHeight w:hRule="exact" w:val="300"/>
        </w:trPr>
        <w:tc>
          <w:tcPr>
            <w:tcW w:w="7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 de Inscripción o identificación del instrumento</w:t>
            </w:r>
          </w:p>
        </w:tc>
        <w:tc>
          <w:tcPr>
            <w:tcW w:w="54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Serie</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Monto nominal colocado vigente</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Unidad de reajuste del bono</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Tasa nominal anual </w:t>
            </w:r>
          </w:p>
        </w:tc>
        <w:tc>
          <w:tcPr>
            <w:tcW w:w="5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Tasa efectiva anual</w:t>
            </w:r>
          </w:p>
        </w:tc>
        <w:tc>
          <w:tcPr>
            <w:tcW w:w="6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Plazo Final</w:t>
            </w:r>
          </w:p>
        </w:tc>
        <w:tc>
          <w:tcPr>
            <w:tcW w:w="64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Colocación en Chile o en el extranjero</w:t>
            </w:r>
          </w:p>
        </w:tc>
        <w:tc>
          <w:tcPr>
            <w:tcW w:w="1395" w:type="dxa"/>
            <w:gridSpan w:val="2"/>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Periodicidad</w:t>
            </w:r>
          </w:p>
        </w:tc>
        <w:tc>
          <w:tcPr>
            <w:tcW w:w="220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Corrientes</w:t>
            </w:r>
          </w:p>
        </w:tc>
        <w:tc>
          <w:tcPr>
            <w:tcW w:w="5145" w:type="dxa"/>
            <w:gridSpan w:val="7"/>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No Corrientes</w:t>
            </w:r>
          </w:p>
        </w:tc>
      </w:tr>
      <w:tr>
        <w:tblPrEx>
          <w:tblW w:w="13560" w:type="dxa"/>
          <w:tblInd w:w="0" w:type="dxa"/>
          <w:tblLayout w:type="fixed"/>
        </w:tblPrEx>
        <w:trPr>
          <w:cantSplit/>
          <w:trHeight w:hRule="exact" w:val="300"/>
        </w:trPr>
        <w:tc>
          <w:tcPr>
            <w:tcW w:w="780" w:type="dxa"/>
            <w:vMerge/>
            <w:tcBorders>
              <w:top w:val="nil"/>
              <w:left w:val="single" w:sz="2" w:space="0" w:color="000000"/>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single" w:sz="4" w:space="0" w:color="FFFFFF"/>
            </w:tcBorders>
          </w:tcPr>
          <w:p>
            <w:pPr>
              <w:keepNext/>
              <w:pageBreakBefore w:val="0"/>
            </w:pPr>
          </w:p>
        </w:tc>
        <w:tc>
          <w:tcPr>
            <w:tcW w:w="1395" w:type="dxa"/>
            <w:gridSpan w:val="2"/>
            <w:vMerge/>
            <w:tcBorders>
              <w:top w:val="nil"/>
              <w:left w:val="nil"/>
              <w:bottom w:val="single" w:sz="4" w:space="0" w:color="FFFFFF"/>
              <w:right w:val="single" w:sz="4" w:space="0" w:color="FFFFFF"/>
            </w:tcBorders>
          </w:tcPr>
          <w:p>
            <w:pPr>
              <w:keepNext/>
              <w:pageBreakBefore w:val="0"/>
            </w:pPr>
          </w:p>
        </w:tc>
        <w:tc>
          <w:tcPr>
            <w:tcW w:w="1470" w:type="dxa"/>
            <w:gridSpan w:val="2"/>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35" w:type="dxa"/>
            <w:tcBorders>
              <w:top w:val="single" w:sz="4" w:space="0" w:color="FFFFFF"/>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corrientes</w:t>
            </w:r>
          </w:p>
        </w:tc>
        <w:tc>
          <w:tcPr>
            <w:tcW w:w="4410" w:type="dxa"/>
            <w:gridSpan w:val="6"/>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Vencimientos</w:t>
            </w:r>
          </w:p>
        </w:tc>
        <w:tc>
          <w:tcPr>
            <w:tcW w:w="73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no corrientes</w:t>
            </w:r>
          </w:p>
        </w:tc>
      </w:tr>
      <w:tr>
        <w:tblPrEx>
          <w:tblW w:w="13560" w:type="dxa"/>
          <w:tblInd w:w="0" w:type="dxa"/>
          <w:tblLayout w:type="fixed"/>
        </w:tblPrEx>
        <w:trPr>
          <w:cantSplit/>
          <w:trHeight w:hRule="auto" w:val="0"/>
        </w:trPr>
        <w:tc>
          <w:tcPr>
            <w:tcW w:w="780" w:type="dxa"/>
            <w:vMerge/>
            <w:tcBorders>
              <w:top w:val="nil"/>
              <w:left w:val="single" w:sz="2" w:space="0" w:color="000000"/>
              <w:bottom w:val="nil"/>
              <w:right w:val="nil"/>
            </w:tcBorders>
          </w:tcPr>
          <w:p>
            <w:pPr>
              <w:keepNext/>
              <w:pageBreakBefore w:val="0"/>
            </w:pPr>
          </w:p>
        </w:tc>
        <w:tc>
          <w:tcPr>
            <w:tcW w:w="54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525" w:type="dxa"/>
            <w:vMerge/>
            <w:tcBorders>
              <w:top w:val="nil"/>
              <w:left w:val="single" w:sz="4" w:space="0" w:color="FFFFFF"/>
              <w:bottom w:val="nil"/>
              <w:right w:val="nil"/>
            </w:tcBorders>
          </w:tcPr>
          <w:p>
            <w:pPr>
              <w:keepNext/>
              <w:pageBreakBefore w:val="0"/>
            </w:pPr>
          </w:p>
        </w:tc>
        <w:tc>
          <w:tcPr>
            <w:tcW w:w="67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6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Pago de intereses</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Pago de amortización</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a 3 meses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 a 12 meses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3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 hasta 2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2</w:t>
            </w:r>
            <w:r>
              <w:br/>
            </w:r>
            <w:r>
              <w:rPr>
                <w:rFonts w:ascii="Calibri" w:eastAsia="Calibri" w:hAnsi="Calibri" w:cs="Calibri"/>
                <w:b/>
                <w:i w:val="0"/>
                <w:color w:val="FFFFFF"/>
                <w:sz w:val="12"/>
                <w:u w:val="none"/>
              </w:rPr>
              <w:t>hasta 3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3</w:t>
            </w:r>
            <w:r>
              <w:br/>
            </w:r>
            <w:r>
              <w:rPr>
                <w:rFonts w:ascii="Calibri" w:eastAsia="Calibri" w:hAnsi="Calibri" w:cs="Calibri"/>
                <w:b/>
                <w:i w:val="0"/>
                <w:color w:val="FFFFFF"/>
                <w:sz w:val="12"/>
                <w:u w:val="none"/>
              </w:rPr>
              <w:t>hasta 4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4</w:t>
            </w:r>
            <w:r>
              <w:br/>
            </w:r>
            <w:r>
              <w:rPr>
                <w:rFonts w:ascii="Calibri" w:eastAsia="Calibri" w:hAnsi="Calibri" w:cs="Calibri"/>
                <w:b/>
                <w:i w:val="0"/>
                <w:color w:val="FFFFFF"/>
                <w:sz w:val="12"/>
                <w:u w:val="none"/>
              </w:rPr>
              <w:t>hasta 5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más de 5</w:t>
            </w:r>
            <w:r>
              <w:br/>
            </w:r>
            <w:r>
              <w:rPr>
                <w:rFonts w:ascii="Calibri" w:eastAsia="Calibri" w:hAnsi="Calibri" w:cs="Calibri"/>
                <w:b/>
                <w:i w:val="0"/>
                <w:color w:val="FFFFFF"/>
                <w:sz w:val="12"/>
                <w:u w:val="none"/>
              </w:rPr>
              <w:t>hasta 10 años</w:t>
            </w:r>
          </w:p>
        </w:tc>
        <w:tc>
          <w:tcPr>
            <w:tcW w:w="73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10 o más años</w:t>
            </w:r>
          </w:p>
        </w:tc>
        <w:tc>
          <w:tcPr>
            <w:tcW w:w="73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13560" w:type="dxa"/>
          <w:tblInd w:w="0" w:type="dxa"/>
          <w:tblLayout w:type="fixed"/>
        </w:tblPrEx>
        <w:trPr>
          <w:cantSplit/>
          <w:trHeight w:hRule="auto" w:val="0"/>
        </w:trPr>
        <w:tc>
          <w:tcPr>
            <w:tcW w:w="780" w:type="dxa"/>
            <w:vMerge/>
            <w:tcBorders>
              <w:top w:val="nil"/>
              <w:left w:val="single" w:sz="2" w:space="0" w:color="000000"/>
              <w:bottom w:val="single" w:sz="2" w:space="0" w:color="000000"/>
              <w:right w:val="nil"/>
            </w:tcBorders>
          </w:tcPr>
          <w:p>
            <w:pPr>
              <w:keepNext/>
              <w:pageBreakBefore w:val="0"/>
            </w:pPr>
          </w:p>
        </w:tc>
        <w:tc>
          <w:tcPr>
            <w:tcW w:w="54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525" w:type="dxa"/>
            <w:vMerge/>
            <w:tcBorders>
              <w:top w:val="nil"/>
              <w:left w:val="single" w:sz="4" w:space="0" w:color="FFFFFF"/>
              <w:bottom w:val="single" w:sz="2" w:space="0" w:color="000000"/>
              <w:right w:val="nil"/>
            </w:tcBorders>
          </w:tcPr>
          <w:p>
            <w:pPr>
              <w:keepNext/>
              <w:pageBreakBefore w:val="0"/>
            </w:pPr>
          </w:p>
        </w:tc>
        <w:tc>
          <w:tcPr>
            <w:tcW w:w="67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600" w:type="dxa"/>
            <w:tcBorders>
              <w:top w:val="nil"/>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3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3560" w:type="dxa"/>
          <w:tblInd w:w="0" w:type="dxa"/>
          <w:tblLayout w:type="fixed"/>
        </w:tblPrEx>
        <w:trPr>
          <w:cantSplit/>
          <w:trHeight w:hRule="exact" w:val="60"/>
        </w:trPr>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BCGEI-I</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3.666.666</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4,65%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4,76%</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11-08-2029</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02-2024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20.806.319</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18.208.648</w:t>
            </w:r>
          </w:p>
        </w:tc>
        <w:tc>
          <w:tcPr>
            <w:tcW w:w="73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39.014.967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36.417.297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36.417.297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34.671.717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107.506.311</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542</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BCGEI-J</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4,75%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5,10%</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12-01-2029</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435.877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435.877</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19.632.134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19.632.134</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541</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BCGEI-K</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4,05%</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02-12-2031</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259.376</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259.376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78.244.205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78.244.205</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610</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BCGET-D</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1.590.916</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4,30%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4,20%</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10-09-2030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03-2020</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7.159.779</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6.320.337</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13.480.116</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12.640.674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12.640.674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12.640.674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12.744.464</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50.666.486</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765</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BCGED-E</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3,85%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3,89%</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30-09-2034</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03-2032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1.556.918</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1.556.918</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158.507.118</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158.507.118</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916</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BCGEI-N</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2,85%</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2,90%</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01-12-2041</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 partir del 06-2035</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287.253</w:t>
            </w:r>
          </w:p>
        </w:tc>
        <w:tc>
          <w:tcPr>
            <w:tcW w:w="73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287.253</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17.026.291</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101.747.413</w:t>
            </w:r>
          </w:p>
        </w:tc>
        <w:tc>
          <w:tcPr>
            <w:tcW w:w="73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118.773.704</w:t>
            </w:r>
          </w:p>
        </w:tc>
      </w:tr>
      <w:tr>
        <w:tblPrEx>
          <w:tblW w:w="13560" w:type="dxa"/>
          <w:tblInd w:w="0" w:type="dxa"/>
          <w:tblLayout w:type="fixed"/>
        </w:tblPrEx>
        <w:trPr>
          <w:cantSplit/>
          <w:trHeight w:hRule="auto" w:val="0"/>
        </w:trPr>
        <w:tc>
          <w:tcPr>
            <w:tcW w:w="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917</w:t>
            </w:r>
          </w:p>
        </w:tc>
        <w:tc>
          <w:tcPr>
            <w:tcW w:w="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BCGEI-Q</w:t>
            </w:r>
          </w:p>
        </w:tc>
        <w:tc>
          <w:tcPr>
            <w:tcW w:w="6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2.000.000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UF</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1,70%</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1,29%</w:t>
            </w:r>
          </w:p>
        </w:tc>
        <w:tc>
          <w:tcPr>
            <w:tcW w:w="6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20-06-2030</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Chile</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Semestral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Al Vencimiento</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44.342</w:t>
            </w:r>
          </w:p>
        </w:tc>
        <w:tc>
          <w:tcPr>
            <w:tcW w:w="73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44.342</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80.553.999</w:t>
            </w: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3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80.553.999</w:t>
            </w:r>
          </w:p>
        </w:tc>
      </w:tr>
      <w:tr>
        <w:tblPrEx>
          <w:tblW w:w="13560" w:type="dxa"/>
          <w:tblInd w:w="0" w:type="dxa"/>
          <w:tblLayout w:type="fixed"/>
        </w:tblPrEx>
        <w:trPr>
          <w:cantSplit/>
          <w:trHeight w:hRule="auto" w:val="0"/>
        </w:trPr>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560" w:type="dxa"/>
          <w:tblInd w:w="0" w:type="dxa"/>
          <w:tblLayout w:type="fixed"/>
        </w:tblPrEx>
        <w:trPr>
          <w:cantSplit/>
          <w:trHeight w:hRule="auto" w:val="0"/>
        </w:trPr>
        <w:tc>
          <w:tcPr>
            <w:tcW w:w="6210" w:type="dxa"/>
            <w:gridSpan w:val="10"/>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Totales</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28.401.975</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26.676.874</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55.078.849</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49.057.971</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49.057.971</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66.944.525</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93.298.463</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253.777.614</w:t>
            </w:r>
          </w:p>
        </w:tc>
        <w:tc>
          <w:tcPr>
            <w:tcW w:w="73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101.747.413</w:t>
            </w:r>
          </w:p>
        </w:tc>
        <w:tc>
          <w:tcPr>
            <w:tcW w:w="73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613.883.957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pgSz w:w="15840" w:h="12240" w:orient="landscape"/>
          <w:pgMar w:top="1134" w:right="1134" w:bottom="1134" w:left="1134" w:header="0" w:footer="283"/>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190" w:name="Section99"/>
      <w:bookmarkEnd w:id="190"/>
      <w:bookmarkStart w:id="191" w:name="f0f61c43fde748ae9e876bc21102a97e"/>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1"/>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por pagar comerciales y otras cuentas por pagar</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energía y otros eléctricos.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496.419.628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219.407.434</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Retenciones.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12.445.713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Dividendos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1.588.049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acumulados (o devengados).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6.501.055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no energéticos.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84.702.135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importación.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304.335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Acreedores varios.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31.090.598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8.946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101.402</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633.060.459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219.508.836</w:t>
            </w:r>
          </w:p>
        </w:tc>
      </w:tr>
    </w:tbl>
    <w:p>
      <w:pPr>
        <w:pStyle w:val="Normal-wk"/>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Ver Nota N° 4.4.</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principales proveedores del ítem Proveedores de energía de la sociedad y subsidiarias son Enel Generación Chile S.A., Colbún S.A., AES Andes S.A., Engie Energía Chile S.A. y GM Holdings S.A.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Sociedad y subsidiarias no tienen proveedores no energéticos de importancia cuyos pasivos superen el 10% de este rubro. Los principales proveedores no energéticos con saldos pendientes de pago son OCA Global Servicios Técnicos Chile S.A., Eisesa Ingeniería y Servicios Eléctricos Limitada, NARI Technology Co. Ltd., Servicios Eléctricos Mavasa S.A., Apoyo Activo SpA., Pelom Ingeniería SpA., Electricidad Serbrip Limitada, y Entel S.A.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headerReference w:type="default" r:id="rId48"/>
          <w:footerReference w:type="default" r:id="rId49"/>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192" w:name="Section100"/>
      <w:bookmarkEnd w:id="192"/>
      <w:bookmarkStart w:id="193" w:name="5bfae16b51cd404f954be8a3b3c87489"/>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acumulados (o devengados).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Pasivos acumulados (o devengados).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Vacaciones del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5.977.016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Bonificaciones de feriados.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511.844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Aguinaldos.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12.195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6.501.055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94" w:name="Section101"/>
      <w:bookmarkEnd w:id="194"/>
      <w:bookmarkStart w:id="195" w:name="362467b998c1408a9d7041e0d517ce64"/>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cuentas comerciales y otras cuentas por pagar con pagos al día y con plazos vencidos.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(326.607)</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(326.607)</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121 y 365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326.607</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326.607</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581.426.098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43.564.040</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624.990.138</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6.491.552</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6.491.552</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91 y 120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1.578.769</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1.578.769</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Más de 365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219.407.434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101.402</w:t>
            </w: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219.508.836</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800.833.532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51.735.763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852.569.295</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existen cuentas por pagar comerciales con plazos vencidos.</w:t>
      </w:r>
    </w:p>
    <w:p>
      <w:pPr>
        <w:keepNext w:val="0"/>
        <w:keepLines/>
        <w:pageBreakBefore w:val="0"/>
        <w:widowControl w:val="0"/>
        <w:numPr>
          <w:ilvl w:val="0"/>
          <w:numId w:val="0"/>
        </w:numPr>
        <w:spacing w:before="0" w:after="0" w:line="288" w:lineRule="auto"/>
        <w:ind w:left="1414" w:right="0" w:firstLine="4"/>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4" w:right="0" w:firstLine="4"/>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196" w:name="Section102"/>
      <w:bookmarkEnd w:id="196"/>
      <w:bookmarkStart w:id="197" w:name="16d3b5150c9444a19504dad85928fc83"/>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97"/>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8" w:name="Section103"/>
      <w:bookmarkEnd w:id="198"/>
      <w:bookmarkStart w:id="199" w:name="269ea082aae84d868a2877cd065268cf"/>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 saldos.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 de provisiones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Provisión de reclamaciones legales.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43.751.209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utilidades y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6.228.133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49.979.342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Provisiones de reclamaciones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montos corresponden a la provisión para ciertas demandas legales contra Compañía General de Electricidad S.A. y subsidiarias por clientes o particulares afectados con los servicios prestados u otras contingencias. Los plazos para utilizar los saldos de las provisiones están acotados a los plazos normales de los procesos judiciales</w:t>
      </w: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 xml:space="preserve"> Se incluyen además provisiones por multas de la autoridad eléctrica, que están en proceso de reclamación y cuya resolución para efectos de su uso también está sujeta a los plazos de dicho organismo, </w:t>
      </w:r>
      <w:r>
        <w:rPr>
          <w:rFonts w:ascii="Calibri" w:eastAsia="Calibri" w:hAnsi="Calibri" w:cs="Calibri"/>
          <w:b w:val="0"/>
          <w:i w:val="0"/>
          <w:color w:val="000000"/>
          <w:sz w:val="20"/>
          <w:highlight w:val="yellow"/>
          <w:u w:val="none"/>
        </w:rPr>
        <w:t>e</w:t>
      </w:r>
      <w:r>
        <w:rPr>
          <w:rFonts w:ascii="Calibri" w:eastAsia="Calibri" w:hAnsi="Calibri" w:cs="Calibri"/>
          <w:b w:val="0"/>
          <w:i w:val="0"/>
          <w:color w:val="000000"/>
          <w:sz w:val="20"/>
          <w:highlight w:val="yellow"/>
          <w:u w:val="none"/>
        </w:rPr>
        <w:t>l monto y fecha esperados de cualquier desembolso de efectivo relacionado con estas provisiones es incierto y dependen</w:t>
      </w:r>
      <w:r>
        <w:rPr>
          <w:rFonts w:ascii="Calibri" w:eastAsia="Calibri" w:hAnsi="Calibri" w:cs="Calibri"/>
          <w:b w:val="0"/>
          <w:i w:val="0"/>
          <w:color w:val="000000"/>
          <w:sz w:val="20"/>
          <w:highlight w:val="yellow"/>
          <w:u w:val="none"/>
        </w:rPr>
        <w:t xml:space="preserve"> </w:t>
      </w:r>
      <w:r>
        <w:rPr>
          <w:rFonts w:ascii="Calibri" w:eastAsia="Calibri" w:hAnsi="Calibri" w:cs="Calibri"/>
          <w:b w:val="0"/>
          <w:i w:val="0"/>
          <w:color w:val="000000"/>
          <w:sz w:val="20"/>
          <w:highlight w:val="yellow"/>
          <w:u w:val="none"/>
        </w:rPr>
        <w:t>de la resolución de materias específicas relacionadas con cada una de ellas</w:t>
      </w:r>
      <w:r>
        <w:rPr>
          <w:rFonts w:ascii="Calibri" w:eastAsia="Calibri" w:hAnsi="Calibri" w:cs="Calibri"/>
          <w:b w:val="0"/>
          <w:i w:val="0"/>
          <w:color w:val="000000"/>
          <w:sz w:val="20"/>
          <w:highlight w:val="yellow"/>
          <w:u w:val="none"/>
        </w:rPr>
        <w:t>,</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(detalle de juicios en Nota 34).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utilidades y bonos.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provisión para la participación de los empleados en las utilidades y de los bonos de desempeño se paga al mes siguiente de la aprobación de los estados financieros de Compañía General de Electricidad S.A. y sus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Corresponden principalmente a provisiones provenientes de situaciones contingentes. Los montos constituidos cubren adecuadamente los riesgos existentes.</w:t>
      </w: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00" w:name="Section104"/>
      <w:bookmarkEnd w:id="200"/>
      <w:bookmarkStart w:id="201" w:name="ea2d2b9bfcad40ae92d89c42b8a84330"/>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 de las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1"/>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402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reclamaciones legales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provisiones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20" w:type="dxa"/>
          <w:tblInd w:w="1417" w:type="dxa"/>
          <w:tblLayout w:type="fixed"/>
        </w:tblPrEx>
        <w:trPr>
          <w:cantSplit/>
          <w:trHeight w:hRule="auto" w:val="0"/>
        </w:trPr>
        <w:tc>
          <w:tcPr>
            <w:tcW w:w="45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20" w:type="dxa"/>
          <w:tblInd w:w="1417" w:type="dxa"/>
          <w:tblLayout w:type="fixed"/>
        </w:tblPrEx>
        <w:trPr>
          <w:cantSplit/>
          <w:trHeight w:hRule="auto" w:val="0"/>
        </w:trPr>
        <w:tc>
          <w:tcPr>
            <w:tcW w:w="45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43.751.209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6.228.133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49.979.342</w:t>
            </w:r>
          </w:p>
        </w:tc>
      </w:tr>
      <w:tr>
        <w:tblPrEx>
          <w:tblW w:w="8520" w:type="dxa"/>
          <w:tblInd w:w="1417"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Provisiones nuevas.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Aumento de provisiones existentes.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Provisiones revertidas no utilizadas.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Incremento (disminución) por diferencias de cambio netas.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8520" w:type="dxa"/>
          <w:tblInd w:w="1417"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al 30 de junio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43.751.209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6.228.133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49.979.342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30"/>
        <w:gridCol w:w="1005"/>
        <w:gridCol w:w="1005"/>
        <w:gridCol w:w="1005"/>
        <w:gridCol w:w="1005"/>
      </w:tblGrid>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4020" w:type="dxa"/>
            <w:gridSpan w:val="4"/>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50" w:type="dxa"/>
          <w:tblInd w:w="1417" w:type="dxa"/>
          <w:tblLayout w:type="fixed"/>
        </w:tblPrEx>
        <w:trPr>
          <w:cantSplit/>
          <w:trHeight w:hRule="auto" w:val="0"/>
        </w:trPr>
        <w:tc>
          <w:tcPr>
            <w:tcW w:w="453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reclamaciones legales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provisiones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50" w:type="dxa"/>
          <w:tblInd w:w="1417" w:type="dxa"/>
          <w:tblLayout w:type="fixed"/>
        </w:tblPrEx>
        <w:trPr>
          <w:cantSplit/>
          <w:trHeight w:hRule="auto" w:val="0"/>
        </w:trPr>
        <w:tc>
          <w:tcPr>
            <w:tcW w:w="453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453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26.666.641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7.678.503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40.363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34.385.507</w:t>
            </w:r>
          </w:p>
        </w:tc>
      </w:tr>
      <w:tr>
        <w:tblPrEx>
          <w:tblW w:w="8550" w:type="dxa"/>
          <w:tblInd w:w="1417" w:type="dxa"/>
          <w:tblLayout w:type="fixed"/>
        </w:tblPrEx>
        <w:trPr>
          <w:cantSplit/>
          <w:trHeight w:hRule="exact" w:val="6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Provisiones nuevas.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10.515.968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10.515.968</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Aumento de provisiones existentes.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12.882.081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4.637.204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17.519.285</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(5.380.214)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(6.087.574)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(40.363)</w:t>
            </w: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(11.508.151)</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Provisiones revertidas no utilizadas.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(931.107)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(931.107)</w:t>
            </w: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Incremento (disminución) por diferencias de cambio netas.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(2.160)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00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(2.160)</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17.084.568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(1.450.370)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(40.363)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15.593.835</w:t>
            </w:r>
          </w:p>
        </w:tc>
      </w:tr>
      <w:tr>
        <w:tblPrEx>
          <w:tblW w:w="8550" w:type="dxa"/>
          <w:tblInd w:w="1417" w:type="dxa"/>
          <w:tblLayout w:type="fixed"/>
        </w:tblPrEx>
        <w:trPr>
          <w:cantSplit/>
          <w:trHeight w:hRule="auto" w:val="0"/>
        </w:trPr>
        <w:tc>
          <w:tcPr>
            <w:tcW w:w="45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5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al 31 de diciembre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43.751.209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6.228.133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49.979.342</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02" w:name="Section105"/>
      <w:bookmarkEnd w:id="202"/>
      <w:bookmarkStart w:id="203" w:name="5d2cdfaf37284278b879758a56f6d65f"/>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POR BENEFICIOS A LOS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3"/>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04" w:name="Section106"/>
      <w:bookmarkEnd w:id="204"/>
      <w:bookmarkStart w:id="205" w:name="37b0ce2e091f4e588e02206bca321c22"/>
      <w:r>
        <w:rPr>
          <w:rFonts w:ascii="Calibri" w:eastAsia="Calibri" w:hAnsi="Calibri" w:cs="Calibri"/>
          <w:b/>
          <w:i w:val="0"/>
          <w:color w:val="000000"/>
          <w:sz w:val="20"/>
          <w:u w:val="none"/>
        </w:rPr>
        <w:t>23.1.-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del rubro.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0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por beneficios a los empleados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indemnización años de servicio.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10.682.707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10.456.570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premio de antigüedad.</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542.525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491.003</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beneficios post-jubilatorios.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16.097.981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15.881.305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27.323.213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26.828.878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06" w:name="Section107"/>
      <w:bookmarkEnd w:id="206"/>
      <w:bookmarkStart w:id="207" w:name="54ea825fbbd04089ae3116665faf6827"/>
      <w:r>
        <w:rPr>
          <w:rFonts w:ascii="Calibri" w:eastAsia="Calibri" w:hAnsi="Calibri" w:cs="Calibri"/>
          <w:b/>
          <w:i w:val="0"/>
          <w:color w:val="000000"/>
          <w:sz w:val="20"/>
          <w:u w:val="none"/>
        </w:rPr>
        <w:t>23.2.-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0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presente de las obligaciones post empleo y similar</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r>
      <w:tr>
        <w:tblPrEx>
          <w:tblW w:w="8550" w:type="dxa"/>
          <w:tblInd w:w="1417"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Valor presente obligación, saldo inicial </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10.456.570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9.780.445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491.003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466.556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15.881.305</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15.838.338</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obligación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161.847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589.120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46.096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19.317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2.981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11.573</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por obligación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171.974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624.891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8.777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31.774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253.044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952.048</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Ganancias pérdidas actuariales obligación planes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9.124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(701.062)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319.378</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540.585</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Liquidaciones obligación plan de beneficios definidos y transferencia de obligaciones por traspaso de personal desde empresas relacionadas.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(116.808)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163.176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(3.351)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(26.644)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(358.727)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(1.461.239)</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 en provisiones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226.137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676.125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51.522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24.447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216.676</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42.967</w:t>
            </w:r>
          </w:p>
        </w:tc>
      </w:tr>
      <w:tr>
        <w:tblPrEx>
          <w:tblW w:w="8550" w:type="dxa"/>
          <w:tblInd w:w="1417" w:type="dxa"/>
          <w:tblLayout w:type="fixed"/>
        </w:tblPrEx>
        <w:trPr>
          <w:cantSplit/>
          <w:trHeight w:hRule="auto" w:val="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10.682.707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10.456.570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542.525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491.003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16.097.981</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15.881.305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08" w:name="Section108"/>
      <w:bookmarkEnd w:id="208"/>
      <w:bookmarkStart w:id="209" w:name="c796010a44404889aadf513fcfd92d6a"/>
      <w:r>
        <w:rPr>
          <w:rFonts w:ascii="Calibri" w:eastAsia="Calibri" w:hAnsi="Calibri" w:cs="Calibri"/>
          <w:b/>
          <w:i w:val="0"/>
          <w:color w:val="000000"/>
          <w:sz w:val="20"/>
          <w:u w:val="none"/>
        </w:rPr>
        <w:t>23.3.-</w:t>
      </w:r>
      <w:r>
        <w:rPr>
          <w:rFonts w:ascii="Calibri" w:eastAsia="Calibri" w:hAnsi="Calibri" w:cs="Calibri"/>
          <w:b/>
          <w:i w:val="0"/>
          <w:color w:val="000000"/>
          <w:sz w:val="20"/>
          <w:u w:val="none"/>
        </w:rPr>
        <w:tab/>
      </w:r>
      <w:r>
        <w:rPr>
          <w:rFonts w:ascii="Calibri" w:eastAsia="Calibri" w:hAnsi="Calibri" w:cs="Calibri"/>
          <w:b/>
          <w:i w:val="0"/>
          <w:color w:val="000000"/>
          <w:sz w:val="20"/>
          <w:u w:val="none"/>
        </w:rPr>
        <w:t>Balance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0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Balance plan de beneficios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r>
      <w:tr>
        <w:tblPrEx>
          <w:tblW w:w="8550" w:type="dxa"/>
          <w:tblInd w:w="1417"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Obligación presente sin fondos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10.682.707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10.456.570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542.525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491.003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16.097.981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15.881.305</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10.682.707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10.456.570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542.525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491.003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16.097.981</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15.881.305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10" w:name="Section109"/>
      <w:bookmarkEnd w:id="210"/>
      <w:bookmarkStart w:id="211" w:name="07b19105224d4a01afd331e485ccc540"/>
      <w:r>
        <w:rPr>
          <w:rFonts w:ascii="Calibri" w:eastAsia="Calibri" w:hAnsi="Calibri" w:cs="Calibri"/>
          <w:b/>
          <w:i w:val="0"/>
          <w:color w:val="000000"/>
          <w:sz w:val="20"/>
          <w:u w:val="none"/>
        </w:rPr>
        <w:t>23.4.-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reconocidos en el estado de resultados.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11"/>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95"/>
        <w:gridCol w:w="795"/>
        <w:gridCol w:w="795"/>
        <w:gridCol w:w="795"/>
        <w:gridCol w:w="795"/>
        <w:gridCol w:w="795"/>
        <w:gridCol w:w="795"/>
        <w:gridCol w:w="1485"/>
      </w:tblGrid>
      <w:tr>
        <w:tblPrEx>
          <w:tblW w:w="8550" w:type="dxa"/>
          <w:tblInd w:w="1417" w:type="dxa"/>
          <w:tblLayout w:type="fixed"/>
        </w:tblPrEx>
        <w:trPr>
          <w:cantSplit/>
          <w:trHeight w:hRule="auto" w:val="0"/>
        </w:trPr>
        <w:tc>
          <w:tcPr>
            <w:tcW w:w="22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Gastos reconocidos en el estado de resultados por función</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c>
          <w:tcPr>
            <w:tcW w:w="14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Línea del estado de resultados</w:t>
            </w:r>
          </w:p>
        </w:tc>
      </w:tr>
      <w:tr>
        <w:tblPrEx>
          <w:tblW w:w="8550" w:type="dxa"/>
          <w:tblInd w:w="1417" w:type="dxa"/>
          <w:tblLayout w:type="fixed"/>
        </w:tblPrEx>
        <w:trPr>
          <w:cantSplit/>
          <w:trHeight w:hRule="auto" w:val="0"/>
        </w:trPr>
        <w:tc>
          <w:tcPr>
            <w:tcW w:w="229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1485"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29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485"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295"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485" w:type="dxa"/>
            <w:vMerge/>
            <w:tcBorders>
              <w:top w:val="nil"/>
              <w:left w:val="single" w:sz="4" w:space="0" w:color="FFFFFF"/>
              <w:bottom w:val="single" w:sz="2" w:space="0" w:color="000000"/>
              <w:right w:val="single" w:sz="2" w:space="0" w:color="000000"/>
            </w:tcBorders>
          </w:tcPr>
          <w:p>
            <w:pPr>
              <w:keepNext/>
              <w:pageBreakBefore w:val="0"/>
            </w:pPr>
          </w:p>
        </w:tc>
      </w:tr>
      <w:tr>
        <w:tblPrEx>
          <w:tblW w:w="8550" w:type="dxa"/>
          <w:tblInd w:w="1417"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161.847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240.937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46.096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20.364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2.981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5.715</w:t>
            </w:r>
          </w:p>
        </w:tc>
        <w:tc>
          <w:tcPr>
            <w:tcW w:w="14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 de ventas - gastos de administración.</w:t>
            </w:r>
          </w:p>
        </w:tc>
      </w:tr>
      <w:tr>
        <w:tblPrEx>
          <w:tblW w:w="8550" w:type="dxa"/>
          <w:tblInd w:w="1417"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171.974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243.290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8.777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13.361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253.044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442.192</w:t>
            </w:r>
          </w:p>
        </w:tc>
        <w:tc>
          <w:tcPr>
            <w:tcW w:w="14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Costos Financieros.</w:t>
            </w:r>
          </w:p>
        </w:tc>
      </w:tr>
      <w:tr>
        <w:tblPrEx>
          <w:tblW w:w="8550" w:type="dxa"/>
          <w:tblInd w:w="1417"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333.821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484.227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54.873</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33.725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256.025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447.907</w:t>
            </w:r>
          </w:p>
        </w:tc>
        <w:tc>
          <w:tcPr>
            <w:tcW w:w="148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12" w:name="Section110"/>
      <w:bookmarkEnd w:id="212"/>
      <w:bookmarkStart w:id="213" w:name="f6c6ef53287646f99cd597823356afa0"/>
      <w:r>
        <w:rPr>
          <w:rFonts w:ascii="Calibri" w:eastAsia="Calibri" w:hAnsi="Calibri" w:cs="Calibri"/>
          <w:b/>
          <w:i w:val="0"/>
          <w:color w:val="000000"/>
          <w:sz w:val="20"/>
          <w:u w:val="none"/>
        </w:rPr>
        <w:t>23.5.-</w:t>
      </w:r>
      <w:r>
        <w:rPr>
          <w:rFonts w:ascii="Calibri" w:eastAsia="Calibri" w:hAnsi="Calibri" w:cs="Calibri"/>
          <w:b/>
          <w:i w:val="0"/>
          <w:color w:val="000000"/>
          <w:sz w:val="20"/>
          <w:u w:val="none"/>
        </w:rPr>
        <w:tab/>
      </w:r>
      <w:r>
        <w:rPr>
          <w:rFonts w:ascii="Calibri" w:eastAsia="Calibri" w:hAnsi="Calibri" w:cs="Calibri"/>
          <w:b/>
          <w:i w:val="0"/>
          <w:color w:val="000000"/>
          <w:sz w:val="20"/>
          <w:u w:val="none"/>
        </w:rPr>
        <w:t>Hipótesis actuariales.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hipótesis actuariales utilizadas al cierre de estos estados financieros consolidados intermedios han sido las siguientes:</w:t>
      </w:r>
    </w:p>
    <w:p>
      <w:pPr>
        <w:keepNext w:val="0"/>
        <w:keepLines/>
        <w:pageBreakBefore w:val="0"/>
        <w:widowControl w:val="0"/>
        <w:numPr>
          <w:ilvl w:val="0"/>
          <w:numId w:val="0"/>
        </w:numPr>
        <w:tabs>
          <w:tab w:val="right" w:pos="7280"/>
          <w:tab w:val="right" w:pos="8540"/>
        </w:tabs>
        <w:spacing w:before="0" w:after="0" w:line="288" w:lineRule="auto"/>
        <w:ind w:left="1417" w:right="0" w:firstLine="0"/>
        <w:jc w:val="both"/>
        <w:outlineLvl w:val="9"/>
        <w:rPr>
          <w:rFonts w:ascii="Calibri" w:eastAsia="Calibri" w:hAnsi="Calibri" w:cs="Calibri"/>
          <w:b w:val="0"/>
          <w:i w:val="0"/>
          <w:color w:val="000000"/>
          <w:sz w:val="20"/>
          <w:u w:val="none"/>
        </w:rPr>
      </w:pPr>
    </w:p>
    <w:tbl>
      <w:tblPr>
        <w:tblW w:w="562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2385"/>
      </w:tblGrid>
      <w:tr>
        <w:tblPrEx>
          <w:tblW w:w="5625" w:type="dxa"/>
          <w:tblInd w:w="1417" w:type="dxa"/>
          <w:tblLayout w:type="fixed"/>
        </w:tblPrEx>
        <w:trPr>
          <w:cantSplit/>
          <w:trHeight w:hRule="auto" w:val="0"/>
        </w:trPr>
        <w:tc>
          <w:tcPr>
            <w:tcW w:w="5625" w:type="dxa"/>
            <w:gridSpan w:val="2"/>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r>
      <w:tr>
        <w:tblPrEx>
          <w:tblW w:w="5625" w:type="dxa"/>
          <w:tblInd w:w="1417" w:type="dxa"/>
          <w:tblLayout w:type="fixed"/>
        </w:tblPrEx>
        <w:trPr>
          <w:cantSplit/>
          <w:trHeight w:hRule="auto" w:val="0"/>
        </w:trPr>
        <w:tc>
          <w:tcPr>
            <w:tcW w:w="324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Tasa de descuento real utilizada.</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2,11 %</w:t>
            </w:r>
          </w:p>
        </w:tc>
      </w:tr>
      <w:tr>
        <w:tblPrEx>
          <w:tblW w:w="5625"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futuros de salarios.</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2,90 %</w:t>
            </w:r>
          </w:p>
        </w:tc>
      </w:tr>
      <w:tr>
        <w:tblPrEx>
          <w:tblW w:w="5625"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Tabla de mortalidad.</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RV-2020</w:t>
            </w:r>
          </w:p>
        </w:tc>
      </w:tr>
      <w:tr>
        <w:tblPrEx>
          <w:tblW w:w="5625"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Tasa de rotación anual.</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1,65 %</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supuestos respecto a la tasa futura de mortalidad se fijan sobre la base de asesoría actuarial de acuerdo con las estadísticas publicadas y con la experiencia en Chile.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cálculo del pasivo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se aplicó la misma metodología utilizada en el ejercicio anterior. Respecto a lo anterior, Compañía General de Electricidad S.A. y subsidiarias contrataron a Mercer (Argentina) S.A., para la determinación de las obligaciones por beneficios definidos.</w:t>
      </w: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la sensibilidad del valor del pasivo actuarial por beneficios definidos ante variaciones de un 1% en la tasa de descuento genera los siguientes efectos: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de la tasa de descuento</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Disminución de 1%</w:t>
            </w:r>
            <w:r>
              <w:br/>
            </w:r>
            <w:r>
              <w:rPr>
                <w:rFonts w:ascii="Calibri" w:eastAsia="Calibri" w:hAnsi="Calibri" w:cs="Calibri"/>
                <w:b/>
                <w:i w:val="0"/>
                <w:color w:val="FFFFFF"/>
                <w:sz w:val="16"/>
                <w:u w:val="none"/>
              </w:rPr>
              <w:t>M$</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Incremento de 1%</w:t>
            </w:r>
            <w:r>
              <w:br/>
            </w: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Efecto en las obligaciones por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2.020.882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(1.756.519)</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14" w:name="Section111"/>
      <w:bookmarkEnd w:id="214"/>
      <w:bookmarkStart w:id="215" w:name="fc803086a22444cc92e0070db5b930b9"/>
      <w:r>
        <w:rPr>
          <w:rFonts w:ascii="Calibri" w:eastAsia="Calibri" w:hAnsi="Calibri" w:cs="Calibri"/>
          <w:b/>
          <w:i w:val="0"/>
          <w:color w:val="000000"/>
          <w:sz w:val="20"/>
          <w:u w:val="none"/>
        </w:rPr>
        <w:t>23.6.-</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 y plazo de los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flujo previsto de prestaciones para los próximos años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como sigue: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Beneficios post-jubilatorios</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853.850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56.838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1.451.895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2.362.583</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583.691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68.602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1.758.915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2.411.208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413.934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32.854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1.246.572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1.693.360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731.416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45.517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1.153.401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1.930.334</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553.799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49.482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1.065.956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1.669.237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2.898.967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158.510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4.189.474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7.246.951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4.647.050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130.722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5.231.768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10.009.540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10.682.707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542.525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16.097.981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27.323.213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Beneficios post-jubilatorios</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652.474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1.450.524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2.106.296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785.873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63.917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1.674.581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2.524.371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417.230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41.480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1.318.989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1.777.699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694.076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34.716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1.145.227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1.874.019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456.914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51.318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1.056.581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1.564.813</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2.791.684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162.245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4.136.012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7.089.941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4.658.319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134.029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5.099.391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9.891.739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10.456.570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491.003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15.881.305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26.828.878</w:t>
            </w:r>
          </w:p>
        </w:tc>
      </w:tr>
    </w:tbl>
    <w:p>
      <w:pPr>
        <w:keepNext w:val="0"/>
        <w:keepLines/>
        <w:pageBreakBefore w:val="0"/>
        <w:widowControl w:val="0"/>
        <w:numPr>
          <w:ilvl w:val="0"/>
          <w:numId w:val="0"/>
        </w:numPr>
        <w:tabs>
          <w:tab w:val="right" w:pos="7280"/>
          <w:tab w:val="right" w:pos="8540"/>
        </w:tabs>
        <w:spacing w:before="0" w:after="0" w:line="288" w:lineRule="auto"/>
        <w:ind w:left="851" w:right="0" w:firstLine="567"/>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right" w:pos="7280"/>
          <w:tab w:val="right" w:pos="8540"/>
        </w:tabs>
        <w:spacing w:before="0" w:after="0" w:line="288" w:lineRule="auto"/>
        <w:ind w:left="851" w:right="0" w:firstLine="567"/>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16" w:name="Section112"/>
      <w:bookmarkEnd w:id="216"/>
      <w:bookmarkStart w:id="217" w:name="aeec2ec62366450588c7199f9914fb05"/>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7"/>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pasivos no financieros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16.156.162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Aportes reembolsables.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83.250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Garantías recibidas en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3.083.666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19.323.078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18" w:name="Section113"/>
      <w:bookmarkEnd w:id="218"/>
      <w:bookmarkStart w:id="219" w:name="a0c8b008cf4c42c487d9bfb8054c3670"/>
      <w:r>
        <w:rPr>
          <w:rFonts w:ascii="Calibri" w:eastAsia="Calibri" w:hAnsi="Calibri" w:cs="Calibri"/>
          <w:b/>
          <w:i w:val="0"/>
          <w:color w:val="000000"/>
          <w:sz w:val="20"/>
          <w:u w:val="none"/>
        </w:rPr>
        <w:t>24.1.-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9"/>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Detalle de los ingresos diferidos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por obras de terceros.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16.156.162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16.156.162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este rubro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del periodo ingresos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 inicial ingresos diferidos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16.156.162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24.564.683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Adiciones.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(16.136.079)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14.855.334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Imputación a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(20.083)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(23.263.855)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16.156.162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20" w:name="Section114"/>
      <w:bookmarkEnd w:id="220"/>
      <w:bookmarkStart w:id="221" w:name="6c7193c7af7b413c9a380259f90f608c"/>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1"/>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22" w:name="Section115"/>
      <w:bookmarkEnd w:id="222"/>
      <w:bookmarkStart w:id="223" w:name="9b27ea4e5f6d42a997d9a7d5087e8311"/>
      <w:r>
        <w:rPr>
          <w:rFonts w:ascii="Calibri" w:eastAsia="Calibri" w:hAnsi="Calibri" w:cs="Calibri"/>
          <w:b/>
          <w:i w:val="0"/>
          <w:color w:val="000000"/>
          <w:sz w:val="20"/>
          <w:u w:val="none"/>
        </w:rPr>
        <w:t>25.1.-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arrendamientos.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223"/>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las obligaciones por arrendamiento y sus plazos de vencimiento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el siguiente: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50"/>
        <w:gridCol w:w="1050"/>
        <w:gridCol w:w="1050"/>
        <w:gridCol w:w="1050"/>
        <w:gridCol w:w="1050"/>
        <w:gridCol w:w="1050"/>
        <w:gridCol w:w="1050"/>
      </w:tblGrid>
      <w:tr>
        <w:tblPrEx>
          <w:tblW w:w="8550" w:type="dxa"/>
          <w:tblInd w:w="1417" w:type="dxa"/>
          <w:tblLayout w:type="fixed"/>
        </w:tblPrEx>
        <w:trPr>
          <w:cantSplit/>
          <w:trHeight w:hRule="auto" w:val="0"/>
        </w:trPr>
        <w:tc>
          <w:tcPr>
            <w:tcW w:w="22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Pagos mínimos a pagar por arrendamiento, obligaciones por arrendamientos</w:t>
            </w:r>
          </w:p>
        </w:tc>
        <w:tc>
          <w:tcPr>
            <w:tcW w:w="3150"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315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250" w:type="dxa"/>
            <w:vMerge/>
            <w:tcBorders>
              <w:top w:val="nil"/>
              <w:left w:val="single" w:sz="2" w:space="0" w:color="000000"/>
              <w:bottom w:val="nil"/>
              <w:right w:val="nil"/>
            </w:tcBorders>
          </w:tcPr>
          <w:p>
            <w:pPr>
              <w:keepNext/>
              <w:pageBreakBefore w:val="0"/>
            </w:pPr>
          </w:p>
        </w:tc>
        <w:tc>
          <w:tcPr>
            <w:tcW w:w="105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5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5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c>
          <w:tcPr>
            <w:tcW w:w="105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5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5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r>
      <w:tr>
        <w:tblPrEx>
          <w:tblW w:w="8550" w:type="dxa"/>
          <w:tblInd w:w="1417" w:type="dxa"/>
          <w:tblLayout w:type="fixed"/>
        </w:tblPrEx>
        <w:trPr>
          <w:cantSplit/>
          <w:trHeight w:hRule="auto" w:val="0"/>
        </w:trPr>
        <w:tc>
          <w:tcPr>
            <w:tcW w:w="2250" w:type="dxa"/>
            <w:vMerge/>
            <w:tcBorders>
              <w:top w:val="nil"/>
              <w:left w:val="single" w:sz="2" w:space="0" w:color="000000"/>
              <w:bottom w:val="single" w:sz="2" w:space="0" w:color="000000"/>
              <w:right w:val="nil"/>
            </w:tcBorders>
          </w:tcPr>
          <w:p>
            <w:pPr>
              <w:keepNext/>
              <w:pageBreakBefore w:val="0"/>
            </w:pPr>
          </w:p>
        </w:tc>
        <w:tc>
          <w:tcPr>
            <w:tcW w:w="10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5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5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Hasta 90 días.</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27.221</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(2.888)</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24.333</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1.849.067</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(201.137)</w:t>
            </w:r>
          </w:p>
        </w:tc>
        <w:tc>
          <w:tcPr>
            <w:tcW w:w="10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1.647.930</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90 días hasta 1 año.</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136.107</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(8.019)</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128.088</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5.240.717</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(492.973)</w:t>
            </w:r>
          </w:p>
        </w:tc>
        <w:tc>
          <w:tcPr>
            <w:tcW w:w="10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4.747.744</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1 año hasta 2 años.</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16.137</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(1.217)</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14.920</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4.518.033</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(335.050)</w:t>
            </w:r>
          </w:p>
        </w:tc>
        <w:tc>
          <w:tcPr>
            <w:tcW w:w="10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4.182.983</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2 años hasta 3 años.</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17.538</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(500)</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17.038</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1.357.049</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(110.116)</w:t>
            </w:r>
          </w:p>
        </w:tc>
        <w:tc>
          <w:tcPr>
            <w:tcW w:w="10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1.246.933</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3 años hasta 4 años.</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663.395</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(50.803)</w:t>
            </w:r>
          </w:p>
        </w:tc>
        <w:tc>
          <w:tcPr>
            <w:tcW w:w="10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612.592</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4 años hasta 5 años.</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349.115</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(22.337)</w:t>
            </w:r>
          </w:p>
        </w:tc>
        <w:tc>
          <w:tcPr>
            <w:tcW w:w="10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326.778</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5 años.</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355.883</w:t>
            </w:r>
          </w:p>
        </w:tc>
        <w:tc>
          <w:tcPr>
            <w:tcW w:w="105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(17.234)</w:t>
            </w:r>
          </w:p>
        </w:tc>
        <w:tc>
          <w:tcPr>
            <w:tcW w:w="105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338.649</w:t>
            </w:r>
          </w:p>
        </w:tc>
      </w:tr>
      <w:tr>
        <w:tblPrEx>
          <w:tblW w:w="8550" w:type="dxa"/>
          <w:tblInd w:w="1417" w:type="dxa"/>
          <w:tblLayout w:type="fixed"/>
        </w:tblPrEx>
        <w:trPr>
          <w:cantSplit/>
          <w:trHeight w:hRule="auto" w:val="0"/>
        </w:trPr>
        <w:tc>
          <w:tcPr>
            <w:tcW w:w="2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197.003</w:t>
            </w:r>
          </w:p>
        </w:tc>
        <w:tc>
          <w:tcPr>
            <w:tcW w:w="10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(12.624)</w:t>
            </w:r>
          </w:p>
        </w:tc>
        <w:tc>
          <w:tcPr>
            <w:tcW w:w="10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184.379</w:t>
            </w:r>
          </w:p>
        </w:tc>
        <w:tc>
          <w:tcPr>
            <w:tcW w:w="10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14.333.259</w:t>
            </w:r>
          </w:p>
        </w:tc>
        <w:tc>
          <w:tcPr>
            <w:tcW w:w="105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(1.229.650)</w:t>
            </w:r>
          </w:p>
        </w:tc>
        <w:tc>
          <w:tcPr>
            <w:tcW w:w="105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13.103.609</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financieros por intereses devengados producto de estas obligaciones se revelan en ítem detallado en nota 29.</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tasas de interés aplicadas nominal anual para contrato por tipo de bien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son las siguientes: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16"/>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sujeto a arrendamiento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Tasas de interés</w:t>
            </w:r>
          </w:p>
        </w:tc>
      </w:tr>
      <w:tr>
        <w:tblPrEx>
          <w:tblW w:w="8550" w:type="dxa"/>
          <w:tblInd w:w="1417" w:type="dxa"/>
          <w:tblLayout w:type="fixed"/>
        </w:tblPrEx>
        <w:trPr>
          <w:cantSplit/>
          <w:trHeight w:hRule="exact" w:val="255"/>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Terreno bajo arrendamientos.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6,66 %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Edificio en arrendamiento.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Equipamiento de tecnologías de la información bajo arrendamientos.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6,66 %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Instalaciones fijas y accesorios bajo arrendamiento.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keepNext/>
              <w:pageBreakBefore w:val="0"/>
              <w:tabs>
                <w:tab w:val="left" w:pos="1"/>
              </w:tabs>
              <w:spacing w:before="38" w:after="20" w:line="240" w:lineRule="auto"/>
              <w:jc w:val="right"/>
            </w:pPr>
            <w:r>
              <w:rPr>
                <w:rFonts w:ascii="Calibri" w:eastAsia="Calibri" w:hAnsi="Calibri" w:cs="Calibri"/>
                <w:b w:val="0"/>
                <w:i w:val="0"/>
                <w:color w:val="000000"/>
                <w:sz w:val="16"/>
                <w:u w:val="none"/>
              </w:rPr>
              <w:tab/>
              <w:t>5,74 %</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Vehículos de motor, bajo arrendamiento.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la Sociedad posee pasivos por arrendamientos con entidades relacionadas por M$ </w:t>
      </w:r>
      <w:r>
        <w:rPr>
          <w:rFonts w:ascii="Calibri" w:eastAsia="Calibri" w:hAnsi="Calibri" w:cs="Calibri"/>
          <w:b w:val="0"/>
          <w:i w:val="0"/>
          <w:color w:val="000000"/>
          <w:sz w:val="20"/>
          <w:highlight w:val="yellow"/>
          <w:u w:val="none"/>
        </w:rPr>
        <w:t>18.674.179</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por M$ 19.293.131 indicados en Nota 9.1.2, "Cuentas por pagar a entidades relacionadas".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24" w:name="Section116"/>
      <w:bookmarkEnd w:id="224"/>
      <w:bookmarkStart w:id="225" w:name="437daef3735d45638dc48cf874cddad6"/>
      <w:r>
        <w:rPr>
          <w:rFonts w:ascii="Calibri" w:eastAsia="Calibri" w:hAnsi="Calibri" w:cs="Calibri"/>
          <w:b/>
          <w:i w:val="0"/>
          <w:color w:val="000000"/>
          <w:sz w:val="20"/>
          <w:u w:val="none"/>
        </w:rPr>
        <w:t>25.2.-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Activos por derecho de uso.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25"/>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bienes arrendados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885"/>
        <w:gridCol w:w="885"/>
        <w:gridCol w:w="885"/>
        <w:gridCol w:w="885"/>
        <w:gridCol w:w="885"/>
        <w:gridCol w:w="885"/>
      </w:tblGrid>
      <w:tr>
        <w:tblPrEx>
          <w:tblW w:w="8550" w:type="dxa"/>
          <w:tblInd w:w="1417" w:type="dxa"/>
          <w:tblLayout w:type="fixed"/>
        </w:tblPrEx>
        <w:trPr>
          <w:cantSplit/>
          <w:trHeight w:hRule="auto" w:val="0"/>
        </w:trPr>
        <w:tc>
          <w:tcPr>
            <w:tcW w:w="32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655" w:type="dxa"/>
            <w:gridSpan w:val="3"/>
            <w:tcBorders>
              <w:top w:val="single" w:sz="2" w:space="0" w:color="000000"/>
              <w:left w:val="single" w:sz="2" w:space="0" w:color="000000"/>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65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324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Propiedades, planta y equipo en arrendamiento, neto</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bruto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Depreciación acumulada, amortización y deterioro de valor </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Neto</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bruto</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Depreciación acumulada, amortización y deterioro de valor </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Neto</w:t>
            </w:r>
          </w:p>
        </w:tc>
      </w:tr>
      <w:tr>
        <w:tblPrEx>
          <w:tblW w:w="8550" w:type="dxa"/>
          <w:tblInd w:w="1417" w:type="dxa"/>
          <w:tblLayout w:type="fixed"/>
        </w:tblPrEx>
        <w:trPr>
          <w:cantSplit/>
          <w:trHeight w:hRule="auto" w:val="0"/>
        </w:trPr>
        <w:tc>
          <w:tcPr>
            <w:tcW w:w="3240" w:type="dxa"/>
            <w:vMerge/>
            <w:tcBorders>
              <w:top w:val="nil"/>
              <w:left w:val="single" w:sz="2" w:space="0" w:color="000000"/>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Terreno bajo arrendamientos.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42.199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(36.523)</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5.676</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Edificio en arrendamiento.</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7.450.565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(1.525.551)</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5.925.014</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Planta y equipo bajo arrendamiento.</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1.341.740</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(78.317)</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1.263.423</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Equipamiento de tecnologías de la información bajo arrendamientos.</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27.398.655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(8.275.722)</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19.122.933</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Instalaciones fijas y accesorios bajo arrendamiento.</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489.467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(225.390)</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264.077</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Vehículos de motor, bajo arrendamiento.</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5.182.666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(3.453.896)</w:t>
            </w: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1.728.770</w:t>
            </w:r>
          </w:p>
        </w:tc>
      </w:tr>
      <w:tr>
        <w:tblPrEx>
          <w:tblW w:w="8550" w:type="dxa"/>
          <w:tblInd w:w="1417"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41.905.292</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(13.595.399)</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28.309.893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se deprecian en el plazo remanente de los contratos. La depreciación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w:t>
      </w:r>
      <w:r>
        <w:rPr>
          <w:rFonts w:ascii="Calibri" w:eastAsia="Calibri" w:hAnsi="Calibri" w:cs="Calibri"/>
          <w:b w:val="0"/>
          <w:i w:val="0"/>
          <w:color w:val="000000"/>
          <w:sz w:val="20"/>
          <w:u w:val="none"/>
        </w:rPr>
        <w:t>M$ 0</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M$ 13.595.399</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principales bienes arrendados corresponden a software asociado a la medición inteligente, edificio corporativo en la comuna de Las Condes, bodegas de materiales en la Comuna de San Bernardo, Vehículos cuya flota asciende a 260 unidades utilizadas en la operación de la Sociedad, equipos y accesorios para reconectador de 27 KV.</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los movimientos por clase de activos originados en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60"/>
        <w:gridCol w:w="780"/>
        <w:gridCol w:w="780"/>
        <w:gridCol w:w="780"/>
        <w:gridCol w:w="810"/>
        <w:gridCol w:w="780"/>
        <w:gridCol w:w="780"/>
        <w:gridCol w:w="780"/>
      </w:tblGrid>
      <w:tr>
        <w:tblPrEx>
          <w:tblW w:w="8550" w:type="dxa"/>
          <w:tblInd w:w="1417" w:type="dxa"/>
          <w:tblLayout w:type="fixed"/>
        </w:tblPrEx>
        <w:trPr>
          <w:cantSplit/>
          <w:trHeight w:hRule="auto" w:val="0"/>
        </w:trPr>
        <w:tc>
          <w:tcPr>
            <w:tcW w:w="30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2026</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w:t>
            </w:r>
          </w:p>
        </w:tc>
        <w:tc>
          <w:tcPr>
            <w:tcW w:w="81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w:t>
            </w:r>
          </w:p>
        </w:tc>
        <w:tc>
          <w:tcPr>
            <w:tcW w:w="7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rPr>
        <w:tc>
          <w:tcPr>
            <w:tcW w:w="3060" w:type="dxa"/>
            <w:vMerge/>
            <w:tcBorders>
              <w:top w:val="nil"/>
              <w:left w:val="single" w:sz="2" w:space="0" w:color="000000"/>
              <w:bottom w:val="single" w:sz="2" w:space="0" w:color="000000"/>
              <w:right w:val="nil"/>
            </w:tcBorders>
          </w:tcPr>
          <w:p>
            <w:pPr>
              <w:keepNext/>
              <w:pageBreakBefore w:val="0"/>
            </w:pP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1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30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0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5.676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5.925.014</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1.263.423</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19.122.933</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264.077</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1.728.770</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28.309.893</w:t>
            </w:r>
          </w:p>
        </w:tc>
      </w:tr>
      <w:tr>
        <w:tblPrEx>
          <w:tblW w:w="8550" w:type="dxa"/>
          <w:tblInd w:w="1417" w:type="dxa"/>
          <w:tblLayout w:type="fixed"/>
        </w:tblPrEx>
        <w:trPr>
          <w:cantSplit/>
          <w:trHeight w:hRule="auto" w:val="0"/>
        </w:trPr>
        <w:tc>
          <w:tcPr>
            <w:tcW w:w="30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Adiciones distintas de las obtenidas mediante combinaciones de negocios.</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9.665</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167.803</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145.906</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107.383</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430.757</w:t>
            </w:r>
          </w:p>
        </w:tc>
      </w:tr>
      <w:tr>
        <w:tblPrEx>
          <w:tblW w:w="8550" w:type="dxa"/>
          <w:tblInd w:w="1417" w:type="dxa"/>
          <w:tblLayout w:type="fixed"/>
        </w:tblPrEx>
        <w:trPr>
          <w:cantSplit/>
          <w:trHeight w:hRule="auto" w:val="0"/>
        </w:trPr>
        <w:tc>
          <w:tcPr>
            <w:tcW w:w="30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(5.062)</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(848.434)</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(73.104)</w:t>
            </w:r>
          </w:p>
        </w:tc>
        <w:tc>
          <w:tcPr>
            <w:tcW w:w="81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(1.372.950)</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(92.907)</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(275.864)</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(2.668.321)</w:t>
            </w:r>
          </w:p>
        </w:tc>
      </w:tr>
      <w:tr>
        <w:tblPrEx>
          <w:tblW w:w="8550" w:type="dxa"/>
          <w:tblInd w:w="1417" w:type="dxa"/>
          <w:tblLayout w:type="fixed"/>
        </w:tblPrEx>
        <w:trPr>
          <w:cantSplit/>
          <w:trHeight w:hRule="auto" w:val="0"/>
        </w:trPr>
        <w:tc>
          <w:tcPr>
            <w:tcW w:w="30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Saldo final al 30 de junio de 2026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10.279</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5.244.383</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1.190.319</w:t>
            </w:r>
          </w:p>
        </w:tc>
        <w:tc>
          <w:tcPr>
            <w:tcW w:w="81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17.895.889</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278.553</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1.452.906</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26.072.329</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030"/>
        <w:gridCol w:w="780"/>
        <w:gridCol w:w="780"/>
        <w:gridCol w:w="780"/>
        <w:gridCol w:w="840"/>
        <w:gridCol w:w="780"/>
        <w:gridCol w:w="780"/>
        <w:gridCol w:w="780"/>
      </w:tblGrid>
      <w:tr>
        <w:tblPrEx>
          <w:tblW w:w="8550" w:type="dxa"/>
          <w:tblInd w:w="1417" w:type="dxa"/>
          <w:tblLayout w:type="fixed"/>
        </w:tblPrEx>
        <w:trPr>
          <w:cantSplit/>
          <w:trHeight w:hRule="auto" w:val="0"/>
        </w:trPr>
        <w:tc>
          <w:tcPr>
            <w:tcW w:w="303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 año 2025</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Terrenos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Edificios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Planta y equipo</w:t>
            </w:r>
          </w:p>
        </w:tc>
        <w:tc>
          <w:tcPr>
            <w:tcW w:w="84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Equipamiento de tecnologías de la información</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Instalaciones fijas y accesorios</w:t>
            </w:r>
          </w:p>
        </w:tc>
        <w:tc>
          <w:tcPr>
            <w:tcW w:w="7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Vehículos</w:t>
            </w:r>
          </w:p>
        </w:tc>
        <w:tc>
          <w:tcPr>
            <w:tcW w:w="78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50" w:type="dxa"/>
          <w:tblInd w:w="1417" w:type="dxa"/>
          <w:tblLayout w:type="fixed"/>
        </w:tblPrEx>
        <w:trPr>
          <w:cantSplit/>
          <w:trHeight w:hRule="auto" w:val="0"/>
        </w:trPr>
        <w:tc>
          <w:tcPr>
            <w:tcW w:w="3030" w:type="dxa"/>
            <w:vMerge/>
            <w:tcBorders>
              <w:top w:val="nil"/>
              <w:left w:val="single" w:sz="2" w:space="0" w:color="000000"/>
              <w:bottom w:val="single" w:sz="2" w:space="0" w:color="000000"/>
              <w:right w:val="nil"/>
            </w:tcBorders>
          </w:tcPr>
          <w:p>
            <w:pPr>
              <w:keepNext/>
              <w:pageBreakBefore w:val="0"/>
            </w:pP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30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Saldo inicial al 1 de enero de 2025</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20.734</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2.493.759</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18.994.590</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698.889</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2.808.259</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25.016.231</w:t>
            </w:r>
          </w:p>
        </w:tc>
      </w:tr>
      <w:tr>
        <w:tblPrEx>
          <w:tblW w:w="8550" w:type="dxa"/>
          <w:tblInd w:w="1417"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Adiciones distintas de las obtenidas mediante combinaciones de negocios.</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11.249</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6.357.082</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1.341.740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5.161.705</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696.349</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19.404</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13.587.529</w:t>
            </w:r>
          </w:p>
        </w:tc>
      </w:tr>
      <w:tr>
        <w:tblPrEx>
          <w:tblW w:w="8550" w:type="dxa"/>
          <w:tblInd w:w="1417"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Retiros.</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(3.398)</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(116.936)</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(120.334)</w:t>
            </w:r>
          </w:p>
        </w:tc>
      </w:tr>
      <w:tr>
        <w:tblPrEx>
          <w:tblW w:w="8550" w:type="dxa"/>
          <w:tblInd w:w="1417"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Depreciación.</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(26.307)</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(2.922.429)</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(78.317)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(5.033.362)</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(1.014.225)</w:t>
            </w:r>
          </w:p>
        </w:tc>
        <w:tc>
          <w:tcPr>
            <w:tcW w:w="7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(1.098.893)</w:t>
            </w:r>
          </w:p>
        </w:tc>
        <w:tc>
          <w:tcPr>
            <w:tcW w:w="7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(10.173.533)</w:t>
            </w:r>
          </w:p>
        </w:tc>
      </w:tr>
      <w:tr>
        <w:tblPrEx>
          <w:tblW w:w="8550" w:type="dxa"/>
          <w:tblInd w:w="1417" w:type="dxa"/>
          <w:tblLayout w:type="fixed"/>
        </w:tblPrEx>
        <w:trPr>
          <w:cantSplit/>
          <w:trHeight w:hRule="auto" w:val="0"/>
        </w:trPr>
        <w:tc>
          <w:tcPr>
            <w:tcW w:w="30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Saldo final al 31 de diciembre de 2025</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5.676</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5.925.014</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1.263.423</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19.122.933</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264.077</w:t>
            </w:r>
          </w:p>
        </w:tc>
        <w:tc>
          <w:tcPr>
            <w:tcW w:w="7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1.728.770</w:t>
            </w:r>
          </w:p>
        </w:tc>
        <w:tc>
          <w:tcPr>
            <w:tcW w:w="7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28.309.893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26" w:name="Section117"/>
      <w:bookmarkEnd w:id="226"/>
      <w:bookmarkStart w:id="227" w:name="b5afd9d97a284e44a1db9f892cccb1b0"/>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PATRIMONIO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27"/>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28" w:name="Section118"/>
      <w:bookmarkEnd w:id="228"/>
      <w:bookmarkStart w:id="229" w:name="ec04c770e5064c48af34e1587c09bf7a"/>
      <w:r>
        <w:rPr>
          <w:rFonts w:ascii="Calibri" w:eastAsia="Calibri" w:hAnsi="Calibri" w:cs="Calibri"/>
          <w:b/>
          <w:i w:val="0"/>
          <w:color w:val="000000"/>
          <w:sz w:val="20"/>
          <w:u w:val="none"/>
        </w:rPr>
        <w:t>26.1.-</w:t>
      </w:r>
      <w:r>
        <w:rPr>
          <w:rFonts w:ascii="Calibri" w:eastAsia="Calibri" w:hAnsi="Calibri" w:cs="Calibri"/>
          <w:b/>
          <w:i w:val="0"/>
          <w:color w:val="000000"/>
          <w:sz w:val="20"/>
          <w:u w:val="none"/>
        </w:rPr>
        <w:tab/>
      </w:r>
      <w:r>
        <w:rPr>
          <w:rFonts w:ascii="Calibri" w:eastAsia="Calibri" w:hAnsi="Calibri" w:cs="Calibri"/>
          <w:b/>
          <w:i w:val="0"/>
          <w:color w:val="000000"/>
          <w:sz w:val="20"/>
          <w:u w:val="none"/>
        </w:rPr>
        <w:t>Gestión de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29"/>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objetivos de Compañía General de Electricidad S.A. al administrar el capital son el salvaguardar la capacidad de continuar como empresa en marcha con el propósito de generar retornos a sus accionistas, beneficios a otros grupos de interés y mantener una estructura de capital óptima para reducir el costo del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Consistente con la industria, Compañía General de Electricidad S.A. monitorea su capital sobre la base del ratio de apalancamiento. Este ratio se calcula dividiendo la deuda neta por el capital total. La deuda neta corresponde al total del endeudamiento (incluyendo el endeudamiento corriente y no corriente) menos el efectivo y equivalentes de efectivo. El capital total corresponde al patrimonio tal y como se muestra en el estado de situación financiera consolidado más la deuda neta.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sentido, Compañía General de Electricidad S.A. ha combinado distintas fuentes de financiamiento tales como: aumentos de capital, flujos de la operación, préstamos de empresas relacionadas, créditos bancarios, obligaciones con el público en su modalidad de bonos.</w:t>
      </w:r>
    </w:p>
    <w:p>
      <w:pPr>
        <w:keepNext w:val="0"/>
        <w:keepLines/>
        <w:pageBreakBefore w:val="0"/>
        <w:widowControl w:val="0"/>
        <w:numPr>
          <w:ilvl w:val="0"/>
          <w:numId w:val="0"/>
        </w:numPr>
        <w:spacing w:before="0" w:after="0" w:line="252"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52"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30" w:name="Section119"/>
      <w:bookmarkEnd w:id="230"/>
      <w:bookmarkStart w:id="231" w:name="d05d936920ed42b3afcc3b2bdd5b3c03"/>
      <w:r>
        <w:rPr>
          <w:rFonts w:ascii="Calibri" w:eastAsia="Calibri" w:hAnsi="Calibri" w:cs="Calibri"/>
          <w:b/>
          <w:i w:val="0"/>
          <w:color w:val="000000"/>
          <w:sz w:val="20"/>
          <w:u w:val="none"/>
        </w:rPr>
        <w:t>26.2.-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suscrito y pagado.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1"/>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capital suscrito y pagado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asciende a M$ </w:t>
      </w:r>
      <w:r>
        <w:rPr>
          <w:rFonts w:ascii="Calibri" w:eastAsia="Calibri" w:hAnsi="Calibri" w:cs="Calibri"/>
          <w:b w:val="0"/>
          <w:i w:val="0"/>
          <w:color w:val="000000"/>
          <w:sz w:val="20"/>
          <w:u w:val="none"/>
        </w:rPr>
        <w:t>1.232.423.425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9"/>
        <w:jc w:val="both"/>
        <w:outlineLvl w:val="1"/>
        <w:rPr>
          <w:rFonts w:ascii="Times New Roman" w:eastAsia="Times New Roman" w:hAnsi="Times New Roman" w:cs="Times New Roman"/>
          <w:b/>
          <w:i w:val="0"/>
          <w:color w:val="000000"/>
          <w:sz w:val="24"/>
          <w:u w:val="none"/>
        </w:rPr>
      </w:pPr>
      <w:bookmarkStart w:id="232" w:name="Section120"/>
      <w:bookmarkEnd w:id="232"/>
      <w:bookmarkStart w:id="233" w:name="aa8098a9797345ab9bd33aae92fd929a"/>
      <w:r>
        <w:rPr>
          <w:rFonts w:ascii="Calibri" w:eastAsia="Calibri" w:hAnsi="Calibri" w:cs="Calibri"/>
          <w:b/>
          <w:i w:val="0"/>
          <w:color w:val="000000"/>
          <w:sz w:val="20"/>
          <w:u w:val="none"/>
        </w:rPr>
        <w:t>26.3.-</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de acciones suscritas y pagadas.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3"/>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el capital de Compañía General de Electricidad S.A., está representado por </w:t>
      </w:r>
      <w:r>
        <w:rPr>
          <w:rFonts w:ascii="Calibri" w:eastAsia="Calibri" w:hAnsi="Calibri" w:cs="Calibri"/>
          <w:b w:val="0"/>
          <w:i w:val="0"/>
          <w:color w:val="000000"/>
          <w:sz w:val="20"/>
          <w:u w:val="none"/>
        </w:rPr>
        <w:t>2.019.896.893</w:t>
      </w:r>
      <w:r>
        <w:rPr>
          <w:rFonts w:ascii="Calibri" w:eastAsia="Calibri" w:hAnsi="Calibri" w:cs="Calibri"/>
          <w:b w:val="0"/>
          <w:i w:val="0"/>
          <w:color w:val="000000"/>
          <w:sz w:val="20"/>
          <w:u w:val="none"/>
        </w:rPr>
        <w:t>, acciones sin valor nominal, de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highlight w:val="yellow"/>
          <w:u w:val="none"/>
        </w:rPr>
      </w:pPr>
      <w:bookmarkStart w:id="234" w:name="Section121"/>
      <w:bookmarkEnd w:id="234"/>
      <w:bookmarkStart w:id="235" w:name="c7aea399553e4a1cbae02402e4985692"/>
      <w:r>
        <w:rPr>
          <w:rFonts w:ascii="Calibri" w:eastAsia="Calibri" w:hAnsi="Calibri" w:cs="Calibri"/>
          <w:b/>
          <w:i w:val="0"/>
          <w:color w:val="000000"/>
          <w:sz w:val="20"/>
          <w:highlight w:val="yellow"/>
          <w:u w:val="none"/>
        </w:rPr>
        <w:t>26.4.-</w:t>
      </w:r>
      <w:r>
        <w:rPr>
          <w:rFonts w:ascii="Calibri" w:eastAsia="Calibri" w:hAnsi="Calibri" w:cs="Calibri"/>
          <w:b/>
          <w:i w:val="0"/>
          <w:color w:val="000000"/>
          <w:sz w:val="20"/>
          <w:highlight w:val="yellow"/>
          <w:u w:val="none"/>
        </w:rPr>
        <w:tab/>
      </w:r>
      <w:r>
        <w:rPr>
          <w:rFonts w:ascii="Calibri" w:eastAsia="Calibri" w:hAnsi="Calibri" w:cs="Calibri"/>
          <w:b/>
          <w:i w:val="0"/>
          <w:color w:val="000000"/>
          <w:sz w:val="20"/>
          <w:highlight w:val="yellow"/>
          <w:u w:val="none"/>
        </w:rPr>
        <w:t>Dividendos.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bookmarkEnd w:id="235"/>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Junta Ordinaria de Accionistas de la Sociedad, celebrada el 23 de abril de 2025, se aprobó el pago del dividendo definitivo N° 15 de $ 13,10 por acción con cargo a las utilidades del ejercicio 2024, el cual se pagó con fecha 8 de mayo de 2025, por un total de M$ 26.460.649.</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acuerdo a la política de dividendos de la Sociedad al 31 de diciembre de 2025 se provisionó un dividendo equivalente al 30% sobre las utilidades del ejercicio por un monto de M$ 3.599.976.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36" w:name="Section122"/>
      <w:bookmarkEnd w:id="236"/>
      <w:bookmarkStart w:id="237" w:name="7699413c1fb040b684fbe5484f7b7964"/>
      <w:r>
        <w:rPr>
          <w:rFonts w:ascii="Calibri" w:eastAsia="Calibri" w:hAnsi="Calibri" w:cs="Calibri"/>
          <w:b/>
          <w:i w:val="0"/>
          <w:color w:val="000000"/>
          <w:sz w:val="20"/>
          <w:u w:val="none"/>
        </w:rPr>
        <w:t>26.5.-</w:t>
      </w:r>
      <w:r>
        <w:rPr>
          <w:rFonts w:ascii="Calibri" w:eastAsia="Calibri" w:hAnsi="Calibri" w:cs="Calibri"/>
          <w:b/>
          <w:i w:val="0"/>
          <w:color w:val="000000"/>
          <w:sz w:val="20"/>
          <w:u w:val="none"/>
        </w:rPr>
        <w:tab/>
      </w:r>
      <w:r>
        <w:rPr>
          <w:rFonts w:ascii="Calibri" w:eastAsia="Calibri" w:hAnsi="Calibri" w:cs="Calibri"/>
          <w:b/>
          <w:i w:val="0"/>
          <w:color w:val="000000"/>
          <w:sz w:val="20"/>
          <w:u w:val="none"/>
        </w:rPr>
        <w:t>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7"/>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de otras reservas dentro del patrimonio, se incluyen los siguientes conceptos: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26.5.1.-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coberturas.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presentan en este rubro los movimientos en el valor justo de los instrumentos derivados de cobertura de flujos de caja medidos a valor razonable con cambios en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26.5.2.-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ganancias y pérdidas por planes de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 a las variaciones de los valores actuariales de la provisión por beneficios definidos de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saldos acumulados por la aplicación de la NIC 19 se han reconocido en otros resultados integrales, producto de lo anterior el saldo de estas reservas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ascienden a M$ </w:t>
      </w:r>
      <w:r>
        <w:rPr>
          <w:rFonts w:ascii="Calibri" w:eastAsia="Calibri" w:hAnsi="Calibri" w:cs="Calibri"/>
          <w:b w:val="0"/>
          <w:i w:val="0"/>
          <w:color w:val="000000"/>
          <w:sz w:val="20"/>
          <w:u w:val="none"/>
        </w:rPr>
        <w:t>(2.890.209)</w:t>
      </w:r>
      <w:r>
        <w:rPr>
          <w:rFonts w:ascii="Calibri" w:eastAsia="Calibri" w:hAnsi="Calibri" w:cs="Calibri"/>
          <w:b w:val="0"/>
          <w:i w:val="0"/>
          <w:sz w:val="20"/>
        </w:rPr>
        <w:t xml:space="preserve"> y </w:t>
      </w:r>
      <w:r>
        <w:rPr>
          <w:rFonts w:ascii="Calibri" w:eastAsia="Calibri" w:hAnsi="Calibri" w:cs="Calibri"/>
          <w:b w:val="0"/>
          <w:i w:val="0"/>
          <w:color w:val="000000"/>
          <w:sz w:val="20"/>
          <w:u w:val="none"/>
        </w:rPr>
        <w:t xml:space="preserve">M$ (2.663.022) 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ambos netos de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26.5.3.-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Otras 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este rubro se incluyen otras reservas que se reconocen de inversiones en subsidiarias, asociadas y negocios de control conjunto.</w:t>
      </w:r>
    </w:p>
    <w:p>
      <w:pPr>
        <w:pStyle w:val="Normal-wk"/>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38" w:name="Section123"/>
      <w:bookmarkEnd w:id="238"/>
      <w:bookmarkStart w:id="239" w:name="f03446e442444e7285ca0a312b979f7b"/>
      <w:r>
        <w:rPr>
          <w:rFonts w:ascii="Calibri" w:eastAsia="Calibri" w:hAnsi="Calibri" w:cs="Calibri"/>
          <w:b/>
          <w:i w:val="0"/>
          <w:color w:val="000000"/>
          <w:sz w:val="20"/>
          <w:u w:val="none"/>
        </w:rPr>
        <w:t>26.6.-</w:t>
      </w:r>
      <w:r>
        <w:rPr>
          <w:rFonts w:ascii="Calibri" w:eastAsia="Calibri" w:hAnsi="Calibri" w:cs="Calibri"/>
          <w:b/>
          <w:i w:val="0"/>
          <w:color w:val="000000"/>
          <w:sz w:val="20"/>
          <w:u w:val="none"/>
        </w:rPr>
        <w:tab/>
      </w:r>
      <w:r>
        <w:rPr>
          <w:rFonts w:ascii="Calibri" w:eastAsia="Calibri" w:hAnsi="Calibri" w:cs="Calibri"/>
          <w:b/>
          <w:i w:val="0"/>
          <w:color w:val="000000"/>
          <w:sz w:val="20"/>
          <w:u w:val="none"/>
        </w:rPr>
        <w:t>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9"/>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siguientes son las participaciones no controladoras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20"/>
        <w:gridCol w:w="3330"/>
        <w:gridCol w:w="600"/>
        <w:gridCol w:w="1200"/>
        <w:gridCol w:w="1200"/>
        <w:gridCol w:w="1200"/>
        <w:gridCol w:w="1200"/>
        <w:gridCol w:w="1200"/>
        <w:gridCol w:w="1200"/>
      </w:tblGrid>
      <w:tr>
        <w:tblPrEx>
          <w:tblW w:w="12150" w:type="dxa"/>
          <w:tblInd w:w="1417" w:type="dxa"/>
          <w:tblLayout w:type="fixed"/>
        </w:tblPrEx>
        <w:trPr>
          <w:cantSplit/>
          <w:trHeight w:hRule="auto" w:val="0"/>
        </w:trPr>
        <w:tc>
          <w:tcPr>
            <w:tcW w:w="10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333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 la subsidiaria</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24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Porcentaje de participación en subsidiarias de la participación no controladora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Participación no controladora en patrimonio</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 (pérdida) atribuible a participación no controladora</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Participación no controladora en patrimonio</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 (pérdida) atribuible a participación no controladora</w:t>
            </w:r>
          </w:p>
        </w:tc>
      </w:tr>
      <w:tr>
        <w:tblPrEx>
          <w:tblW w:w="12150" w:type="dxa"/>
          <w:tblInd w:w="1417" w:type="dxa"/>
          <w:tblLayout w:type="fixed"/>
        </w:tblPrEx>
        <w:trPr>
          <w:cantSplit/>
          <w:trHeight w:hRule="auto" w:val="0"/>
        </w:trPr>
        <w:tc>
          <w:tcPr>
            <w:tcW w:w="1020" w:type="dxa"/>
            <w:vMerge/>
            <w:tcBorders>
              <w:top w:val="nil"/>
              <w:left w:val="single" w:sz="2" w:space="0" w:color="000000"/>
              <w:bottom w:val="nil"/>
              <w:right w:val="nil"/>
            </w:tcBorders>
          </w:tcPr>
          <w:p>
            <w:pPr>
              <w:keepNext/>
              <w:pageBreakBefore w:val="0"/>
            </w:pPr>
          </w:p>
        </w:tc>
        <w:tc>
          <w:tcPr>
            <w:tcW w:w="3330"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240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24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1020" w:type="dxa"/>
            <w:vMerge/>
            <w:tcBorders>
              <w:top w:val="nil"/>
              <w:left w:val="single" w:sz="2" w:space="0" w:color="000000"/>
              <w:bottom w:val="single" w:sz="2" w:space="0" w:color="000000"/>
              <w:right w:val="nil"/>
            </w:tcBorders>
          </w:tcPr>
          <w:p>
            <w:pPr>
              <w:keepNext/>
              <w:pageBreakBefore w:val="0"/>
            </w:pPr>
          </w:p>
        </w:tc>
        <w:tc>
          <w:tcPr>
            <w:tcW w:w="3330"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auto" w:val="0"/>
        </w:trPr>
        <w:tc>
          <w:tcPr>
            <w:tcW w:w="10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88.221.200-9</w:t>
            </w:r>
          </w:p>
        </w:tc>
        <w:tc>
          <w:tcPr>
            <w:tcW w:w="33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44,83508 %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44,83508 %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40.697.229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1.294.761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39.415.070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5.130.338</w:t>
            </w:r>
          </w:p>
        </w:tc>
      </w:tr>
      <w:tr>
        <w:tblPrEx>
          <w:tblW w:w="12150" w:type="dxa"/>
          <w:tblInd w:w="1417" w:type="dxa"/>
          <w:tblLayout w:type="fixed"/>
        </w:tblPrEx>
        <w:trPr>
          <w:cantSplit/>
          <w:trHeight w:hRule="auto" w:val="0"/>
        </w:trPr>
        <w:tc>
          <w:tcPr>
            <w:tcW w:w="10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99.548.240-1</w:t>
            </w:r>
          </w:p>
        </w:tc>
        <w:tc>
          <w:tcPr>
            <w:tcW w:w="33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Magallanes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0,10518 %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s>
              <w:spacing w:before="0" w:after="0" w:line="240" w:lineRule="auto"/>
              <w:jc w:val="right"/>
            </w:pPr>
            <w:r>
              <w:rPr>
                <w:rFonts w:ascii="Calibri" w:eastAsia="Calibri" w:hAnsi="Calibri" w:cs="Calibri"/>
                <w:b w:val="0"/>
                <w:i w:val="0"/>
                <w:color w:val="000000"/>
                <w:sz w:val="14"/>
                <w:u w:val="none"/>
              </w:rPr>
              <w:tab/>
              <w:t>0,10518 %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25.806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6.398</w:t>
            </w:r>
          </w:p>
        </w:tc>
      </w:tr>
      <w:tr>
        <w:tblPrEx>
          <w:tblW w:w="12150" w:type="dxa"/>
          <w:tblInd w:w="1417" w:type="dxa"/>
          <w:tblLayout w:type="fixed"/>
        </w:tblPrEx>
        <w:trPr>
          <w:cantSplit/>
          <w:trHeight w:hRule="auto" w:val="0"/>
        </w:trPr>
        <w:tc>
          <w:tcPr>
            <w:tcW w:w="7350" w:type="dxa"/>
            <w:gridSpan w:val="5"/>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40.697.229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1.294.761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39.440.876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5.136.736</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
          <w:u w:val="none"/>
        </w:rPr>
        <w:sectPr>
          <w:headerReference w:type="default" r:id="rId50"/>
          <w:footerReference w:type="default" r:id="rId51"/>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40" w:name="Section124"/>
      <w:bookmarkEnd w:id="240"/>
      <w:bookmarkStart w:id="241" w:name="9e61469d1cf94e3ab79d49fc0cb4eebd"/>
      <w:r>
        <w:rPr>
          <w:rFonts w:ascii="Calibri" w:eastAsia="Calibri" w:hAnsi="Calibri" w:cs="Calibri"/>
          <w:b/>
          <w:i w:val="0"/>
          <w:color w:val="000000"/>
          <w:sz w:val="20"/>
          <w:u w:val="none"/>
        </w:rPr>
        <w:t>26.7.-</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con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1"/>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 xml:space="preserve"> no hay transacciones con participaciones no controladoras.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Estas transacciones, de existir, se contabilizan de acuerdo con lo descrito en Nota 3.4.2, imputando la diferencia entre el monto pagado y el valor libros de la inversión adquirida a otras reservas del patrimonio neto, en el rubro “Incremento (disminución) por transferencias y otros cambios, patrimonio.”.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52"/>
          <w:footerReference w:type="default" r:id="rId53"/>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42" w:name="Section125"/>
      <w:bookmarkEnd w:id="242"/>
      <w:bookmarkStart w:id="243" w:name="ff9a8b4c809a41c294ead2758d60e9cc"/>
      <w:r>
        <w:rPr>
          <w:rFonts w:ascii="Calibri" w:eastAsia="Calibri" w:hAnsi="Calibri" w:cs="Calibri"/>
          <w:b/>
          <w:i w:val="0"/>
          <w:color w:val="000000"/>
          <w:sz w:val="20"/>
          <w:u w:val="none"/>
        </w:rPr>
        <w:t>26.8.-</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del movimiento en reservas de los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3"/>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47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00"/>
        <w:gridCol w:w="675"/>
        <w:gridCol w:w="675"/>
        <w:gridCol w:w="675"/>
        <w:gridCol w:w="675"/>
        <w:gridCol w:w="675"/>
        <w:gridCol w:w="675"/>
        <w:gridCol w:w="675"/>
        <w:gridCol w:w="675"/>
        <w:gridCol w:w="675"/>
      </w:tblGrid>
      <w:tr>
        <w:tblPrEx>
          <w:tblW w:w="8475" w:type="dxa"/>
          <w:tblInd w:w="1417" w:type="dxa"/>
          <w:tblLayout w:type="fixed"/>
        </w:tblPrEx>
        <w:trPr>
          <w:cantSplit/>
          <w:trHeight w:hRule="auto" w:val="0"/>
          <w:tblHeader/>
        </w:trPr>
        <w:tc>
          <w:tcPr>
            <w:tcW w:w="2400"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0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02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475" w:type="dxa"/>
          <w:tblInd w:w="1417" w:type="dxa"/>
          <w:tblLayout w:type="fixed"/>
        </w:tblPrEx>
        <w:trPr>
          <w:cantSplit/>
          <w:trHeight w:hRule="auto" w:val="0"/>
          <w:tblHeader/>
        </w:trPr>
        <w:tc>
          <w:tcPr>
            <w:tcW w:w="24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475" w:type="dxa"/>
          <w:tblInd w:w="1417" w:type="dxa"/>
          <w:tblLayout w:type="fixed"/>
        </w:tblPrEx>
        <w:trPr>
          <w:cantSplit/>
          <w:trHeight w:hRule="auto" w:val="0"/>
          <w:tblHeader/>
        </w:trPr>
        <w:tc>
          <w:tcPr>
            <w:tcW w:w="24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475" w:type="dxa"/>
          <w:tblInd w:w="1417" w:type="dxa"/>
          <w:tblLayout w:type="fixed"/>
        </w:tblPrEx>
        <w:trPr>
          <w:cantSplit/>
          <w:trHeight w:hRule="exact" w:val="60"/>
          <w:tblHeader/>
        </w:trPr>
        <w:tc>
          <w:tcPr>
            <w:tcW w:w="2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blHeader/>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475" w:type="dxa"/>
          <w:tblInd w:w="1417" w:type="dxa"/>
          <w:tblLayout w:type="fixed"/>
        </w:tblPrEx>
        <w:trPr>
          <w:cantSplit/>
          <w:trHeight w:hRule="exact" w:val="60"/>
          <w:tblHeader/>
        </w:trPr>
        <w:tc>
          <w:tcPr>
            <w:tcW w:w="2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de cobertura de flujo de efectivo</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coberturas de flujo de efectivo.</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1.094.892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(295.621)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799.271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1.094.892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(295.621)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799.271</w:t>
            </w: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periodo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1.094.892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(295.621)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799.271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1.094.892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(295.621)</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799.271</w:t>
            </w:r>
          </w:p>
        </w:tc>
      </w:tr>
      <w:tr>
        <w:tblPrEx>
          <w:tblW w:w="8475" w:type="dxa"/>
          <w:tblInd w:w="1417" w:type="dxa"/>
          <w:tblLayout w:type="fixed"/>
        </w:tblPrEx>
        <w:trPr>
          <w:cantSplit/>
          <w:trHeight w:hRule="auto" w:val="0"/>
        </w:trPr>
        <w:tc>
          <w:tcPr>
            <w:tcW w:w="2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exact" w:val="345"/>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1.667.590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(450.249)</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1.217.341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720.562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(194.552)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526.010</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2.388.152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(644.801)</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1.743.351</w:t>
            </w: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periodo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1.667.590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(450.249)</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1.217.341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720.562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(194.552)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526.010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2.388.152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(644.801)</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1.743.351</w:t>
            </w:r>
          </w:p>
        </w:tc>
      </w:tr>
      <w:tr>
        <w:tblPrEx>
          <w:tblW w:w="8475" w:type="dxa"/>
          <w:tblInd w:w="1417" w:type="dxa"/>
          <w:tblLayout w:type="fixed"/>
        </w:tblPrEx>
        <w:trPr>
          <w:cantSplit/>
          <w:trHeight w:hRule="auto" w:val="0"/>
        </w:trPr>
        <w:tc>
          <w:tcPr>
            <w:tcW w:w="2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2.016.612</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526.010</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2.542.622</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47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00"/>
        <w:gridCol w:w="675"/>
        <w:gridCol w:w="675"/>
        <w:gridCol w:w="675"/>
        <w:gridCol w:w="675"/>
        <w:gridCol w:w="675"/>
        <w:gridCol w:w="675"/>
        <w:gridCol w:w="675"/>
        <w:gridCol w:w="675"/>
        <w:gridCol w:w="675"/>
      </w:tblGrid>
      <w:tr>
        <w:tblPrEx>
          <w:tblW w:w="8475" w:type="dxa"/>
          <w:tblInd w:w="1417" w:type="dxa"/>
          <w:tblLayout w:type="fixed"/>
        </w:tblPrEx>
        <w:trPr>
          <w:cantSplit/>
          <w:trHeight w:hRule="auto" w:val="0"/>
          <w:tblHeader/>
        </w:trPr>
        <w:tc>
          <w:tcPr>
            <w:tcW w:w="24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025" w:type="dxa"/>
            <w:gridSpan w:val="3"/>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 los accionistas de la controladora</w:t>
            </w:r>
          </w:p>
        </w:tc>
        <w:tc>
          <w:tcPr>
            <w:tcW w:w="2025" w:type="dxa"/>
            <w:gridSpan w:val="3"/>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Porción atribuible al interés no controlante</w:t>
            </w:r>
          </w:p>
        </w:tc>
        <w:tc>
          <w:tcPr>
            <w:tcW w:w="202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475" w:type="dxa"/>
          <w:tblInd w:w="1417" w:type="dxa"/>
          <w:tblLayout w:type="fixed"/>
        </w:tblPrEx>
        <w:trPr>
          <w:cantSplit/>
          <w:trHeight w:hRule="auto" w:val="0"/>
          <w:tblHeader/>
        </w:trPr>
        <w:tc>
          <w:tcPr>
            <w:tcW w:w="24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c>
          <w:tcPr>
            <w:tcW w:w="6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6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67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475" w:type="dxa"/>
          <w:tblInd w:w="1417" w:type="dxa"/>
          <w:tblLayout w:type="fixed"/>
        </w:tblPrEx>
        <w:trPr>
          <w:cantSplit/>
          <w:trHeight w:hRule="auto" w:val="0"/>
          <w:tblHeader/>
        </w:trPr>
        <w:tc>
          <w:tcPr>
            <w:tcW w:w="24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6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475" w:type="dxa"/>
          <w:tblInd w:w="1417" w:type="dxa"/>
          <w:tblLayout w:type="fixed"/>
        </w:tblPrEx>
        <w:trPr>
          <w:cantSplit/>
          <w:trHeight w:hRule="exact" w:val="60"/>
          <w:tblHeader/>
        </w:trPr>
        <w:tc>
          <w:tcPr>
            <w:tcW w:w="2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blHeader/>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6.419.662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2.235.431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8.655.093</w:t>
            </w:r>
          </w:p>
        </w:tc>
      </w:tr>
      <w:tr>
        <w:tblPrEx>
          <w:tblW w:w="8475" w:type="dxa"/>
          <w:tblInd w:w="1417" w:type="dxa"/>
          <w:tblLayout w:type="fixed"/>
        </w:tblPrEx>
        <w:trPr>
          <w:cantSplit/>
          <w:trHeight w:hRule="exact" w:val="60"/>
          <w:tblHeader/>
        </w:trPr>
        <w:tc>
          <w:tcPr>
            <w:tcW w:w="2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de cobertura de flujo de caja</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coberturas de flujo de efectivo.</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(392.427)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105.955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(286.472)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(392.427)</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105.955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(286.472)</w:t>
            </w: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(392.427)</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105.955</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(286.472)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(392.427)</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105.955</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(286.472)</w:t>
            </w:r>
          </w:p>
        </w:tc>
      </w:tr>
      <w:tr>
        <w:tblPrEx>
          <w:tblW w:w="8475" w:type="dxa"/>
          <w:tblInd w:w="1417" w:type="dxa"/>
          <w:tblLayout w:type="fixed"/>
        </w:tblPrEx>
        <w:trPr>
          <w:cantSplit/>
          <w:trHeight w:hRule="auto" w:val="0"/>
        </w:trPr>
        <w:tc>
          <w:tcPr>
            <w:tcW w:w="2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exact" w:val="345"/>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67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1.095.453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(295.772)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799.681</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122.455</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(33.063)</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89.392</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1.217.908</w:t>
            </w: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(328.835)</w:t>
            </w: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889.073</w:t>
            </w: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1.095.453</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(295.772)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799.681</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122.455</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(33.063)</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89.392</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1.217.908</w:t>
            </w:r>
          </w:p>
        </w:tc>
        <w:tc>
          <w:tcPr>
            <w:tcW w:w="6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(328.835)</w:t>
            </w:r>
          </w:p>
        </w:tc>
        <w:tc>
          <w:tcPr>
            <w:tcW w:w="6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889.073</w:t>
            </w:r>
          </w:p>
        </w:tc>
      </w:tr>
      <w:tr>
        <w:tblPrEx>
          <w:tblW w:w="8475" w:type="dxa"/>
          <w:tblInd w:w="1417" w:type="dxa"/>
          <w:tblLayout w:type="fixed"/>
        </w:tblPrEx>
        <w:trPr>
          <w:cantSplit/>
          <w:trHeight w:hRule="auto" w:val="0"/>
        </w:trPr>
        <w:tc>
          <w:tcPr>
            <w:tcW w:w="24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6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75" w:type="dxa"/>
          <w:tblInd w:w="1417" w:type="dxa"/>
          <w:tblLayout w:type="fixed"/>
        </w:tblPrEx>
        <w:trPr>
          <w:cantSplit/>
          <w:trHeight w:hRule="auto" w:val="0"/>
        </w:trPr>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6.932.871</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2.324.823</w:t>
            </w:r>
          </w:p>
        </w:tc>
        <w:tc>
          <w:tcPr>
            <w:tcW w:w="67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7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6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9.257.694</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44" w:name="Section126"/>
      <w:bookmarkEnd w:id="244"/>
      <w:bookmarkStart w:id="245" w:name="58b1b53fcc6c439c9385e2b7acd3845c"/>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ACTIVIDADES ORDINARIAS.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45"/>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46" w:name="Section127"/>
      <w:bookmarkEnd w:id="246"/>
      <w:bookmarkStart w:id="247" w:name="efe30d2e8a7642abb954dca041eb58da"/>
      <w:r>
        <w:rPr>
          <w:rFonts w:ascii="Calibri" w:eastAsia="Calibri" w:hAnsi="Calibri" w:cs="Calibri"/>
          <w:b/>
          <w:i w:val="0"/>
          <w:color w:val="000000"/>
          <w:sz w:val="20"/>
          <w:u w:val="none"/>
        </w:rPr>
        <w:t>27.1.-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ordinarios.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4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10"/>
        <w:gridCol w:w="1185"/>
        <w:gridCol w:w="1185"/>
        <w:gridCol w:w="1185"/>
        <w:gridCol w:w="1185"/>
      </w:tblGrid>
      <w:tr>
        <w:tblPrEx>
          <w:tblW w:w="8550" w:type="dxa"/>
          <w:tblInd w:w="1417" w:type="dxa"/>
          <w:tblLayout w:type="fixed"/>
        </w:tblPrEx>
        <w:trPr>
          <w:cantSplit/>
          <w:trHeight w:hRule="auto" w:val="0"/>
        </w:trPr>
        <w:tc>
          <w:tcPr>
            <w:tcW w:w="381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Ingresos de actividades ordinarias</w:t>
            </w:r>
          </w:p>
        </w:tc>
        <w:tc>
          <w:tcPr>
            <w:tcW w:w="11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18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18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18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3810" w:type="dxa"/>
            <w:vMerge/>
            <w:tcBorders>
              <w:top w:val="nil"/>
              <w:left w:val="single" w:sz="2" w:space="0" w:color="000000"/>
              <w:bottom w:val="nil"/>
              <w:right w:val="nil"/>
            </w:tcBorders>
          </w:tcPr>
          <w:p>
            <w:pPr>
              <w:keepNext/>
              <w:pageBreakBefore w:val="0"/>
            </w:pPr>
          </w:p>
        </w:tc>
        <w:tc>
          <w:tcPr>
            <w:tcW w:w="11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1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18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18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3810" w:type="dxa"/>
            <w:vMerge/>
            <w:tcBorders>
              <w:top w:val="nil"/>
              <w:left w:val="single" w:sz="2" w:space="0" w:color="000000"/>
              <w:bottom w:val="single" w:sz="2" w:space="0" w:color="000000"/>
              <w:right w:val="nil"/>
            </w:tcBorders>
          </w:tcPr>
          <w:p>
            <w:pPr>
              <w:keepNext/>
              <w:pageBreakBefore w:val="0"/>
            </w:pPr>
          </w:p>
        </w:tc>
        <w:tc>
          <w:tcPr>
            <w:tcW w:w="11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8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8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38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Ventas</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1.160.448.525</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(554.640.316)</w:t>
            </w:r>
          </w:p>
        </w:tc>
        <w:tc>
          <w:tcPr>
            <w:tcW w:w="1185" w:type="dxa"/>
            <w:tcBorders>
              <w:top w:val="single" w:sz="2" w:space="0" w:color="000000"/>
              <w:left w:val="single" w:sz="8" w:space="0" w:color="D9D9D9"/>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586.644.345</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energía, peajes y transmisión.</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1.160.438.191</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(554.634.468)</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586.689.702</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mercaderías, materiales y equipos.</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10.334</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(5.848)</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(45.357)</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Prestaciones de servicios</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44.321.713</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(23.436.861)</w:t>
            </w:r>
          </w:p>
        </w:tc>
        <w:tc>
          <w:tcPr>
            <w:tcW w:w="1185" w:type="dxa"/>
            <w:tcBorders>
              <w:top w:val="single" w:sz="2" w:space="0" w:color="000000"/>
              <w:left w:val="single" w:sz="8" w:space="0" w:color="D9D9D9"/>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20.880.322</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y recargos regulados.</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23.822.460</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(13.746.986)</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11.762.142</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equipos de medida.</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3.671.383</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(1.939.184)</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1.987.441</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mantenimiento de equipos a clientes.</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889.252</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(242.622)</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418.580</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Apoyos en postación.</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2.244.350</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(1.334.599)</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1.122.464</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construcción de obras e instalaciones eléctricas.</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9.703.880</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(4.801.126)</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4.783.401</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prestaciones.</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3.990.388</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(1.372.344)</w:t>
            </w:r>
          </w:p>
        </w:tc>
        <w:tc>
          <w:tcPr>
            <w:tcW w:w="11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806.294</w:t>
            </w:r>
          </w:p>
        </w:tc>
      </w:tr>
      <w:tr>
        <w:tblPrEx>
          <w:tblW w:w="8550" w:type="dxa"/>
          <w:tblInd w:w="1417"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1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1.204.770.238</w:t>
            </w:r>
          </w:p>
        </w:tc>
        <w:tc>
          <w:tcPr>
            <w:tcW w:w="11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(578.077.177)</w:t>
            </w:r>
          </w:p>
        </w:tc>
        <w:tc>
          <w:tcPr>
            <w:tcW w:w="1185" w:type="dxa"/>
            <w:tcBorders>
              <w:top w:val="single" w:sz="2" w:space="0" w:color="000000"/>
              <w:left w:val="single" w:sz="8" w:space="0" w:color="D9D9D9"/>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607.524.667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Compañía General de Electricidad S.A. y subsidiarias no tienen clientes con los cuales registre ventas que representen el 10% o más de sus ingresos ordinarios en los períodos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48" w:name="Section128"/>
      <w:bookmarkEnd w:id="248"/>
      <w:bookmarkStart w:id="249" w:name="67bb9c93c6b24e1197060c5d9cba3da1"/>
      <w:r>
        <w:rPr>
          <w:rFonts w:ascii="Calibri" w:eastAsia="Calibri" w:hAnsi="Calibri" w:cs="Calibri"/>
          <w:b/>
          <w:i w:val="0"/>
          <w:color w:val="000000"/>
          <w:sz w:val="20"/>
          <w:u w:val="none"/>
        </w:rPr>
        <w:t>27.2.-</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ingresos, por función.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49"/>
    </w:p>
    <w:tbl>
      <w:tblPr>
        <w:tblW w:w="862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200"/>
        <w:gridCol w:w="1200"/>
        <w:gridCol w:w="1200"/>
        <w:gridCol w:w="1200"/>
      </w:tblGrid>
      <w:tr>
        <w:tblPrEx>
          <w:tblW w:w="8625" w:type="dxa"/>
          <w:tblInd w:w="1417" w:type="dxa"/>
          <w:tblLayout w:type="fixed"/>
        </w:tblPrEx>
        <w:trPr>
          <w:cantSplit/>
          <w:trHeight w:hRule="auto" w:val="0"/>
        </w:trPr>
        <w:tc>
          <w:tcPr>
            <w:tcW w:w="382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Otros ingresos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625" w:type="dxa"/>
          <w:tblInd w:w="1417"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625" w:type="dxa"/>
          <w:tblInd w:w="1417"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625" w:type="dxa"/>
          <w:tblInd w:w="1417"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oficinas a terceros.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471.062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(229.849)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239.150</w:t>
            </w:r>
          </w:p>
        </w:tc>
      </w:tr>
      <w:tr>
        <w:tblPrEx>
          <w:tblW w:w="8625" w:type="dxa"/>
          <w:tblInd w:w="1417"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ingresos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6.867.016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(3.666.662)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3.097.141</w:t>
            </w:r>
          </w:p>
        </w:tc>
      </w:tr>
      <w:tr>
        <w:tblPrEx>
          <w:tblW w:w="8625" w:type="dxa"/>
          <w:tblInd w:w="1417"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7.338.078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(3.896.511)</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3.336.291</w:t>
            </w:r>
          </w:p>
        </w:tc>
      </w:tr>
    </w:tbl>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otros ingresos de operación se registran arriendos de propiedades y servicios prestados a empresas relacionadas fuera del perímetro de consolidación de Compañía General de Electricidad S.A. e indemnizaciones por daños a la red.</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50" w:name="Section129"/>
      <w:bookmarkEnd w:id="250"/>
      <w:bookmarkStart w:id="251" w:name="bbfa5b4ce1054630844f557b3c7b9fc3"/>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 RESULTADOS RELEVANTES.</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bookmarkEnd w:id="251"/>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del estado de resultados por función por los períodos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que se adjunta, se descomponen como se indica en 28.1, 28.2, 28.3 y 28.4.</w:t>
      </w: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por naturaleza del 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1.070.087.625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(507.431.667)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544.846.614</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64.697.402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(33.457.596)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33.414.407</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22.589.058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823.867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8.595.596</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1.157.374.085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(540.065.396)</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586.856.617</w:t>
            </w:r>
          </w:p>
        </w:tc>
      </w:tr>
    </w:tbl>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52" w:name="Section130"/>
      <w:bookmarkEnd w:id="252"/>
      <w:bookmarkStart w:id="253" w:name="494ad1a4906a459b9c91e340452840f2"/>
      <w:r>
        <w:rPr>
          <w:rFonts w:ascii="Calibri" w:eastAsia="Calibri" w:hAnsi="Calibri" w:cs="Calibri"/>
          <w:b/>
          <w:i w:val="0"/>
          <w:color w:val="000000"/>
          <w:sz w:val="20"/>
          <w:u w:val="none"/>
        </w:rPr>
        <w:t>28.1.-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por naturaleza.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5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Apertura de gastos por naturaleza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925.931.092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(437.880.110)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468.362.636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Compra de gas.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8.004.929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(3.871.638)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4.436.399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23.652.204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(15.698.329)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13.221.719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 xml:space="preserve">Gastos de operación y mantenimiento.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91.649.837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(39.633.650)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48.701.291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Gastos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49.767.594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(23.299.515)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25.411.587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Provisión de incobrables.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22.589.058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823.867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8.595.596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32.842.993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(18.875.471)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17.070.765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3.797.416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(1.630.550)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1.887.722</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1.158.235.123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(540.065.396)</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587.687.715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54" w:name="Section131"/>
      <w:bookmarkEnd w:id="254"/>
      <w:bookmarkStart w:id="255" w:name="0cae5f579960422fbc69d813cc1690fd"/>
      <w:r>
        <w:rPr>
          <w:rFonts w:ascii="Calibri" w:eastAsia="Calibri" w:hAnsi="Calibri" w:cs="Calibri"/>
          <w:b/>
          <w:i w:val="0"/>
          <w:color w:val="000000"/>
          <w:sz w:val="20"/>
          <w:u w:val="none"/>
        </w:rPr>
        <w:t>28.2.-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de personal.</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5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Gastos de personal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Sueldos y salarios.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12.331.564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19.080.758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12.044.629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a corto plazo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1.342.083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2.446.706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1.061.251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Beneficios por terminación.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2.024.682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2.124.740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115.839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15.698.329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23.652.204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13.221.719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56" w:name="Section132"/>
      <w:bookmarkEnd w:id="256"/>
      <w:bookmarkStart w:id="257" w:name="1aeb3eb0f29e40b29ac6aedb43f7ab6c"/>
      <w:r>
        <w:rPr>
          <w:rFonts w:ascii="Calibri" w:eastAsia="Calibri" w:hAnsi="Calibri" w:cs="Calibri"/>
          <w:b/>
          <w:i w:val="0"/>
          <w:color w:val="000000"/>
          <w:sz w:val="20"/>
          <w:u w:val="none"/>
        </w:rPr>
        <w:t>28.3.-</w:t>
      </w:r>
      <w:r>
        <w:rPr>
          <w:rFonts w:ascii="Calibri" w:eastAsia="Calibri" w:hAnsi="Calibri" w:cs="Calibri"/>
          <w:b/>
          <w:i w:val="0"/>
          <w:color w:val="000000"/>
          <w:sz w:val="20"/>
          <w:u w:val="none"/>
        </w:rPr>
        <w:tab/>
      </w:r>
      <w:r>
        <w:rPr>
          <w:rFonts w:ascii="Calibri" w:eastAsia="Calibri" w:hAnsi="Calibri" w:cs="Calibri"/>
          <w:b/>
          <w:i w:val="0"/>
          <w:color w:val="000000"/>
          <w:sz w:val="20"/>
          <w:u w:val="none"/>
        </w:rPr>
        <w:t>Depreciación y amortización.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57"/>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lef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Depreciación y retiros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28.366.395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(16.542.852)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14.557.767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4.476.598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(2.332.619)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2.512.998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4.388.330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(4.277.124)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2.788.548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depreciación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37.231.323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(23.152.595)</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19.859.313</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nil"/>
              <w:bottom w:val="nil"/>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Amortización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nil"/>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34.843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(35.908)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17.270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3.762.573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(1.594.642)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1.870.452</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amortización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3.797.416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(1.630.550)</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1.887.722</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41.028.739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(24.783.145)</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21.747.035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58" w:name="Section133"/>
      <w:bookmarkEnd w:id="258"/>
      <w:bookmarkStart w:id="259" w:name="df96d3b5e0554188ab77d3b760dee8c9"/>
      <w:r>
        <w:rPr>
          <w:rFonts w:ascii="Calibri" w:eastAsia="Calibri" w:hAnsi="Calibri" w:cs="Calibri"/>
          <w:b/>
          <w:i w:val="0"/>
          <w:color w:val="000000"/>
          <w:sz w:val="20"/>
          <w:u w:val="none"/>
        </w:rPr>
        <w:t>28.4.-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ganancias (pérdidas).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59"/>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Castigos o retiros de propiedades, planta y equipos.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(4.388.330)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4.277.124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(2.788.548)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chatarra.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486.675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(421.213)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304.220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Venta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(12.405)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Juicios o arbitrajes.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(11.974.193)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901.420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(2.843.949)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Remuneraciones del directorio.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(102.470)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66.401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(42.981)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Indemnizaciones percibidas.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164.145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(397.300)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164.145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Otras ganancias (pérdidas).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1.735.956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(180.103)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251.088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Aportes de terceros para financiar obras propias.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9.179.201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(3.705.254)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4.343.569</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(4.899.016)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528.670</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(612.456)</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el ítem Otras ganancias (pérdidas) está compuesto por ingresos por recuperación de deudas castigadas por M$ 241.066, multas de proveedores por M$ (119.126) y otros ingresos de M$ 58.163. </w:t>
      </w:r>
      <w:r>
        <w:rPr>
          <w:rFonts w:ascii="Calibri" w:eastAsia="Calibri" w:hAnsi="Calibri" w:cs="Calibri"/>
          <w:b w:val="0"/>
          <w:i w:val="0"/>
          <w:color w:val="000000"/>
          <w:sz w:val="20"/>
          <w:highlight w:val="white"/>
          <w:u w:val="none"/>
        </w:rPr>
        <w:t xml:space="preserve">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highlight w:val="white"/>
          <w:u w:val="none"/>
        </w:rPr>
        <w:t xml:space="preserve"> </w:t>
      </w:r>
      <w:r>
        <w:rPr>
          <w:rFonts w:ascii="Calibri" w:eastAsia="Calibri" w:hAnsi="Calibri" w:cs="Calibri"/>
          <w:b w:val="0"/>
          <w:i w:val="0"/>
          <w:sz w:val="20"/>
        </w:rPr>
        <w:t xml:space="preserve">el ítem Otras ganancias (pérdidas) está compuesto </w:t>
      </w:r>
      <w:r>
        <w:rPr>
          <w:rFonts w:ascii="Calibri" w:eastAsia="Calibri" w:hAnsi="Calibri" w:cs="Calibri"/>
          <w:b w:val="0"/>
          <w:i w:val="0"/>
          <w:sz w:val="20"/>
        </w:rPr>
        <w:t>por ingresos por recuperación de deudas castigadas por M$ 3</w:t>
      </w:r>
      <w:r>
        <w:rPr>
          <w:rFonts w:ascii="Calibri" w:eastAsia="Calibri" w:hAnsi="Calibri" w:cs="Calibri"/>
          <w:b w:val="0"/>
          <w:i w:val="0"/>
          <w:color w:val="000000"/>
          <w:sz w:val="20"/>
          <w:highlight w:val="white"/>
          <w:u w:val="none"/>
        </w:rPr>
        <w:t xml:space="preserve">89.851, </w:t>
      </w:r>
      <w:r>
        <w:rPr>
          <w:rFonts w:ascii="Calibri" w:eastAsia="Calibri" w:hAnsi="Calibri" w:cs="Calibri"/>
          <w:b w:val="0"/>
          <w:i w:val="0"/>
          <w:sz w:val="20"/>
        </w:rPr>
        <w:t>ingresos por multas a proveedores por M</w:t>
      </w:r>
      <w:r>
        <w:rPr>
          <w:rFonts w:ascii="Calibri" w:eastAsia="Calibri" w:hAnsi="Calibri" w:cs="Calibri"/>
          <w:b w:val="0"/>
          <w:i w:val="0"/>
          <w:color w:val="000000"/>
          <w:sz w:val="20"/>
          <w:highlight w:val="white"/>
          <w:u w:val="none"/>
        </w:rPr>
        <w:t>$ 82.343, aportes reembolsables por M$ 586.393, indemnizaciones por M$ 401.547</w:t>
      </w:r>
      <w:r>
        <w:rPr>
          <w:rFonts w:ascii="Calibri" w:eastAsia="Calibri" w:hAnsi="Calibri" w:cs="Calibri"/>
          <w:b w:val="0"/>
          <w:i w:val="0"/>
          <w:sz w:val="20"/>
        </w:rPr>
        <w:t xml:space="preserve"> y otros ingresos de M$ 24.734.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mbria" w:eastAsia="Cambria" w:hAnsi="Cambria" w:cs="Cambria"/>
          <w:b/>
          <w:i w:val="0"/>
          <w:color w:val="365F91"/>
          <w:sz w:val="28"/>
          <w:u w:val="none"/>
        </w:rPr>
      </w:pPr>
      <w:bookmarkStart w:id="260" w:name="Section134"/>
      <w:bookmarkEnd w:id="260"/>
      <w:bookmarkStart w:id="261" w:name="a0db2d28c5d841ce8b4031a0591fb4a9"/>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RESULTADO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61"/>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adjuntos de ingresos financieros, costos financieros, resultados por unidades de reajustes y ganancias (pérdidas) de cambio en moneda extranjera del estado de resultados por función por los períodos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455"/>
        <w:gridCol w:w="1200"/>
        <w:gridCol w:w="1200"/>
        <w:gridCol w:w="1200"/>
        <w:gridCol w:w="1200"/>
      </w:tblGrid>
      <w:tr>
        <w:tblPrEx>
          <w:tblW w:w="9255" w:type="dxa"/>
          <w:tblInd w:w="709" w:type="dxa"/>
          <w:tblLayout w:type="fixed"/>
        </w:tblPrEx>
        <w:trPr>
          <w:cantSplit/>
          <w:trHeight w:hRule="auto" w:val="0"/>
        </w:trPr>
        <w:tc>
          <w:tcPr>
            <w:tcW w:w="44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financiero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9255" w:type="dxa"/>
          <w:tblInd w:w="709" w:type="dxa"/>
          <w:tblLayout w:type="fixed"/>
        </w:tblPrEx>
        <w:trPr>
          <w:cantSplit/>
          <w:trHeight w:hRule="auto" w:val="0"/>
        </w:trPr>
        <w:tc>
          <w:tcPr>
            <w:tcW w:w="44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44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single" w:sz="8" w:space="0" w:color="FFFFFF"/>
              <w:bottom w:val="single" w:sz="2" w:space="0" w:color="000000"/>
              <w:right w:val="single" w:sz="2" w:space="0" w:color="000000"/>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6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Ingresos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comerciales.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3.064.399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(1.469.137)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1.477.131</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por otros activos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5.668.512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(3.301.328)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3.347.218</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649.614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(623.954)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235.374</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 financieros.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821.309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(6.414.472)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474.568</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ingresos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10.203.834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(11.808.891)</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5.534.291</w:t>
            </w: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Costos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préstamos bancarios.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(11.661.410)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6.558.759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(6.325.788)</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obligaciones con el público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(13.498.237)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6.033.035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(6.704.714)</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arrendamientos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(1.083.241)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539.261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(582.319)</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valoración derivados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(6.130.494)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5.661.002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(3.465.156)</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(119.190)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477.406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(2.517)</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préstamos empresas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(4.153.404)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2.868.617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(2.096.154)</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gastos.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(969.769)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896.505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(483.603)</w:t>
            </w: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costos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(37.615.745)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23.034.585</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(19.660.251)</w:t>
            </w: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ganancias (pérdidas) de cambio en moneda extranjera (Nota 29.1)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561.101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6.040</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204.033</w:t>
            </w: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resultados por unidades de reajuste (Nota 29.2)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(17.157.669)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2.414.725</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(7.549.428)</w:t>
            </w:r>
          </w:p>
        </w:tc>
      </w:tr>
      <w:tr>
        <w:tblPrEx>
          <w:tblW w:w="9255" w:type="dxa"/>
          <w:tblInd w:w="709" w:type="dxa"/>
          <w:tblLayout w:type="fixed"/>
        </w:tblPrEx>
        <w:trPr>
          <w:cantSplit/>
          <w:trHeight w:hRule="auto" w:val="0"/>
        </w:trPr>
        <w:tc>
          <w:tcPr>
            <w:tcW w:w="44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exact" w:val="255"/>
        </w:trPr>
        <w:tc>
          <w:tcPr>
            <w:tcW w:w="44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(44.008.479)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13.646.459</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(21.471.355)</w:t>
            </w:r>
          </w:p>
        </w:tc>
      </w:tr>
    </w:tbl>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2260"/>
        </w:tabs>
        <w:spacing w:before="0" w:after="0" w:line="240" w:lineRule="exact"/>
        <w:ind w:left="1134"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El ítem otros ingresos financieros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está compuesto por ingresos de intereses de convenios de largo plazo por M$ 1.450 e intereses de reliquidación por M$ 6.413.023. Al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está compuesto </w:t>
      </w:r>
      <w:r>
        <w:rPr>
          <w:rFonts w:ascii="Calibri" w:eastAsia="Calibri" w:hAnsi="Calibri" w:cs="Calibri"/>
          <w:b w:val="0"/>
          <w:i w:val="0"/>
          <w:sz w:val="20"/>
        </w:rPr>
        <w:t xml:space="preserve">por </w:t>
      </w:r>
      <w:r>
        <w:rPr>
          <w:rFonts w:ascii="Calibri" w:eastAsia="Calibri" w:hAnsi="Calibri" w:cs="Calibri"/>
          <w:b w:val="0"/>
          <w:i w:val="0"/>
          <w:sz w:val="20"/>
        </w:rPr>
        <w:t>ingresos de intereses de convenios de largo plazo por M$ 712.850  e intereses de reliquidación por M$ 108.459</w:t>
      </w:r>
      <w:r>
        <w:rPr>
          <w:rFonts w:ascii="Calibri" w:eastAsia="Calibri" w:hAnsi="Calibri" w:cs="Calibri"/>
          <w:b w:val="0"/>
          <w:i w:val="0"/>
          <w:sz w:val="20"/>
        </w:rPr>
        <w:t>.</w:t>
      </w:r>
    </w:p>
    <w:p>
      <w:pPr>
        <w:keepNext w:val="0"/>
        <w:keepLines/>
        <w:pageBreakBefore w:val="0"/>
        <w:widowControl w:val="0"/>
        <w:numPr>
          <w:ilvl w:val="0"/>
          <w:numId w:val="0"/>
        </w:numPr>
        <w:tabs>
          <w:tab w:val="left" w:pos="2260"/>
        </w:tabs>
        <w:spacing w:before="0" w:after="0" w:line="288" w:lineRule="auto"/>
        <w:ind w:left="709"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2260"/>
        </w:tabs>
        <w:spacing w:before="0" w:after="0" w:line="240" w:lineRule="exact"/>
        <w:ind w:left="1134"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sz w:val="20"/>
        </w:rPr>
        <w:t>El</w:t>
      </w:r>
      <w:r>
        <w:rPr>
          <w:rFonts w:ascii="Calibri" w:eastAsia="Calibri" w:hAnsi="Calibri" w:cs="Calibri"/>
          <w:b w:val="0"/>
          <w:i w:val="0"/>
          <w:color w:val="000000"/>
          <w:sz w:val="20"/>
          <w:u w:val="none"/>
        </w:rPr>
        <w:t xml:space="preserve"> ítem </w:t>
      </w:r>
      <w:r>
        <w:rPr>
          <w:rFonts w:ascii="Calibri" w:eastAsia="Calibri" w:hAnsi="Calibri" w:cs="Calibri"/>
          <w:b w:val="0"/>
          <w:i w:val="0"/>
          <w:sz w:val="20"/>
        </w:rPr>
        <w:t>otros</w:t>
      </w:r>
      <w:r>
        <w:rPr>
          <w:rFonts w:ascii="Calibri" w:eastAsia="Calibri" w:hAnsi="Calibri" w:cs="Calibri"/>
          <w:b w:val="0"/>
          <w:i w:val="0"/>
          <w:color w:val="000000"/>
          <w:sz w:val="20"/>
          <w:u w:val="none"/>
        </w:rPr>
        <w:t xml:space="preserve"> gastos de los costos financieros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está compuesto por costos de intereses de beneficios al personal </w:t>
      </w:r>
      <w:r>
        <w:rPr>
          <w:rFonts w:ascii="Calibri" w:eastAsia="Calibri" w:hAnsi="Calibri" w:cs="Calibri"/>
          <w:b w:val="0"/>
          <w:i w:val="0"/>
          <w:sz w:val="20"/>
        </w:rPr>
        <w:t>en</w:t>
      </w:r>
      <w:r>
        <w:rPr>
          <w:rFonts w:ascii="Calibri" w:eastAsia="Calibri" w:hAnsi="Calibri" w:cs="Calibri"/>
          <w:b w:val="0"/>
          <w:i w:val="0"/>
          <w:color w:val="000000"/>
          <w:sz w:val="20"/>
          <w:u w:val="none"/>
        </w:rPr>
        <w:t xml:space="preserve"> base a NIC 19 por M$ 433.795, intereses por dividendos a bomberos                   M$ 157.135 y otros gastos por M$ 305.577.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está compuesto </w:t>
      </w:r>
      <w:r>
        <w:rPr>
          <w:rFonts w:ascii="Calibri" w:eastAsia="Calibri" w:hAnsi="Calibri" w:cs="Calibri"/>
          <w:b w:val="0"/>
          <w:i w:val="0"/>
          <w:color w:val="000000"/>
          <w:sz w:val="20"/>
          <w:u w:val="none"/>
        </w:rPr>
        <w:t>por costos de intereses de beneficios al personal en base a NIC 19 por M$ 934.858, intereses de reliquidación por M$ 815.616,  impuesto de timbres y estampillas por M$ 595.671 y por otros gastos por M$ 224.825.</w:t>
      </w:r>
    </w:p>
    <w:p>
      <w:pPr>
        <w:pStyle w:val="Normal-wk"/>
        <w:keepNext w:val="0"/>
        <w:keepLines/>
        <w:pageBreakBefore w:val="0"/>
        <w:widowControl w:val="0"/>
        <w:numPr>
          <w:ilvl w:val="0"/>
          <w:numId w:val="0"/>
        </w:numPr>
        <w:tabs>
          <w:tab w:val="left" w:pos="2260"/>
        </w:tabs>
        <w:spacing w:before="0" w:after="0" w:line="240" w:lineRule="exact"/>
        <w:ind w:left="1134" w:right="0" w:hanging="425"/>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62" w:name="Section135"/>
      <w:bookmarkEnd w:id="262"/>
      <w:bookmarkStart w:id="263" w:name="653d134be5384bc88ee8e2aa4c17554e"/>
      <w:r>
        <w:rPr>
          <w:rFonts w:ascii="Calibri" w:eastAsia="Calibri" w:hAnsi="Calibri" w:cs="Calibri"/>
          <w:b/>
          <w:i w:val="0"/>
          <w:color w:val="000000"/>
          <w:sz w:val="20"/>
          <w:u w:val="none"/>
        </w:rPr>
        <w:t>29.1.-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ganancias (pérdidas) de cambio en moneda extranjera. </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63"/>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de cambio en moneda extranjera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Diferencias de cambio por activos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532.336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35.326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562.296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(5.966.782)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(10.647.407)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3.496.178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(27.983.846)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(6.106.345)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(855.177)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diferencias de cambio por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(33.418.292)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(16.718.426)</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3.203.297</w:t>
            </w:r>
          </w:p>
        </w:tc>
      </w:tr>
      <w:tr>
        <w:tblPrEx>
          <w:tblW w:w="8550" w:type="dxa"/>
          <w:tblInd w:w="1417" w:type="dxa"/>
          <w:tblLayout w:type="fixed"/>
        </w:tblPrEx>
        <w:trPr>
          <w:cantSplit/>
          <w:trHeight w:hRule="auto" w:val="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Diferencias de cambio por pasivos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8.106.082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10.982.994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(2.614.063)</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26.841.131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5.686.231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585.914</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(970.900)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56.610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(970.900)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3.080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diferencias de cambio por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33.979.393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16.724.466</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(2.999.264)</w:t>
            </w:r>
          </w:p>
        </w:tc>
      </w:tr>
      <w:tr>
        <w:tblPrEx>
          <w:tblW w:w="8550" w:type="dxa"/>
          <w:tblInd w:w="1417" w:type="dxa"/>
          <w:tblLayout w:type="fixed"/>
        </w:tblPrEx>
        <w:trPr>
          <w:cantSplit/>
          <w:trHeight w:hRule="auto" w:val="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diferencia de cambios neta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561.101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6.040</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204.033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226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efectos en resultados de los períodos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de los ítems Deudores comerciales y otras cuentas por cobrar y Cuentas por pagar comerciales y otras cuentas por pagar se deben principalmente a la diferencia de cambio experimentada en ambos, debido a mecanismo transitorio de estabilización de precios de la Ley N° 21.185 expuesto en nota 4.4.</w:t>
      </w:r>
    </w:p>
    <w:p>
      <w:pPr>
        <w:keepNext w:val="0"/>
        <w:keepLines/>
        <w:pageBreakBefore w:val="0"/>
        <w:widowControl w:val="0"/>
        <w:numPr>
          <w:ilvl w:val="0"/>
          <w:numId w:val="0"/>
        </w:numPr>
        <w:tabs>
          <w:tab w:val="left" w:pos="2260"/>
        </w:tabs>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260"/>
        </w:tabs>
        <w:spacing w:before="0" w:after="0" w:line="288" w:lineRule="auto"/>
        <w:ind w:left="1418"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64" w:name="Section136"/>
      <w:bookmarkEnd w:id="264"/>
      <w:bookmarkStart w:id="265" w:name="0c6edb7fac5c4ebe8eab1c66681c10f2"/>
      <w:r>
        <w:rPr>
          <w:rFonts w:ascii="Calibri" w:eastAsia="Calibri" w:hAnsi="Calibri" w:cs="Calibri"/>
          <w:b/>
          <w:i w:val="0"/>
          <w:color w:val="000000"/>
          <w:sz w:val="20"/>
          <w:u w:val="none"/>
        </w:rPr>
        <w:t>29.2.-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Composición unidades de reajuste.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5"/>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por unidades de reajuste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auto" w:val="0"/>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Unidades de reajuste por activos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542.730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(48.419)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224.450</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256.996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(27.456)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110.977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(14.519)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1.165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unidades de reajuste por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800.891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(90.394)</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336.592</w:t>
            </w:r>
          </w:p>
        </w:tc>
      </w:tr>
      <w:tr>
        <w:tblPrEx>
          <w:tblW w:w="8550" w:type="dxa"/>
          <w:tblInd w:w="1417" w:type="dxa"/>
          <w:tblLayout w:type="fixed"/>
        </w:tblPrEx>
        <w:trPr>
          <w:cantSplit/>
          <w:trHeight w:hRule="auto" w:val="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Unidades de reajuste por pasivos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(17.030.217)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1.838.780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(7.413.952)</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(446.688)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171.965</w:t>
            </w:r>
          </w:p>
        </w:tc>
        <w:tc>
          <w:tcPr>
            <w:tcW w:w="1200" w:type="dxa"/>
            <w:tcBorders>
              <w:top w:val="single" w:sz="2" w:space="0" w:color="000000"/>
              <w:left w:val="single" w:sz="2" w:space="0" w:color="000000"/>
              <w:bottom w:val="single" w:sz="8" w:space="0" w:color="D9D9D9"/>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(188.245)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(481.655)</w:t>
            </w:r>
          </w:p>
        </w:tc>
        <w:tc>
          <w:tcPr>
            <w:tcW w:w="1200" w:type="dxa"/>
            <w:tcBorders>
              <w:top w:val="single" w:sz="2" w:space="0" w:color="000000"/>
              <w:left w:val="single" w:sz="2" w:space="0" w:color="000000"/>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494.374</w:t>
            </w:r>
          </w:p>
        </w:tc>
        <w:tc>
          <w:tcPr>
            <w:tcW w:w="1200" w:type="dxa"/>
            <w:tcBorders>
              <w:top w:val="single" w:sz="8" w:space="0" w:color="D9D9D9"/>
              <w:left w:val="single" w:sz="2" w:space="0" w:color="000000"/>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(283.823)</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unidades de reajuste por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(17.958.560)</w:t>
            </w: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2.505.119</w:t>
            </w:r>
          </w:p>
        </w:tc>
        <w:tc>
          <w:tcPr>
            <w:tcW w:w="1200" w:type="dxa"/>
            <w:tcBorders>
              <w:top w:val="nil"/>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(7.886.020)</w:t>
            </w:r>
          </w:p>
        </w:tc>
      </w:tr>
      <w:tr>
        <w:tblPrEx>
          <w:tblW w:w="8550" w:type="dxa"/>
          <w:tblInd w:w="1417" w:type="dxa"/>
          <w:tblLayout w:type="fixed"/>
        </w:tblPrEx>
        <w:trPr>
          <w:cantSplit/>
          <w:trHeight w:hRule="auto" w:val="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unidades de reajuste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(17.157.669)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2.414.725</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(7.549.428)</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66" w:name="Section137"/>
      <w:bookmarkEnd w:id="266"/>
      <w:bookmarkStart w:id="267" w:name="0f021681c4a7429d9f2c9c6110045b30"/>
      <w:r>
        <w:rPr>
          <w:rFonts w:ascii="Calibri" w:eastAsia="Calibri" w:hAnsi="Calibri" w:cs="Calibri"/>
          <w:b/>
          <w:i w:val="0"/>
          <w:color w:val="000000"/>
          <w:sz w:val="20"/>
          <w:u w:val="none"/>
        </w:rPr>
        <w:t>30.-</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períodos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procedió a calcular y contabilizar el impuesto a la renta con una tasa del 27%, en base a lo dispuesto por la Ley N° 20.780, publicada en el Diario Oficial con fecha 29 de septiembre de 2014. La sociedad se encuentra incorporada al sistema de tributación parcialmente integrado.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68" w:name="Section138"/>
      <w:bookmarkEnd w:id="268"/>
      <w:bookmarkStart w:id="269" w:name="bd818259d7f7448091aef175d6056fef"/>
      <w:r>
        <w:rPr>
          <w:rFonts w:ascii="Calibri" w:eastAsia="Calibri" w:hAnsi="Calibri" w:cs="Calibri"/>
          <w:b/>
          <w:i w:val="0"/>
          <w:color w:val="000000"/>
          <w:sz w:val="20"/>
          <w:u w:val="none"/>
        </w:rPr>
        <w:t>30.1.-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resultados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9"/>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originó un </w:t>
      </w:r>
      <w:r>
        <w:rPr>
          <w:rFonts w:ascii="Calibri" w:eastAsia="Calibri" w:hAnsi="Calibri" w:cs="Calibri"/>
          <w:b w:val="0"/>
          <w:i w:val="0"/>
          <w:color w:val="000000"/>
          <w:sz w:val="20"/>
          <w:u w:val="none"/>
        </w:rPr>
        <w:t>cargo</w:t>
      </w:r>
      <w:r>
        <w:rPr>
          <w:rFonts w:ascii="Calibri" w:eastAsia="Calibri" w:hAnsi="Calibri" w:cs="Calibri"/>
          <w:b w:val="0"/>
          <w:i w:val="0"/>
          <w:color w:val="000000"/>
          <w:sz w:val="20"/>
          <w:u w:val="none"/>
        </w:rPr>
        <w:t xml:space="preserve"> a resultados por impuesto a las ganancias ascendente a </w:t>
      </w:r>
      <w:r>
        <w:rPr>
          <w:rFonts w:ascii="Calibri" w:eastAsia="Calibri" w:hAnsi="Calibri" w:cs="Calibri"/>
          <w:b w:val="0"/>
          <w:i w:val="0"/>
          <w:color w:val="000000"/>
          <w:sz w:val="20"/>
          <w:u w:val="none"/>
        </w:rPr>
        <w:t>M$ 39.334.666</w:t>
      </w:r>
      <w:r>
        <w:rPr>
          <w:rFonts w:ascii="Calibri" w:eastAsia="Calibri" w:hAnsi="Calibri" w:cs="Calibri"/>
          <w:b w:val="0"/>
          <w:i w:val="0"/>
          <w:color w:val="000000"/>
          <w:sz w:val="20"/>
          <w:u w:val="none"/>
        </w:rPr>
        <w:t xml:space="preserve"> y durante el período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un </w:t>
      </w:r>
      <w:r>
        <w:rPr>
          <w:rFonts w:ascii="Calibri" w:eastAsia="Calibri" w:hAnsi="Calibri" w:cs="Calibri"/>
          <w:b w:val="0"/>
          <w:i w:val="0"/>
          <w:color w:val="000000"/>
          <w:sz w:val="20"/>
          <w:u w:val="none"/>
        </w:rPr>
        <w:t>abono</w:t>
      </w:r>
      <w:r>
        <w:rPr>
          <w:rFonts w:ascii="Calibri" w:eastAsia="Calibri" w:hAnsi="Calibri" w:cs="Calibri"/>
          <w:b w:val="0"/>
          <w:i w:val="0"/>
          <w:color w:val="000000"/>
          <w:sz w:val="20"/>
          <w:u w:val="none"/>
        </w:rPr>
        <w:t xml:space="preserve"> por </w:t>
      </w:r>
      <w:r>
        <w:rPr>
          <w:rFonts w:ascii="Calibri" w:eastAsia="Calibri" w:hAnsi="Calibri" w:cs="Calibri"/>
          <w:b w:val="0"/>
          <w:i w:val="0"/>
          <w:color w:val="000000"/>
          <w:sz w:val="20"/>
          <w:u w:val="none"/>
        </w:rPr>
        <w:t>M$ 3.237.318</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exact" w:val="255"/>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por partes corriente y diferida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c>
          <w:tcPr>
            <w:tcW w:w="1200"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01-04-2026</w:t>
            </w:r>
          </w:p>
        </w:tc>
        <w:tc>
          <w:tcPr>
            <w:tcW w:w="1200"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01-04-2025</w:t>
            </w:r>
          </w:p>
        </w:tc>
      </w:tr>
      <w:tr>
        <w:tblPrEx>
          <w:tblW w:w="8550" w:type="dxa"/>
          <w:tblInd w:w="1417" w:type="dxa"/>
          <w:tblLayout w:type="fixed"/>
        </w:tblPrEx>
        <w:trPr>
          <w:cantSplit/>
          <w:trHeight w:hRule="exact" w:val="255"/>
        </w:trPr>
        <w:tc>
          <w:tcPr>
            <w:tcW w:w="37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c>
          <w:tcPr>
            <w:tcW w:w="120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exact" w:val="255"/>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corrientes a las ganancias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(862.507)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975.280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93.658</w:t>
            </w:r>
          </w:p>
        </w:tc>
      </w:tr>
      <w:tr>
        <w:tblPrEx>
          <w:tblW w:w="8550" w:type="dxa"/>
          <w:tblInd w:w="1417" w:type="dxa"/>
          <w:tblLayout w:type="fixed"/>
        </w:tblPrEx>
        <w:trPr>
          <w:cantSplit/>
          <w:trHeight w:hRule="exact" w:val="405"/>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por impuestos corrientes a las ganancias,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(862.507)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975.280</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93.658</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diferidos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405"/>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relacionado con el nacimiento y reversión de diferencias temporarias.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(39.334.666)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3.988.052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(33.289.007)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797.996</w:t>
            </w:r>
          </w:p>
        </w:tc>
      </w:tr>
      <w:tr>
        <w:tblPrEx>
          <w:tblW w:w="8550" w:type="dxa"/>
          <w:tblInd w:w="1417" w:type="dxa"/>
          <w:tblLayout w:type="fixed"/>
        </w:tblPrEx>
        <w:trPr>
          <w:cantSplit/>
          <w:trHeight w:hRule="exact" w:val="255"/>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Ajustes por impuestos diferidos de periodos anteriores.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111.773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33.235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111.773</w:t>
            </w:r>
          </w:p>
        </w:tc>
      </w:tr>
      <w:tr>
        <w:tblPrEx>
          <w:tblW w:w="8550" w:type="dxa"/>
          <w:tblInd w:w="1417" w:type="dxa"/>
          <w:tblLayout w:type="fixed"/>
        </w:tblPrEx>
        <w:trPr>
          <w:cantSplit/>
          <w:trHeight w:hRule="exact" w:val="255"/>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ingreso por impuestos diferidos ,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(39.334.666)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4.099.825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(33.255.772)</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909.769</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cargo</w:t>
            </w: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abono</w:t>
            </w: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exact" w:val="255"/>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(39.334.666)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3.237.318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(32.280.492)</w:t>
            </w:r>
          </w:p>
        </w:tc>
        <w:tc>
          <w:tcPr>
            <w:tcW w:w="1200"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1.003.427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70" w:name="Section139"/>
      <w:bookmarkEnd w:id="270"/>
      <w:bookmarkStart w:id="271" w:name="a42ae6c809f44f1ebf6405cb47a4000a"/>
      <w:r>
        <w:rPr>
          <w:rFonts w:ascii="Calibri" w:eastAsia="Calibri" w:hAnsi="Calibri" w:cs="Calibri"/>
          <w:b/>
          <w:i w:val="0"/>
          <w:color w:val="000000"/>
          <w:sz w:val="20"/>
          <w:u w:val="none"/>
        </w:rPr>
        <w:t>30.2.-</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entre el resultado por impuestos a las ganancias contabilizado y la tasa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1"/>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cuadro muestra la conciliación entre el impuesto a las ganancias contabilizado y el que resultaría de aplicar la tasa efectiva por los períodos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844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805"/>
        <w:gridCol w:w="705"/>
        <w:gridCol w:w="705"/>
        <w:gridCol w:w="705"/>
        <w:gridCol w:w="705"/>
        <w:gridCol w:w="705"/>
        <w:gridCol w:w="705"/>
        <w:gridCol w:w="705"/>
        <w:gridCol w:w="705"/>
      </w:tblGrid>
      <w:tr>
        <w:tblPrEx>
          <w:tblW w:w="8445" w:type="dxa"/>
          <w:tblInd w:w="1417" w:type="dxa"/>
          <w:tblLayout w:type="fixed"/>
        </w:tblPrEx>
        <w:trPr>
          <w:cantSplit/>
          <w:trHeight w:hRule="auto" w:val="0"/>
        </w:trPr>
        <w:tc>
          <w:tcPr>
            <w:tcW w:w="28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Conciliación del gasto por impuestos utilizando la tasa legal con el gasto por impuestos utilizando la tasa efectiva</w:t>
            </w:r>
          </w:p>
        </w:tc>
        <w:tc>
          <w:tcPr>
            <w:tcW w:w="7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7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7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7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70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705" w:type="dxa"/>
            <w:tcBorders>
              <w:top w:val="single" w:sz="2" w:space="0" w:color="000000"/>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705" w:type="dxa"/>
            <w:tcBorders>
              <w:top w:val="single" w:sz="2" w:space="0" w:color="000000"/>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c>
          <w:tcPr>
            <w:tcW w:w="70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r>
      <w:tr>
        <w:tblPrEx>
          <w:tblW w:w="8445" w:type="dxa"/>
          <w:tblInd w:w="1417" w:type="dxa"/>
          <w:tblLayout w:type="fixed"/>
        </w:tblPrEx>
        <w:trPr>
          <w:cantSplit/>
          <w:trHeight w:hRule="auto" w:val="0"/>
        </w:trPr>
        <w:tc>
          <w:tcPr>
            <w:tcW w:w="2805" w:type="dxa"/>
            <w:vMerge/>
            <w:tcBorders>
              <w:top w:val="nil"/>
              <w:left w:val="single" w:sz="2" w:space="0" w:color="000000"/>
              <w:bottom w:val="nil"/>
              <w:right w:val="nil"/>
            </w:tcBorders>
          </w:tcPr>
          <w:p>
            <w:pPr>
              <w:keepNext/>
              <w:pageBreakBefore w:val="0"/>
            </w:pP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705"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70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r>
      <w:tr>
        <w:tblPrEx>
          <w:tblW w:w="8445" w:type="dxa"/>
          <w:tblInd w:w="1417" w:type="dxa"/>
          <w:tblLayout w:type="fixed"/>
        </w:tblPrEx>
        <w:trPr>
          <w:cantSplit/>
          <w:trHeight w:hRule="auto" w:val="0"/>
        </w:trPr>
        <w:tc>
          <w:tcPr>
            <w:tcW w:w="2805" w:type="dxa"/>
            <w:vMerge/>
            <w:tcBorders>
              <w:top w:val="nil"/>
              <w:left w:val="single" w:sz="2" w:space="0" w:color="000000"/>
              <w:bottom w:val="single" w:sz="2" w:space="0" w:color="000000"/>
              <w:right w:val="nil"/>
            </w:tcBorders>
          </w:tcPr>
          <w:p>
            <w:pPr>
              <w:keepNext/>
              <w:pageBreakBefore w:val="0"/>
            </w:pP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w:t>
            </w:r>
          </w:p>
        </w:tc>
        <w:tc>
          <w:tcPr>
            <w:tcW w:w="7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w:t>
            </w:r>
          </w:p>
        </w:tc>
        <w:tc>
          <w:tcPr>
            <w:tcW w:w="70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70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w:t>
            </w:r>
          </w:p>
        </w:tc>
      </w:tr>
      <w:tr>
        <w:tblPrEx>
          <w:tblW w:w="8445" w:type="dxa"/>
          <w:tblInd w:w="1417" w:type="dxa"/>
          <w:tblLayout w:type="fixed"/>
        </w:tblPrEx>
        <w:trPr>
          <w:cantSplit/>
          <w:trHeight w:hRule="exact" w:val="60"/>
        </w:trPr>
        <w:tc>
          <w:tcPr>
            <w:tcW w:w="28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445" w:type="dxa"/>
          <w:tblInd w:w="1417"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Ganancia contable</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5.417.775</w:t>
            </w:r>
          </w:p>
        </w:tc>
        <w:tc>
          <w:tcPr>
            <w:tcW w:w="7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(27.370.180)</w:t>
            </w:r>
          </w:p>
        </w:tc>
        <w:tc>
          <w:tcPr>
            <w:tcW w:w="70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3.273.883</w:t>
            </w:r>
          </w:p>
        </w:tc>
        <w:tc>
          <w:tcPr>
            <w:tcW w:w="705" w:type="dxa"/>
            <w:tcBorders>
              <w:top w:val="nil"/>
              <w:left w:val="single" w:sz="8" w:space="0" w:color="FFFFFF"/>
              <w:bottom w:val="nil"/>
              <w:right w:val="nil"/>
            </w:tcBorders>
            <w:tcMar>
              <w:top w:w="0" w:type="dxa"/>
              <w:left w:w="0" w:type="dxa"/>
              <w:bottom w:w="0" w:type="dxa"/>
              <w:right w:w="0" w:type="dxa"/>
            </w:tcMar>
            <w:vAlign w:val="bottom"/>
          </w:tcPr>
          <w:p>
            <w:pPr>
              <w:keepNext/>
              <w:pageBreakBefore w:val="0"/>
              <w:spacing w:before="0" w:after="0"/>
            </w:pPr>
          </w:p>
        </w:tc>
      </w:tr>
      <w:tr>
        <w:tblPrEx>
          <w:tblW w:w="8445" w:type="dxa"/>
          <w:tblInd w:w="1417" w:type="dxa"/>
          <w:tblLayout w:type="fixed"/>
        </w:tblPrEx>
        <w:trPr>
          <w:cantSplit/>
          <w:trHeight w:hRule="exact" w:val="60"/>
        </w:trPr>
        <w:tc>
          <w:tcPr>
            <w:tcW w:w="28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445" w:type="dxa"/>
          <w:tblInd w:w="1417"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Total de (gasto) ingreso por impuestos a la tasa impositiva aplicable</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198"/>
              </w:tabs>
              <w:spacing w:before="0" w:after="0" w:line="240" w:lineRule="auto"/>
              <w:jc w:val="right"/>
            </w:pPr>
            <w:r>
              <w:rPr>
                <w:rFonts w:ascii="Calibri" w:eastAsia="Calibri" w:hAnsi="Calibri" w:cs="Calibri"/>
                <w:b/>
                <w:i w:val="0"/>
                <w:color w:val="FFFFFF"/>
                <w:sz w:val="11"/>
                <w:u w:val="none"/>
              </w:rPr>
              <w:tab/>
              <w:t>27,0</w:t>
              <w:tab/>
              <w:t>%</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(1.462.799)</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232"/>
              </w:tabs>
              <w:spacing w:before="0" w:after="0" w:line="240" w:lineRule="auto"/>
              <w:jc w:val="right"/>
            </w:pPr>
            <w:r>
              <w:rPr>
                <w:rFonts w:ascii="Calibri" w:eastAsia="Calibri" w:hAnsi="Calibri" w:cs="Calibri"/>
                <w:b/>
                <w:i w:val="0"/>
                <w:color w:val="FFFFFF"/>
                <w:sz w:val="11"/>
                <w:u w:val="none"/>
              </w:rPr>
              <w:tab/>
              <w:t>27,0</w:t>
              <w:tab/>
              <w:t>%</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7.389.949</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232"/>
              </w:tabs>
              <w:spacing w:before="0" w:after="0" w:line="240" w:lineRule="auto"/>
              <w:jc w:val="right"/>
            </w:pPr>
            <w:r>
              <w:rPr>
                <w:rFonts w:ascii="Calibri" w:eastAsia="Calibri" w:hAnsi="Calibri" w:cs="Calibri"/>
                <w:b/>
                <w:i w:val="0"/>
                <w:color w:val="FFFFFF"/>
                <w:sz w:val="11"/>
                <w:u w:val="none"/>
              </w:rPr>
              <w:tab/>
              <w:t>27,0</w:t>
              <w:tab/>
              <w:t>%</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(883.948)</w:t>
            </w:r>
          </w:p>
        </w:tc>
        <w:tc>
          <w:tcPr>
            <w:tcW w:w="7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32"/>
              </w:tabs>
              <w:spacing w:before="0" w:after="0" w:line="240" w:lineRule="auto"/>
              <w:jc w:val="right"/>
            </w:pPr>
            <w:r>
              <w:rPr>
                <w:rFonts w:ascii="Calibri" w:eastAsia="Calibri" w:hAnsi="Calibri" w:cs="Calibri"/>
                <w:b/>
                <w:i w:val="0"/>
                <w:color w:val="FFFFFF"/>
                <w:sz w:val="11"/>
                <w:u w:val="none"/>
              </w:rPr>
              <w:tab/>
              <w:t>27,0</w:t>
              <w:tab/>
              <w:t>%</w:t>
            </w:r>
          </w:p>
        </w:tc>
      </w:tr>
      <w:tr>
        <w:tblPrEx>
          <w:tblW w:w="8445" w:type="dxa"/>
          <w:tblInd w:w="1417"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Efecto fiscal de gastos no deducibles para la determinación de la ganancia (pérdida) tributable. (*)</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(385)</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#DIV/0!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4.626.892</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266"/>
              </w:tabs>
              <w:spacing w:before="0" w:after="0" w:line="240" w:lineRule="auto"/>
              <w:jc w:val="right"/>
            </w:pPr>
            <w:r>
              <w:rPr>
                <w:rFonts w:ascii="Calibri" w:eastAsia="Calibri" w:hAnsi="Calibri" w:cs="Calibri"/>
                <w:b w:val="0"/>
                <w:i w:val="0"/>
                <w:color w:val="000000"/>
                <w:sz w:val="11"/>
                <w:u w:val="none"/>
              </w:rPr>
              <w:tab/>
              <w:t>(85,4)</w:t>
              <w:tab/>
              <w:t>%</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(382.964)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210"/>
              </w:tabs>
              <w:spacing w:before="0" w:after="0" w:line="240" w:lineRule="auto"/>
              <w:jc w:val="right"/>
            </w:pPr>
            <w:r>
              <w:rPr>
                <w:rFonts w:ascii="Calibri" w:eastAsia="Calibri" w:hAnsi="Calibri" w:cs="Calibri"/>
                <w:b w:val="0"/>
                <w:i w:val="0"/>
                <w:color w:val="000000"/>
                <w:sz w:val="11"/>
                <w:u w:val="none"/>
              </w:rPr>
              <w:tab/>
              <w:t>(1,4)</w:t>
              <w:tab/>
              <w:t>%</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1.797.081</w:t>
            </w:r>
          </w:p>
        </w:tc>
        <w:tc>
          <w:tcPr>
            <w:tcW w:w="7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66"/>
              </w:tabs>
              <w:spacing w:before="0" w:after="0" w:line="240" w:lineRule="auto"/>
              <w:jc w:val="right"/>
            </w:pPr>
            <w:r>
              <w:rPr>
                <w:rFonts w:ascii="Calibri" w:eastAsia="Calibri" w:hAnsi="Calibri" w:cs="Calibri"/>
                <w:b w:val="0"/>
                <w:i w:val="0"/>
                <w:color w:val="000000"/>
                <w:sz w:val="11"/>
                <w:u w:val="none"/>
              </w:rPr>
              <w:tab/>
              <w:t>(54,9)</w:t>
              <w:tab/>
              <w:t>%</w:t>
            </w:r>
          </w:p>
        </w:tc>
      </w:tr>
      <w:tr>
        <w:tblPrEx>
          <w:tblW w:w="8445" w:type="dxa"/>
          <w:tblInd w:w="1417"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Efecto fiscal de pérdidas fiscales.</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#DIV/0!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(39.870)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177"/>
              </w:tabs>
              <w:spacing w:before="0" w:after="0" w:line="240" w:lineRule="auto"/>
              <w:jc w:val="right"/>
            </w:pPr>
            <w:r>
              <w:rPr>
                <w:rFonts w:ascii="Calibri" w:eastAsia="Calibri" w:hAnsi="Calibri" w:cs="Calibri"/>
                <w:b w:val="0"/>
                <w:i w:val="0"/>
                <w:color w:val="000000"/>
                <w:sz w:val="11"/>
                <w:u w:val="none"/>
              </w:rPr>
              <w:tab/>
              <w:t>0,7</w:t>
              <w:tab/>
              <w:t>%</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13.571</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177"/>
              </w:tabs>
              <w:spacing w:before="0" w:after="0" w:line="240" w:lineRule="auto"/>
              <w:jc w:val="right"/>
            </w:pPr>
            <w:r>
              <w:rPr>
                <w:rFonts w:ascii="Calibri" w:eastAsia="Calibri" w:hAnsi="Calibri" w:cs="Calibri"/>
                <w:b w:val="0"/>
                <w:i w:val="0"/>
                <w:color w:val="000000"/>
                <w:sz w:val="11"/>
                <w:u w:val="none"/>
              </w:rPr>
              <w:tab/>
              <w:t>0,1</w:t>
              <w:tab/>
              <w:t>%</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(25.525)</w:t>
            </w:r>
          </w:p>
        </w:tc>
        <w:tc>
          <w:tcPr>
            <w:tcW w:w="7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177"/>
              </w:tabs>
              <w:spacing w:before="0" w:after="0" w:line="240" w:lineRule="auto"/>
              <w:jc w:val="right"/>
            </w:pPr>
            <w:r>
              <w:rPr>
                <w:rFonts w:ascii="Calibri" w:eastAsia="Calibri" w:hAnsi="Calibri" w:cs="Calibri"/>
                <w:b w:val="0"/>
                <w:i w:val="0"/>
                <w:color w:val="000000"/>
                <w:sz w:val="11"/>
                <w:u w:val="none"/>
              </w:rPr>
              <w:tab/>
              <w:t>0,8</w:t>
              <w:tab/>
              <w:t>%</w:t>
            </w:r>
          </w:p>
        </w:tc>
      </w:tr>
      <w:tr>
        <w:tblPrEx>
          <w:tblW w:w="8445" w:type="dxa"/>
          <w:tblInd w:w="1417"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1"/>
                <w:u w:val="none"/>
              </w:rPr>
              <w:t>Otros efectos fiscales por conciliación entre la ganancia contable y gasto por impuestos (ingreso).</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#DIV/0!</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113.096</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210"/>
              </w:tabs>
              <w:spacing w:before="0" w:after="0" w:line="240" w:lineRule="auto"/>
              <w:jc w:val="right"/>
            </w:pPr>
            <w:r>
              <w:rPr>
                <w:rFonts w:ascii="Calibri" w:eastAsia="Calibri" w:hAnsi="Calibri" w:cs="Calibri"/>
                <w:b w:val="0"/>
                <w:i w:val="0"/>
                <w:color w:val="000000"/>
                <w:sz w:val="11"/>
                <w:u w:val="none"/>
              </w:rPr>
              <w:tab/>
              <w:t>(2,1)</w:t>
              <w:tab/>
              <w:t>%</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33.234</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tabs>
                <w:tab w:val="left" w:pos="1"/>
                <w:tab w:val="left" w:pos="177"/>
              </w:tabs>
              <w:spacing w:before="0" w:after="0" w:line="240" w:lineRule="auto"/>
              <w:jc w:val="right"/>
            </w:pPr>
            <w:r>
              <w:rPr>
                <w:rFonts w:ascii="Calibri" w:eastAsia="Calibri" w:hAnsi="Calibri" w:cs="Calibri"/>
                <w:b w:val="0"/>
                <w:i w:val="0"/>
                <w:color w:val="000000"/>
                <w:sz w:val="11"/>
                <w:u w:val="none"/>
              </w:rPr>
              <w:tab/>
              <w:t>0,1</w:t>
              <w:tab/>
              <w:t>%</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115.821</w:t>
            </w:r>
          </w:p>
        </w:tc>
        <w:tc>
          <w:tcPr>
            <w:tcW w:w="7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10"/>
              </w:tabs>
              <w:spacing w:before="0" w:after="0" w:line="240" w:lineRule="auto"/>
              <w:jc w:val="right"/>
            </w:pPr>
            <w:r>
              <w:rPr>
                <w:rFonts w:ascii="Calibri" w:eastAsia="Calibri" w:hAnsi="Calibri" w:cs="Calibri"/>
                <w:b w:val="0"/>
                <w:i w:val="0"/>
                <w:color w:val="000000"/>
                <w:sz w:val="11"/>
                <w:u w:val="none"/>
              </w:rPr>
              <w:tab/>
              <w:t>(3,5)</w:t>
              <w:tab/>
              <w:t>%</w:t>
            </w:r>
          </w:p>
        </w:tc>
      </w:tr>
      <w:tr>
        <w:tblPrEx>
          <w:tblW w:w="8445" w:type="dxa"/>
          <w:tblInd w:w="1417"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1"/>
                <w:u w:val="none"/>
              </w:rPr>
              <w:t>Total ajustes al gasto por impuestos utilizando la tasa legal</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(385)</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#DIV/0!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4.700.118</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266"/>
              </w:tabs>
              <w:spacing w:before="0" w:after="0" w:line="240" w:lineRule="auto"/>
              <w:jc w:val="right"/>
            </w:pPr>
            <w:r>
              <w:rPr>
                <w:rFonts w:ascii="Calibri" w:eastAsia="Calibri" w:hAnsi="Calibri" w:cs="Calibri"/>
                <w:b/>
                <w:i w:val="0"/>
                <w:color w:val="FFFFFF"/>
                <w:sz w:val="11"/>
                <w:u w:val="none"/>
              </w:rPr>
              <w:tab/>
              <w:t>(86,8)</w:t>
              <w:tab/>
              <w:t>%</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-754.086</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211"/>
              </w:tabs>
              <w:spacing w:before="0" w:after="0" w:line="240" w:lineRule="auto"/>
              <w:jc w:val="right"/>
            </w:pPr>
            <w:r>
              <w:rPr>
                <w:rFonts w:ascii="Calibri" w:eastAsia="Calibri" w:hAnsi="Calibri" w:cs="Calibri"/>
                <w:b/>
                <w:i w:val="0"/>
                <w:color w:val="FFFFFF"/>
                <w:sz w:val="11"/>
                <w:u w:val="none"/>
              </w:rPr>
              <w:tab/>
              <w:t>(2,7)</w:t>
              <w:tab/>
              <w:t>%</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1"/>
                <w:u w:val="none"/>
              </w:rPr>
              <w:t>1.551.363</w:t>
            </w:r>
          </w:p>
        </w:tc>
        <w:tc>
          <w:tcPr>
            <w:tcW w:w="7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66"/>
              </w:tabs>
              <w:spacing w:before="0" w:after="0" w:line="240" w:lineRule="auto"/>
              <w:jc w:val="right"/>
            </w:pPr>
            <w:r>
              <w:rPr>
                <w:rFonts w:ascii="Calibri" w:eastAsia="Calibri" w:hAnsi="Calibri" w:cs="Calibri"/>
                <w:b/>
                <w:i w:val="0"/>
                <w:color w:val="FFFFFF"/>
                <w:sz w:val="11"/>
                <w:u w:val="none"/>
              </w:rPr>
              <w:tab/>
              <w:t>(47,4)</w:t>
              <w:tab/>
              <w:t>%</w:t>
            </w:r>
          </w:p>
        </w:tc>
      </w:tr>
      <w:tr>
        <w:tblPrEx>
          <w:tblW w:w="8445" w:type="dxa"/>
          <w:tblInd w:w="1417" w:type="dxa"/>
          <w:tblLayout w:type="fixed"/>
        </w:tblPrEx>
        <w:trPr>
          <w:cantSplit/>
          <w:trHeight w:hRule="auto" w:val="0"/>
        </w:trPr>
        <w:tc>
          <w:tcPr>
            <w:tcW w:w="28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05"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nil"/>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p>
        </w:tc>
        <w:tc>
          <w:tcPr>
            <w:tcW w:w="705"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05" w:type="dxa"/>
            <w:tcBorders>
              <w:top w:val="single" w:sz="2" w:space="0" w:color="000000"/>
              <w:left w:val="nil"/>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p>
        </w:tc>
      </w:tr>
      <w:tr>
        <w:tblPrEx>
          <w:tblW w:w="8445" w:type="dxa"/>
          <w:tblInd w:w="1417" w:type="dxa"/>
          <w:tblLayout w:type="fixed"/>
        </w:tblPrEx>
        <w:trPr>
          <w:cantSplit/>
          <w:trHeight w:hRule="auto" w:val="0"/>
        </w:trPr>
        <w:tc>
          <w:tcPr>
            <w:tcW w:w="28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 xml:space="preserve">(Gasto) ingreso por impuestos a las ganancias, operaciones continuadas </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(385)</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spacing w:before="0" w:after="0" w:line="240" w:lineRule="auto"/>
              <w:jc w:val="right"/>
            </w:pPr>
            <w:r>
              <w:rPr>
                <w:rFonts w:ascii="Calibri" w:eastAsia="Calibri" w:hAnsi="Calibri" w:cs="Calibri"/>
                <w:b/>
                <w:i w:val="0"/>
                <w:color w:val="FFFFFF"/>
                <w:sz w:val="11"/>
                <w:u w:val="none"/>
              </w:rPr>
              <w:t>#DIV/0!</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3.237.319</w:t>
            </w:r>
          </w:p>
        </w:tc>
        <w:tc>
          <w:tcPr>
            <w:tcW w:w="705"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266"/>
              </w:tabs>
              <w:spacing w:before="0" w:after="0" w:line="240" w:lineRule="auto"/>
              <w:jc w:val="right"/>
            </w:pPr>
            <w:r>
              <w:rPr>
                <w:rFonts w:ascii="Calibri" w:eastAsia="Calibri" w:hAnsi="Calibri" w:cs="Calibri"/>
                <w:b/>
                <w:i w:val="0"/>
                <w:color w:val="FFFFFF"/>
                <w:sz w:val="11"/>
                <w:u w:val="none"/>
              </w:rPr>
              <w:tab/>
              <w:t>(59,8)</w:t>
              <w:tab/>
              <w:t>%</w:t>
            </w:r>
          </w:p>
        </w:tc>
        <w:tc>
          <w:tcPr>
            <w:tcW w:w="7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6.635.863</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15" w:type="dxa"/>
            </w:tcMar>
            <w:vAlign w:val="center"/>
          </w:tcPr>
          <w:p>
            <w:pPr>
              <w:pageBreakBefore w:val="0"/>
              <w:tabs>
                <w:tab w:val="left" w:pos="1"/>
                <w:tab w:val="left" w:pos="232"/>
              </w:tabs>
              <w:spacing w:before="0" w:after="0" w:line="240" w:lineRule="auto"/>
              <w:jc w:val="right"/>
            </w:pPr>
            <w:r>
              <w:rPr>
                <w:rFonts w:ascii="Calibri" w:eastAsia="Calibri" w:hAnsi="Calibri" w:cs="Calibri"/>
                <w:b/>
                <w:i w:val="0"/>
                <w:color w:val="FFFFFF"/>
                <w:sz w:val="11"/>
                <w:u w:val="none"/>
              </w:rPr>
              <w:tab/>
              <w:t>24,3</w:t>
              <w:tab/>
              <w:t>%</w:t>
            </w:r>
          </w:p>
        </w:tc>
        <w:tc>
          <w:tcPr>
            <w:tcW w:w="70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667.415</w:t>
            </w:r>
          </w:p>
        </w:tc>
        <w:tc>
          <w:tcPr>
            <w:tcW w:w="70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266"/>
              </w:tabs>
              <w:spacing w:before="0" w:after="0" w:line="240" w:lineRule="auto"/>
              <w:jc w:val="right"/>
            </w:pPr>
            <w:r>
              <w:rPr>
                <w:rFonts w:ascii="Calibri" w:eastAsia="Calibri" w:hAnsi="Calibri" w:cs="Calibri"/>
                <w:b/>
                <w:i w:val="0"/>
                <w:color w:val="FFFFFF"/>
                <w:sz w:val="11"/>
                <w:u w:val="none"/>
              </w:rPr>
              <w:tab/>
              <w:t>(20,4)</w:t>
              <w:tab/>
              <w:t>%</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detalle del efecto fiscal de gastos no deducibles para la determinación de la ganancia (pérdida) tributable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250"/>
        <w:gridCol w:w="825"/>
        <w:gridCol w:w="825"/>
        <w:gridCol w:w="825"/>
        <w:gridCol w:w="825"/>
      </w:tblGrid>
      <w:tr>
        <w:tblPrEx>
          <w:tblW w:w="8550" w:type="dxa"/>
          <w:tblInd w:w="1417" w:type="dxa"/>
          <w:tblLayout w:type="fixed"/>
        </w:tblPrEx>
        <w:trPr>
          <w:cantSplit/>
          <w:trHeight w:hRule="auto" w:val="0"/>
        </w:trPr>
        <w:tc>
          <w:tcPr>
            <w:tcW w:w="52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Detalle Efecto fiscal de gastos no deducibles para la determinación de la ganancia (pérdida) tributable.</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825" w:type="dxa"/>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01-04-2026</w:t>
            </w:r>
          </w:p>
        </w:tc>
        <w:tc>
          <w:tcPr>
            <w:tcW w:w="825" w:type="dxa"/>
            <w:tcBorders>
              <w:top w:val="single" w:sz="2" w:space="0" w:color="000000"/>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01-04-2025</w:t>
            </w:r>
          </w:p>
        </w:tc>
      </w:tr>
      <w:tr>
        <w:tblPrEx>
          <w:tblW w:w="8550" w:type="dxa"/>
          <w:tblInd w:w="1417" w:type="dxa"/>
          <w:tblLayout w:type="fixed"/>
        </w:tblPrEx>
        <w:trPr>
          <w:cantSplit/>
          <w:trHeight w:hRule="auto" w:val="0"/>
        </w:trPr>
        <w:tc>
          <w:tcPr>
            <w:tcW w:w="5250" w:type="dxa"/>
            <w:vMerge/>
            <w:tcBorders>
              <w:top w:val="nil"/>
              <w:left w:val="single" w:sz="2" w:space="0" w:color="000000"/>
              <w:bottom w:val="nil"/>
              <w:right w:val="nil"/>
            </w:tcBorders>
          </w:tcPr>
          <w:p>
            <w:pPr>
              <w:keepNext/>
              <w:pageBreakBefore w:val="0"/>
            </w:pPr>
          </w:p>
        </w:tc>
        <w:tc>
          <w:tcPr>
            <w:tcW w:w="8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82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25" w:type="dxa"/>
            <w:tcBorders>
              <w:top w:val="nil"/>
              <w:left w:val="single" w:sz="8"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5250" w:type="dxa"/>
            <w:vMerge/>
            <w:tcBorders>
              <w:top w:val="nil"/>
              <w:left w:val="single" w:sz="2" w:space="0" w:color="000000"/>
              <w:bottom w:val="single" w:sz="2" w:space="0" w:color="000000"/>
              <w:right w:val="nil"/>
            </w:tcBorders>
          </w:tcPr>
          <w:p>
            <w:pPr>
              <w:keepNext/>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2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25"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5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Correcciones monetarias (Capital propio tributario - Inversiones).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6.379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8.337.825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6.379</w:t>
            </w:r>
          </w:p>
        </w:tc>
        <w:tc>
          <w:tcPr>
            <w:tcW w:w="8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8.337.825</w:t>
            </w:r>
          </w:p>
        </w:tc>
      </w:tr>
      <w:tr>
        <w:tblPrEx>
          <w:tblW w:w="8550" w:type="dxa"/>
          <w:tblInd w:w="1417" w:type="dxa"/>
          <w:tblLayout w:type="fixed"/>
        </w:tblPrEx>
        <w:trPr>
          <w:cantSplit/>
          <w:trHeight w:hRule="auto" w:val="0"/>
        </w:trPr>
        <w:tc>
          <w:tcPr>
            <w:tcW w:w="5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Multas fiscales.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(3.243.147)</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w:t>
            </w:r>
          </w:p>
        </w:tc>
        <w:tc>
          <w:tcPr>
            <w:tcW w:w="8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(3.243.147)</w:t>
            </w:r>
          </w:p>
        </w:tc>
      </w:tr>
      <w:tr>
        <w:tblPrEx>
          <w:tblW w:w="8550" w:type="dxa"/>
          <w:tblInd w:w="1417" w:type="dxa"/>
          <w:tblLayout w:type="fixed"/>
        </w:tblPrEx>
        <w:trPr>
          <w:cantSplit/>
          <w:trHeight w:hRule="auto" w:val="0"/>
        </w:trPr>
        <w:tc>
          <w:tcPr>
            <w:tcW w:w="5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diferencias permanentes.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(6.755)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(507.495)</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(6.755)</w:t>
            </w:r>
          </w:p>
        </w:tc>
        <w:tc>
          <w:tcPr>
            <w:tcW w:w="82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(507.495)</w:t>
            </w:r>
          </w:p>
        </w:tc>
      </w:tr>
      <w:tr>
        <w:tblPrEx>
          <w:tblW w:w="8550" w:type="dxa"/>
          <w:tblInd w:w="1417" w:type="dxa"/>
          <w:tblLayout w:type="fixed"/>
        </w:tblPrEx>
        <w:trPr>
          <w:cantSplit/>
          <w:trHeight w:hRule="auto" w:val="0"/>
        </w:trPr>
        <w:tc>
          <w:tcPr>
            <w:tcW w:w="52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(385)</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4.587.183</w:t>
            </w:r>
          </w:p>
        </w:tc>
        <w:tc>
          <w:tcPr>
            <w:tcW w:w="825" w:type="dxa"/>
            <w:tcBorders>
              <w:top w:val="single" w:sz="2" w:space="0" w:color="000000"/>
              <w:left w:val="single" w:sz="2" w:space="0" w:color="000000"/>
              <w:bottom w:val="nil"/>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(385)</w:t>
            </w:r>
          </w:p>
        </w:tc>
        <w:tc>
          <w:tcPr>
            <w:tcW w:w="825" w:type="dxa"/>
            <w:tcBorders>
              <w:top w:val="single" w:sz="2" w:space="0" w:color="000000"/>
              <w:left w:val="single" w:sz="8" w:space="0" w:color="FFFFFF"/>
              <w:bottom w:val="nil"/>
              <w:right w:val="single" w:sz="8" w:space="0" w:color="FFFFFF"/>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4.587.183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72" w:name="Section140"/>
      <w:bookmarkEnd w:id="272"/>
      <w:bookmarkStart w:id="273" w:name="1b2ad26f63014088adf3a7d0f9f676c1"/>
      <w:r>
        <w:rPr>
          <w:rFonts w:ascii="Calibri" w:eastAsia="Calibri" w:hAnsi="Calibri" w:cs="Calibri"/>
          <w:b/>
          <w:i w:val="0"/>
          <w:color w:val="000000"/>
          <w:sz w:val="20"/>
          <w:u w:val="none"/>
        </w:rPr>
        <w:t>30.3.-</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los resultados integrales por impuestos a las ganancias.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73"/>
    </w:p>
    <w:tbl>
      <w:tblPr>
        <w:tblW w:w="921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695"/>
        <w:gridCol w:w="615"/>
        <w:gridCol w:w="645"/>
        <w:gridCol w:w="615"/>
        <w:gridCol w:w="615"/>
        <w:gridCol w:w="645"/>
        <w:gridCol w:w="615"/>
        <w:gridCol w:w="615"/>
        <w:gridCol w:w="645"/>
        <w:gridCol w:w="615"/>
        <w:gridCol w:w="630"/>
        <w:gridCol w:w="630"/>
        <w:gridCol w:w="630"/>
      </w:tblGrid>
      <w:tr>
        <w:tblPrEx>
          <w:tblW w:w="9210" w:type="dxa"/>
          <w:tblInd w:w="720" w:type="dxa"/>
          <w:tblLayout w:type="fixed"/>
        </w:tblPrEx>
        <w:trPr>
          <w:cantSplit/>
          <w:trHeight w:hRule="auto" w:val="0"/>
        </w:trPr>
        <w:tc>
          <w:tcPr>
            <w:tcW w:w="16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Importes antes de impuestos</w:t>
            </w:r>
          </w:p>
        </w:tc>
        <w:tc>
          <w:tcPr>
            <w:tcW w:w="1875" w:type="dxa"/>
            <w:gridSpan w:val="3"/>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01-01-2026</w:t>
            </w:r>
          </w:p>
        </w:tc>
        <w:tc>
          <w:tcPr>
            <w:tcW w:w="1875"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01-01-2025</w:t>
            </w:r>
          </w:p>
        </w:tc>
        <w:tc>
          <w:tcPr>
            <w:tcW w:w="1875" w:type="dxa"/>
            <w:gridSpan w:val="3"/>
            <w:tcBorders>
              <w:top w:val="single" w:sz="2" w:space="0" w:color="000000"/>
              <w:left w:val="nil"/>
              <w:bottom w:val="nil"/>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01-04-2026</w:t>
            </w:r>
          </w:p>
        </w:tc>
        <w:tc>
          <w:tcPr>
            <w:tcW w:w="1890"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01-04-2025</w:t>
            </w:r>
          </w:p>
        </w:tc>
      </w:tr>
      <w:tr>
        <w:tblPrEx>
          <w:tblW w:w="9210" w:type="dxa"/>
          <w:tblInd w:w="720" w:type="dxa"/>
          <w:tblLayout w:type="fixed"/>
        </w:tblPrEx>
        <w:trPr>
          <w:cantSplit/>
          <w:trHeight w:hRule="auto" w:val="0"/>
        </w:trPr>
        <w:tc>
          <w:tcPr>
            <w:tcW w:w="1695" w:type="dxa"/>
            <w:vMerge/>
            <w:tcBorders>
              <w:top w:val="nil"/>
              <w:left w:val="single" w:sz="2" w:space="0" w:color="000000"/>
              <w:bottom w:val="nil"/>
              <w:right w:val="single" w:sz="4" w:space="0" w:color="FFFFFF"/>
            </w:tcBorders>
          </w:tcPr>
          <w:p>
            <w:pPr>
              <w:keepNext/>
              <w:pageBreakBefore w:val="0"/>
            </w:pPr>
          </w:p>
        </w:tc>
        <w:tc>
          <w:tcPr>
            <w:tcW w:w="1875" w:type="dxa"/>
            <w:gridSpan w:val="3"/>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1875"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c>
          <w:tcPr>
            <w:tcW w:w="1875" w:type="dxa"/>
            <w:gridSpan w:val="3"/>
            <w:tcBorders>
              <w:top w:val="nil"/>
              <w:left w:val="nil"/>
              <w:bottom w:val="single" w:sz="8"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30-06-2026</w:t>
            </w:r>
          </w:p>
        </w:tc>
        <w:tc>
          <w:tcPr>
            <w:tcW w:w="1890" w:type="dxa"/>
            <w:gridSpan w:val="3"/>
            <w:tcBorders>
              <w:top w:val="nil"/>
              <w:left w:val="nil"/>
              <w:bottom w:val="single" w:sz="8"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30-06-2025</w:t>
            </w:r>
          </w:p>
        </w:tc>
      </w:tr>
      <w:tr>
        <w:tblPrEx>
          <w:tblW w:w="9210" w:type="dxa"/>
          <w:tblInd w:w="720" w:type="dxa"/>
          <w:tblLayout w:type="fixed"/>
        </w:tblPrEx>
        <w:trPr>
          <w:cantSplit/>
          <w:trHeight w:hRule="auto" w:val="0"/>
        </w:trPr>
        <w:tc>
          <w:tcPr>
            <w:tcW w:w="1695" w:type="dxa"/>
            <w:vMerge/>
            <w:tcBorders>
              <w:top w:val="nil"/>
              <w:left w:val="single" w:sz="2" w:space="0" w:color="000000"/>
              <w:bottom w:val="nil"/>
              <w:right w:val="nil"/>
            </w:tcBorders>
          </w:tcPr>
          <w:p>
            <w:pPr>
              <w:keepNext/>
              <w:pageBreakBefore w:val="0"/>
            </w:pPr>
          </w:p>
        </w:tc>
        <w:tc>
          <w:tcPr>
            <w:tcW w:w="61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antes de impuestos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Gasto (ingreso) por impuesto a las ganancias</w:t>
            </w:r>
          </w:p>
        </w:tc>
        <w:tc>
          <w:tcPr>
            <w:tcW w:w="61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después de impuestos</w:t>
            </w:r>
          </w:p>
        </w:tc>
        <w:tc>
          <w:tcPr>
            <w:tcW w:w="615"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antes de impuestos</w:t>
            </w:r>
          </w:p>
        </w:tc>
        <w:tc>
          <w:tcPr>
            <w:tcW w:w="64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Gasto (ingreso) por impuesto a las ganancias</w:t>
            </w:r>
          </w:p>
        </w:tc>
        <w:tc>
          <w:tcPr>
            <w:tcW w:w="615"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después de impuestos</w:t>
            </w:r>
          </w:p>
        </w:tc>
        <w:tc>
          <w:tcPr>
            <w:tcW w:w="615" w:type="dxa"/>
            <w:tcBorders>
              <w:top w:val="nil"/>
              <w:left w:val="single" w:sz="2" w:space="0" w:color="000000"/>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antes de impuestos</w:t>
            </w:r>
          </w:p>
        </w:tc>
        <w:tc>
          <w:tcPr>
            <w:tcW w:w="645"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Gasto (ingreso) por impuesto a las ganancias</w:t>
            </w:r>
          </w:p>
        </w:tc>
        <w:tc>
          <w:tcPr>
            <w:tcW w:w="615"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después de impuestos</w:t>
            </w:r>
          </w:p>
        </w:tc>
        <w:tc>
          <w:tcPr>
            <w:tcW w:w="630" w:type="dxa"/>
            <w:tcBorders>
              <w:top w:val="nil"/>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antes de impuestos</w:t>
            </w:r>
          </w:p>
        </w:tc>
        <w:tc>
          <w:tcPr>
            <w:tcW w:w="630" w:type="dxa"/>
            <w:tcBorders>
              <w:top w:val="single" w:sz="8" w:space="0" w:color="FFFFFF"/>
              <w:left w:val="single" w:sz="8" w:space="0" w:color="FFFFFF"/>
              <w:bottom w:val="nil"/>
              <w:right w:val="nil"/>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Gasto (ingreso) por impuesto a las ganancias</w:t>
            </w:r>
          </w:p>
        </w:tc>
        <w:tc>
          <w:tcPr>
            <w:tcW w:w="630" w:type="dxa"/>
            <w:tcBorders>
              <w:top w:val="single" w:sz="8" w:space="0" w:color="FFFFFF"/>
              <w:left w:val="single" w:sz="8" w:space="0" w:color="FFFFFF"/>
              <w:bottom w:val="nil"/>
              <w:right w:val="single" w:sz="2" w:space="0" w:color="000000"/>
            </w:tcBorders>
            <w:tcMar>
              <w:top w:w="0" w:type="dxa"/>
              <w:left w:w="53" w:type="dxa"/>
              <w:bottom w:w="0" w:type="dxa"/>
              <w:right w:w="53" w:type="dxa"/>
            </w:tcMar>
            <w:vAlign w:val="top"/>
          </w:tcPr>
          <w:p>
            <w:pPr>
              <w:keepNext/>
              <w:pageBreakBefore w:val="0"/>
              <w:spacing w:before="23" w:after="20" w:line="240" w:lineRule="auto"/>
              <w:jc w:val="center"/>
            </w:pPr>
            <w:r>
              <w:rPr>
                <w:rFonts w:ascii="Calibri" w:eastAsia="Calibri" w:hAnsi="Calibri" w:cs="Calibri"/>
                <w:b/>
                <w:i w:val="0"/>
                <w:color w:val="FFFFFF"/>
                <w:sz w:val="11"/>
                <w:u w:val="none"/>
              </w:rPr>
              <w:t>Importe después de impuestos</w:t>
            </w:r>
          </w:p>
        </w:tc>
      </w:tr>
      <w:tr>
        <w:tblPrEx>
          <w:tblW w:w="9210" w:type="dxa"/>
          <w:tblInd w:w="720" w:type="dxa"/>
          <w:tblLayout w:type="fixed"/>
        </w:tblPrEx>
        <w:trPr>
          <w:cantSplit/>
          <w:trHeight w:hRule="auto" w:val="0"/>
        </w:trPr>
        <w:tc>
          <w:tcPr>
            <w:tcW w:w="1695" w:type="dxa"/>
            <w:vMerge/>
            <w:tcBorders>
              <w:top w:val="nil"/>
              <w:left w:val="single" w:sz="2" w:space="0" w:color="000000"/>
              <w:bottom w:val="single" w:sz="2" w:space="0" w:color="000000"/>
              <w:right w:val="nil"/>
            </w:tcBorders>
          </w:tcPr>
          <w:p>
            <w:pPr>
              <w:keepNext/>
              <w:pageBreakBefore w:val="0"/>
            </w:pP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1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1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4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15"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3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30" w:type="dxa"/>
            <w:tcBorders>
              <w:top w:val="nil"/>
              <w:left w:val="single" w:sz="8"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c>
          <w:tcPr>
            <w:tcW w:w="630" w:type="dxa"/>
            <w:tcBorders>
              <w:top w:val="nil"/>
              <w:left w:val="single" w:sz="8"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1"/>
                <w:u w:val="none"/>
              </w:rPr>
              <w:t>M$</w:t>
            </w:r>
          </w:p>
        </w:tc>
      </w:tr>
      <w:tr>
        <w:tblPrEx>
          <w:tblW w:w="9210" w:type="dxa"/>
          <w:tblInd w:w="720" w:type="dxa"/>
          <w:tblLayout w:type="fixed"/>
        </w:tblPrEx>
        <w:trPr>
          <w:cantSplit/>
          <w:trHeight w:hRule="auto" w:val="0"/>
        </w:trPr>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1"/>
                <w:u w:val="none"/>
              </w:rPr>
              <w:t>Cobertura de flujo de efectivo.</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1.094.892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(295.622)</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799.270</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(392.427)</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105.955</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(286.472)</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(627.883)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169.528</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(458.355)</w:t>
            </w:r>
          </w:p>
        </w:tc>
        <w:tc>
          <w:tcPr>
            <w:tcW w:w="6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(1.487.320)</w:t>
            </w:r>
          </w:p>
        </w:tc>
        <w:tc>
          <w:tcPr>
            <w:tcW w:w="6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401.576</w:t>
            </w:r>
          </w:p>
        </w:tc>
        <w:tc>
          <w:tcPr>
            <w:tcW w:w="6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(286.472)</w:t>
            </w:r>
          </w:p>
        </w:tc>
      </w:tr>
      <w:tr>
        <w:tblPrEx>
          <w:tblW w:w="9210" w:type="dxa"/>
          <w:tblInd w:w="720" w:type="dxa"/>
          <w:tblLayout w:type="fixed"/>
        </w:tblPrEx>
        <w:trPr>
          <w:cantSplit/>
          <w:trHeight w:hRule="auto" w:val="0"/>
        </w:trPr>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1"/>
                <w:u w:val="none"/>
              </w:rPr>
              <w:t>Ganancias (pérdidas) por nuevas mediciones de planes de beneficios definidos.</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2.388.152</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(848.495)</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1.539.657</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1.217.908</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(328.835)</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889.073</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2.716.653</w:t>
            </w: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(937.191)</w:t>
            </w:r>
          </w:p>
        </w:tc>
        <w:tc>
          <w:tcPr>
            <w:tcW w:w="61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1.779.462</w:t>
            </w:r>
          </w:p>
        </w:tc>
        <w:tc>
          <w:tcPr>
            <w:tcW w:w="6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(501.239)</w:t>
            </w:r>
          </w:p>
        </w:tc>
        <w:tc>
          <w:tcPr>
            <w:tcW w:w="6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135.333</w:t>
            </w:r>
          </w:p>
        </w:tc>
        <w:tc>
          <w:tcPr>
            <w:tcW w:w="6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1"/>
                <w:u w:val="none"/>
              </w:rPr>
              <w:t>889.073</w:t>
            </w:r>
          </w:p>
        </w:tc>
      </w:tr>
      <w:tr>
        <w:tblPrEx>
          <w:tblW w:w="9210" w:type="dxa"/>
          <w:tblInd w:w="720" w:type="dxa"/>
          <w:tblLayout w:type="fixed"/>
        </w:tblPrEx>
        <w:trPr>
          <w:cantSplit/>
          <w:trHeight w:hRule="auto" w:val="0"/>
        </w:trPr>
        <w:tc>
          <w:tcPr>
            <w:tcW w:w="1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1"/>
                <w:u w:val="none"/>
              </w:rPr>
              <w:t>Total</w:t>
            </w:r>
          </w:p>
        </w:tc>
        <w:tc>
          <w:tcPr>
            <w:tcW w:w="61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(1.144.117)</w:t>
            </w:r>
          </w:p>
        </w:tc>
        <w:tc>
          <w:tcPr>
            <w:tcW w:w="61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1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(222.880)</w:t>
            </w:r>
          </w:p>
        </w:tc>
        <w:tc>
          <w:tcPr>
            <w:tcW w:w="61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1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4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(767.663)</w:t>
            </w:r>
          </w:p>
        </w:tc>
        <w:tc>
          <w:tcPr>
            <w:tcW w:w="61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63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6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1"/>
                <w:u w:val="none"/>
              </w:rPr>
              <w:t>536.909</w:t>
            </w:r>
          </w:p>
        </w:tc>
        <w:tc>
          <w:tcPr>
            <w:tcW w:w="63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74" w:name="Section141"/>
      <w:bookmarkEnd w:id="274"/>
      <w:bookmarkStart w:id="275" w:name="9d874293caf14a11a055fe90217aa224"/>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GANANCIAS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5"/>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utilidad o pérdida por acción básica se calcula dividiendo la utilidad atribuible a los accionistas de Compañía General de Electricidad S.A. entre el promedio ponderado de las acciones comunes en circulación en el año, excluyendo de existir, las acciones comunes adquiridas por la Sociedad y mantenidas como acciones de tesorería.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6.419.662</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y diluidas en operaciones continuadas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3,18</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Cantidad de acciones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2.019.896.893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2.019.896.893</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transacciones o conceptos que generen efecto dilutivo.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276" w:name="Section142"/>
      <w:bookmarkEnd w:id="276"/>
      <w:bookmarkStart w:id="277" w:name="9dd4e193f77d4b1282541df37e7ac582"/>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POR SEGMENTO.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77"/>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78" w:name="Section143"/>
      <w:bookmarkEnd w:id="278"/>
      <w:bookmarkStart w:id="279" w:name="c344f41551c044008c8ea435e9653a41"/>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Criterios de segmentación.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279"/>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Gerencia ha determinado los segmentos operativos sobre la base de los informes revisados por el comité ejecutivo estratégico. El comité considera el negocio desde una perspectiva asociada al tipo de servicio o producto vendido (electricidad en Chile).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segmentos operativos reportables derivan sus ingresos principalmente de la distribución, transmisión y generación eléctrica. En relación con las características del negocio de dichos segmentos (ver nota 2).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indicadores utilizados por el comité ejecutivo para la medición de desempeño y asignación de recursos a cada segmento están vinculados con el margen de cada actividad y su EBITDA (Donde Ebitda se determina como (+) Ganancias (pérdidas) de actividades operacionales (+) Depreciación y retiros (+) Amortización).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que se entrega al comité ejecutivo estratégico de los segmentos reportables a nivel de estado de situación, estado de resultados por función y el estado de flujo de efectivo, es la siguiente:</w:t>
      </w:r>
    </w:p>
    <w:p>
      <w:pPr>
        <w:pStyle w:val="Normal-wk"/>
        <w:keepNext w:val="0"/>
        <w:keepLines/>
        <w:pageBreakBefore w:val="0"/>
        <w:widowControl w:val="0"/>
        <w:numPr>
          <w:ilvl w:val="0"/>
          <w:numId w:val="0"/>
        </w:numPr>
        <w:spacing w:before="0" w:after="0" w:line="240" w:lineRule="exact"/>
        <w:ind w:left="1417" w:right="0" w:firstLine="0"/>
        <w:jc w:val="both"/>
        <w:outlineLvl w:val="9"/>
        <w:sectPr>
          <w:footerReference w:type="default" r:id="rId54"/>
          <w:type w:val="continuous"/>
          <w:pgSz w:w="12240" w:h="15840"/>
          <w:pgMar w:top="1134" w:right="1134" w:bottom="1134" w:left="1134" w:header="0" w:footer="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80" w:name="Section144"/>
      <w:bookmarkEnd w:id="280"/>
      <w:bookmarkStart w:id="281" w:name="95231692cdd844168f0d94bcb507321b"/>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patrimoniales.</w:t>
      </w: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bookmarkEnd w:id="281"/>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Activos por segmentos.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1200"/>
        <w:gridCol w:w="1200"/>
        <w:gridCol w:w="1200"/>
        <w:gridCol w:w="1200"/>
        <w:gridCol w:w="1200"/>
        <w:gridCol w:w="1200"/>
      </w:tblGrid>
      <w:tr>
        <w:tblPrEx>
          <w:tblW w:w="12855" w:type="dxa"/>
          <w:tblInd w:w="709" w:type="dxa"/>
          <w:tblLayout w:type="fixed"/>
        </w:tblPrEx>
        <w:trPr>
          <w:cantSplit/>
          <w:trHeight w:hRule="exact" w:val="225"/>
          <w:tblHeader/>
        </w:trPr>
        <w:tc>
          <w:tcPr>
            <w:tcW w:w="56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55" w:type="dxa"/>
          <w:tblInd w:w="709" w:type="dxa"/>
          <w:tblLayout w:type="fixed"/>
        </w:tblPrEx>
        <w:trPr>
          <w:cantSplit/>
          <w:trHeight w:hRule="exact" w:val="225"/>
          <w:tblHeader/>
        </w:trPr>
        <w:tc>
          <w:tcPr>
            <w:tcW w:w="56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855" w:type="dxa"/>
          <w:tblInd w:w="709" w:type="dxa"/>
          <w:tblLayout w:type="fixed"/>
        </w:tblPrEx>
        <w:trPr>
          <w:cantSplit/>
          <w:trHeight w:hRule="auto" w:val="0"/>
          <w:tblHeader/>
        </w:trPr>
        <w:tc>
          <w:tcPr>
            <w:tcW w:w="56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855" w:type="dxa"/>
          <w:tblInd w:w="709" w:type="dxa"/>
          <w:tblLayout w:type="fixed"/>
        </w:tblPrEx>
        <w:trPr>
          <w:cantSplit/>
          <w:trHeight w:hRule="exact" w:val="60"/>
          <w:tblHeader/>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blHeader/>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28.288.013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28.288.013</w:t>
            </w:r>
          </w:p>
        </w:tc>
      </w:tr>
      <w:tr>
        <w:tblPrEx>
          <w:tblW w:w="12855" w:type="dxa"/>
          <w:tblInd w:w="709" w:type="dxa"/>
          <w:tblLayout w:type="fixed"/>
        </w:tblPrEx>
        <w:trPr>
          <w:cantSplit/>
          <w:trHeight w:hRule="auto" w:val="0"/>
          <w:tblHeader/>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no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3.079.196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3.079.196</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Deudores comerciales y otras cuentas por cobrar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812.364.214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812.364.214</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5.146.220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(3.278.629)</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1.867.591</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Inventarios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4.452.597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4.452.597</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1.034.244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1.034.244</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854.364.484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(3.278.629)</w:t>
            </w:r>
          </w:p>
        </w:tc>
        <w:tc>
          <w:tcPr>
            <w:tcW w:w="120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851.085.855</w:t>
            </w:r>
          </w:p>
        </w:tc>
      </w:tr>
      <w:tr>
        <w:tblPrEx>
          <w:tblW w:w="128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financieros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2.706.041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2.706.041</w:t>
            </w:r>
          </w:p>
        </w:tc>
      </w:tr>
      <w:tr>
        <w:tblPrEx>
          <w:tblW w:w="12855" w:type="dxa"/>
          <w:tblInd w:w="709" w:type="dxa"/>
          <w:tblLayout w:type="fixed"/>
        </w:tblPrEx>
        <w:trPr>
          <w:cantSplit/>
          <w:trHeight w:hRule="exact" w:val="225"/>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Otros activos no financieros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8.280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8.280</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Cuentas por cobrar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681.214.603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681.214.603</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Inversiones contabilizadas utilizando el método de la participación.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55.312.290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(55.312.290)</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intangibles distintos de la plusvalía.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617.500.991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617.500.991</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Plusvalía.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161.446.233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161.446.233</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1.724.853.142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1.724.853.142</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Propiedad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10.854.348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10.854.348</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derecho de uso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28.309.893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28.309.893</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por impuestos diferidos.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39.334.666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39.334.666</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Activos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3.321.540.487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(55.312.290)</w:t>
            </w:r>
          </w:p>
        </w:tc>
        <w:tc>
          <w:tcPr>
            <w:tcW w:w="120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3.266.228.197</w:t>
            </w:r>
          </w:p>
        </w:tc>
      </w:tr>
      <w:tr>
        <w:tblPrEx>
          <w:tblW w:w="128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4.175.904.971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(58.590.919)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4.117.314.052</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Pasivos y Patrimonio por segmentos.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1200"/>
        <w:gridCol w:w="1200"/>
        <w:gridCol w:w="1200"/>
        <w:gridCol w:w="1200"/>
        <w:gridCol w:w="1200"/>
        <w:gridCol w:w="1200"/>
      </w:tblGrid>
      <w:tr>
        <w:tblPrEx>
          <w:tblW w:w="12855" w:type="dxa"/>
          <w:tblInd w:w="709" w:type="dxa"/>
          <w:tblLayout w:type="fixed"/>
        </w:tblPrEx>
        <w:trPr>
          <w:cantSplit/>
          <w:trHeight w:hRule="auto" w:val="0"/>
          <w:tblHeader/>
        </w:trPr>
        <w:tc>
          <w:tcPr>
            <w:tcW w:w="56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PASIVOS</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55" w:type="dxa"/>
          <w:tblInd w:w="709" w:type="dxa"/>
          <w:tblLayout w:type="fixed"/>
        </w:tblPrEx>
        <w:trPr>
          <w:cantSplit/>
          <w:trHeight w:hRule="auto" w:val="0"/>
          <w:tblHeader/>
        </w:trPr>
        <w:tc>
          <w:tcPr>
            <w:tcW w:w="56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855" w:type="dxa"/>
          <w:tblInd w:w="709" w:type="dxa"/>
          <w:tblLayout w:type="fixed"/>
        </w:tblPrEx>
        <w:trPr>
          <w:cantSplit/>
          <w:trHeight w:hRule="auto" w:val="0"/>
          <w:tblHeader/>
        </w:trPr>
        <w:tc>
          <w:tcPr>
            <w:tcW w:w="5655" w:type="dxa"/>
            <w:vMerge/>
            <w:tcBorders>
              <w:top w:val="nil"/>
              <w:left w:val="single" w:sz="2" w:space="0" w:color="000000"/>
              <w:bottom w:val="single" w:sz="2" w:space="0" w:color="000000"/>
              <w:right w:val="nil"/>
            </w:tcBorders>
          </w:tcPr>
          <w:p>
            <w:pPr>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r>
      <w:tr>
        <w:tblPrEx>
          <w:tblW w:w="12855" w:type="dxa"/>
          <w:tblInd w:w="709" w:type="dxa"/>
          <w:tblLayout w:type="fixed"/>
        </w:tblPrEx>
        <w:trPr>
          <w:cantSplit/>
          <w:trHeight w:hRule="exact" w:val="60"/>
          <w:tblHeader/>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12855" w:type="dxa"/>
          <w:tblInd w:w="709" w:type="dxa"/>
          <w:tblLayout w:type="fixed"/>
        </w:tblPrEx>
        <w:trPr>
          <w:cantSplit/>
          <w:trHeight w:hRule="auto" w:val="0"/>
          <w:tblHeader/>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PASIVOS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2855" w:type="dxa"/>
          <w:tblInd w:w="709" w:type="dxa"/>
          <w:tblLayout w:type="fixed"/>
        </w:tblPrEx>
        <w:trPr>
          <w:cantSplit/>
          <w:trHeight w:hRule="auto" w:val="0"/>
          <w:tblHeader/>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Otros pasivos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417.410.666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417.410.666</w:t>
            </w:r>
          </w:p>
        </w:tc>
      </w:tr>
      <w:tr>
        <w:tblPrEx>
          <w:tblW w:w="12855" w:type="dxa"/>
          <w:tblInd w:w="709" w:type="dxa"/>
          <w:tblLayout w:type="fixed"/>
        </w:tblPrEx>
        <w:trPr>
          <w:cantSplit/>
          <w:trHeight w:hRule="auto" w:val="0"/>
          <w:tblHeader/>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Pasivos por arrendamientos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6.395.674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6.395.674</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633.060.444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633.060.459</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Cuentas por pagar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78.286.886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(3.278.644)</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75.008.242</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Otras provisiones a corto plazo.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49.979.342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49.979.342</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Otros pasivos no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19.323.078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19.323.078</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Pasivos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1.204.456.090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(3.278.629)</w:t>
            </w:r>
          </w:p>
        </w:tc>
        <w:tc>
          <w:tcPr>
            <w:tcW w:w="120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1.201.177.461</w:t>
            </w:r>
          </w:p>
        </w:tc>
      </w:tr>
      <w:tr>
        <w:tblPrEx>
          <w:tblW w:w="128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PASIVOS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Otros pasivos financieros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800.219.162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800.219.162</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Pasivos por arrendamientos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6.707.935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6.707.935</w:t>
            </w:r>
          </w:p>
        </w:tc>
      </w:tr>
      <w:tr>
        <w:tblPrEx>
          <w:tblW w:w="12855" w:type="dxa"/>
          <w:tblInd w:w="709" w:type="dxa"/>
          <w:tblLayout w:type="fixed"/>
        </w:tblPrEx>
        <w:trPr>
          <w:cantSplit/>
          <w:trHeight w:hRule="exact" w:val="225"/>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Cuentas por pagar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219.508.836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219.508.836</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Cuentas por pagar a entidades relacionadas,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328.320.729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328.320.729</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Otras provisiones a largo plazo.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Pasivo por impuestos diferidos.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28.593.670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28.593.670</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Provisiones no corrientes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26.828.878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26.828.878</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Pasivos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1.410.179.346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(136)</w:t>
            </w:r>
          </w:p>
        </w:tc>
        <w:tc>
          <w:tcPr>
            <w:tcW w:w="120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1.410.179.210</w:t>
            </w:r>
          </w:p>
        </w:tc>
      </w:tr>
      <w:tr>
        <w:tblPrEx>
          <w:tblW w:w="128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2.614.635.436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(3.278.765)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2.611.356.671</w:t>
            </w:r>
          </w:p>
        </w:tc>
      </w:tr>
      <w:tr>
        <w:tblPrEx>
          <w:tblW w:w="128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Capital emitido y pagado.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1.243.999.926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(11.576.501)</w:t>
            </w:r>
          </w:p>
        </w:tc>
        <w:tc>
          <w:tcPr>
            <w:tcW w:w="12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1.232.423.425</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Ganancias (pérdidas) acumuladas.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377.417.439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(34.477.112)</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342.940.327</w:t>
            </w:r>
          </w:p>
        </w:tc>
      </w:tr>
      <w:tr>
        <w:tblPrEx>
          <w:tblW w:w="12855" w:type="dxa"/>
          <w:tblInd w:w="709" w:type="dxa"/>
          <w:tblLayout w:type="fixed"/>
        </w:tblPrEx>
        <w:trPr>
          <w:cantSplit/>
          <w:trHeight w:hRule="exact" w:val="225"/>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Otras reservas.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(99.616.615)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(9.230.632)</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(108.847.247)</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1.521.800.750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(55.284.245)</w:t>
            </w:r>
          </w:p>
        </w:tc>
        <w:tc>
          <w:tcPr>
            <w:tcW w:w="120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1.466.516.505</w:t>
            </w:r>
          </w:p>
        </w:tc>
      </w:tr>
      <w:tr>
        <w:tblPrEx>
          <w:tblW w:w="12855" w:type="dxa"/>
          <w:tblInd w:w="709" w:type="dxa"/>
          <w:tblLayout w:type="fixed"/>
        </w:tblPrEx>
        <w:trPr>
          <w:cantSplit/>
          <w:trHeight w:hRule="exact" w:val="225"/>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Participaciones no controladoras.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39.468.785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(27.909)</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39.440.876</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1.561.269.535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(55.312.154)</w:t>
            </w:r>
          </w:p>
        </w:tc>
        <w:tc>
          <w:tcPr>
            <w:tcW w:w="120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1.505.957.381</w:t>
            </w:r>
          </w:p>
        </w:tc>
      </w:tr>
      <w:tr>
        <w:tblPrEx>
          <w:tblW w:w="12855" w:type="dxa"/>
          <w:tblInd w:w="709" w:type="dxa"/>
          <w:tblLayout w:type="fixed"/>
        </w:tblPrEx>
        <w:trPr>
          <w:cantSplit/>
          <w:trHeight w:hRule="auto" w:val="0"/>
        </w:trPr>
        <w:tc>
          <w:tcPr>
            <w:tcW w:w="565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 DE PASIVOS Y PATRIMONIO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4.175.904.971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(58.590.919)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4.117.314.052</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sz w:val="20"/>
        </w:rPr>
        <w:sectPr>
          <w:headerReference w:type="default" r:id="rId55"/>
          <w:footerReference w:type="default" r:id="rId56"/>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82" w:name="Section145"/>
      <w:bookmarkEnd w:id="282"/>
      <w:bookmarkStart w:id="283" w:name="10f9e325d7e84f658241473a64340176"/>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de resultados por segmentos.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3"/>
    </w:p>
    <w:tbl>
      <w:tblPr>
        <w:tblW w:w="1282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745"/>
        <w:gridCol w:w="840"/>
        <w:gridCol w:w="840"/>
        <w:gridCol w:w="840"/>
        <w:gridCol w:w="840"/>
        <w:gridCol w:w="840"/>
        <w:gridCol w:w="840"/>
        <w:gridCol w:w="840"/>
        <w:gridCol w:w="840"/>
        <w:gridCol w:w="840"/>
        <w:gridCol w:w="840"/>
        <w:gridCol w:w="840"/>
        <w:gridCol w:w="840"/>
      </w:tblGrid>
      <w:tr>
        <w:tblPrEx>
          <w:tblW w:w="12825" w:type="dxa"/>
          <w:tblInd w:w="709" w:type="dxa"/>
          <w:tblLayout w:type="fixed"/>
        </w:tblPrEx>
        <w:trPr>
          <w:cantSplit/>
          <w:trHeight w:hRule="exact" w:val="225"/>
          <w:tblHeader/>
        </w:trPr>
        <w:tc>
          <w:tcPr>
            <w:tcW w:w="27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ESTADO DE RESULTADOS POR FUNCIÓN</w:t>
            </w:r>
          </w:p>
        </w:tc>
        <w:tc>
          <w:tcPr>
            <w:tcW w:w="3360" w:type="dxa"/>
            <w:gridSpan w:val="4"/>
            <w:tcBorders>
              <w:top w:val="single" w:sz="2" w:space="0" w:color="000000"/>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Eléctrico Chile</w:t>
            </w:r>
          </w:p>
        </w:tc>
        <w:tc>
          <w:tcPr>
            <w:tcW w:w="3360" w:type="dxa"/>
            <w:gridSpan w:val="4"/>
            <w:tcBorders>
              <w:top w:val="single" w:sz="2" w:space="0" w:color="000000"/>
              <w:left w:val="single" w:sz="8" w:space="0" w:color="FFFFFF"/>
              <w:bottom w:val="single" w:sz="8"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Ajustes de consolidación</w:t>
            </w:r>
          </w:p>
        </w:tc>
        <w:tc>
          <w:tcPr>
            <w:tcW w:w="3360" w:type="dxa"/>
            <w:gridSpan w:val="4"/>
            <w:tcBorders>
              <w:top w:val="single" w:sz="2" w:space="0" w:color="000000"/>
              <w:left w:val="single" w:sz="8" w:space="0" w:color="FFFFFF"/>
              <w:bottom w:val="single" w:sz="8"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Consolidado</w:t>
            </w:r>
          </w:p>
        </w:tc>
      </w:tr>
      <w:tr>
        <w:tblPrEx>
          <w:tblW w:w="12825" w:type="dxa"/>
          <w:tblInd w:w="709" w:type="dxa"/>
          <w:tblLayout w:type="fixed"/>
        </w:tblPrEx>
        <w:trPr>
          <w:cantSplit/>
          <w:trHeight w:hRule="exact" w:val="225"/>
          <w:tblHeader/>
        </w:trPr>
        <w:tc>
          <w:tcPr>
            <w:tcW w:w="2745" w:type="dxa"/>
            <w:vMerge/>
            <w:tcBorders>
              <w:top w:val="nil"/>
              <w:left w:val="single" w:sz="2" w:space="0" w:color="000000"/>
              <w:bottom w:val="nil"/>
              <w:right w:val="nil"/>
            </w:tcBorders>
          </w:tcPr>
          <w:p>
            <w:pPr>
              <w:keepNext/>
              <w:pageBreakBefore w:val="0"/>
            </w:pP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840" w:type="dxa"/>
            <w:tcBorders>
              <w:top w:val="single" w:sz="8"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840" w:type="dxa"/>
            <w:tcBorders>
              <w:top w:val="single" w:sz="8"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840"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840" w:type="dxa"/>
            <w:tcBorders>
              <w:top w:val="single" w:sz="8"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840" w:type="dxa"/>
            <w:tcBorders>
              <w:top w:val="single" w:sz="8"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840" w:type="dxa"/>
            <w:tcBorders>
              <w:top w:val="single" w:sz="8" w:space="0" w:color="FFFFFF"/>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01-01-2026</w:t>
            </w:r>
          </w:p>
        </w:tc>
        <w:tc>
          <w:tcPr>
            <w:tcW w:w="840" w:type="dxa"/>
            <w:tcBorders>
              <w:top w:val="single" w:sz="8"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01-01-2025</w:t>
            </w:r>
          </w:p>
        </w:tc>
        <w:tc>
          <w:tcPr>
            <w:tcW w:w="840" w:type="dxa"/>
            <w:tcBorders>
              <w:top w:val="single" w:sz="8"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01-04-2026</w:t>
            </w:r>
          </w:p>
        </w:tc>
        <w:tc>
          <w:tcPr>
            <w:tcW w:w="840" w:type="dxa"/>
            <w:tcBorders>
              <w:top w:val="single" w:sz="8"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01-04-2025</w:t>
            </w:r>
          </w:p>
        </w:tc>
      </w:tr>
      <w:tr>
        <w:tblPrEx>
          <w:tblW w:w="12825" w:type="dxa"/>
          <w:tblInd w:w="709" w:type="dxa"/>
          <w:tblLayout w:type="fixed"/>
        </w:tblPrEx>
        <w:trPr>
          <w:cantSplit/>
          <w:trHeight w:hRule="exact" w:val="225"/>
          <w:tblHeader/>
        </w:trPr>
        <w:tc>
          <w:tcPr>
            <w:tcW w:w="2745" w:type="dxa"/>
            <w:vMerge/>
            <w:tcBorders>
              <w:top w:val="nil"/>
              <w:left w:val="single" w:sz="2" w:space="0" w:color="000000"/>
              <w:bottom w:val="nil"/>
              <w:right w:val="nil"/>
            </w:tcBorders>
          </w:tcPr>
          <w:p>
            <w:pPr>
              <w:keepNext/>
              <w:pageBreakBefore w:val="0"/>
            </w:pP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84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840" w:type="dxa"/>
            <w:tcBorders>
              <w:top w:val="nil"/>
              <w:left w:val="single" w:sz="8"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c>
          <w:tcPr>
            <w:tcW w:w="8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30-06-2026</w:t>
            </w:r>
          </w:p>
        </w:tc>
        <w:tc>
          <w:tcPr>
            <w:tcW w:w="84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0"/>
                <w:u w:val="none"/>
              </w:rPr>
              <w:t>30-06-2025</w:t>
            </w:r>
          </w:p>
        </w:tc>
      </w:tr>
      <w:tr>
        <w:tblPrEx>
          <w:tblW w:w="12825" w:type="dxa"/>
          <w:tblInd w:w="709" w:type="dxa"/>
          <w:tblLayout w:type="fixed"/>
        </w:tblPrEx>
        <w:trPr>
          <w:cantSplit/>
          <w:trHeight w:hRule="exact" w:val="225"/>
          <w:tblHeader/>
        </w:trPr>
        <w:tc>
          <w:tcPr>
            <w:tcW w:w="2745" w:type="dxa"/>
            <w:vMerge/>
            <w:tcBorders>
              <w:top w:val="nil"/>
              <w:left w:val="single" w:sz="2" w:space="0" w:color="000000"/>
              <w:bottom w:val="single" w:sz="2" w:space="0" w:color="000000"/>
              <w:right w:val="nil"/>
            </w:tcBorders>
          </w:tcPr>
          <w:p>
            <w:pPr>
              <w:pageBreakBefore w:val="0"/>
            </w:pP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4" w:space="0" w:color="FFFFFF"/>
              <w:bottom w:val="single" w:sz="4" w:space="0" w:color="FFFFFF"/>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4" w:space="0" w:color="FFFFFF"/>
              <w:bottom w:val="single" w:sz="4" w:space="0" w:color="FFFFFF"/>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4" w:space="0" w:color="FFFFFF"/>
              <w:bottom w:val="single" w:sz="4" w:space="0" w:color="FFFFFF"/>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c>
          <w:tcPr>
            <w:tcW w:w="840" w:type="dxa"/>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0"/>
                <w:u w:val="none"/>
              </w:rPr>
              <w:t>M$</w:t>
            </w:r>
          </w:p>
        </w:tc>
      </w:tr>
      <w:tr>
        <w:tblPrEx>
          <w:tblW w:w="12825" w:type="dxa"/>
          <w:tblInd w:w="709" w:type="dxa"/>
          <w:tblLayout w:type="fixed"/>
        </w:tblPrEx>
        <w:trPr>
          <w:cantSplit/>
          <w:trHeight w:hRule="exact" w:val="225"/>
          <w:tblHeader/>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Ingresos de actividades ordinarias.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1.204.819.231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(578.077.177)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608.746.687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(48.992)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(48.992)</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1.204.770.239</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(578.077.177)</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608.697.695</w:t>
            </w:r>
          </w:p>
        </w:tc>
      </w:tr>
      <w:tr>
        <w:tblPrEx>
          <w:tblW w:w="12825" w:type="dxa"/>
          <w:tblInd w:w="709" w:type="dxa"/>
          <w:tblLayout w:type="fixed"/>
        </w:tblPrEx>
        <w:trPr>
          <w:cantSplit/>
          <w:trHeight w:hRule="exact" w:val="225"/>
          <w:tblHeader/>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Costo de ventas.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(1.070.136.960)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507.431.667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(544.846.614)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49.335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49.335</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(1.070.087.625)</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507.431.667</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(544.797.279)</w:t>
            </w:r>
          </w:p>
        </w:tc>
      </w:tr>
      <w:tr>
        <w:tblPrEx>
          <w:tblW w:w="12825" w:type="dxa"/>
          <w:tblInd w:w="709" w:type="dxa"/>
          <w:tblLayout w:type="fixed"/>
        </w:tblPrEx>
        <w:trPr>
          <w:cantSplit/>
          <w:trHeight w:hRule="exact" w:val="225"/>
          <w:tblHeader/>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Ganancia bruta</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134.682.271</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(70.645.510)</w:t>
            </w:r>
          </w:p>
        </w:tc>
        <w:tc>
          <w:tcPr>
            <w:tcW w:w="84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63.900.073</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343</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343</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134.682.614</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(70.645.510)</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63.900.416</w:t>
            </w:r>
          </w:p>
        </w:tc>
      </w:tr>
      <w:tr>
        <w:tblPrEx>
          <w:tblW w:w="12825" w:type="dxa"/>
          <w:tblInd w:w="709" w:type="dxa"/>
          <w:tblLayout w:type="fixed"/>
        </w:tblPrEx>
        <w:trPr>
          <w:cantSplit/>
          <w:trHeight w:hRule="exact" w:val="225"/>
          <w:tblHeader/>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Otros ingresos.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7.741.504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(3.896.511)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3.930.910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(403.427)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(403.427)</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7.338.077</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(3.896.511)</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3.527.483</w:t>
            </w: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Gasto de administración.</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(65.509.447)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33.879.733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(33.823.368)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403.084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403.084</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(65.106.363)</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33.879.733</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(33.420.284)</w:t>
            </w:r>
          </w:p>
        </w:tc>
      </w:tr>
      <w:tr>
        <w:tblPrEx>
          <w:tblW w:w="12825" w:type="dxa"/>
          <w:tblInd w:w="709" w:type="dxa"/>
          <w:tblLayout w:type="fixed"/>
        </w:tblPrEx>
        <w:trPr>
          <w:cantSplit/>
          <w:trHeight w:hRule="exact" w:val="37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Deterioro de valor de ganancias y reversión de pérdidas por deterioro de valor (pérdidas por deterioro de valor) determinado de acuerdo con la NIIF 9.</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(22.589.058)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(823.867)</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(8.595.596)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(22.589.058)</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(823.867)</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(8.595.596)</w:t>
            </w:r>
          </w:p>
        </w:tc>
      </w:tr>
      <w:tr>
        <w:tblPrEx>
          <w:tblW w:w="12825" w:type="dxa"/>
          <w:tblInd w:w="709" w:type="dxa"/>
          <w:tblLayout w:type="fixed"/>
        </w:tblPrEx>
        <w:trPr>
          <w:cantSplit/>
          <w:trHeight w:hRule="exact" w:val="19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Otras ganancias (pérdidas).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(4.899.016)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528.670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(612.456)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(4.899.016)</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528.670</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(612.456)</w:t>
            </w: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Ganancias (pérdidas) de actividades operacionales.</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49.426.254</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-40957485</w:t>
            </w:r>
          </w:p>
        </w:tc>
        <w:tc>
          <w:tcPr>
            <w:tcW w:w="840" w:type="dxa"/>
            <w:tcBorders>
              <w:top w:val="single" w:sz="2" w:space="0" w:color="000000"/>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24799563</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0</w:t>
            </w:r>
          </w:p>
        </w:tc>
        <w:tc>
          <w:tcPr>
            <w:tcW w:w="840" w:type="dxa"/>
            <w:tcBorders>
              <w:top w:val="single" w:sz="2" w:space="0" w:color="000000"/>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49.426.254</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(40.957.485)</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24.799.563</w:t>
            </w:r>
          </w:p>
        </w:tc>
      </w:tr>
      <w:tr>
        <w:tblPrEx>
          <w:tblW w:w="12825" w:type="dxa"/>
          <w:tblInd w:w="709" w:type="dxa"/>
          <w:tblLayout w:type="fixed"/>
        </w:tblPrEx>
        <w:trPr>
          <w:cantSplit/>
          <w:trHeight w:hRule="exact" w:val="19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Ingresos financieros.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4.696.705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(11.838.468)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(27.163)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(27.163)</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4.669.542</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(11.838.468)</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(27.163)</w:t>
            </w:r>
          </w:p>
        </w:tc>
      </w:tr>
      <w:tr>
        <w:tblPrEx>
          <w:tblW w:w="12825" w:type="dxa"/>
          <w:tblInd w:w="709" w:type="dxa"/>
          <w:tblLayout w:type="fixed"/>
        </w:tblPrEx>
        <w:trPr>
          <w:cantSplit/>
          <w:trHeight w:hRule="exact" w:val="19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Costos financieros.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(17.928.331)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23.005.008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27.163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27.163</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(17.901.168)</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23.005.008</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27.163</w:t>
            </w:r>
          </w:p>
        </w:tc>
      </w:tr>
      <w:tr>
        <w:tblPrEx>
          <w:tblW w:w="12825" w:type="dxa"/>
          <w:tblInd w:w="709" w:type="dxa"/>
          <w:tblLayout w:type="fixed"/>
        </w:tblPrEx>
        <w:trPr>
          <w:cantSplit/>
          <w:trHeight w:hRule="exact" w:val="37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Participación en ganancia (pérdida) de asociadas y negocios conjuntos que se contabilicen utilizando el método de la participación.</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1.244.494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(3.141.440)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(1.271.761)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(1.244.494)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(1.244.494)</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(2.516.255)</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(3.141.440)</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(2.516.255)</w:t>
            </w: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Ganancias (pérdidas) de cambio en moneda extranjera.</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357.068</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6.040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357.068</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6.040</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2825" w:type="dxa"/>
          <w:tblInd w:w="709" w:type="dxa"/>
          <w:tblLayout w:type="fixed"/>
        </w:tblPrEx>
        <w:trPr>
          <w:cantSplit/>
          <w:trHeight w:hRule="exact" w:val="19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Resultados por unidades de reajuste.</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(9.608.241)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2.414.725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(9.608.241)</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2.414.725</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Ganancia (pérdida) antes de impuesto</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28.187.949</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-30511620</w:t>
            </w:r>
          </w:p>
        </w:tc>
        <w:tc>
          <w:tcPr>
            <w:tcW w:w="840" w:type="dxa"/>
            <w:tcBorders>
              <w:top w:val="single" w:sz="2" w:space="0" w:color="000000"/>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23527802</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(1.244.494)</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0</w:t>
            </w:r>
          </w:p>
        </w:tc>
        <w:tc>
          <w:tcPr>
            <w:tcW w:w="840" w:type="dxa"/>
            <w:tcBorders>
              <w:top w:val="single" w:sz="2" w:space="0" w:color="000000"/>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-1244494</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26.943.455</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(30.511.620)</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22.283.308</w:t>
            </w:r>
          </w:p>
        </w:tc>
      </w:tr>
      <w:tr>
        <w:tblPrEx>
          <w:tblW w:w="12825" w:type="dxa"/>
          <w:tblInd w:w="709" w:type="dxa"/>
          <w:tblLayout w:type="fixed"/>
        </w:tblPrEx>
        <w:trPr>
          <w:cantSplit/>
          <w:trHeight w:hRule="exact" w:val="19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Beneficio (gasto) por impuestos a las ganancias.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2.233.891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7.054.174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2.233.891</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7.054.174</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Ganancia (pérdida)</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30.421.840</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-23457446</w:t>
            </w:r>
          </w:p>
        </w:tc>
        <w:tc>
          <w:tcPr>
            <w:tcW w:w="840" w:type="dxa"/>
            <w:tcBorders>
              <w:top w:val="single" w:sz="2" w:space="0" w:color="000000"/>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23527802</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(1.244.494)</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0</w:t>
            </w:r>
          </w:p>
        </w:tc>
        <w:tc>
          <w:tcPr>
            <w:tcW w:w="840" w:type="dxa"/>
            <w:tcBorders>
              <w:top w:val="single" w:sz="2" w:space="0" w:color="000000"/>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-1244494</w:t>
            </w:r>
          </w:p>
        </w:tc>
        <w:tc>
          <w:tcPr>
            <w:tcW w:w="84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29.177.346</w:t>
            </w:r>
          </w:p>
        </w:tc>
        <w:tc>
          <w:tcPr>
            <w:tcW w:w="84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(23.457.446)</w:t>
            </w:r>
          </w:p>
        </w:tc>
        <w:tc>
          <w:tcPr>
            <w:tcW w:w="84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22.283.308</w:t>
            </w:r>
          </w:p>
        </w:tc>
      </w:tr>
      <w:tr>
        <w:tblPrEx>
          <w:tblW w:w="12825" w:type="dxa"/>
          <w:tblInd w:w="709" w:type="dxa"/>
          <w:tblLayout w:type="fixed"/>
        </w:tblPrEx>
        <w:trPr>
          <w:cantSplit/>
          <w:trHeight w:hRule="exact" w:val="60"/>
        </w:trPr>
        <w:tc>
          <w:tcPr>
            <w:tcW w:w="27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Ganancia (pérdida) atribuible a</w:t>
            </w:r>
          </w:p>
        </w:tc>
        <w:tc>
          <w:tcPr>
            <w:tcW w:w="840" w:type="dxa"/>
            <w:tcBorders>
              <w:top w:val="nil"/>
              <w:left w:val="single" w:sz="2" w:space="0" w:color="000000"/>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Ganancia (pérdida) atribuible a los propietarios de la controladora.</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4.586.285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(23.457.446)</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(2.307.753)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(1.243.113)</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(1.243.113)</w:t>
            </w:r>
          </w:p>
        </w:tc>
        <w:tc>
          <w:tcPr>
            <w:tcW w:w="84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3.343.172</w:t>
            </w:r>
          </w:p>
        </w:tc>
        <w:tc>
          <w:tcPr>
            <w:tcW w:w="84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(23.457.446)</w:t>
            </w:r>
          </w:p>
        </w:tc>
        <w:tc>
          <w:tcPr>
            <w:tcW w:w="84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(3.550.866)</w:t>
            </w: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Ganancia (pérdida) atribuible a participaciones no controladoras.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1.035.992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1.035.992</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(1.381)</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(1.381)</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1.034.611</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1.034.611</w:t>
            </w: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Ganancia (pérdida)</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5.622.277</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-23457446</w:t>
            </w:r>
          </w:p>
        </w:tc>
        <w:tc>
          <w:tcPr>
            <w:tcW w:w="840" w:type="dxa"/>
            <w:tcBorders>
              <w:top w:val="single" w:sz="2" w:space="0" w:color="000000"/>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-1271761</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(1.244.494)</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(1.244.494)</w:t>
            </w:r>
          </w:p>
        </w:tc>
        <w:tc>
          <w:tcPr>
            <w:tcW w:w="84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4.377.783</w:t>
            </w:r>
          </w:p>
        </w:tc>
        <w:tc>
          <w:tcPr>
            <w:tcW w:w="84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(23.457.446)</w:t>
            </w:r>
          </w:p>
        </w:tc>
        <w:tc>
          <w:tcPr>
            <w:tcW w:w="84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(2.516.255)</w:t>
            </w:r>
          </w:p>
        </w:tc>
      </w:tr>
      <w:tr>
        <w:tblPrEx>
          <w:tblW w:w="12825" w:type="dxa"/>
          <w:tblInd w:w="709" w:type="dxa"/>
          <w:tblLayout w:type="fixed"/>
        </w:tblPrEx>
        <w:trPr>
          <w:cantSplit/>
          <w:trHeight w:hRule="exact" w:val="60"/>
        </w:trPr>
        <w:tc>
          <w:tcPr>
            <w:tcW w:w="27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p>
        </w:tc>
        <w:tc>
          <w:tcPr>
            <w:tcW w:w="84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12825" w:type="dxa"/>
          <w:tblInd w:w="709" w:type="dxa"/>
          <w:tblLayout w:type="fixed"/>
        </w:tblPrEx>
        <w:trPr>
          <w:cantSplit/>
          <w:trHeight w:hRule="exact" w:val="60"/>
        </w:trPr>
        <w:tc>
          <w:tcPr>
            <w:tcW w:w="2745" w:type="dxa"/>
            <w:tcBorders>
              <w:top w:val="single" w:sz="2" w:space="0" w:color="000000"/>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c>
          <w:tcPr>
            <w:tcW w:w="840" w:type="dxa"/>
            <w:tcBorders>
              <w:top w:val="nil"/>
              <w:left w:val="nil"/>
              <w:bottom w:val="single" w:sz="2" w:space="0" w:color="000000"/>
              <w:right w:val="nil"/>
            </w:tcBorders>
            <w:tcMar>
              <w:top w:w="0" w:type="dxa"/>
              <w:left w:w="0" w:type="dxa"/>
              <w:bottom w:w="0" w:type="dxa"/>
              <w:right w:w="0" w:type="dxa"/>
            </w:tcMar>
            <w:vAlign w:val="bottom"/>
          </w:tcPr>
          <w:p>
            <w:pPr>
              <w:pageBreakBefore w:val="0"/>
              <w:spacing w:before="0" w:after="0"/>
            </w:pP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Depreciación y retiros.</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17.372.010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(23.152.595)</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17.372.010</w:t>
            </w:r>
          </w:p>
        </w:tc>
        <w:tc>
          <w:tcPr>
            <w:tcW w:w="84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(23.152.595)</w:t>
            </w:r>
          </w:p>
        </w:tc>
        <w:tc>
          <w:tcPr>
            <w:tcW w:w="84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2825" w:type="dxa"/>
          <w:tblInd w:w="709" w:type="dxa"/>
          <w:tblLayout w:type="fixed"/>
        </w:tblPrEx>
        <w:trPr>
          <w:cantSplit/>
          <w:trHeight w:hRule="exact" w:val="22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0"/>
                <w:u w:val="none"/>
              </w:rPr>
              <w:t>Amortización.</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1.909.694</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0"/>
                <w:u w:val="none"/>
              </w:rPr>
              <w:t>(1.630.550)</w:t>
            </w: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1.909.694</w:t>
            </w:r>
          </w:p>
        </w:tc>
        <w:tc>
          <w:tcPr>
            <w:tcW w:w="84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(1.630.550)</w:t>
            </w:r>
          </w:p>
        </w:tc>
        <w:tc>
          <w:tcPr>
            <w:tcW w:w="84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r>
      <w:tr>
        <w:tblPrEx>
          <w:tblW w:w="12825" w:type="dxa"/>
          <w:tblInd w:w="709" w:type="dxa"/>
          <w:tblLayout w:type="fixed"/>
        </w:tblPrEx>
        <w:trPr>
          <w:cantSplit/>
          <w:trHeight w:hRule="exact" w:val="195"/>
        </w:trPr>
        <w:tc>
          <w:tcPr>
            <w:tcW w:w="27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0"/>
                <w:u w:val="none"/>
              </w:rPr>
              <w:t>EBITDA</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68.707.958</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-65740630</w:t>
            </w:r>
          </w:p>
        </w:tc>
        <w:tc>
          <w:tcPr>
            <w:tcW w:w="840" w:type="dxa"/>
            <w:tcBorders>
              <w:top w:val="single" w:sz="2" w:space="0" w:color="000000"/>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24799563</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0</w:t>
            </w:r>
          </w:p>
        </w:tc>
        <w:tc>
          <w:tcPr>
            <w:tcW w:w="840" w:type="dxa"/>
            <w:tcBorders>
              <w:top w:val="single" w:sz="2" w:space="0" w:color="000000"/>
              <w:left w:val="single" w:sz="8"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FFFFFF"/>
                <w:sz w:val="10"/>
                <w:u w:val="none"/>
              </w:rPr>
              <w:t>0</w:t>
            </w:r>
          </w:p>
        </w:tc>
        <w:tc>
          <w:tcPr>
            <w:tcW w:w="84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0</w:t>
            </w:r>
          </w:p>
        </w:tc>
        <w:tc>
          <w:tcPr>
            <w:tcW w:w="84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68.707.958</w:t>
            </w:r>
          </w:p>
        </w:tc>
        <w:tc>
          <w:tcPr>
            <w:tcW w:w="84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(65.740.630)</w:t>
            </w:r>
          </w:p>
        </w:tc>
        <w:tc>
          <w:tcPr>
            <w:tcW w:w="84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0"/>
                <w:u w:val="none"/>
              </w:rPr>
              <w:t>24.799.563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284" w:name="Section146"/>
      <w:bookmarkEnd w:id="284"/>
      <w:bookmarkStart w:id="285" w:name="cd175910af2448fdaf1800e7fa2c753f"/>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Flujos de efectivo por segmento por método directo.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85"/>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655"/>
        <w:gridCol w:w="1200"/>
        <w:gridCol w:w="1200"/>
        <w:gridCol w:w="1200"/>
        <w:gridCol w:w="1200"/>
        <w:gridCol w:w="1200"/>
        <w:gridCol w:w="1200"/>
      </w:tblGrid>
      <w:tr>
        <w:tblPrEx>
          <w:tblW w:w="12855" w:type="dxa"/>
          <w:tblInd w:w="709" w:type="dxa"/>
          <w:tblLayout w:type="fixed"/>
        </w:tblPrEx>
        <w:trPr>
          <w:cantSplit/>
          <w:trHeight w:hRule="exact" w:val="225"/>
        </w:trPr>
        <w:tc>
          <w:tcPr>
            <w:tcW w:w="56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FLUJO DE EFECTIVO POR MÉTODO DIRECTO</w:t>
            </w:r>
          </w:p>
        </w:tc>
        <w:tc>
          <w:tcPr>
            <w:tcW w:w="240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c>
          <w:tcPr>
            <w:tcW w:w="2400" w:type="dxa"/>
            <w:gridSpan w:val="2"/>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Ajustes de consolidación</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Consolidado</w:t>
            </w:r>
          </w:p>
        </w:tc>
      </w:tr>
      <w:tr>
        <w:tblPrEx>
          <w:tblW w:w="12855" w:type="dxa"/>
          <w:tblInd w:w="709" w:type="dxa"/>
          <w:tblLayout w:type="fixed"/>
        </w:tblPrEx>
        <w:trPr>
          <w:cantSplit/>
          <w:trHeight w:hRule="exact" w:val="225"/>
        </w:trPr>
        <w:tc>
          <w:tcPr>
            <w:tcW w:w="56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12855" w:type="dxa"/>
          <w:tblInd w:w="709" w:type="dxa"/>
          <w:tblLayout w:type="fixed"/>
        </w:tblPrEx>
        <w:trPr>
          <w:cantSplit/>
          <w:trHeight w:hRule="exact" w:val="225"/>
        </w:trPr>
        <w:tc>
          <w:tcPr>
            <w:tcW w:w="56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12855" w:type="dxa"/>
          <w:tblInd w:w="709" w:type="dxa"/>
          <w:tblLayout w:type="fixed"/>
        </w:tblPrEx>
        <w:trPr>
          <w:cantSplit/>
          <w:trHeight w:hRule="auto" w:val="0"/>
        </w:trPr>
        <w:tc>
          <w:tcPr>
            <w:tcW w:w="56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44.842.603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(4.270.075)</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40.572.528</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(69.636.632)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(1.386.898)</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(71.023.530)</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financiación.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38.253.531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5.656.973</w:t>
            </w: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43.910.504</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 antes del efecto de los cambios en la tasa de cambio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13.459.502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13.459.502</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Efectos de la variación en la tasa de cambio sobre el 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524.538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524.538</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13.984.040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13.984.040</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 al principio del periodo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58.863.189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58.863.189</w:t>
            </w:r>
          </w:p>
        </w:tc>
      </w:tr>
      <w:tr>
        <w:tblPrEx>
          <w:tblW w:w="12855" w:type="dxa"/>
          <w:tblInd w:w="709" w:type="dxa"/>
          <w:tblLayout w:type="fixed"/>
        </w:tblPrEx>
        <w:trPr>
          <w:cantSplit/>
          <w:trHeight w:hRule="auto" w:val="0"/>
        </w:trPr>
        <w:tc>
          <w:tcPr>
            <w:tcW w:w="5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Efectivo y equivalentes al efectivo al final del periodo o ejercicio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72.847.229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72.847.229</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86" w:name="Section147"/>
      <w:bookmarkEnd w:id="286"/>
      <w:bookmarkStart w:id="287" w:name="18b69a35648f4baf959683f7f90406fa"/>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7"/>
    </w:p>
    <w:p>
      <w:pPr>
        <w:keepNext w:val="0"/>
        <w:keepLines/>
        <w:pageBreakBefore w:val="0"/>
        <w:widowControl w:val="0"/>
        <w:numPr>
          <w:ilvl w:val="0"/>
          <w:numId w:val="0"/>
        </w:numPr>
        <w:spacing w:before="0" w:after="0" w:line="288" w:lineRule="auto"/>
        <w:ind w:left="0" w:right="0" w:firstLine="0"/>
        <w:jc w:val="both"/>
        <w:outlineLvl w:val="9"/>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88" w:name="Section148"/>
      <w:bookmarkEnd w:id="288"/>
      <w:bookmarkStart w:id="289" w:name="badff1c9b3384b18a214acb4c8b6c2ae"/>
      <w:r>
        <w:rPr>
          <w:rFonts w:ascii="Calibri" w:eastAsia="Calibri" w:hAnsi="Calibri" w:cs="Calibri"/>
          <w:b/>
          <w:i w:val="0"/>
          <w:color w:val="000000"/>
          <w:sz w:val="20"/>
          <w:u w:val="none"/>
        </w:rPr>
        <w:t>33.1.-</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saldos en moneda extranjera.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9"/>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79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75"/>
        <w:gridCol w:w="660"/>
        <w:gridCol w:w="1095"/>
        <w:gridCol w:w="1095"/>
        <w:gridCol w:w="1095"/>
        <w:gridCol w:w="1095"/>
        <w:gridCol w:w="1095"/>
        <w:gridCol w:w="1095"/>
        <w:gridCol w:w="1095"/>
        <w:gridCol w:w="1095"/>
      </w:tblGrid>
      <w:tr>
        <w:tblPrEx>
          <w:tblW w:w="12795" w:type="dxa"/>
          <w:tblInd w:w="709" w:type="dxa"/>
          <w:tblLayout w:type="fixed"/>
        </w:tblPrEx>
        <w:trPr>
          <w:cantSplit/>
          <w:trHeight w:hRule="auto" w:val="0"/>
        </w:trPr>
        <w:tc>
          <w:tcPr>
            <w:tcW w:w="337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Resumen moneda extranjera</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328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328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2795" w:type="dxa"/>
          <w:tblInd w:w="709" w:type="dxa"/>
          <w:tblLayout w:type="fixed"/>
        </w:tblPrEx>
        <w:trPr>
          <w:cantSplit/>
          <w:trHeight w:hRule="auto" w:val="0"/>
        </w:trPr>
        <w:tc>
          <w:tcPr>
            <w:tcW w:w="3375"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109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795" w:type="dxa"/>
          <w:tblInd w:w="709" w:type="dxa"/>
          <w:tblLayout w:type="fixed"/>
        </w:tblPrEx>
        <w:trPr>
          <w:cantSplit/>
          <w:trHeight w:hRule="auto" w:val="0"/>
        </w:trPr>
        <w:tc>
          <w:tcPr>
            <w:tcW w:w="3375"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795" w:type="dxa"/>
          <w:tblInd w:w="709" w:type="dxa"/>
          <w:tblLayout w:type="fixed"/>
        </w:tblPrEx>
        <w:trPr>
          <w:cantSplit/>
          <w:trHeight w:hRule="exact" w:val="60"/>
        </w:trPr>
        <w:tc>
          <w:tcPr>
            <w:tcW w:w="33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3.058.312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3.058.312</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Activos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22.723.133</w:t>
            </w:r>
          </w:p>
        </w:tc>
        <w:tc>
          <w:tcPr>
            <w:tcW w:w="109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22.723.133</w:t>
            </w:r>
          </w:p>
        </w:tc>
      </w:tr>
      <w:tr>
        <w:tblPrEx>
          <w:tblW w:w="12795" w:type="dxa"/>
          <w:tblInd w:w="709" w:type="dxa"/>
          <w:tblLayout w:type="fixed"/>
        </w:tblPrEx>
        <w:trPr>
          <w:cantSplit/>
          <w:trHeight w:hRule="auto" w:val="0"/>
        </w:trPr>
        <w:tc>
          <w:tcPr>
            <w:tcW w:w="33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 activos en moneda extranjera</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M/e</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25.781.445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3.058.312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3.058.312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22.723.133</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25.781.445</w:t>
            </w:r>
          </w:p>
        </w:tc>
      </w:tr>
      <w:tr>
        <w:tblPrEx>
          <w:tblW w:w="12795" w:type="dxa"/>
          <w:tblInd w:w="709" w:type="dxa"/>
          <w:tblLayout w:type="fixed"/>
        </w:tblPrEx>
        <w:trPr>
          <w:cantSplit/>
          <w:trHeight w:hRule="auto" w:val="0"/>
        </w:trPr>
        <w:tc>
          <w:tcPr>
            <w:tcW w:w="33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24.278.516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8.061.967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16.216.549</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24.278.516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24.278.516</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133.254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133.254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133.254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133.254</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2.023.164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2.023.164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2.023.164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2.023.164</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1.624.497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1.624.497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1.624.497</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1.624.497</w:t>
            </w:r>
          </w:p>
        </w:tc>
      </w:tr>
      <w:tr>
        <w:tblPrEx>
          <w:tblW w:w="12795" w:type="dxa"/>
          <w:tblInd w:w="709" w:type="dxa"/>
          <w:tblLayout w:type="fixed"/>
        </w:tblPrEx>
        <w:trPr>
          <w:cantSplit/>
          <w:trHeight w:hRule="exact" w:val="255"/>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6"/>
                <w:u w:val="none"/>
              </w:rPr>
              <w:t>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4.502.356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4.502.356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4.502.356</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4.502.356</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143.119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143.119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143.119</w:t>
            </w:r>
          </w:p>
        </w:tc>
        <w:tc>
          <w:tcPr>
            <w:tcW w:w="109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143.119</w:t>
            </w:r>
          </w:p>
        </w:tc>
      </w:tr>
      <w:tr>
        <w:tblPrEx>
          <w:tblW w:w="12795" w:type="dxa"/>
          <w:tblInd w:w="709" w:type="dxa"/>
          <w:tblLayout w:type="fixed"/>
        </w:tblPrEx>
        <w:trPr>
          <w:cantSplit/>
          <w:trHeight w:hRule="exact" w:val="60"/>
        </w:trPr>
        <w:tc>
          <w:tcPr>
            <w:tcW w:w="33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32.704.906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10.218.385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16.216.549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26.434.934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6.269.972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6.269.972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32.704.906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79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375"/>
        <w:gridCol w:w="660"/>
        <w:gridCol w:w="1095"/>
        <w:gridCol w:w="1095"/>
        <w:gridCol w:w="1095"/>
        <w:gridCol w:w="1095"/>
        <w:gridCol w:w="1095"/>
        <w:gridCol w:w="1095"/>
        <w:gridCol w:w="1095"/>
        <w:gridCol w:w="1095"/>
      </w:tblGrid>
      <w:tr>
        <w:tblPrEx>
          <w:tblW w:w="12795" w:type="dxa"/>
          <w:tblInd w:w="709" w:type="dxa"/>
          <w:tblLayout w:type="fixed"/>
        </w:tblPrEx>
        <w:trPr>
          <w:cantSplit/>
          <w:trHeight w:hRule="auto" w:val="0"/>
        </w:trPr>
        <w:tc>
          <w:tcPr>
            <w:tcW w:w="337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Resumen moneda extranjera</w:t>
            </w:r>
          </w:p>
        </w:tc>
        <w:tc>
          <w:tcPr>
            <w:tcW w:w="66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328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3285" w:type="dxa"/>
            <w:gridSpan w:val="3"/>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109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2795" w:type="dxa"/>
          <w:tblInd w:w="709" w:type="dxa"/>
          <w:tblLayout w:type="fixed"/>
        </w:tblPrEx>
        <w:trPr>
          <w:cantSplit/>
          <w:trHeight w:hRule="auto" w:val="0"/>
        </w:trPr>
        <w:tc>
          <w:tcPr>
            <w:tcW w:w="3375" w:type="dxa"/>
            <w:vMerge/>
            <w:tcBorders>
              <w:top w:val="nil"/>
              <w:left w:val="single" w:sz="2" w:space="0" w:color="000000"/>
              <w:bottom w:val="nil"/>
              <w:right w:val="single" w:sz="4" w:space="0" w:color="FFFFFF"/>
            </w:tcBorders>
          </w:tcPr>
          <w:p>
            <w:pPr>
              <w:keepNext/>
              <w:pageBreakBefore w:val="0"/>
            </w:pPr>
          </w:p>
        </w:tc>
        <w:tc>
          <w:tcPr>
            <w:tcW w:w="660" w:type="dxa"/>
            <w:vMerge/>
            <w:tcBorders>
              <w:top w:val="nil"/>
              <w:left w:val="nil"/>
              <w:bottom w:val="nil"/>
              <w:right w:val="nil"/>
            </w:tcBorders>
          </w:tcPr>
          <w:p>
            <w:pPr>
              <w:keepNext/>
              <w:pageBreakBefore w:val="0"/>
            </w:pPr>
          </w:p>
        </w:tc>
        <w:tc>
          <w:tcPr>
            <w:tcW w:w="1095" w:type="dxa"/>
            <w:vMerge/>
            <w:tcBorders>
              <w:top w:val="nil"/>
              <w:left w:val="single" w:sz="4" w:space="0" w:color="FFFFFF"/>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109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795" w:type="dxa"/>
          <w:tblInd w:w="709" w:type="dxa"/>
          <w:tblLayout w:type="fixed"/>
        </w:tblPrEx>
        <w:trPr>
          <w:cantSplit/>
          <w:trHeight w:hRule="auto" w:val="0"/>
        </w:trPr>
        <w:tc>
          <w:tcPr>
            <w:tcW w:w="3375" w:type="dxa"/>
            <w:vMerge/>
            <w:tcBorders>
              <w:top w:val="nil"/>
              <w:left w:val="single" w:sz="2" w:space="0" w:color="000000"/>
              <w:bottom w:val="single" w:sz="2" w:space="0" w:color="000000"/>
              <w:right w:val="single" w:sz="4" w:space="0" w:color="FFFFFF"/>
            </w:tcBorders>
          </w:tcPr>
          <w:p>
            <w:pPr>
              <w:keepNext/>
              <w:pageBreakBefore w:val="0"/>
            </w:pPr>
          </w:p>
        </w:tc>
        <w:tc>
          <w:tcPr>
            <w:tcW w:w="660" w:type="dxa"/>
            <w:vMerge/>
            <w:tcBorders>
              <w:top w:val="nil"/>
              <w:left w:val="nil"/>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795" w:type="dxa"/>
          <w:tblInd w:w="709" w:type="dxa"/>
          <w:tblLayout w:type="fixed"/>
        </w:tblPrEx>
        <w:trPr>
          <w:cantSplit/>
          <w:trHeight w:hRule="exact" w:val="60"/>
        </w:trPr>
        <w:tc>
          <w:tcPr>
            <w:tcW w:w="33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235.494.004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58.083.586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177.410.418</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235.494.004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235.494.004</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Activos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53.465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53.465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53.465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53.465</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Activos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237.956.960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237.956.960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237.956.960</w:t>
            </w:r>
          </w:p>
        </w:tc>
        <w:tc>
          <w:tcPr>
            <w:tcW w:w="109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237.956.960</w:t>
            </w:r>
          </w:p>
        </w:tc>
      </w:tr>
      <w:tr>
        <w:tblPrEx>
          <w:tblW w:w="12795" w:type="dxa"/>
          <w:tblInd w:w="709" w:type="dxa"/>
          <w:tblLayout w:type="fixed"/>
        </w:tblPrEx>
        <w:trPr>
          <w:cantSplit/>
          <w:trHeight w:hRule="auto" w:val="0"/>
        </w:trPr>
        <w:tc>
          <w:tcPr>
            <w:tcW w:w="33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Total activos en moneda extranjera</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M/e</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473.504.429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58.137.051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177.410.418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235.547.469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237.956.960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237.956.960</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473.504.429</w:t>
            </w:r>
          </w:p>
        </w:tc>
      </w:tr>
      <w:tr>
        <w:tblPrEx>
          <w:tblW w:w="12795" w:type="dxa"/>
          <w:tblInd w:w="709" w:type="dxa"/>
          <w:tblLayout w:type="fixed"/>
        </w:tblPrEx>
        <w:trPr>
          <w:cantSplit/>
          <w:trHeight w:hRule="auto" w:val="0"/>
        </w:trPr>
        <w:tc>
          <w:tcPr>
            <w:tcW w:w="33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287.985.663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93.928.539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194.057.124</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287.985.663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287.985.663</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254.162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127.100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127.062</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254.162</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254.162</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82.610.634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20.366.501</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62.244.133</w:t>
            </w: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82.610.634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82.610.634</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295.521.356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295.521.356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295.521.356</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295.521.356</w:t>
            </w:r>
          </w:p>
        </w:tc>
      </w:tr>
      <w:tr>
        <w:tblPrEx>
          <w:tblW w:w="12795" w:type="dxa"/>
          <w:tblInd w:w="709" w:type="dxa"/>
          <w:tblLayout w:type="fixed"/>
        </w:tblPrEx>
        <w:trPr>
          <w:cantSplit/>
          <w:trHeight w:hRule="exact" w:val="255"/>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3" w:after="30" w:line="240" w:lineRule="auto"/>
              <w:jc w:val="left"/>
            </w:pPr>
            <w:r>
              <w:rPr>
                <w:rFonts w:ascii="Calibri" w:eastAsia="Calibri" w:hAnsi="Calibri" w:cs="Calibri"/>
                <w:b w:val="0"/>
                <w:i w:val="0"/>
                <w:color w:val="000000"/>
                <w:sz w:val="16"/>
                <w:u w:val="none"/>
              </w:rPr>
              <w:t>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167.162.104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167.162.104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167.162.104</w:t>
            </w:r>
          </w:p>
        </w:tc>
        <w:tc>
          <w:tcPr>
            <w:tcW w:w="109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167.162.104</w:t>
            </w: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Pasivos no corrientes.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54.808.599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53.666.339</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1.142.260</w:t>
            </w: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54.808.599</w:t>
            </w:r>
          </w:p>
        </w:tc>
        <w:tc>
          <w:tcPr>
            <w:tcW w:w="109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54.808.599</w:t>
            </w:r>
          </w:p>
        </w:tc>
      </w:tr>
      <w:tr>
        <w:tblPrEx>
          <w:tblW w:w="12795" w:type="dxa"/>
          <w:tblInd w:w="709" w:type="dxa"/>
          <w:tblLayout w:type="fixed"/>
        </w:tblPrEx>
        <w:trPr>
          <w:cantSplit/>
          <w:trHeight w:hRule="exact" w:val="60"/>
        </w:trPr>
        <w:tc>
          <w:tcPr>
            <w:tcW w:w="33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33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888.342.518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114.422.140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256.428.319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370.850.459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516.349.799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1.142.260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517.492.059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888.342.518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90" w:name="Section149"/>
      <w:bookmarkEnd w:id="290"/>
      <w:bookmarkStart w:id="291" w:name="cf785c279fdc4a02baffd60ded2b280f"/>
      <w:r>
        <w:rPr>
          <w:rFonts w:ascii="Calibri" w:eastAsia="Calibri" w:hAnsi="Calibri" w:cs="Calibri"/>
          <w:b/>
          <w:i w:val="0"/>
          <w:color w:val="000000"/>
          <w:sz w:val="20"/>
          <w:u w:val="none"/>
        </w:rPr>
        <w:t>33.2.-</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1"/>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79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100"/>
        <w:gridCol w:w="660"/>
        <w:gridCol w:w="1005"/>
        <w:gridCol w:w="1005"/>
        <w:gridCol w:w="1005"/>
        <w:gridCol w:w="1005"/>
        <w:gridCol w:w="1005"/>
        <w:gridCol w:w="1005"/>
        <w:gridCol w:w="1005"/>
      </w:tblGrid>
      <w:tr>
        <w:tblPrEx>
          <w:tblW w:w="12795" w:type="dxa"/>
          <w:tblInd w:w="709" w:type="dxa"/>
          <w:tblLayout w:type="fixed"/>
        </w:tblPrEx>
        <w:trPr>
          <w:cantSplit/>
          <w:trHeight w:hRule="auto" w:val="0"/>
          <w:tblHeader/>
        </w:trPr>
        <w:tc>
          <w:tcPr>
            <w:tcW w:w="51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301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2795" w:type="dxa"/>
          <w:tblInd w:w="709" w:type="dxa"/>
          <w:tblLayout w:type="fixed"/>
        </w:tblPrEx>
        <w:trPr>
          <w:cantSplit/>
          <w:trHeight w:hRule="auto" w:val="0"/>
          <w:tblHeader/>
        </w:trPr>
        <w:tc>
          <w:tcPr>
            <w:tcW w:w="5100"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795" w:type="dxa"/>
          <w:tblInd w:w="709" w:type="dxa"/>
          <w:tblLayout w:type="fixed"/>
        </w:tblPrEx>
        <w:trPr>
          <w:cantSplit/>
          <w:trHeight w:hRule="auto" w:val="0"/>
          <w:tblHeader/>
        </w:trPr>
        <w:tc>
          <w:tcPr>
            <w:tcW w:w="5100"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795" w:type="dxa"/>
          <w:tblInd w:w="709" w:type="dxa"/>
          <w:tblLayout w:type="fixed"/>
        </w:tblPrEx>
        <w:trPr>
          <w:cantSplit/>
          <w:trHeight w:hRule="exact" w:val="60"/>
          <w:tblHeader/>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795" w:type="dxa"/>
          <w:tblInd w:w="709" w:type="dxa"/>
          <w:tblLayout w:type="fixed"/>
        </w:tblPrEx>
        <w:trPr>
          <w:cantSplit/>
          <w:trHeight w:hRule="exact" w:val="255"/>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795" w:type="dxa"/>
          <w:tblInd w:w="709" w:type="dxa"/>
          <w:tblLayout w:type="fixed"/>
        </w:tblPrEx>
        <w:trPr>
          <w:cantSplit/>
          <w:trHeight w:hRule="exact" w:val="255"/>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3.058.312</w:t>
            </w: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3.058.312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3.058.312</w:t>
            </w:r>
          </w:p>
        </w:tc>
      </w:tr>
      <w:tr>
        <w:tblPrEx>
          <w:tblW w:w="1279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22.723.133</w:t>
            </w:r>
          </w:p>
        </w:tc>
        <w:tc>
          <w:tcPr>
            <w:tcW w:w="100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22.723.133</w:t>
            </w:r>
          </w:p>
        </w:tc>
        <w:tc>
          <w:tcPr>
            <w:tcW w:w="100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22.723.133</w:t>
            </w:r>
          </w:p>
        </w:tc>
      </w:tr>
      <w:tr>
        <w:tblPrEx>
          <w:tblW w:w="12795" w:type="dxa"/>
          <w:tblInd w:w="709" w:type="dxa"/>
          <w:tblLayout w:type="fixed"/>
        </w:tblPrEx>
        <w:trPr>
          <w:cantSplit/>
          <w:trHeight w:hRule="auto" w:val="0"/>
        </w:trPr>
        <w:tc>
          <w:tcPr>
            <w:tcW w:w="51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5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en moneda extranjera</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25.781.445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3.058.312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3.058.312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22.723.133</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22.723.133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25.781.445</w:t>
            </w:r>
          </w:p>
        </w:tc>
      </w:tr>
    </w:tbl>
    <w:p>
      <w:pPr>
        <w:keepNext w:val="0"/>
        <w:keepLines/>
        <w:pageBreakBefore w:val="0"/>
        <w:widowControl w:val="0"/>
        <w:numPr>
          <w:ilvl w:val="0"/>
          <w:numId w:val="0"/>
        </w:numPr>
        <w:spacing w:before="0" w:after="0" w:line="288" w:lineRule="auto"/>
        <w:ind w:left="1413" w:right="0" w:firstLine="3"/>
        <w:jc w:val="both"/>
        <w:outlineLvl w:val="9"/>
        <w:rPr>
          <w:rFonts w:ascii="Calibri" w:eastAsia="Calibri" w:hAnsi="Calibri" w:cs="Calibri"/>
          <w:b/>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79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310"/>
        <w:gridCol w:w="660"/>
        <w:gridCol w:w="975"/>
        <w:gridCol w:w="975"/>
        <w:gridCol w:w="975"/>
        <w:gridCol w:w="975"/>
        <w:gridCol w:w="975"/>
        <w:gridCol w:w="975"/>
        <w:gridCol w:w="975"/>
      </w:tblGrid>
      <w:tr>
        <w:tblPrEx>
          <w:tblW w:w="12795" w:type="dxa"/>
          <w:tblInd w:w="709" w:type="dxa"/>
          <w:tblLayout w:type="fixed"/>
        </w:tblPrEx>
        <w:trPr>
          <w:cantSplit/>
          <w:trHeight w:hRule="auto" w:val="0"/>
          <w:tblHeader/>
        </w:trPr>
        <w:tc>
          <w:tcPr>
            <w:tcW w:w="531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activos corrientes y no corrientes</w:t>
            </w:r>
          </w:p>
        </w:tc>
        <w:tc>
          <w:tcPr>
            <w:tcW w:w="66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97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9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1950" w:type="dxa"/>
            <w:gridSpan w:val="2"/>
            <w:tcBorders>
              <w:top w:val="single" w:sz="2" w:space="0" w:color="000000"/>
              <w:left w:val="single" w:sz="4" w:space="0" w:color="FFFFFF"/>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97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activos</w:t>
            </w:r>
          </w:p>
        </w:tc>
      </w:tr>
      <w:tr>
        <w:tblPrEx>
          <w:tblW w:w="12795" w:type="dxa"/>
          <w:tblInd w:w="709" w:type="dxa"/>
          <w:tblLayout w:type="fixed"/>
        </w:tblPrEx>
        <w:trPr>
          <w:cantSplit/>
          <w:trHeight w:hRule="auto" w:val="0"/>
          <w:tblHeader/>
        </w:trPr>
        <w:tc>
          <w:tcPr>
            <w:tcW w:w="5310" w:type="dxa"/>
            <w:vMerge/>
            <w:tcBorders>
              <w:top w:val="nil"/>
              <w:left w:val="single" w:sz="2" w:space="0" w:color="000000"/>
              <w:bottom w:val="nil"/>
              <w:right w:val="single" w:sz="4" w:space="0" w:color="FFFFFF"/>
            </w:tcBorders>
          </w:tcPr>
          <w:p>
            <w:pPr>
              <w:keepNext/>
              <w:pageBreakBefore w:val="0"/>
            </w:pPr>
          </w:p>
        </w:tc>
        <w:tc>
          <w:tcPr>
            <w:tcW w:w="660" w:type="dxa"/>
            <w:vMerge/>
            <w:tcBorders>
              <w:top w:val="nil"/>
              <w:left w:val="nil"/>
              <w:bottom w:val="nil"/>
              <w:right w:val="nil"/>
            </w:tcBorders>
          </w:tcPr>
          <w:p>
            <w:pPr>
              <w:keepNext/>
              <w:pageBreakBefore w:val="0"/>
            </w:pPr>
          </w:p>
        </w:tc>
        <w:tc>
          <w:tcPr>
            <w:tcW w:w="975" w:type="dxa"/>
            <w:vMerge/>
            <w:tcBorders>
              <w:top w:val="nil"/>
              <w:left w:val="single" w:sz="4" w:space="0" w:color="FFFFFF"/>
              <w:bottom w:val="nil"/>
              <w:right w:val="nil"/>
            </w:tcBorders>
          </w:tcPr>
          <w:p>
            <w:pPr>
              <w:keepNext/>
              <w:pageBreakBefore w:val="0"/>
            </w:pP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97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795" w:type="dxa"/>
          <w:tblInd w:w="709" w:type="dxa"/>
          <w:tblLayout w:type="fixed"/>
        </w:tblPrEx>
        <w:trPr>
          <w:cantSplit/>
          <w:trHeight w:hRule="auto" w:val="0"/>
          <w:tblHeader/>
        </w:trPr>
        <w:tc>
          <w:tcPr>
            <w:tcW w:w="5310" w:type="dxa"/>
            <w:vMerge/>
            <w:tcBorders>
              <w:top w:val="nil"/>
              <w:left w:val="single" w:sz="2" w:space="0" w:color="000000"/>
              <w:bottom w:val="single" w:sz="2" w:space="0" w:color="000000"/>
              <w:right w:val="single" w:sz="4" w:space="0" w:color="FFFFFF"/>
            </w:tcBorders>
          </w:tcPr>
          <w:p>
            <w:pPr>
              <w:keepNext/>
              <w:pageBreakBefore w:val="0"/>
            </w:pPr>
          </w:p>
        </w:tc>
        <w:tc>
          <w:tcPr>
            <w:tcW w:w="660" w:type="dxa"/>
            <w:vMerge/>
            <w:tcBorders>
              <w:top w:val="nil"/>
              <w:left w:val="nil"/>
              <w:bottom w:val="single" w:sz="2" w:space="0" w:color="000000"/>
              <w:right w:val="nil"/>
            </w:tcBorders>
          </w:tcPr>
          <w:p>
            <w:pPr>
              <w:keepNext/>
              <w:pageBreakBefore w:val="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795" w:type="dxa"/>
          <w:tblInd w:w="709" w:type="dxa"/>
          <w:tblLayout w:type="fixed"/>
        </w:tblPrEx>
        <w:trPr>
          <w:cantSplit/>
          <w:trHeight w:hRule="exact" w:val="60"/>
          <w:tblHeader/>
        </w:trPr>
        <w:tc>
          <w:tcPr>
            <w:tcW w:w="53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53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21.556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21.556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21.556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21.556</w:t>
            </w:r>
          </w:p>
        </w:tc>
      </w:tr>
      <w:tr>
        <w:tblPrEx>
          <w:tblW w:w="12795" w:type="dxa"/>
          <w:tblInd w:w="709" w:type="dxa"/>
          <w:tblLayout w:type="fixed"/>
        </w:tblPrEx>
        <w:trPr>
          <w:cantSplit/>
          <w:trHeight w:hRule="auto" w:val="0"/>
        </w:trPr>
        <w:tc>
          <w:tcPr>
            <w:tcW w:w="53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53.465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53.465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53.465</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53.465</w:t>
            </w:r>
          </w:p>
        </w:tc>
      </w:tr>
      <w:tr>
        <w:tblPrEx>
          <w:tblW w:w="12795" w:type="dxa"/>
          <w:tblInd w:w="709" w:type="dxa"/>
          <w:tblLayout w:type="fixed"/>
        </w:tblPrEx>
        <w:trPr>
          <w:cantSplit/>
          <w:trHeight w:hRule="auto" w:val="0"/>
        </w:trPr>
        <w:tc>
          <w:tcPr>
            <w:tcW w:w="53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235.472.448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58.062.030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177.410.418</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235.472.448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235.472.448</w:t>
            </w:r>
          </w:p>
        </w:tc>
      </w:tr>
      <w:tr>
        <w:tblPrEx>
          <w:tblW w:w="12795" w:type="dxa"/>
          <w:tblInd w:w="709" w:type="dxa"/>
          <w:tblLayout w:type="fixed"/>
        </w:tblPrEx>
        <w:trPr>
          <w:cantSplit/>
          <w:trHeight w:hRule="auto" w:val="0"/>
        </w:trPr>
        <w:tc>
          <w:tcPr>
            <w:tcW w:w="53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237.956.960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237.956.960</w:t>
            </w: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237.956.960</w:t>
            </w:r>
          </w:p>
        </w:tc>
        <w:tc>
          <w:tcPr>
            <w:tcW w:w="97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237.956.960</w:t>
            </w:r>
          </w:p>
        </w:tc>
      </w:tr>
      <w:tr>
        <w:tblPrEx>
          <w:tblW w:w="12795" w:type="dxa"/>
          <w:tblInd w:w="709" w:type="dxa"/>
          <w:tblLayout w:type="fixed"/>
        </w:tblPrEx>
        <w:trPr>
          <w:cantSplit/>
          <w:trHeight w:hRule="auto" w:val="0"/>
        </w:trPr>
        <w:tc>
          <w:tcPr>
            <w:tcW w:w="53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53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en moneda extranjera</w:t>
            </w:r>
          </w:p>
        </w:tc>
        <w:tc>
          <w:tcPr>
            <w:tcW w:w="6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6"/>
                <w:u w:val="none"/>
              </w:rPr>
              <w:t>M/e</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473.504.429</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58.137.051</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177.410.418</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235.547.469</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237.956.960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237.956.960</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473.504.429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92" w:name="Section150"/>
      <w:bookmarkEnd w:id="292"/>
      <w:bookmarkStart w:id="293" w:name="2500e663b9ff4b3994a0ce46890bc088"/>
      <w:r>
        <w:rPr>
          <w:rFonts w:ascii="Calibri" w:eastAsia="Calibri" w:hAnsi="Calibri" w:cs="Calibri"/>
          <w:b/>
          <w:i w:val="0"/>
          <w:color w:val="000000"/>
          <w:sz w:val="20"/>
          <w:u w:val="none"/>
        </w:rPr>
        <w:t>33.3.-</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en moneda extranjera, pasivos.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93"/>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tabs>
          <w:tab w:val="left" w:pos="700"/>
        </w:tabs>
        <w:spacing w:before="0" w:after="0" w:line="288" w:lineRule="auto"/>
        <w:ind w:left="720" w:right="0" w:firstLine="0"/>
        <w:jc w:val="both"/>
        <w:outlineLvl w:val="9"/>
        <w:rPr>
          <w:rFonts w:ascii="Calibri" w:eastAsia="Calibri" w:hAnsi="Calibri" w:cs="Calibri"/>
          <w:b w:val="0"/>
          <w:i w:val="0"/>
          <w:color w:val="000000"/>
          <w:sz w:val="20"/>
          <w:u w:val="none"/>
        </w:rPr>
      </w:pPr>
    </w:p>
    <w:tbl>
      <w:tblPr>
        <w:tblW w:w="1279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35"/>
        <w:gridCol w:w="660"/>
        <w:gridCol w:w="975"/>
        <w:gridCol w:w="975"/>
        <w:gridCol w:w="975"/>
        <w:gridCol w:w="975"/>
        <w:gridCol w:w="975"/>
        <w:gridCol w:w="975"/>
        <w:gridCol w:w="975"/>
        <w:gridCol w:w="975"/>
      </w:tblGrid>
      <w:tr>
        <w:tblPrEx>
          <w:tblW w:w="12795" w:type="dxa"/>
          <w:tblInd w:w="709" w:type="dxa"/>
          <w:tblLayout w:type="fixed"/>
        </w:tblPrEx>
        <w:trPr>
          <w:cantSplit/>
          <w:trHeight w:hRule="auto" w:val="0"/>
          <w:tblHeader/>
        </w:trPr>
        <w:tc>
          <w:tcPr>
            <w:tcW w:w="43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pasivos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97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9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97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pasivos</w:t>
            </w:r>
          </w:p>
        </w:tc>
      </w:tr>
      <w:tr>
        <w:tblPrEx>
          <w:tblW w:w="12795" w:type="dxa"/>
          <w:tblInd w:w="709" w:type="dxa"/>
          <w:tblLayout w:type="fixed"/>
        </w:tblPrEx>
        <w:trPr>
          <w:cantSplit/>
          <w:trHeight w:hRule="auto" w:val="0"/>
          <w:tblHeader/>
        </w:trPr>
        <w:tc>
          <w:tcPr>
            <w:tcW w:w="4335"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975" w:type="dxa"/>
            <w:vMerge/>
            <w:tcBorders>
              <w:top w:val="nil"/>
              <w:left w:val="nil"/>
              <w:bottom w:val="nil"/>
              <w:right w:val="nil"/>
            </w:tcBorders>
          </w:tcPr>
          <w:p>
            <w:pPr>
              <w:keepNext/>
              <w:pageBreakBefore w:val="0"/>
            </w:pP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97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12795" w:type="dxa"/>
          <w:tblInd w:w="709" w:type="dxa"/>
          <w:tblLayout w:type="fixed"/>
        </w:tblPrEx>
        <w:trPr>
          <w:cantSplit/>
          <w:trHeight w:hRule="auto" w:val="0"/>
          <w:tblHeader/>
        </w:trPr>
        <w:tc>
          <w:tcPr>
            <w:tcW w:w="4335"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795" w:type="dxa"/>
          <w:tblInd w:w="709" w:type="dxa"/>
          <w:tblLayout w:type="fixed"/>
        </w:tblPrEx>
        <w:trPr>
          <w:cantSplit/>
          <w:trHeight w:hRule="exact" w:val="60"/>
          <w:tblHeader/>
        </w:trPr>
        <w:tc>
          <w:tcPr>
            <w:tcW w:w="43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25.123.319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8.061.967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15.436.855</w:t>
            </w: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23.498.822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1.624.497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1.624.497</w:t>
            </w:r>
          </w:p>
        </w:tc>
        <w:tc>
          <w:tcPr>
            <w:tcW w:w="97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25.123.319</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4.635.610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133.254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133.254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4.502.356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4.502.356</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4.635.610</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2.166.283</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2.023.164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2.023.164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143.119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143.119</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2.166.283</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682.102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682.102</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682.102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682.102</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Otras provisiones a corto plazo.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97.592</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97.592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97.592</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r>
      <w:tr>
        <w:tblPrEx>
          <w:tblW w:w="12795" w:type="dxa"/>
          <w:tblInd w:w="709" w:type="dxa"/>
          <w:tblLayout w:type="fixed"/>
        </w:tblPrEx>
        <w:trPr>
          <w:cantSplit/>
          <w:trHeight w:hRule="auto" w:val="0"/>
        </w:trPr>
        <w:tc>
          <w:tcPr>
            <w:tcW w:w="43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4" w:space="0" w:color="FFFFFF"/>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4" w:space="0" w:color="FFFFFF"/>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4" w:space="0" w:color="FFFFFF"/>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4995"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32.704.906</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10.218.385</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16.216.549</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26.434.934</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6.269.972</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6.269.972</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32.704.906</w:t>
            </w:r>
          </w:p>
        </w:tc>
      </w:tr>
    </w:tbl>
    <w:p>
      <w:pPr>
        <w:keepNext w:val="0"/>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31 de diciembre de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1279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335"/>
        <w:gridCol w:w="660"/>
        <w:gridCol w:w="975"/>
        <w:gridCol w:w="975"/>
        <w:gridCol w:w="975"/>
        <w:gridCol w:w="975"/>
        <w:gridCol w:w="975"/>
        <w:gridCol w:w="975"/>
        <w:gridCol w:w="975"/>
        <w:gridCol w:w="975"/>
      </w:tblGrid>
      <w:tr>
        <w:tblPrEx>
          <w:tblW w:w="12795" w:type="dxa"/>
          <w:tblInd w:w="709" w:type="dxa"/>
          <w:tblLayout w:type="fixed"/>
        </w:tblPrEx>
        <w:trPr>
          <w:cantSplit/>
          <w:trHeight w:hRule="auto" w:val="0"/>
          <w:tblHeader/>
        </w:trPr>
        <w:tc>
          <w:tcPr>
            <w:tcW w:w="43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moneda extranjera - pasivos corrientes y no corrientes</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Tipo de moneda de origen</w:t>
            </w:r>
          </w:p>
        </w:tc>
        <w:tc>
          <w:tcPr>
            <w:tcW w:w="97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Monto expresado en moneda de presentación de la entidad informante</w:t>
            </w:r>
          </w:p>
        </w:tc>
        <w:tc>
          <w:tcPr>
            <w:tcW w:w="292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92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c>
          <w:tcPr>
            <w:tcW w:w="97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pasivos</w:t>
            </w:r>
          </w:p>
        </w:tc>
      </w:tr>
      <w:tr>
        <w:tblPrEx>
          <w:tblW w:w="12795" w:type="dxa"/>
          <w:tblInd w:w="709" w:type="dxa"/>
          <w:tblLayout w:type="fixed"/>
        </w:tblPrEx>
        <w:trPr>
          <w:cantSplit/>
          <w:trHeight w:hRule="auto" w:val="0"/>
          <w:tblHeader/>
        </w:trPr>
        <w:tc>
          <w:tcPr>
            <w:tcW w:w="4335" w:type="dxa"/>
            <w:vMerge/>
            <w:tcBorders>
              <w:top w:val="nil"/>
              <w:left w:val="single" w:sz="2" w:space="0" w:color="000000"/>
              <w:bottom w:val="nil"/>
              <w:right w:val="nil"/>
            </w:tcBorders>
          </w:tcPr>
          <w:p>
            <w:pPr>
              <w:keepNext/>
              <w:pageBreakBefore w:val="0"/>
            </w:pPr>
          </w:p>
        </w:tc>
        <w:tc>
          <w:tcPr>
            <w:tcW w:w="660" w:type="dxa"/>
            <w:vMerge/>
            <w:tcBorders>
              <w:top w:val="nil"/>
              <w:left w:val="single" w:sz="4" w:space="0" w:color="FFFFFF"/>
              <w:bottom w:val="nil"/>
              <w:right w:val="single" w:sz="4" w:space="0" w:color="FFFFFF"/>
            </w:tcBorders>
          </w:tcPr>
          <w:p>
            <w:pPr>
              <w:keepNext/>
              <w:pageBreakBefore w:val="0"/>
            </w:pPr>
          </w:p>
        </w:tc>
        <w:tc>
          <w:tcPr>
            <w:tcW w:w="975" w:type="dxa"/>
            <w:vMerge/>
            <w:tcBorders>
              <w:top w:val="nil"/>
              <w:left w:val="nil"/>
              <w:bottom w:val="nil"/>
              <w:right w:val="nil"/>
            </w:tcBorders>
          </w:tcPr>
          <w:p>
            <w:pPr>
              <w:keepNext/>
              <w:pageBreakBefore w:val="0"/>
            </w:pP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Hasta 90 días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 91 días a 1 año</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corrientes</w:t>
            </w:r>
          </w:p>
        </w:tc>
        <w:tc>
          <w:tcPr>
            <w:tcW w:w="97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1 año a 3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Más de 3 años a 5 años</w:t>
            </w:r>
          </w:p>
        </w:tc>
        <w:tc>
          <w:tcPr>
            <w:tcW w:w="97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no corrientes</w:t>
            </w:r>
          </w:p>
        </w:tc>
        <w:tc>
          <w:tcPr>
            <w:tcW w:w="975"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2795" w:type="dxa"/>
          <w:tblInd w:w="709" w:type="dxa"/>
          <w:tblLayout w:type="fixed"/>
        </w:tblPrEx>
        <w:trPr>
          <w:cantSplit/>
          <w:trHeight w:hRule="auto" w:val="0"/>
          <w:tblHeader/>
        </w:trPr>
        <w:tc>
          <w:tcPr>
            <w:tcW w:w="4335" w:type="dxa"/>
            <w:vMerge/>
            <w:tcBorders>
              <w:top w:val="nil"/>
              <w:left w:val="single" w:sz="2" w:space="0" w:color="000000"/>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97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2795" w:type="dxa"/>
          <w:tblInd w:w="709" w:type="dxa"/>
          <w:tblLayout w:type="fixed"/>
        </w:tblPrEx>
        <w:trPr>
          <w:cantSplit/>
          <w:trHeight w:hRule="exact" w:val="60"/>
          <w:tblHeader/>
        </w:trPr>
        <w:tc>
          <w:tcPr>
            <w:tcW w:w="43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130.844.964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35.562.822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19.168.220</w:t>
            </w: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54.731.042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76.113.922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76.113.922</w:t>
            </w:r>
          </w:p>
        </w:tc>
        <w:tc>
          <w:tcPr>
            <w:tcW w:w="975"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130.844.964</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4.596.016</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126.452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126.452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4.469.564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4.469.564</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4.596.016</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Otros pasivos financieros.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136.001.709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20.366.501</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61.968.869</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82.335.370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53.666.339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53.666.339</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136.001.709</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233.157.029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58.365.717</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174.791.312</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233.157.029</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233.157.029</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comerciales y otras 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648</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648</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CNH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1.417.524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275.264</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275.264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1.142.260</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1.142.260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1.417.524</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Otras provisiones a corto plazo.</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97.592</w:t>
            </w: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97.592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97.592</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US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219.407.434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219.407.434</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219.407.434</w:t>
            </w:r>
          </w:p>
        </w:tc>
        <w:tc>
          <w:tcPr>
            <w:tcW w:w="975" w:type="dxa"/>
            <w:tcBorders>
              <w:top w:val="single" w:sz="4" w:space="0" w:color="FFFFFF"/>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219.407.434</w:t>
            </w:r>
          </w:p>
        </w:tc>
      </w:tr>
      <w:tr>
        <w:tblPrEx>
          <w:tblW w:w="12795" w:type="dxa"/>
          <w:tblInd w:w="709" w:type="dxa"/>
          <w:tblLayout w:type="fixed"/>
        </w:tblPrEx>
        <w:trPr>
          <w:cantSplit/>
          <w:trHeight w:hRule="auto" w:val="0"/>
        </w:trPr>
        <w:tc>
          <w:tcPr>
            <w:tcW w:w="43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Cuentas por pagar a entidades relacionadas.</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EUR $</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162.819.602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127.062</w:t>
            </w: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127.062</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162.692.540</w:t>
            </w:r>
          </w:p>
        </w:tc>
        <w:tc>
          <w:tcPr>
            <w:tcW w:w="97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7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162.692.540</w:t>
            </w:r>
          </w:p>
        </w:tc>
        <w:tc>
          <w:tcPr>
            <w:tcW w:w="975"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162.819.602</w:t>
            </w:r>
          </w:p>
        </w:tc>
      </w:tr>
      <w:tr>
        <w:tblPrEx>
          <w:tblW w:w="12795" w:type="dxa"/>
          <w:tblInd w:w="709" w:type="dxa"/>
          <w:tblLayout w:type="fixed"/>
        </w:tblPrEx>
        <w:trPr>
          <w:cantSplit/>
          <w:trHeight w:hRule="auto" w:val="0"/>
        </w:trPr>
        <w:tc>
          <w:tcPr>
            <w:tcW w:w="43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6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7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795" w:type="dxa"/>
          <w:tblInd w:w="709" w:type="dxa"/>
          <w:tblLayout w:type="fixed"/>
        </w:tblPrEx>
        <w:trPr>
          <w:cantSplit/>
          <w:trHeight w:hRule="auto" w:val="0"/>
        </w:trPr>
        <w:tc>
          <w:tcPr>
            <w:tcW w:w="4995" w:type="dxa"/>
            <w:gridSpan w:val="2"/>
            <w:tcBorders>
              <w:top w:val="nil"/>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pasivos en moneda extranjera</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888.342.518</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114.422.140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256.428.319</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370.850.459</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516.349.799</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1.142.260</w:t>
            </w:r>
          </w:p>
        </w:tc>
        <w:tc>
          <w:tcPr>
            <w:tcW w:w="97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517.492.059</w:t>
            </w:r>
          </w:p>
        </w:tc>
        <w:tc>
          <w:tcPr>
            <w:tcW w:w="97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888.342.518</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294" w:name="Section151"/>
      <w:bookmarkEnd w:id="294"/>
      <w:bookmarkStart w:id="295" w:name="e67226075b4b4b97afdb77f381b269d6"/>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CONTINGENCIAS, JUICIOS Y OTROS.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95"/>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yellow"/>
          <w:u w:val="none"/>
        </w:rPr>
        <w:t xml:space="preserve">A la fecha de los estados financieros </w:t>
      </w:r>
      <w:r>
        <w:rPr>
          <w:rFonts w:ascii="Calibri" w:eastAsia="Calibri" w:hAnsi="Calibri" w:cs="Calibri"/>
          <w:b w:val="0"/>
          <w:i w:val="0"/>
          <w:color w:val="000000"/>
          <w:sz w:val="20"/>
          <w:highlight w:val="yellow"/>
          <w:u w:val="none"/>
        </w:rPr>
        <w:t>consolidados</w:t>
      </w:r>
      <w:r>
        <w:rPr>
          <w:rFonts w:ascii="Calibri" w:eastAsia="Calibri" w:hAnsi="Calibri" w:cs="Calibri"/>
          <w:b w:val="0"/>
          <w:i w:val="0"/>
          <w:color w:val="000000"/>
          <w:sz w:val="20"/>
          <w:highlight w:val="yellow"/>
          <w:u w:val="none"/>
        </w:rPr>
        <w:t xml:space="preserve"> intermedios </w:t>
      </w:r>
      <w:r>
        <w:rPr>
          <w:rFonts w:ascii="Calibri" w:eastAsia="Calibri" w:hAnsi="Calibri" w:cs="Calibri"/>
          <w:b w:val="0"/>
          <w:i w:val="0"/>
          <w:color w:val="000000"/>
          <w:sz w:val="20"/>
          <w:highlight w:val="yellow"/>
          <w:u w:val="none"/>
        </w:rPr>
        <w:t xml:space="preserve"> los litigios más relevantes de</w:t>
      </w:r>
      <w:r>
        <w:rPr>
          <w:rFonts w:ascii="Calibri" w:eastAsia="Calibri" w:hAnsi="Calibri" w:cs="Calibri"/>
          <w:b w:val="0"/>
          <w:i w:val="0"/>
          <w:color w:val="000000"/>
          <w:sz w:val="20"/>
          <w:highlight w:val="yellow"/>
          <w:u w:val="none"/>
        </w:rPr>
        <w:t xml:space="preserve"> Compañía General de Electricidad </w:t>
      </w:r>
      <w:r>
        <w:rPr>
          <w:rFonts w:ascii="Calibri" w:eastAsia="Calibri" w:hAnsi="Calibri" w:cs="Calibri"/>
          <w:b w:val="0"/>
          <w:i w:val="0"/>
          <w:color w:val="000000"/>
          <w:sz w:val="20"/>
          <w:highlight w:val="yellow"/>
          <w:u w:val="none"/>
        </w:rPr>
        <w:t>S.A. son</w:t>
      </w:r>
      <w:r>
        <w:rPr>
          <w:rFonts w:ascii="Calibri" w:eastAsia="Calibri" w:hAnsi="Calibri" w:cs="Calibri"/>
          <w:b w:val="0"/>
          <w:i w:val="0"/>
          <w:color w:val="000000"/>
          <w:sz w:val="20"/>
          <w:highlight w:val="yellow"/>
          <w:u w:val="none"/>
        </w:rPr>
        <w:t xml:space="preserve"> </w:t>
      </w:r>
      <w:r>
        <w:rPr>
          <w:rFonts w:ascii="Calibri" w:eastAsia="Calibri" w:hAnsi="Calibri" w:cs="Calibri"/>
          <w:b w:val="0"/>
          <w:i w:val="0"/>
          <w:color w:val="000000"/>
          <w:sz w:val="20"/>
          <w:highlight w:val="yellow"/>
          <w:u w:val="none"/>
        </w:rPr>
        <w:t>los siguientes: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0" w:right="0" w:firstLine="0"/>
        <w:jc w:val="both"/>
        <w:outlineLvl w:val="9"/>
        <w:sectPr>
          <w:headerReference w:type="default" r:id="rId57"/>
          <w:footerReference w:type="default" r:id="rId58"/>
          <w:type w:val="continuous"/>
          <w:pgSz w:w="12240" w:h="15840"/>
          <w:pgMar w:top="1134" w:right="1134" w:bottom="1134" w:left="1134" w:header="0" w:footer="140"/>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96" w:name="Section152"/>
      <w:bookmarkEnd w:id="296"/>
      <w:bookmarkStart w:id="297" w:name="8e76e9e7588e4294bb5f5b14020a0032"/>
      <w:r>
        <w:rPr>
          <w:rFonts w:ascii="Calibri" w:eastAsia="Calibri" w:hAnsi="Calibri" w:cs="Calibri"/>
          <w:b/>
          <w:i w:val="0"/>
          <w:color w:val="000000"/>
          <w:sz w:val="20"/>
          <w:u w:val="none"/>
        </w:rPr>
        <w:t>34.1.-</w:t>
      </w:r>
      <w:r>
        <w:rPr>
          <w:rFonts w:ascii="Calibri" w:eastAsia="Calibri" w:hAnsi="Calibri" w:cs="Calibri"/>
          <w:b/>
          <w:i w:val="0"/>
          <w:color w:val="000000"/>
          <w:sz w:val="20"/>
          <w:u w:val="none"/>
        </w:rPr>
        <w:tab/>
      </w:r>
      <w:r>
        <w:rPr>
          <w:rFonts w:ascii="Calibri" w:eastAsia="Calibri" w:hAnsi="Calibri" w:cs="Calibri"/>
          <w:b/>
          <w:i w:val="0"/>
          <w:color w:val="000000"/>
          <w:sz w:val="20"/>
          <w:u w:val="none"/>
        </w:rPr>
        <w:t>Juicios y otras acciones legales.</w:t>
      </w: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bookmarkEnd w:id="297"/>
    </w:p>
    <w:tbl>
      <w:tblPr>
        <w:tblW w:w="811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1725"/>
        <w:gridCol w:w="165"/>
        <w:gridCol w:w="5340"/>
      </w:tblGrid>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“Benítez con CGE Distribución S.A.”.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de agosto de 2017.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Temuco.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1.020-2017.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M$ 251.000.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prueba finalizada. Causa archivada.</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“Sernac con CGE Distribución S.A.”.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septiembre de 2017.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18.943-2017.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efectos de los temporales de junio y julio de 2017 que afectaron a la zona centro y sur del país.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Cumplimiento incidental de la sentencia. 2-4-2025. Se oficia a Banco Estado para regularizar abono. Con fecha 14 de abril de 2025. Tribunal adjunto certificado de depósito de Banco Estado. Con fecha 26 de enero de 2026 se archiva el expediente en el tribunal.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"Burgos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 de mayo de 2019.</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Temuco.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637-2019.</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dictada el 20 de agosto de 2024, pendiente de notificación. Con fecha 11 de marzo de 2025 se archiva el expediente. Con fecha 9 de diciembre de 2025 se solicita desarchivo, el tribunal ordena notificar en conformidad al artículo 52 dicha resolución, lo cual se lleva a cabo el día 23 de diciembre de 2025. Con fecha del 10 de marzo de 2026 se notificó a CGE de la sentencia que rechaza la demanda en todas sus partes. El 18 de marzo de 2026 se interpone recurso de apelación por la parte del demandante, el cual se encuentra pendiente de ingreso a la Corte de Apelaciones.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“Servicios Profesionales S.A.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de octubre de 2019.</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27.454-2019.</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M$ 212.541.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Cumplimiento de contrato con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26 de septiembre de 2023 la Sociedad fue notificada de la sentencia de primera instancia que acogió la demanda y condenó a CGE al pago de M$ 132.541 por saldo insoluto en el cumplimiento del contrato entre las partes y M$ 40.000 por concepto de lucro cesante. Se presentó apelación la que se encuentra pendiente en relación desde el 23 de octubre de 2023 Rol N° 15.691-2023. Con fecha 15 de octubre de 2023 por parte del demandante interpuso un recurso de aclaración, rectificación o enmienda, el 20 de octubre de 2023 el tribunal dicto no ha lugar al recurso y se declaró incompetente para pronunciarse sobre el mismo.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"ODECU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 de enero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31.803-2019.</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Ley de Protección a los Consumidores por eventos ocurridos en el mes de febrero de 2019 en el sur de Chile.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line="240" w:lineRule="auto"/>
              <w:jc w:val="both"/>
            </w:pPr>
            <w:r>
              <w:rPr>
                <w:rFonts w:ascii="Calibri" w:eastAsia="Calibri" w:hAnsi="Calibri" w:cs="Calibri"/>
                <w:b w:val="0"/>
                <w:i w:val="0"/>
                <w:color w:val="000000"/>
                <w:sz w:val="20"/>
                <w:u w:val="none"/>
              </w:rPr>
              <w:t>Con fecha 29 de enero de 2024 el tribunal citó a las partes a oír sentencia. Con fecha 21 de enero de 2025 se dicta sentencia que rechaza la demanda en todas sus partes. Con fecha 24 de marzo de 2025, ODECU presentó recurso de casación y apelación de la sentencia para conocimiento de la Corte de Apelaciones de Santiago, la causa se encuentra en relación.</w:t>
            </w:r>
          </w:p>
          <w:p>
            <w:pPr>
              <w:spacing w:after="20" w:line="240" w:lineRule="auto"/>
              <w:jc w:val="both"/>
            </w:pPr>
            <w:r>
              <w:rPr>
                <w:rFonts w:ascii="Calibri" w:eastAsia="Calibri" w:hAnsi="Calibri" w:cs="Calibri"/>
                <w:b w:val="0"/>
                <w:i w:val="0"/>
                <w:color w:val="000000"/>
                <w:sz w:val="20"/>
                <w:u w:val="none"/>
              </w:rPr>
              <w:t>Con fecha 23 de julio de 2025 se pone en tabla la causa, con fecha 29 de julio de 2025 se suspende la vista de la causa. Se fija nueva vista de la causa para el martes 19 de agosto de 2025, con fecha 17 de agosto de 2025 ODECU solicita suspensión, sin proveído. Con fecha 5 de noviembre de 2025 Causa agregada para el día martes 11 de noviembre de 2025. Causa se encuentra pendiente de vista debido a una solicitud de certificación de la secretaría.</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“SACYR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 de febrero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34.995-2019.</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M$ 2.771.168.</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27 de septiembre de 2024 el tribunal emitió una sentencia, rechazando en todas sus partes la demanda principal y subsidiaria. El demandante apeló ante la Corte de Apelaciones de la sentencia, recurso que se encuentra pendiente de vista y fallo.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“Pinochet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de abril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Talca.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1.903-2020.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incendio en la comuna de San Clemente durante el año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M$ 240.000.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de 17 de octubre de 2023 rechazó la demanda. Pendiente recurso de apelación, en relación desde el 9 de enero de 2024. Rol ICA N° 2242-2023. Con fecha 7 de noviembre de 2025 Se confirma con costas la Sentencia apelada de 17 de octubre de 2023. Con fecha 25 de noviembre de 2025 demandante deduce recurso de casación, el cual ingresa a la Corte Suprema Rol N° 54.352-2025. Con fecha 25 de febrero de 2026 se confirma la sentencia definitiva dictada el 17 de noviembre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“DB Ingeniería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7 de agosto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16"/>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16"/>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29°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5.864-2020.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M$ 8.914.060.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rechazada totalmente en primera instancia, notificada el 18 de mayo de 2023. Apelada por la contraparte con fecha 28 de abril de 2023. Se mantiene pendiente la resolución de la apelación desde el 17 de octubre de 2023. Rol ICA N° 15.249-2023.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“Pontigo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de agosto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10.345-2020.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incendio El Peral.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M$ 1.005.382.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de primera instancia dictada con fecha 29 de marzo de 2023, condena a CGE al pago de M$ 116.385 más intereses y reajustes hasta la fecha del pago efectivo. CGE presentó apelación con fecha 5 de mayo de 2023, la que se encuentra pendiente. En relación desde el 18 de mayo de 2024. Rol ICA             N° 6.504-2023.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exact" w:val="22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“Quemchi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2 de octubre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7°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13.500-2020.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Declarativo de derechos.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 Se pretende que no se cobre a la demandante el uso de instalaciones de transmisión.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dictada el 4 de septiembre de 2024 rechaza íntegramente la demanda principal de cumplimiento de contrato y subsidiaria declarativa, pendiente de notificación a CGE. El 15 de noviembre de 2024, el demandante apeló a sentencia, ingresando a la Corte de Apelaciones con el Rol          N° 19.651-2024. Autos en Relación.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“Diego de Almagro Solar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 de octubre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 Juzgado Civil de Copiapó.</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1.814-2020.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M$ 1.116.856.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7 de diciembre de 2024 se dictó sentencia, la que fue notificada con fecha 20 de diciembre de 2024, respecto de la cual se presentó por CGE un recurso de apelación. La sentencia condena a CGE a pagar los perjuicios por Lucro Cesante derivado de la Energía y Potencia que el PMGD DAS dejó de inyectar y vender al Sistema, por la suma de M$ 928.138, por concepto de energía y M$ 73.737, a título de potencia, lo que totaliza M$ 1.001.875, monto al cual deberán sumarse los intereses y reajuste. Que CGE queda también condenada a reembolsar a la actora la suma equivalente a 593 UF                   (M$ 22.927), más el interés corriente, y al pago de las costas de la causa. La apelación se encuentra desde el 2 de febrero de 2025, con autos en relación. Con fecha 2 de junio de 2025 se confirma por la Corte de Apelaciones de Copiapó resolución apelada. Con fecha 19 de agosto de 2025 se presenta recurso de Casación en el fondo y se solicita fianza de resultas. Corte Suprema Rol N° 26.193-2025. Con fecha 14 de noviembre de 2025 Ha sido girado desde la cuenta corriente jurisdiccional la suma de M$ 1.025.326; a nombre de Diego de Almagro Solar Spa.</w:t>
            </w:r>
          </w:p>
        </w:tc>
      </w:tr>
      <w:tr>
        <w:tblPrEx>
          <w:tblW w:w="8115" w:type="dxa"/>
          <w:tblInd w:w="1417" w:type="dxa"/>
          <w:tblLayout w:type="fixed"/>
        </w:tblPrEx>
        <w:trPr>
          <w:cantSplit/>
          <w:trHeight w:hRule="exact" w:val="24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“Asociación de Consumidores y Usuarios del Maule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30 de noviembre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Talca.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3.069-2020.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Juicio colectivo por Ley del consumidor.</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18 de junio de 2024 el tribunal citó a las partes a oír sentencia.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“Constructora Independencia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enero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Tribunal de la Libre Competencia.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417-2021.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Libre competencia.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13 de septiembre de 2024  fue notificada la sentencia dictada por el Tribunal de la Libre Competencia en virtud de la cual acogió parcialmente la demanda presentada por Constructora Independencia en contra de CGE, por abuso de posición dominante en la prestación y cobro de una serie de servicios accesorios al suministro eléctrico (regulados y no regulados) en la región del Maule, sancionando al pago de una multa ascendente a 178 Unidades Tributarias Anuales y ordenando adoptar como medida conductual, valorizar y determinar el precio de compra de las redes que construyen terceros y que se incorporan a la red de distribución, al menos, con el nivel de detalle que CGE informa a la SEC las obras que se ponen en servicio, según el Decreto N° 327 (artículo 215). Con fecha 28 de septiembre de 2024 CGE impugnó la sentencia con un recurso de reclamación ante la Corte Suprema, el que se encuentra pendiente de resolución, con el Rol N° 53.045-2024. Causa en estudio.</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“Evergreen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 de enero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25°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18.949-2020.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M$ 3.214.493.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26 de octubre de 2024 se dictó sentencia en primera instancia, la cual rechazó la demanda en todas sus partes y condenó a la demandada reconvencional al pago de M$ 83.198. Con fecha 22 de enero de 2025 se notificó la sentencia a CGE. La demandante y demandada reconvencional presentó un recurso de apelación y casación en la forma, el que se encuentra pendiente de resolver en la Corte de Apelaciones de Santiago. Con fecha 8 de agosto de 2025 se certifica estado Autos en relación. Rol N° 21.548-2024.</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“Sociedad Comercial Vassal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 de abril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1.415-2021.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M$ 573.444.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11 de septiembre de 2023 fue notificada la sentencia de primera instancia, la cual rechazó en todas partes la demanda. Sentencia apelada con fecha 10 de octubre de 2023 por la demandante, en relación desde el 24 de octubre de 2023. Rol ICA N° 15.945. Causa se encuentra en relación.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“LLadser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de noviembre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de Melipilla.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2.999-2020.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 Se alega un cobro excesivo en su cuenta de electricidad.</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18 de diciembre de 2025 se dicta sentencia que acoge parcialmente la demanda, solo en cuanto acoge la demanda de cumplimiento de contrato interpuesta por el demandante, debiendo CGE indemnizar el daño emergente que será determinado en la etapa de cumplimiento durante el periodo de diciembre de 2015 a julio de 2019. Con fecha 6 de diciembre de 2025 ambas partes interponen recursos de apelación, ambos se acumulan y se encuentran pendientes de vista y falla en Rol N°  2.573-2025 de la Corte de Apelaciones de San Miguel.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“Inmobiliaria Nueva Esperanza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 de diciembre de 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de Letras de Talca.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2.216-2020.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Precario.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 Solicita el retiro de 38 postes.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prueba. Causa archivada desde el 20 de septiembre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“Viveros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 de julio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Temuco.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1.469-2021.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M$ 414.252.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dictada el 4 de septiembre de 2024, con fecha 17 de febrero de 2025 se notificó CGE de la sentencia, la cual rechaza la demanda en todas sus partes, sin costas. La demandante, presentó recurso de apelación de la sentencia absolutoria, la cual se encuentra pendiente por la Corte de Apelaciones de Temuco. Rol  ICA  N° 391- 2025. En relación. Con fecha 5 de noviembre de 2025. Se confirma la Sentencia definitiva de fecha 4 de septiembre de 2024, con fecha 22 de noviembre de 2024 la demandante interpone recurso de casación el cual ingresa a la Corte Suprema Rol N° 53.020-2025 encontrándose pendiente de vista y fallo. Con fecha 21 de enero de 2026 la corte confirmó la sentencia definitiva. Con fecha 11 de marzo de 2026 se certifica sentencia definitiva ejecutoriada.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34.1.19.-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“Ventana Minerals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25 de agosto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Viña del Mar.</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933-2021.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declaración de prescripción.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M$ 164.383.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15 de noviembre de 2024 se dictó sentencia, la que fue notificada el pasado 17 de diciembre de 2024. La sentencia declaró prescrita la factura por el total de M$ 192.827, sentencia que fue impugnada mediante recurso de apelación con fecha 19 de diciembre de 2024 por CGE. La resolución de la Corte de Apelaciones de Valparaíso se mantiene pendiente. Rol ICA  N° 707-2025. Causa se encuentra en relación.</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“Asociación de Consumidores y Usuarios del Maule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de octubre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Talca.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1.713-2021.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Juicio colectivo por Ley del Consumidor.</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Actualmente se encuentra terminada la etapa probatoria. El 28 de abril de 2025 el demandante presentó escrito solicitando que se cite a las partes a oír sentencia. Con fecha 12 de junio de 2025. Tribunal da no ha lugar a citar a las partes a oír sentencia, por existir cuestiones pendientes de resolver. Se encuentra pendiente informe de perito, plazo de 20 días desde el 23 de diciembre de 2025.</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"Liberty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 de noviembre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6.056-2021.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UF 4.062,87.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6 de enero de 2025 se cita a las partes a oír sentencia.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“Agrícola Alaska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 de diciembre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Curicó.</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1.837-2021.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Denuncia de obra nueva.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30 de septiembre de 2024 se dictó sentencia, rechazando la querella posesoria de denuncia de obra nueva interpuesta por Agrícola Alaska. Con fecha 24 de octubre de 2024, se presentó recurso de apelación en contra de la sentencia definitiva. Con fecha 29 de octubre de 2024 se acoge apelación de incidente, que se encuentra pendiente de vista y fallo. Rol ICA N° 2.116 - 2024. Causa se encuentra en relación.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“HDI SEGUROS S.A.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 de diciembre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6.265-2021.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M$ 211.955.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Sentencia de fecha 28 de noviembre de 2023 rechazó en todas sus partes la demanda. Con fecha 11 de abril de 2024 la demandante presentó recurso de apelación, el que se encuentra en relación desde el 29 de mayo de 2024. Rol ICA                  N° 5.912-2024.</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“Ingeniería y Construcción Parada Limitada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 de diciembre de 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San Bernardo.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2.850-2020.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M$ 9.444.050.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Citación para oír sentencia del 13 de marzo de 2024. Con fecha 8 de abril de 2025, se dictó sentencia en que se acogió la demanda en su integridad y se condenó a CGE a pagar a la demandante la suma de M$ 9.444.050. Con fecha 17 de mayo de 2025, CGE presentó apelación y casación en la forma de la sentencia. Ambas apelaciones se encuentran en la Corte de Apelaciones de San Miguel con los Roles de ingreso                            N° 1.050-2025 y 1.051-2025. Con fecha 11 de julio de 2025 se acumularon los roles de corte quedando vigente el                      N° 1.050-2025. Con fecha 18 de julio de 2025. Corte rechazó recurso de reposición deducida por la parte demandante, que declaraba inadmisible en forma conjunta el recurso de casación en la forma y el recurso de apelación interpuesto por la parte demandada.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“Godoy y Otros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de enero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Diego de Almagro.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107-2021.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Ley de Protección a los Consumidores.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M$ 192.000.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 dictó sentencia de fecha 27 de agosto de 2024, la cual rechazó la demanda en todas sus partes. Con fecha 17 de enero de 2025 CGE se notificó de la sentencia absolutoria, respecto de la cual la demandante había presentado apelación. Conforme lo anterior, con fecha 5 de febrero de 2025, se remitieron los antecedentes a la Corte de Apelaciones de Copiapó para que conozca de la apelación. Causa se encuentra en relación Rol             N° 55-2025.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“PMGD Darling SpA.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marzo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499-2022.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Responsabilidad contractual 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UF 4.040 más M$ 756.444.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9 de mayo de 2025, el tribunal dictó sentencia en primera instancia, acogiendo parcialmente la demanda, en cuanto condenó a CGE al pago de M$ 705.314. a título de daño emergente. El 23 de mayo de 2025, CGE y demandante apelaron la sentencia. Rol ICA N° 9.130-2025.  Causa se encuentra en relación.</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“PMGD Pepa SpA.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marzo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495-2022.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Responsabilidad contractual 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UF 7.969 más M$ 795.428.</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23 de enero de 2024 fue notificada la sentencia de primera instancia que acogió la demanda, condenando a CGE al pago de UF 7.969 por concepto de daño emergente y a             M$ 745.562 por concepto de lucro cesante. Con fecha 29 de enero de 2024 se presentó recurso de apelación, que se encuentra en relación en Corte de Apelaciones, con el Rol                           N° 2.919-2024. Causa se encuentra en relación.</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“Ingenieros y Consultores Márquez Rojas Limitada”.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 de marzo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9.741-2021.</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M$ 583.927.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11 de junio de 2024 se tuvo por contestada la demanda. Se encuentra pendiente dictación de auto de prueba. Con fecha 26 de noviembre de 2024 se realiza audiencia de conciliación la que se ve frustrada por la incomparecencia de la parte demandante. Con fecha 29 de septiembre de 2025. Recibe la causa a prueba, demandante se notifica expresamente con fecha 22 de diciembre de 2025, resolución aún no se notifica a CGE. Con fecha 24 de febrero de 2026 notificación resolución que recibe la causa a prueba.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34.1.29.-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“Agrícola Alaska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de abril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 Juzgado Civil de Curicó.</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481-2022.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Demanda declarativa de mera certeza.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Con fecha 11 de octubre de 2024 la jueza titular del tribunal declaró de oficio una inhabilidad por implicancia para seguir conociendo del juicio, remitiendo los antecedentes a la Corte de Apelaciones de Talca para que defina un tribunal incompetente. El motivo de esta implicancia es por la causal del art. 195 N° 8 del COT, debido a haber resuelto otro conflicto con las mismas partes en causa diversa Rol C-1.837-2021 ante ese mismo tribunal. Con fecha 20 de febrero de 2025 la Corte de Apelaciones resolvió la implicancia, teniendo por desistidos los recursos. Con fecha 9 de julio de 2025 se cita a las partes a oír sentencia. Con fecha 24 de septiembre de 2025. Sentencia. Se rechaza la demanda interpuesta por Agrícola Alaska en contra de CGE. Se rechaza la demanda subsidiaria de caducidad de servidumbre interpuesta por Agrícola Alaska en contra de CGE. Con fecha 29 de octubre de 2025. CGE presenta recurso de apelación solo en aquella parte de la sentencia que acoge la segunda demanda subsidiaria, relativa a la acción declarativa de mera certeza de no servir la concesión y la servidumbre existente para aumentar la capacidad de la línea de transmisión Teno-Rauquén. Causa se encuentra en ICA Talca Rol                                N°  2.064-2025, en donde la demandante adhiere a la apelación al fallo revocándola en aquella parte que rechazó las acciones principal y primera subsidiaria contenidas en la demanda, y declarando que se condena a la demandada al pago de las costas de la causa y del recurso, causa se encuentra en relación.</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“Liberty seguros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30 de mayo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2° Juzgado Civil de Rancagua.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1.514-2022.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USD $ 105.003,38.</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16 de agosto de 2024 se dictó sentencia de primera instancia, la cual rechazó la demanda en todas sus partes, con expresa condena en costas. La sentencia fue apelada por la demandante y pendiente de resolución con fecha 30 de agosto de 2024, se notificó la sentencia el 8 de octubre de 2024. Rol ICA N° 68-2025, causa se encuentra en relación.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“Parra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 de julio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de Chanco.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51-2022.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muerte.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M$ 600.000.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22 de septiembre de 2022 se acogió la excepción dilatoria de incompetencia opuesta por CGE. La contraparte apeló con fecha 28 de septiembre de 2022, confirmando la Corte de Apelaciones la sentencia con fecha 24 de noviembre de 2023. La demandante dedujo recurso de casación ante la Corte Suprema, la cual revocó la sentencia de primera instancia, rechazando la excepción dilatoria. En consecuencia, la causa debe volver a primera instancia y continuar su tramitación. Con fecha 5 de junio de 2025 se dictó el auto de prueba el que no ha sido notificado. Con fecha 9 de junio de 2025 se presenta reposición con apelación en subsidio por la parte demandante respecto del auto de prueba, solicitando se incorporen tres nuevos puntos de prueba. Con fecha 27 de noviembre de 2025 se notifica resolución que recibe la causa a prueba a CGE, se interpone recurso de reposición, encontrándose pendiente resolución de ambos recursos (demandante y demandado) por parte del tribunal. Por parte del demandante y demandado hacen observaciones a las pruebas con fecha del 10 de marzo de 2026 y 12 de marzo de 2026.</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“ODECU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25 de octubre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7.870-2022.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infracción a los derechos de los consumidores.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M$ 317.199.</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20 de enero de 2025 se citó a las partes a oír sentencia. Con fecha 29 de julio de 2025 se dictó sentencia y se resolvió: I.- Que se rechazan las tachas opuestas por el demandante, sin costas. II.- Que, se acoge la demanda interpuesta por ODECU sólo en cuanto se ha Establecido que CGE Distribución S.A. ha incurrido en infracción al artículo 25 de la Ley N° 19.496. III. Que se rechaza la excepción de incompetencia. IV. Que se rechaza la excepción de inaplicabilidad de la LPDC, por aplicación del principio de especialidad. V. Que se rechaza la excepción de falta de delimitación de la demanda. VI. Que se rechaza la excepción fundamentada en el principio Non Bis in Idem. VII. Que se acoge la excepción de pago. VIII. Que, se rechaza la demanda de indemnización de perjuicios. IX. Que, se impone una multa a CGE Distribución S.A. ascendente a la suma de 1.500 UTM.           X. Dese cumplimiento a lo dispuesto en el artículo 58 bis de la Ley N° 19.496. XI. Que cada parte pagará sus costas. Sentencia fue notificada con fecha 20 de agosto de 2025, ODECU interpone recurso de casación en la forma y apelación, CGE adhiere a la apelación con fecha 25 de septiembre de 2025 causa Rol N° 16.112-2025 solicitando desestimar la demanda íntegramente, en subsidio, rebaja de la multa aplicada, causa se encuentra en relación.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“Flores y otros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 de diciembre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14.461-2022.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por daños en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M$ 1.791.293.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14 de noviembre de 2024 el Tribunal citó a las partes a oír sentencia. Con fecha 13 de octubre de 2025 Sentencia en contra de CGE, en que se acoge parcialmente la demanda de indemnización de perjuicios. Se rechaza la indemnización solicitada por concepto de daño patrimonial respecto de todos los demandados, por no haberse acreditado suficientemente la cuantía de los perjuicios reclamados. Se condena a CGE a pagar por concepto de indemnización por daño moral condenando al pago de M$ 400.000. Con fecha 18 de noviembre de 2025 se presenta recurso de apelación, encontrándose pendiente su remisión a la Corte de Apelaciones de Santiago.</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“Flores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de diciembre de 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15.133-2022.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Daños por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M$ 585.100.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3 de junio de 2024 el tribunal citó a las partes a oír sentencia. Con fecha 16 de diciembre de 2024 se dictó sentencia de primera instancia, rechazando la demanda de indemnización de perjuicios por responsabilidad extracontractual, condenando en costas a la demandante. Con fecha 30 de mayo de 2025 la parte demandante apeló a la sentencia, encontrándose pendiente la resolución de la Corte de Apelaciones. Con fecha 4 de febrero de 2026 la causa se encuentra archivada.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“Inmobiliaria SAC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de enero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Policía Local de Padre Hurtado.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187.395-PC.</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Infracción Ley del Consumidor 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M$ 207.040.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27 de junio de 2025 la Ilustrísima Corte de Apelaciones de San Miguel revoca sentencia de primera instancia resolviendo acogerla de forma parcial, a saber: I.- Se le condena al pago de una multa a beneficio fiscal de 200 UTM. II.- Se acoge la demanda civil de indemnización de perjuicios en contra de Compañía General de Electricidad S.A., solo en cuanto se condena a la demandada a pagar a la actora la suma de                     M$ 5.328, a título de daño emergente, más los reajustes e intereses señalados en el considerando decimonoveno de esta sentencia; rechazándose en lo demás. Contra esta sentencia la contraria recurrió de Queja la cual fue desestimada plano como asimismo el recurso de reposición, se está a la espera de que baje a primera instancia y se ordene el cumplimiento de la sentencia ya ejecutoriada.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“Riveros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 de marzo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3.630-2023.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M$ 3.421.280.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4 de marzo de 2025, se cita a las partes a oír sentencia.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highlight w:val="white"/>
                <w:u w:val="none"/>
              </w:rPr>
              <w:t>34.1.37.-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highlight w:val="white"/>
                <w:u w:val="none"/>
              </w:rPr>
              <w:t>“Plaza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highlight w:val="white"/>
                <w:u w:val="none"/>
              </w:rPr>
              <w:t>17 de marzo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highlight w:val="white"/>
                <w:u w:val="none"/>
              </w:rPr>
              <w:t>10°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highlight w:val="white"/>
                <w:u w:val="none"/>
              </w:rPr>
              <w:t>12.776-2022.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highlight w:val="white"/>
                <w:u w:val="none"/>
              </w:rPr>
              <w:t>Indemnización de perjuicios por responsabilidad extracontractual.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highlight w:val="white"/>
                <w:u w:val="none"/>
              </w:rPr>
              <w:t>M$ 153.740.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Con fecha 9 de mayo de 2024 el tribunal citó a las partes a oír sentencia. Con fecha 30 de septiembre de 2025 Se dicto sentencia en contra de CGE, y se condena a CGE al pago por daño emergente y daño moral, con costas. Con fecha 22 de octubre de 2025. Demandante presentó apelación y solicita se eleve la cuantía de la indemnización. Ingreso corte Rol                         N° 19.887-2025. Con fecha 13 de noviembre de 2025 CGE interpone recurso de casación en contra de la sentencia definitiva, el cual es remitido a la Corte de Apelaciones de Santiago con fecha 16 de diciembre de 2025, Rol                                 N° 22.135-2025, encontrándose pendiente de resolución la Corte de Apelaciones.</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34.1.38.-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“Energías Ucuquer Dos S.A. con CGE y CGET”.</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 de mayo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Tribunal de la Libre Competencia.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486-2023.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Libre Competencia.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M$ 912.795.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3 de junio de 2025 se declara vencido el término probatorio, se ordena traer los autos en relación y se fija audiencia para 27 de agosto de 2025. Con fecha 12 de noviembre de 2025 tuvo lugar la vista de la causa ante el TDLC, encontrándose a la fecha la causa en estado de acuerdo, pendiente de fallo.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exact" w:val="30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53" w:after="30" w:line="240" w:lineRule="auto"/>
              <w:jc w:val="left"/>
            </w:pPr>
            <w:r>
              <w:rPr>
                <w:rFonts w:ascii="Calibri" w:eastAsia="Calibri" w:hAnsi="Calibri" w:cs="Calibri"/>
                <w:b w:val="0"/>
                <w:i w:val="0"/>
                <w:color w:val="000000"/>
                <w:sz w:val="20"/>
                <w:u w:val="none"/>
              </w:rPr>
              <w:t>34.1.39.-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53" w:after="30" w:line="240" w:lineRule="auto"/>
              <w:jc w:val="both"/>
            </w:pPr>
            <w:r>
              <w:rPr>
                <w:rFonts w:ascii="Calibri" w:eastAsia="Calibri" w:hAnsi="Calibri" w:cs="Calibri"/>
                <w:b w:val="0"/>
                <w:i w:val="0"/>
                <w:color w:val="000000"/>
                <w:sz w:val="20"/>
                <w:u w:val="none"/>
              </w:rPr>
              <w:t>“ODECU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 de abril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3.456-2023.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infracción a los derechos de los consumidores.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17 de julio de 2025 se cita a las partes a oír sentencia.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“Frigorífico Camer Ltda.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de abril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11.544-2022.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M$ 333.317.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13 de septiembre de 2024, se dictó sentencia de primera instancia la que acogió parcialmente la demanda, solo en cuanto condenó a CGE al cumplimiento forzado del contrato de suministro, rechazando la indemnización de perjuicios. Con fecha 12 de diciembre de 2024 se presentó un recurso de casación en la forma y apelación en contra de la sentencia. Curso progresivo a los autos con fecha 13 de febrero de 2025. Rol ICA N° 2.899- 2025. Se certifica estado en relación.</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“Allende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30 de junio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7.767-2023.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muerte por electrocución.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M$ 1.250.000.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6 de diciembre de 2024, se recibió la causa a prueba. Con fecha 28 de mayo de 2025, se notificó a CGE auto de prueba. Con fecha 29 de mayo de 2025, se presentó recurso de reposición en contra del auto de prueba. Con fecha 20 de enero de 2026 se presenta un recurso de reposición. Causa se encuentra en término probatorio.</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“Adonis Ramos y otro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 de julio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6.842-2023 (acumulada al Rol N° 6.843-2023).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M$ 239.980.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Acumulada a la causa Rol N° 6.843-2023 del mismo tribunal desde el 26 de marzo de 2024. Con fecha 3 de diciembre de 2024 se archivó el expediente.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“Soto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 de julio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de Melipilla.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1.301-2023.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término de contrato de arrendamiento.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Audiencia de contestación y prueba efectuada el 12 de julio de 2023, fue suspendida para evacuar traslado de excepciones opuestas, no se ha fijado fecha para nueva audiencia.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“HDI Seguros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de julio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CAM Santiago, árbitro Javier Ithurbisquy Laporte.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5.566-2023.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cumplimiento de contrato con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M$ 774.438.</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20 de agosto de 2024 fue notificada la sentencia arbitral que acogió la demanda y condenó a CGE al pago de UF 21.460,42. CGE presentó recurso de apelación y casación en la forma el 3 de septiembre de 2024, el que se encuentra pendiente de resolución. Rol de Corte N° 15.101-2024 en relación desde el 15 de enero de 2025. Hay un segundo Rol de Corte N° 15.100-2024 en relación desde el 15 de enero de 2025.</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“Arratia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 de septiembre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Árbitro Diego Munita.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A2-2023.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M$ 355.460.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8 de abril de 2025 se dicta sentencia condenatoria parcial por concepto de daño emergente M$ 29.460 y daño moral M$ 6.000, con fecha 15 de abril de 2025 se presenta recurso de queja ante la Corte de Apelaciones de Santiago Rol  N° 5.921-2025 el cual se encuentra sin resolución por parte de la Corte, por tal motivo el recurrente ha solicitado en dos oportunidades dar curso progresivo a los autos, con fecha 1 de septiembre de 2025, la Corte de Apelaciones ordena acompañar documento en que conste fecha y forma de notificación de la sentencia, lo cual fue acompañado el 2 de septiembre de 2025, a la fecha aún no se da curso a los autos.</w:t>
            </w:r>
          </w:p>
        </w:tc>
      </w:tr>
      <w:tr>
        <w:tblPrEx>
          <w:tblW w:w="8115" w:type="dxa"/>
          <w:tblInd w:w="1417" w:type="dxa"/>
          <w:tblLayout w:type="fixed"/>
        </w:tblPrEx>
        <w:trPr>
          <w:cantSplit/>
          <w:trHeight w:hRule="exact" w:val="24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“Liberty Seguros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de noviembre de 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7°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13.087-2023.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M$ 188.000.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28 de abril de 2025 el tribunal citó a las partes a oír sentencia, en espera de fallo. Con fecha 19 de mayo de 2025 Cúmplase lo resuelto por el Tribunal de Alzada. La causa se encuentra en estado de dictar sentencia.</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“Rivera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de enero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19.981-2023.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M$ 5.318.700.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8 de abril de 2024 se acogió la excepción dilatoria opuesta, resolviéndose no ha lugar a la demanda. Con fecha 12 de abril de 2024 a contraparte apeló, recurso que se encuentra pendiente. La causa está en relación ante la Corte de Apelaciones. Rol N° 6.261-2024. Causa se encuentra en relación.</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“Ingeniería y Construcción Cantagua Ltda.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de enero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4°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20.888-2023.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infracción a los derechos de los consumidores.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M$ 476.705.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11 de julio de 2024 se recibió la causa a prueba, el que fue notificado a CGE el 26 de diciembre de 2024. CGE presentó recurso de reposición y apelación en subsidio, el que se encuentra pendiente de resolución. Con fecha 4 de junio de 2025, CGE presentó un recurso de reposición respecto de la resolución de fecha 2 de junio de 2025 al no pronunciarse sobre exhorto solicitado para rendir la prueba testimonial. Con fecha 12 de junio de 2025 se rinde prueba testimonial, con fecha 13 de junio de 2025 se resuelve reposición no ha lugar. Con fecha 1 de julio de 2025 observaciones a la prueba por parte del demandado.</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34.1.49.-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“Marcelo Triviño y otros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de enero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24°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21.687-2023.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extracontractual por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M$ 1.170.000.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14 de abril de 2024 se recibió la causa a prueba. Con fecha 21 de noviembre de 2025 el tribunal citó a las partes a oír sentencia. Con fecha 12 de febrero de 2026 se dicta sentencia, la que no ha sido notificada a las partes.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“Biomapsa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11 de marzo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 Juzgado Civil de Concepción.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885-2024.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extracontractual.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M$ 1.529.494.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11 de junio de 2025 se citó a las partes a oír sentencia. Con fecha 1 de octubre de 2025 Entren los autos para fallo. Con fecha 16 de enero de 2026 se dictó sentencia que rechaza la demanda interpuesta. El 16 de febrero de 2026 se notificó de la sentencia definitiva. La parte demandante dedujo recurso de casación en la forma y apelación, el que ingresó a la Corte de Apelaciones de Concepción con el Rol N° 833-2026 y que se encuentra pendiente de resolución.</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“Servicios Generales 911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 de junio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7.995-2024.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cobro de pesos.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M$ 172.719.</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conciliación. Con fecha 9 de julio de 2025 se realizó audiencia de conciliación. No se logró conciliación. Con fecha 27 de agosto de 2025. Se recibe la causa a prueba. El 27 de marzo de 2026 CGE presentó incidente de abandono del procedimiento, el que no se encuentra proveído aún.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“Zocimo del Carmen Navarro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 de junio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de Letras de Santa Cruz.</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241-2024.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extracontractual por incendio de 2017.</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M$ 500.000.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prueba.</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“Conadecus con CGE Y ENEL”.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julio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9.229-2024.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efectos de los temporales.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88"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7 de julio de 2025 se lleva a cabo audiencia de conciliación. Con fecha 14 de agosto de 2025 se recibió la causa a prueba. Con fecha 6 de marzo de 2026 se tuvo por interpuesto incidente de abandono de procedimiento, el que fue acogido por el tribunal por sentencia de fecha 27 de marzo de 2026. Se está contabilizando el plazo de ejecutoría.</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 de julio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8.278-2024.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por efectos de los temporales.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8 de agosto de 2025 se llevó a cabo audiencia de conciliación. No se logró conciliación. Con fecha 20 de agosto de 2025, se recibió la causa a prueba, no notificado. Con fecha 4 de marzo de 2026 se tuvo por interpuesto incidente de abandono de procedimiento, el que fue acogido por el tribunal por sentencia de fecha 27 de marzo de 2026. Se está contabilizando el plazo de ejecutoría.</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“Verdugo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julio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de Policía Local de San Bernardo.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2.802-05-2025.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por infracción a los derechos de los consumidores.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M$ 150.000.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Autos para fallo.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"Troncoso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 de Julio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Antofagasta.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2.743-2024.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colectiva Derechos del Consumidor.</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22 de abril de 2025 se recibió la causa a prueba. Con fecha 18 de marzo de 2026 la causa se encuentra archivada.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“Fisco de Chile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 de agosto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12.479-2024.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Cobro de pesos.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M$ 391.026.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27 de noviembre de 2025 se hace efectivo el apercibimiento. Por tanto, se tiene por no presentada diligencia probatoria de exhibición de documentos solicitada por la demandada. Con fecha 12 de marzo de 2026 se notifica la resolución que recibe la causa a prueba.</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“Comercial Jaime Núñez SpA.”.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septiembre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13.458-2024.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M$ 649.583.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contestación.</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34.1.59.-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“Inmobiliaria Trikahue SpA.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septiembre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12.642-2023.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M$ 266.199.</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“Bustos Vera con CGE S.A.”.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septiembre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3.834-2024.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M$ 2.254.840.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 de diciembre de 2025 se suspende audiencia de conciliación por no encontrarse notificadas todas las partes.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“Rivas Espinoza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 de septiembre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3.840-2024.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M$ 637.760.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 cita a las partes a audiencia de conciliación para el día 22 de septiembre de 2025 a las 11:00 horas. Con fecha 29 de agosto de 2025. Etapa de discusión.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“Inmobiliaria Trilco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de septiembre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15.288-2024.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8 de octubre de 2025 se recibe la causa a prueba. Con fecha 21 de octubre de 2025 la demandada presenta recurso de reposición con apelación en subsidio. Con fecha 23 de diciembre de 2025 se remiten los antecedentes a la Corte de Apelaciones de Santiago. Rol N° 22.577-2025. Con fecha 18 de marzo de 2026 citación para oír sentencia.</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“Riebensahm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de septiembre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15.274-2024.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13 de agosto de 2025, el Tribunal resuelve suspender audiencia de conciliación. Con fecha 13 de octubre de 2025 se recibe la causa a prueba.</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“Alcaelec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6 de noviembre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17.693-2024.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responsabilidad 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M$ 691.974.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13 de agosto 2025 se celebra audiencia de conciliación la que no se produce por falta de acuerdo de las partes. Con fecha 20 de octubre de 2025, Recibe la causa a prueba, la demandante presenta recurso de reposición con apelación en subsidio, el cual se encuentra a la espera de resolución a la espera de que se notifique a la demanda del auto de prueba. Etapa en conciliación y/o recibe a prueba con fecha 9 de diciembre de 2025.</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“Díaz con Quezada”.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 de diciembre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y Garantía de Curepto.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130-2024.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constitución de servidumbre eléctrica 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M$ 375.000.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30 de diciembre de 2024 se tiene por contestada la demanda, llamadas las partes a conciliación esta no se produce. Con fecha 21 de agosto de 2025 se decreta el archivo de la causa.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“Gaete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 de enero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Juzgado Civil de Talca.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2.719-2024.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precario y en subsidio demanda de constitución de servidumbre 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M$ 4.401.328.</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prueba. Con fecha 11 de febrero de 2026 se tenga por evacuado traslado en rebeldía y resuelva. Etapa en termino probatorio desde el 26 de marzo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“Quintana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de noviembre de 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Civil de Cauquenes.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776-2024.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responsabilidad extracontractual derivados de un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M$ 2.661.748.</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La defensa de CGE promovió un Incidente de nulidad por falta de emplazamiento válido, al notificarse la demanda a un ejecutivo que no tenía ninguna facultad de representación judicial. El incidente se encuentra pendiente de resolución. Con fecha 8 de mayo de 2025 el tribunal recibió a prueba el incidente. En etapa de prueba del incidente. Con fecha 9 de marzo de 2026 se contesta de demanda por parte del demandado. Por evacuada réplica y traslado a dúplica con fecha 23 de marzo de 2026.</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“Comunidad Edificio Marina Centro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 de marzo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10.918-2024.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responsabilidad contractual y extracontractual de forma subsidiaria.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M$ 203.944.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9 de diciembre de 2025 se resuelve excepción dilatoria resolviendo: Que se rechaza la excepción de ineptitud del libelo del número 4 del artículo 303 del Código de Procedimiento Civil, que se condena en costas al demandado, por haber resultado totalmente vencido. Con fecha 20 de diciembre de 2025 se contesta la demanda. Por evacuada réplica y traslado a dúplica a la fecha 20 de marzo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34.1.69.-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"Sernac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 de abril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2.175-2025.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Ley del Consumidor.</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5 de noviembre de 2025 Se realiza audiencia de conciliación la cual no se produce. Con fecha 18 de marzo de 2026 recibe la causa a prueba.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“Fuentes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de mayo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Civil de Letras de Quirihue.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42-2025.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M$ 240.000.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11 de diciembre de 2025 Se presenta recurso de reposición respecto del auto de prueba. Con fecha 12 de noviembre de 2025 se rechaza reposición. Con fecha 3 de febrero de 2026 se realiza la audiencia de designación de perito tasador. Etapa en termino probatorio.</w:t>
            </w:r>
          </w:p>
        </w:tc>
      </w:tr>
      <w:tr>
        <w:tblPrEx>
          <w:tblW w:w="8115" w:type="dxa"/>
          <w:tblInd w:w="1417" w:type="dxa"/>
          <w:tblLayout w:type="fixed"/>
        </w:tblPrEx>
        <w:trPr>
          <w:cantSplit/>
          <w:trHeight w:hRule="exact" w:val="285"/>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“MAG SpA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mayo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Tribunal Ambiental.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D-88-2024.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responsabilidad por daño ambiental.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M$ 2.042.943.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25 de noviembre de 2025 se celebra audiencia de conciliación, se solicita al Tribunal presentar propuesta de bases para conciliación, frente a lo cual se resuelve: “Habiendo acordado dicho marco de acción con las partes, el Ministro señala que el Tribunal presentará una propuesta de bases que incluya los puntos indicados, sobre la cual se pueda trabajar conjuntamente para arribar a una eventual conciliación. Para dichos efectos, se citará a las partes a una continuación de audiencia de conciliación en su oportunidad”.</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"Olguín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de julio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7.432-2025.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daños y perjuicios de naturaleza extracontractual.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M$ 5.978.292.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En etapa de discusión. Se notifica de la demanda 1 de julio de 2025, el 21 de enero de 2026 se contesta la demanda. El 25 de febrero de 2026 se cita a audiencia de conciliación.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"Varas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julio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1.874-2025.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Civil de Indemnización de Perjuicios por Responsabilidad Civil 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M$ 400.000.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En etapa de discusión. Con fecha 9 de julio de 2025 se notifica de la demanda, el 1 de octubre de 2025 por contestada la demanda. El día 8 de enero de 2026 se cita a audiencia de conciliación.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"Muñoz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 de julio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de Villarrica.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556-2025.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en defensa del interés colectivo de los consumidores.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En etapa de discusión. Con fecha 22 de julio de 2025 se notifica la demanda.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"Parque Fotovoltaico la Ligua con CGE S.A.".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septiembre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11.725-2025.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M$ 354.855.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27 de noviembre de 2025 se celebra audiencia de conciliación, la cual no se produce. Etapa en conciliación y/o prueba.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"Muñoz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septiembre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29°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15.883-2025.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M$ 308.000.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2 de septiembre de 2025 se notificó de la demanda. El día 3 de diciembre de 2025 se cita a audiencia de conciliación. No hay más resoluciones desde esa fecha.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"Valdés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septiembre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Talca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1.713-2025.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Indemnización de perjuicios por responsabilidad extracontractual.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M$ 12.347.824.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20 de febrero de 2026 se cita a audiencia de conciliación y esta no se produce.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"Transzar Limitada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 de septiembre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 Juzgado Civil de Iquique.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2.734-2025.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responsabilidad extracontractual.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M$ 190.000.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 fecha 18 de noviembre de 2025 Se celebra audiencia de conciliación, la cual no se produce. Con fecha 16 de febrero de 2026 se realizaron observaciones a las pruebas por la parte demandante. A la fecha 18 de febrero de 2026 se detallaron observaciones a la prueba por parte del demandado. El 23 de febrero de 2026 se interpuso recurso de reposición en contra de la resolución judicial a folio 56 de fecha 20 de febrero de 2026, y que fuera notificada la Sociedad con igual fecha por el estado diario. Falla recurso de reposición a la fecha 3 de marzo de 2026 se dictaminó, no ha lugar a la reposición.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34.1.79.-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"Cáceres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de octubre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Juzgado de Letras de Cauquenes.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133-2025.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M$ 481.265.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12 de febrero de 2026 se cita a las partes a audiencia de conciliación. Con fecha 5 de marzo de 2026 se cita a audiencia de conciliación y esta no se produce.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"Pacheco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 de septiembre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 Juzgado Civil de Concepción.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4.644-2025.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M$ 150.000.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conciliación. Con fecha 27 de enero de 2026 a las 11:00 am se realizó la audiencia de conciliación. A la fecha 26 de marzo de 2026 se recibe la causa a prueba por parte del tribunal.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"Sernac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de octubre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4° Juzgado Civil de Antofagasta.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2.899-2025.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en defensa del interés colectivo de los consumidores.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8 de octubre de 2025 notificación de la demanda.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"MAG SpA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30 de octubre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10.911-2025.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daños y perjuicios por responsabilidad extracontractual.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M$ 2.042.943.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contestación. Con fecha 30 de octubre de 2025 se notificó la demanda.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"Fisco de Chile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 de noviembre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11.367-2025.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cobro de pesos en juicio ordinario de Hacienda.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M$ 474.554.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3 de noviembre de 2025 se notifica la demanda.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"Fuenzalida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 de noviembre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 Juzgado Civil de Curicó.</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1.836-2025.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en defensa del interés colectivo de los consumidores.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13 de noviembre de 2025 se notifica de la demanda. Con fecha 4 de diciembre de 2025 deduce recurso de reposición con apelación en subsidio.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"Agroindustrial Vista Hermosa Limitada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 de diciembre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13.442-2025.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moratorios.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M$ 5.878.716.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contestación. Con fecha 3 diciembre de 2025 se notificó la demanda. A la fecha 26 de diciembre de 2025 se oponen excepciones dilatorias.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34.1.86.-</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"Asociación De Consumidores De Santiago AC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10 de diciembre de 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14.581-2025.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en defensa del interés colectivo de los consumidores.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Indeterminada.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10 de diciembre de 2025 se notifica la demanda. A la fecha 28 de enero de 2026 se interpone recurso de reposición con apelación subsidiaria.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34.1.87.-</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"Copahue de Verano SpA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de enero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9°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16.812-2025.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responsabilidad contractual (PMGD).</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M$ 1.540.000.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discusión. Con fecha 21 de enero de 2026 se notifica de la demanda. A la fecha 11 de febrero de 2026 oponen excepción dilatoria de ineptitud del libelo.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34.1.88.-</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"Guallatri SPA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21 de enero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24°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16.572-2025.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Demanda de indemnización de perjuicios, por responsabilidad contractual (PMGD).</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M$ 1.170.000.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Etapa de contestación. Con fecha 21 de enero de 2026 se notifica de la demanda. A la fecha 11 de febrero de 2026 oponen excepción dilatoria de ineptitud del libelo.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34.1.89.-</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"Dominion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18 de febrero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22°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17.181-2025.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M$ 1.407.035.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Notificación, con fecha 16 de marzo de 2026 oponen excepción dilatoria por parte del demandado.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34.1.90.-</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"Agricola Tonlemo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19 de febrero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 Juzgado de Letras de Talca.</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111-2026.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Extracontractual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M$ 886.273.</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Notificación con fecha 19 de febrero de 2026. Con fecha del 11 de marzo de 2026 oponen excepciones dilatorias por parte de demandado. Etapa en contestación.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34.1.91.-</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"Inmobiliaria Renval SpA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de febrero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28°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12.213-2025.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Extracontractual.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M$ 675.064.</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Notificación con fecha del 26 de febrero de 2026. A la fecha 18 de marzo de 2026 opone excepciones dilatorias.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34.1.92.-</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"Parque Fotovoltaico Chépica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20 de marzo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17.948-2025.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M$ 750.986.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Notificación.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34.1.93.-</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"Sergio Altamirano Cardenas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23 de marzo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13°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3.208-2026.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Extracontractual incendio.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M$ 260.000.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Notificación.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34.1.94.-</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"Barrios con CGE".</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31 de marzo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26°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3.828-2026.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Responsabilidad extracontractual por la muerte por electrocución.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M$ 400.000.</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Notificación.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53" w:type="dxa"/>
              <w:bottom w:w="0" w:type="dxa"/>
              <w:right w:w="53" w:type="dxa"/>
            </w:tcMar>
            <w:vAlign w:val="bottom"/>
          </w:tcPr>
          <w:p>
            <w:pPr>
              <w:pageBreakBefore w:val="0"/>
              <w:spacing w:before="43" w:after="20" w:line="240" w:lineRule="auto"/>
              <w:jc w:val="left"/>
            </w:pPr>
            <w:r>
              <w:rPr>
                <w:rFonts w:ascii="Calibri" w:eastAsia="Calibri" w:hAnsi="Calibri" w:cs="Calibri"/>
                <w:b w:val="0"/>
                <w:i w:val="0"/>
                <w:color w:val="000000"/>
                <w:sz w:val="20"/>
                <w:u w:val="none"/>
              </w:rPr>
              <w:t>34.1.95.-</w:t>
            </w: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Nombre del juicio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"Ingeniería y Construcciones San Bruno con CGE y otros".</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Fecha de inicio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31 de marzo de 2026</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Tribunal</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27° Juzgado Civil de Santiago.</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highlight w:val="white"/>
                <w:u w:val="none"/>
              </w:rPr>
              <w:t>Rol N°</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16.322-2025.</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Materia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Contractual.</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Cuantía</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M$ 321.072.</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Estado</w:t>
            </w:r>
          </w:p>
        </w:tc>
        <w:tc>
          <w:tcPr>
            <w:tcW w:w="16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w:t>
            </w:r>
          </w:p>
        </w:tc>
        <w:tc>
          <w:tcPr>
            <w:tcW w:w="534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both"/>
            </w:pPr>
            <w:r>
              <w:rPr>
                <w:rFonts w:ascii="Calibri" w:eastAsia="Calibri" w:hAnsi="Calibri" w:cs="Calibri"/>
                <w:b w:val="0"/>
                <w:i w:val="0"/>
                <w:color w:val="000000"/>
                <w:sz w:val="20"/>
                <w:u w:val="none"/>
              </w:rPr>
              <w:t>Notificación.</w:t>
            </w:r>
          </w:p>
        </w:tc>
      </w:tr>
      <w:tr>
        <w:tblPrEx>
          <w:tblW w:w="8115" w:type="dxa"/>
          <w:tblInd w:w="1417" w:type="dxa"/>
          <w:tblLayout w:type="fixed"/>
        </w:tblPrEx>
        <w:trPr>
          <w:cantSplit/>
          <w:trHeight w:hRule="auto" w:val="0"/>
        </w:trPr>
        <w:tc>
          <w:tcPr>
            <w:tcW w:w="88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72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16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534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tabs>
          <w:tab w:val="left" w:pos="24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 </w:t>
      </w: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yellow"/>
          <w:u w:val="none"/>
        </w:rPr>
        <w:t xml:space="preserve">En </w:t>
      </w:r>
      <w:r>
        <w:rPr>
          <w:rFonts w:ascii="Calibri" w:eastAsia="Calibri" w:hAnsi="Calibri" w:cs="Calibri"/>
          <w:b w:val="0"/>
          <w:i w:val="0"/>
          <w:color w:val="000000"/>
          <w:sz w:val="20"/>
          <w:highlight w:val="yellow"/>
          <w:u w:val="none"/>
        </w:rPr>
        <w:t>relación</w:t>
      </w:r>
      <w:r>
        <w:rPr>
          <w:rFonts w:ascii="Calibri" w:eastAsia="Calibri" w:hAnsi="Calibri" w:cs="Calibri"/>
          <w:b w:val="0"/>
          <w:i w:val="0"/>
          <w:color w:val="000000"/>
          <w:sz w:val="20"/>
          <w:highlight w:val="yellow"/>
          <w:u w:val="none"/>
        </w:rPr>
        <w:t xml:space="preserve"> a los </w:t>
      </w:r>
      <w:r>
        <w:rPr>
          <w:rFonts w:ascii="Calibri" w:eastAsia="Calibri" w:hAnsi="Calibri" w:cs="Calibri"/>
          <w:b w:val="0"/>
          <w:i w:val="0"/>
          <w:color w:val="000000"/>
          <w:sz w:val="20"/>
          <w:highlight w:val="yellow"/>
          <w:u w:val="none"/>
        </w:rPr>
        <w:t>litigios</w:t>
      </w:r>
      <w:r>
        <w:rPr>
          <w:rFonts w:ascii="Calibri" w:eastAsia="Calibri" w:hAnsi="Calibri" w:cs="Calibri"/>
          <w:b w:val="0"/>
          <w:i w:val="0"/>
          <w:color w:val="000000"/>
          <w:sz w:val="20"/>
          <w:highlight w:val="yellow"/>
          <w:u w:val="none"/>
        </w:rPr>
        <w:t xml:space="preserve"> anteriormente descritos, </w:t>
      </w:r>
      <w:r>
        <w:rPr>
          <w:rFonts w:ascii="Calibri" w:eastAsia="Calibri" w:hAnsi="Calibri" w:cs="Calibri"/>
          <w:b w:val="0"/>
          <w:i w:val="0"/>
          <w:color w:val="000000"/>
          <w:sz w:val="20"/>
          <w:highlight w:val="yellow"/>
          <w:u w:val="none"/>
        </w:rPr>
        <w:t xml:space="preserve">Compañía General </w:t>
      </w:r>
      <w:r>
        <w:rPr>
          <w:rFonts w:ascii="Calibri" w:eastAsia="Calibri" w:hAnsi="Calibri" w:cs="Calibri"/>
          <w:b w:val="0"/>
          <w:i w:val="0"/>
          <w:color w:val="000000"/>
          <w:sz w:val="20"/>
          <w:highlight w:val="yellow"/>
          <w:u w:val="none"/>
        </w:rPr>
        <w:t>de</w:t>
      </w:r>
      <w:r>
        <w:rPr>
          <w:rFonts w:ascii="Calibri" w:eastAsia="Calibri" w:hAnsi="Calibri" w:cs="Calibri"/>
          <w:b w:val="0"/>
          <w:i w:val="0"/>
          <w:color w:val="000000"/>
          <w:sz w:val="20"/>
          <w:highlight w:val="yellow"/>
          <w:u w:val="none"/>
        </w:rPr>
        <w:t xml:space="preserve"> Electricidad S.A.</w:t>
      </w:r>
      <w:r>
        <w:rPr>
          <w:rFonts w:ascii="Calibri" w:eastAsia="Calibri" w:hAnsi="Calibri" w:cs="Calibri"/>
          <w:b w:val="0"/>
          <w:i w:val="0"/>
          <w:color w:val="000000"/>
          <w:sz w:val="20"/>
          <w:highlight w:val="yellow"/>
          <w:u w:val="none"/>
        </w:rPr>
        <w:t xml:space="preserve"> ha constituido provisiones por M$</w:t>
      </w:r>
      <w:r>
        <w:rPr>
          <w:rFonts w:ascii="Calibri" w:eastAsia="Calibri" w:hAnsi="Calibri" w:cs="Calibri"/>
          <w:b w:val="0"/>
          <w:i w:val="0"/>
          <w:color w:val="000000"/>
          <w:sz w:val="20"/>
          <w:highlight w:val="yellow"/>
          <w:u w:val="none"/>
        </w:rPr>
        <w:t>xxx.xxx</w:t>
      </w:r>
      <w:r>
        <w:rPr>
          <w:rFonts w:ascii="Calibri" w:eastAsia="Calibri" w:hAnsi="Calibri" w:cs="Calibri"/>
          <w:b w:val="0"/>
          <w:i w:val="0"/>
          <w:color w:val="000000"/>
          <w:sz w:val="20"/>
          <w:highlight w:val="yellow"/>
          <w:u w:val="none"/>
        </w:rPr>
        <w:t xml:space="preserve"> al </w:t>
      </w:r>
      <w:r>
        <w:rPr>
          <w:rFonts w:ascii="Calibri" w:eastAsia="Calibri" w:hAnsi="Calibri" w:cs="Calibri"/>
          <w:b w:val="0"/>
          <w:i w:val="0"/>
          <w:color w:val="000000"/>
          <w:sz w:val="20"/>
          <w:highlight w:val="yellow"/>
          <w:u w:val="none"/>
        </w:rPr>
        <w:t>30 de junio de 2026</w:t>
      </w:r>
      <w:r>
        <w:rPr>
          <w:rFonts w:ascii="Calibri" w:eastAsia="Calibri" w:hAnsi="Calibri" w:cs="Calibri"/>
          <w:b w:val="0"/>
          <w:i w:val="0"/>
          <w:color w:val="000000"/>
          <w:sz w:val="20"/>
          <w:highlight w:val="yellow"/>
          <w:u w:val="none"/>
        </w:rPr>
        <w:t xml:space="preserve"> (</w:t>
      </w:r>
      <w:r>
        <w:rPr>
          <w:rFonts w:ascii="Calibri" w:eastAsia="Calibri" w:hAnsi="Calibri" w:cs="Calibri"/>
          <w:b w:val="0"/>
          <w:i w:val="0"/>
          <w:color w:val="000000"/>
          <w:sz w:val="20"/>
          <w:highlight w:val="yellow"/>
          <w:u w:val="none"/>
        </w:rPr>
        <w:t>M$</w:t>
      </w:r>
      <w:r>
        <w:rPr>
          <w:rFonts w:ascii="Calibri" w:eastAsia="Calibri" w:hAnsi="Calibri" w:cs="Calibri"/>
          <w:b w:val="0"/>
          <w:i w:val="0"/>
          <w:color w:val="000000"/>
          <w:sz w:val="20"/>
          <w:highlight w:val="yellow"/>
          <w:u w:val="none"/>
        </w:rPr>
        <w:t>xxx.xxx</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highlight w:val="yellow"/>
          <w:u w:val="none"/>
        </w:rPr>
        <w:t xml:space="preserve">al </w:t>
      </w:r>
      <w:r>
        <w:rPr>
          <w:rFonts w:ascii="Calibri" w:eastAsia="Calibri" w:hAnsi="Calibri" w:cs="Calibri"/>
          <w:b w:val="0"/>
          <w:i w:val="0"/>
          <w:color w:val="000000"/>
          <w:sz w:val="20"/>
          <w:highlight w:val="yellow"/>
          <w:u w:val="none"/>
        </w:rPr>
        <w:t>31 de diciembre de 2025</w:t>
      </w:r>
      <w:r>
        <w:rPr>
          <w:rFonts w:ascii="Calibri" w:eastAsia="Calibri" w:hAnsi="Calibri" w:cs="Calibri"/>
          <w:b w:val="0"/>
          <w:i w:val="0"/>
          <w:color w:val="000000"/>
          <w:sz w:val="20"/>
          <w:highlight w:val="yellow"/>
          <w:u w:val="none"/>
        </w:rPr>
        <w:t>)</w:t>
      </w:r>
      <w:r>
        <w:rPr>
          <w:rFonts w:ascii="Calibri" w:eastAsia="Calibri" w:hAnsi="Calibri" w:cs="Calibri"/>
          <w:b w:val="0"/>
          <w:i w:val="0"/>
          <w:color w:val="000000"/>
          <w:sz w:val="20"/>
          <w:highlight w:val="yellow"/>
          <w:u w:val="none"/>
        </w:rPr>
        <w:t xml:space="preserve"> (ver Nota 2</w:t>
      </w:r>
      <w:r>
        <w:rPr>
          <w:rFonts w:ascii="Calibri" w:eastAsia="Calibri" w:hAnsi="Calibri" w:cs="Calibri"/>
          <w:b w:val="0"/>
          <w:i w:val="0"/>
          <w:color w:val="000000"/>
          <w:sz w:val="20"/>
          <w:highlight w:val="yellow"/>
          <w:u w:val="none"/>
        </w:rPr>
        <w:t>2</w:t>
      </w:r>
      <w:r>
        <w:rPr>
          <w:rFonts w:ascii="Calibri" w:eastAsia="Calibri" w:hAnsi="Calibri" w:cs="Calibri"/>
          <w:b w:val="0"/>
          <w:i w:val="0"/>
          <w:color w:val="000000"/>
          <w:sz w:val="20"/>
          <w:highlight w:val="yellow"/>
          <w:u w:val="none"/>
        </w:rPr>
        <w:t>).</w:t>
      </w:r>
      <w:r>
        <w:rPr>
          <w:rFonts w:ascii="Calibri" w:eastAsia="Calibri" w:hAnsi="Calibri" w:cs="Calibri"/>
          <w:b w:val="0"/>
          <w:i w:val="0"/>
          <w:color w:val="000000"/>
          <w:sz w:val="20"/>
          <w:highlight w:val="yellow"/>
          <w:u w:val="none"/>
        </w:rPr>
        <w:t xml:space="preserve"> </w:t>
      </w:r>
      <w:r>
        <w:rPr>
          <w:rFonts w:ascii="Calibri" w:eastAsia="Calibri" w:hAnsi="Calibri" w:cs="Calibri"/>
          <w:b w:val="0"/>
          <w:i w:val="0"/>
          <w:color w:val="000000"/>
          <w:sz w:val="20"/>
          <w:highlight w:val="yellow"/>
          <w:u w:val="none"/>
        </w:rPr>
        <w:t>Existen otros litigios que también tienen provisiones asociadas, pero que no son</w:t>
      </w:r>
      <w:r>
        <w:rPr>
          <w:rFonts w:ascii="Calibri" w:eastAsia="Calibri" w:hAnsi="Calibri" w:cs="Calibri"/>
          <w:b w:val="0"/>
          <w:i w:val="0"/>
          <w:color w:val="000000"/>
          <w:sz w:val="20"/>
          <w:highlight w:val="yellow"/>
          <w:u w:val="none"/>
        </w:rPr>
        <w:t xml:space="preserve"> </w:t>
      </w:r>
      <w:r>
        <w:rPr>
          <w:rFonts w:ascii="Calibri" w:eastAsia="Calibri" w:hAnsi="Calibri" w:cs="Calibri"/>
          <w:b w:val="0"/>
          <w:i w:val="0"/>
          <w:color w:val="000000"/>
          <w:sz w:val="20"/>
          <w:highlight w:val="yellow"/>
          <w:u w:val="none"/>
        </w:rPr>
        <w:t>descritos en esta nota ya que individualmente representan montos de menor cuantía. La Administración</w:t>
      </w:r>
      <w:r>
        <w:rPr>
          <w:rFonts w:ascii="Calibri" w:eastAsia="Calibri" w:hAnsi="Calibri" w:cs="Calibri"/>
          <w:b w:val="0"/>
          <w:i w:val="0"/>
          <w:color w:val="000000"/>
          <w:sz w:val="20"/>
          <w:highlight w:val="yellow"/>
          <w:u w:val="none"/>
        </w:rPr>
        <w:t xml:space="preserve"> </w:t>
      </w:r>
      <w:r>
        <w:rPr>
          <w:rFonts w:ascii="Calibri" w:eastAsia="Calibri" w:hAnsi="Calibri" w:cs="Calibri"/>
          <w:b w:val="0"/>
          <w:i w:val="0"/>
          <w:color w:val="000000"/>
          <w:sz w:val="20"/>
          <w:highlight w:val="yellow"/>
          <w:u w:val="none"/>
        </w:rPr>
        <w:t>considera que las provisiones registradas cubren adecuadamente los riesgos por litigios, por lo que no esperan</w:t>
      </w:r>
      <w:r>
        <w:rPr>
          <w:rFonts w:ascii="Calibri" w:eastAsia="Calibri" w:hAnsi="Calibri" w:cs="Calibri"/>
          <w:b w:val="0"/>
          <w:i w:val="0"/>
          <w:color w:val="000000"/>
          <w:sz w:val="20"/>
          <w:highlight w:val="yellow"/>
          <w:u w:val="none"/>
        </w:rPr>
        <w:t xml:space="preserve"> </w:t>
      </w:r>
      <w:r>
        <w:rPr>
          <w:rFonts w:ascii="Calibri" w:eastAsia="Calibri" w:hAnsi="Calibri" w:cs="Calibri"/>
          <w:b w:val="0"/>
          <w:i w:val="0"/>
          <w:color w:val="000000"/>
          <w:sz w:val="20"/>
          <w:highlight w:val="yellow"/>
          <w:u w:val="none"/>
        </w:rPr>
        <w:t>que de las mismas se desprendan pasivos adicionales a los ya registrados.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highlight w:val="yellow"/>
          <w:u w:val="none"/>
        </w:rPr>
        <w:t xml:space="preserve">Dadas las características de los riesgos que </w:t>
      </w:r>
      <w:r>
        <w:rPr>
          <w:rFonts w:ascii="Calibri" w:eastAsia="Calibri" w:hAnsi="Calibri" w:cs="Calibri"/>
          <w:b w:val="0"/>
          <w:i w:val="0"/>
          <w:color w:val="000000"/>
          <w:sz w:val="20"/>
          <w:highlight w:val="yellow"/>
          <w:u w:val="none"/>
        </w:rPr>
        <w:t>cubren</w:t>
      </w:r>
      <w:r>
        <w:rPr>
          <w:rFonts w:ascii="Calibri" w:eastAsia="Calibri" w:hAnsi="Calibri" w:cs="Calibri"/>
          <w:b w:val="0"/>
          <w:i w:val="0"/>
          <w:color w:val="000000"/>
          <w:sz w:val="20"/>
          <w:highlight w:val="yellow"/>
          <w:u w:val="none"/>
        </w:rPr>
        <w:t xml:space="preserve"> estas </w:t>
      </w:r>
      <w:r>
        <w:rPr>
          <w:rFonts w:ascii="Calibri" w:eastAsia="Calibri" w:hAnsi="Calibri" w:cs="Calibri"/>
          <w:b w:val="0"/>
          <w:i w:val="0"/>
          <w:color w:val="000000"/>
          <w:sz w:val="20"/>
          <w:highlight w:val="yellow"/>
          <w:u w:val="none"/>
        </w:rPr>
        <w:t>provisiones</w:t>
      </w:r>
      <w:r>
        <w:rPr>
          <w:rFonts w:ascii="Calibri" w:eastAsia="Calibri" w:hAnsi="Calibri" w:cs="Calibri"/>
          <w:b w:val="0"/>
          <w:i w:val="0"/>
          <w:color w:val="000000"/>
          <w:sz w:val="20"/>
          <w:highlight w:val="yellow"/>
          <w:u w:val="none"/>
        </w:rPr>
        <w:t>, no es posible determinar un calendario</w:t>
      </w:r>
      <w:r>
        <w:rPr>
          <w:rFonts w:ascii="Calibri" w:eastAsia="Calibri" w:hAnsi="Calibri" w:cs="Calibri"/>
          <w:b w:val="0"/>
          <w:i w:val="0"/>
          <w:color w:val="000000"/>
          <w:sz w:val="20"/>
          <w:highlight w:val="yellow"/>
          <w:u w:val="none"/>
        </w:rPr>
        <w:t xml:space="preserve"> </w:t>
      </w:r>
      <w:r>
        <w:rPr>
          <w:rFonts w:ascii="Calibri" w:eastAsia="Calibri" w:hAnsi="Calibri" w:cs="Calibri"/>
          <w:b w:val="0"/>
          <w:i w:val="0"/>
          <w:color w:val="000000"/>
          <w:sz w:val="20"/>
          <w:highlight w:val="yellow"/>
          <w:u w:val="none"/>
        </w:rPr>
        <w:t>razonable de fechas de pago si, en su caso, las hubiese.</w:t>
      </w:r>
    </w:p>
    <w:p>
      <w:pPr>
        <w:keepNext w:val="0"/>
        <w:keepLines/>
        <w:pageBreakBefore w:val="0"/>
        <w:widowControl w:val="0"/>
        <w:numPr>
          <w:ilvl w:val="0"/>
          <w:numId w:val="0"/>
        </w:numPr>
        <w:tabs>
          <w:tab w:val="left" w:pos="2400"/>
        </w:tabs>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2400"/>
        </w:tabs>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14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298" w:name="Section153"/>
      <w:bookmarkEnd w:id="298"/>
      <w:bookmarkStart w:id="299" w:name="17a10fb3201f4cf2b5daaa8106778b28"/>
      <w:r>
        <w:rPr>
          <w:rFonts w:ascii="Calibri" w:eastAsia="Calibri" w:hAnsi="Calibri" w:cs="Calibri"/>
          <w:b/>
          <w:i w:val="0"/>
          <w:color w:val="000000"/>
          <w:sz w:val="20"/>
          <w:u w:val="none"/>
        </w:rPr>
        <w:t>34.2.-</w:t>
      </w:r>
      <w:r>
        <w:rPr>
          <w:rFonts w:ascii="Calibri" w:eastAsia="Calibri" w:hAnsi="Calibri" w:cs="Calibri"/>
          <w:b/>
          <w:i w:val="0"/>
          <w:color w:val="000000"/>
          <w:sz w:val="20"/>
          <w:u w:val="none"/>
        </w:rPr>
        <w:tab/>
      </w:r>
      <w:r>
        <w:rPr>
          <w:rFonts w:ascii="Calibri" w:eastAsia="Calibri" w:hAnsi="Calibri" w:cs="Calibri"/>
          <w:b/>
          <w:i w:val="0"/>
          <w:color w:val="000000"/>
          <w:sz w:val="20"/>
          <w:u w:val="none"/>
        </w:rPr>
        <w:t>Sanciones administrativas.</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bookmarkEnd w:id="299"/>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11.963 de fecha de 4 de mayo de 2022, la Superintendencia de Electricidad y Combustibles impuso una multa por 3.300 UTM: Incumplimiento de índice SAIDI en comunas de la Región de Tarapacá. Con fecha 11 de mayo de 2022 se presentó ante la Superintendencia de Electricidad y Combustibles recurso de reposición el cual fue rechazado mediante Resolución N° 35.434, por lo que se presentó reclamo de ilegalidad ante la Corte de Apelaciones, la que finalmente rechazó el reclamo quedando firme la multa. Actualmente se encuentra pendiente publicación de folio para pago.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11.960 de fecha 4 de mayo de 2022, la Superintendencia de Electricidad y Combustibles impuso una multa por 3.800 UTM: Incumplimiento de índice SAIDI en comunas de la Región de la Araucanía. Con fecha 11 de mayo de 2022 se presentó ante la Superintendencia de Electricidad y Combustibles recurso de reposición el cual fue rechazado mediante Resolución N° 35.437, por lo que se presentó reclamo de ilegalidad ante la Corte de Apelaciones, la que finalmente rechazó el reclamo, quedando firme la multa. Multa compensada por 1.000 UTM, pendiente de pago 2.800 UTM, actualmente se encuentra pendiente publicación de folio para pago.</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w:t>
      </w:r>
      <w:r>
        <w:rPr>
          <w:rFonts w:ascii="Calibri" w:eastAsia="Calibri" w:hAnsi="Calibri" w:cs="Calibri"/>
          <w:b w:val="0"/>
          <w:i w:val="0"/>
          <w:sz w:val="20"/>
        </w:rPr>
        <w:t>ediante Resolución Exenta SEC N° 11.957 de fecha 4 de mayo de 2022, la Superintendencia de Electricidad y Combustibles impuso una multa por 24.600 UTM: Incumplimiento de índice SAIDI en comuna de la Región de Antofagasta. Con fecha 11 de mayo de 2022 se presentó ante la Superintendencia de Electricidad y Combustibles recurso de reposición el cual fue rechazado mediante Resolución N° 35.433, por lo que se presentó reclamo de ilegalidad ante la Corte de Apelaciones, la que mediante sentencia de fecha 15 de septiembre 2023 lo rechazó. Por lo mismo, se presentó recurso ante la Corte Suprema que confirmó la sentencia de la Corte de Apelaciones, quedando firme la multa. Actualmente se encuentra pendiente publicación de folio para pago.</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17.944 de fecha 30 de junio de 2023, la Superintendencia de Electricidad y Combustibles impuso una multa por 3.500 UTM: Mantenimiento instalaciones eléctricas, accidente con resultado de muerte en comuna de Villarrica. Con fecha 7 de julio de 2023 se presentó ante Superintendencia de Electricidad y Combustibles recurso de reposición el cual fue rechazado. Por lo mismo se presentó reclamo ante la Corte de Apelaciones, el que fue rechazado, por lo que se presentó un recurso de apelación. En ese sentido, con fecha 27 de mayo de 2025 la Corte Suprema rechazó la reclamación quedando firme la multa. Actualmente se encuentra pendiente publicación de folio para pago.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21.363 de fecha 14 de diciembre de 2023, la Superintendencia de Electricidad y Combustibles impuso una multa por 3.000 UTM: Incumplimiento de índice SAIDI 2021 en comunas de la Región de O’Higgins. Con fecha 21 de diciembre de 2023 se presentó ante Superintendencia de Electricidad y Combustibles recurso de reposición el cual fue rechazado. Por lo mismo, se presentó reclamo ante la Corte de Apelaciones, que lo rechazó con fecha 29 de mayo 2024, por lo que se presentó un recurso de apelación con el objeto de que resuelva la Corte Suprema, el que fue rechazado con fecha 8 de abril del año 2025. Actualmente se encuentra pendiente publicación de folio para pago.</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Mediante Resolución Exenta SEC N° 21.368 de fecha 14 de diciembre de 2023, la Superintendencia de Electricidad y Combustibles impuso una multa por 10.000 UTM: Incumplimiento de índice SAIDI 2021 en comunas de la Región de Atacama. Con fecha 21 de diciembre de 2023 se presentó ante Superintendencia de Electricidad y Combustibles recurso de reposición el cual fue rechazado. Por lo mismo se presentó reclamo ante la Corte de Apelaciones, el que fue rechazado. Con fecha 15 de noviembre de 2024, se presenta recurso de apelación ante la Corte Suprema, el que fue rechazado con fecha 8 de abril del año 2025. Actualmente se encuentra pendiente publicación de folio para pago.</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2"/>
          <w:u w:val="none"/>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34.2.7.-</w:t>
      </w:r>
      <w:r>
        <w:rPr>
          <w:rFonts w:ascii="Calibri" w:eastAsia="Calibri" w:hAnsi="Calibri" w:cs="Calibri"/>
          <w:b w:val="0"/>
          <w:i w:val="0"/>
          <w:color w:val="000000"/>
          <w:sz w:val="20"/>
          <w:u w:val="none"/>
        </w:rPr>
        <w:tab/>
      </w:r>
      <w:r>
        <w:rPr>
          <w:rFonts w:ascii="Calibri" w:eastAsia="Calibri" w:hAnsi="Calibri" w:cs="Calibri"/>
          <w:b w:val="0"/>
          <w:i w:val="0"/>
          <w:sz w:val="20"/>
        </w:rPr>
        <w:t>Med</w:t>
      </w:r>
      <w:r>
        <w:rPr>
          <w:rFonts w:ascii="Calibri" w:eastAsia="Calibri" w:hAnsi="Calibri" w:cs="Calibri"/>
          <w:b w:val="0"/>
          <w:i w:val="0"/>
          <w:color w:val="000000"/>
          <w:sz w:val="20"/>
          <w:u w:val="none"/>
        </w:rPr>
        <w:t>iante Resolución Exenta SEC N° 25.026 de fecha 6 de mayo de 2024, la Superintendencia de Electricidad y Combustibles impuso una multa por 30.000 UTM: Infracción a la medición de consumo no registrado a clientes en año 2023. Se presentó recurso de reposición ante la Superintendencia de Electricidad y Combustibles el día 12 de mayo de 2024.</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34.2.8.-</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25.190 de fecha 13 de mayo de 2024, la</w:t>
      </w:r>
      <w:r>
        <w:rPr>
          <w:rFonts w:ascii="Calibri" w:eastAsia="Calibri" w:hAnsi="Calibri" w:cs="Calibri"/>
          <w:b w:val="0"/>
          <w:i w:val="0"/>
          <w:sz w:val="24"/>
        </w:rPr>
        <w:t xml:space="preserve"> </w:t>
      </w:r>
      <w:r>
        <w:rPr>
          <w:rFonts w:ascii="Calibri" w:eastAsia="Calibri" w:hAnsi="Calibri" w:cs="Calibri"/>
          <w:b w:val="0"/>
          <w:i w:val="0"/>
          <w:sz w:val="20"/>
        </w:rPr>
        <w:t>Superintendencia de Electricidad y Combustibles impuso una multa por 40.000 UTM: Infracción a la obligación de giro exclusivo de distribución. Se presentó recurso de reposición ante la Superintendencia de Electricidad y Combustibles el día 20 de mayo de 2024.</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34.2.9.-</w:t>
      </w:r>
      <w:r>
        <w:rPr>
          <w:rFonts w:ascii="Calibri" w:eastAsia="Calibri" w:hAnsi="Calibri" w:cs="Calibri"/>
          <w:b w:val="0"/>
          <w:i w:val="0"/>
          <w:sz w:val="20"/>
        </w:rPr>
        <w:tab/>
      </w:r>
      <w:r>
        <w:rPr>
          <w:rFonts w:ascii="Calibri" w:eastAsia="Calibri" w:hAnsi="Calibri" w:cs="Calibri"/>
          <w:b w:val="0"/>
          <w:i w:val="0"/>
          <w:sz w:val="20"/>
        </w:rPr>
        <w:t>Mediante Resolución Exenta SEC N° 27.656 de fecha 16 de septiembre de 2024, la Superintendencia de Electricidad y Combustibles impuso una multa por 55.000 UTM: Incumplimiento de índice SAIDI año 2022 en comunas de la Región de O’Higgins. Con fecha 25 de septiembre de 2024 se presentó ante la Superintendencia de Electricidad y Combustibles recurso de reposición, el que fue rechazado mediante la Resolución Exenta N° 36.640, se presentó reclamación de ilegalidad ante la Corte de Apelaciones el cual con fecha 11 de noviembre de 2025 fue rechazado, con fecha 21 de diciembre de 2025 se interpone recurso de apelación ante la Corte Suprema, el cual fue rechazado con fecha 14 de enero de 2026, encontrándose la multa firme y en proceso de pago.</w:t>
      </w:r>
    </w:p>
    <w:p>
      <w:pPr>
        <w:keepNext w:val="0"/>
        <w:keepLines/>
        <w:pageBreakBefore w:val="0"/>
        <w:widowControl w:val="0"/>
        <w:numPr>
          <w:ilvl w:val="0"/>
          <w:numId w:val="0"/>
        </w:numPr>
        <w:tabs>
          <w:tab w:val="left" w:pos="700"/>
        </w:tabs>
        <w:spacing w:before="0" w:after="0" w:line="288" w:lineRule="auto"/>
        <w:ind w:left="2268" w:right="0" w:hanging="85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34.2.10.-</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27.692 de fecha 23 de septiembre de 2024, la Superintendencia de Electricidad y Combustibles impuso una multa por 7.400 UTM: Incumplimiento de índice SAIDI año 2022 en comunas de la Región Metropolitana. Con fecha 30 de septiembre de 2024 se presentó recurso de reposición ante la Superintendencia de Electricidad y Combustibles el que fue rechazado mediante la Resolución Exenta N° 36.641, se presentó reclamación de ilegalidad ante la Corte de Apelaciones el que fue rechazado con fecha 24 de noviembre de 2025, se interpone apelación en contra de dicha sentencia con fecha 5 de diciembre de 2025, la cual es rechazada en Rol N° 56.126-2025 por la Corte Suprema el día 19 de diciembre de 2025.</w:t>
      </w:r>
    </w:p>
    <w:p>
      <w:pPr>
        <w:keepNext w:val="0"/>
        <w:keepLines/>
        <w:pageBreakBefore w:val="0"/>
        <w:widowControl w:val="0"/>
        <w:numPr>
          <w:ilvl w:val="0"/>
          <w:numId w:val="0"/>
        </w:numPr>
        <w:tabs>
          <w:tab w:val="left" w:pos="700"/>
        </w:tabs>
        <w:spacing w:before="0" w:after="0" w:line="288" w:lineRule="auto"/>
        <w:ind w:left="2268" w:right="0" w:hanging="85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sz w:val="20"/>
        </w:rPr>
      </w:pPr>
      <w:r>
        <w:rPr>
          <w:rFonts w:ascii="Calibri" w:eastAsia="Calibri" w:hAnsi="Calibri" w:cs="Calibri"/>
          <w:b w:val="0"/>
          <w:i w:val="0"/>
          <w:sz w:val="20"/>
        </w:rPr>
        <w:t>34.2.11.-</w:t>
      </w:r>
      <w:r>
        <w:rPr>
          <w:rFonts w:ascii="Calibri" w:eastAsia="Calibri" w:hAnsi="Calibri" w:cs="Calibri"/>
          <w:b w:val="0"/>
          <w:i w:val="0"/>
          <w:sz w:val="20"/>
        </w:rPr>
        <w:tab/>
      </w:r>
      <w:r>
        <w:rPr>
          <w:rFonts w:ascii="Calibri" w:eastAsia="Calibri" w:hAnsi="Calibri" w:cs="Calibri"/>
          <w:b w:val="0"/>
          <w:i w:val="0"/>
          <w:sz w:val="20"/>
        </w:rPr>
        <w:t>Mediante Resolución Exenta SEC N° 27.693 de fecha 23 de septiembre de 2024, la Superintendencia de Electricidad y Combustibles impuso una multa por 6.000 UTM: Incumplimiento de índice SAIDI año 2022 en comunas de la Región de Coquimbo. Con fecha 30 de septiembre de 2024 se presentó ante la Superintendencia de Electricidad y Combustibles recurso de reposición, el que fue rechazado mediante la Resolución Exenta N° 36.638, se presentó reclamación de ilegalidad ante la Corte de Apelaciones, la cual fue rechazada con fecha 11 de noviembre de 2025 interponiéndose el recurso de apelación ante la Corte Suprema Rol N° 53.396-2025 el cual se encuentra en estado de acuerdo.</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34.2.12.-</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27.723 de fecha 26 de septiembre de 2024, la Superintendencia de Electricidad y Combustibles impuso una multa por 40.000 UTM: Incumplimiento de índice SAIDI año 2022 en comunas de la Región de la Araucanía. Con fecha 8 de agosto de 2025 se presenta recurso de apelación ante la Corte de Apelaciones de Santiago. Rol N° 34.453-2025, el cual es confirmado con fecha 4 de septiembre de 2025. Se encuentra pendiente de pago.</w:t>
      </w:r>
    </w:p>
    <w:p>
      <w:pPr>
        <w:keepNext w:val="0"/>
        <w:keepLines/>
        <w:pageBreakBefore w:val="0"/>
        <w:widowControl w:val="0"/>
        <w:numPr>
          <w:ilvl w:val="0"/>
          <w:numId w:val="0"/>
        </w:numPr>
        <w:tabs>
          <w:tab w:val="left" w:pos="700"/>
        </w:tabs>
        <w:spacing w:before="0" w:after="0" w:line="257" w:lineRule="auto"/>
        <w:ind w:left="2126" w:right="0" w:hanging="709"/>
        <w:jc w:val="both"/>
        <w:outlineLvl w:val="9"/>
        <w:rPr>
          <w:rFonts w:ascii="Calibri" w:eastAsia="Calibri" w:hAnsi="Calibri" w:cs="Calibri"/>
          <w:b w:val="0"/>
          <w:i w:val="0"/>
          <w:color w:val="000000"/>
          <w:sz w:val="24"/>
          <w:u w:val="none"/>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34.2.13.-</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29.385 de fecha 12 de diciembre de 2024, la Superintendencia de Electricidad y Combustibles impuso una multa por 5.800 UTM: Incumplimiento en los plazos de emisión de Informe de Criterios de Conexión a 30 proyectos PMGD. Con fecha 19 de diciembre de 2024 se presentó ante la Superintendencia de Electricidad y Combustibles recurso de reposición el que está pendiente de resolución.</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34.2.14.-</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31.933 de fecha 9 de mayo de 2025, la Superintendencia de Electricidad y Combustibles impuso una multa por 20.000 UTM: Incumplimiento al deber de mantenimiento en comunas de Rengo y Requínoa. Con fecha 9 de mayo de 2025 se notificó la Resolución Exenta N° 31.933, que sanciona a CGE con una multa de 20.000 UTM por incumplimiento a su deber de mantenimiento en las comunas de Rengo y Requínoa. En contra de la resolución se presenta recurso de reposición el día 16 de mayo del mismo año, alegando, entre otras cosas, la falta de proporcionalidad de la multa.</w:t>
      </w:r>
    </w:p>
    <w:p>
      <w:pPr>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4"/>
          <w:u w:val="none"/>
        </w:rPr>
      </w:pPr>
      <w:r>
        <w:rPr>
          <w:rFonts w:ascii="Calibri" w:eastAsia="Calibri" w:hAnsi="Calibri" w:cs="Calibri"/>
          <w:b w:val="0"/>
          <w:i w:val="0"/>
          <w:color w:val="000000"/>
          <w:sz w:val="20"/>
          <w:u w:val="none"/>
        </w:rPr>
        <w:t>34.2.15.-</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35.096 de fecha 30 de septiembre de 2025, la Superintendencia de Electricidad y Combustibles impuso una multa por 3.000 UTM: Por infracción al índice SAIDI de la comuna de O´Higgins en 2023. Con fecha 7 de octubre de 2025 se presenta recurso de reposición el cual Fue rechazado por Resolución Exenta N° 37.262 de fecha 17 de marzo de 2026, encontrándose pendiente interponer reclamación de ilegalidad ante la Corte de Apelaciones.</w:t>
      </w:r>
    </w:p>
    <w:p>
      <w:pPr>
        <w:keepNext w:val="0"/>
        <w:keepLines/>
        <w:pageBreakBefore w:val="0"/>
        <w:widowControl w:val="0"/>
        <w:numPr>
          <w:ilvl w:val="0"/>
          <w:numId w:val="0"/>
        </w:numPr>
        <w:tabs>
          <w:tab w:val="left" w:pos="700"/>
        </w:tabs>
        <w:spacing w:before="0" w:after="0" w:line="288" w:lineRule="auto"/>
        <w:ind w:left="2268" w:right="0" w:hanging="85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4"/>
          <w:u w:val="none"/>
        </w:rPr>
      </w:pPr>
      <w:r>
        <w:rPr>
          <w:rFonts w:ascii="Calibri" w:eastAsia="Calibri" w:hAnsi="Calibri" w:cs="Calibri"/>
          <w:b w:val="0"/>
          <w:i w:val="0"/>
          <w:color w:val="000000"/>
          <w:sz w:val="20"/>
          <w:u w:val="none"/>
        </w:rPr>
        <w:t>34.2.16.-</w:t>
      </w:r>
      <w:r>
        <w:rPr>
          <w:rFonts w:ascii="Calibri" w:eastAsia="Calibri" w:hAnsi="Calibri" w:cs="Calibri"/>
          <w:b w:val="0"/>
          <w:i w:val="0"/>
          <w:color w:val="000000"/>
          <w:sz w:val="20"/>
          <w:u w:val="none"/>
        </w:rPr>
        <w:tab/>
      </w:r>
      <w:r>
        <w:rPr>
          <w:rFonts w:ascii="Calibri" w:eastAsia="Calibri" w:hAnsi="Calibri" w:cs="Calibri"/>
          <w:b w:val="0"/>
          <w:i w:val="0"/>
          <w:sz w:val="20"/>
        </w:rPr>
        <w:t xml:space="preserve">Mediante Resolución Exenta SEC N° 35.584 de fecha 21 de octubre de 2025, la Superintendencia de Electricidad y Combustibles impuso una multa por 10.000 UTM: Por infracción al índice SAIDI de la región de La Araucanía en 2023. Con fecha 28 de octubre de 2025 se presenta recurso de reposición, el cual es rechazado por la Superintendencia de Electricidad y Combustible manteniendo la multa. Se presenta recurso de ilegalidad ante la Corte de Apelaciones con fecha 12 de enero de 2026. </w:t>
      </w:r>
    </w:p>
    <w:p>
      <w:pPr>
        <w:keepNext w:val="0"/>
        <w:keepLines/>
        <w:pageBreakBefore w:val="0"/>
        <w:widowControl w:val="0"/>
        <w:numPr>
          <w:ilvl w:val="0"/>
          <w:numId w:val="0"/>
        </w:numPr>
        <w:tabs>
          <w:tab w:val="left" w:pos="700"/>
        </w:tabs>
        <w:spacing w:before="0" w:after="0" w:line="288" w:lineRule="auto"/>
        <w:ind w:left="2268" w:right="0" w:hanging="85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34.2.17.-</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35.692 de fecha 22 de octubre de 2025, la Superintendencia de Electricidad y Combustibles impuso una multa por 80.000 UTM: Por los errores de facturación en la comuna de Maule-O´Higgins. Con fecha 29 de octubre de 2025 se presenta recurso de reposición el cual se encuentra pendiente.</w:t>
      </w:r>
    </w:p>
    <w:p>
      <w:pPr>
        <w:keepNext w:val="0"/>
        <w:keepLines/>
        <w:pageBreakBefore w:val="0"/>
        <w:widowControl w:val="0"/>
        <w:numPr>
          <w:ilvl w:val="0"/>
          <w:numId w:val="0"/>
        </w:numPr>
        <w:tabs>
          <w:tab w:val="left" w:pos="700"/>
        </w:tabs>
        <w:spacing w:before="0" w:after="0" w:line="288" w:lineRule="auto"/>
        <w:ind w:left="2268" w:right="0" w:hanging="85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4"/>
          <w:u w:val="none"/>
        </w:rPr>
      </w:pPr>
      <w:r>
        <w:rPr>
          <w:rFonts w:ascii="Calibri" w:eastAsia="Calibri" w:hAnsi="Calibri" w:cs="Calibri"/>
          <w:b w:val="0"/>
          <w:i w:val="0"/>
          <w:color w:val="000000"/>
          <w:sz w:val="20"/>
          <w:u w:val="none"/>
        </w:rPr>
        <w:t>34.2.18.-</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35.693 de fecha 22 de octubre de 2025, la Superintendencia de Electricidad y Combustibles impuso una multa por 5.000 UTM: Por entrega de información incompleta en CNR. Con fecha 29 de octubre de 2025 se presenta recurso de reposición, el cual es rechazado por la Superintendencia de Electricidad y Combustible, con fecha 12 de enero de 2026 se presenta recurso de ilegalidad ante la Corte de Apelaciones.</w:t>
      </w:r>
    </w:p>
    <w:p>
      <w:pPr>
        <w:keepNext w:val="0"/>
        <w:keepLines/>
        <w:pageBreakBefore w:val="0"/>
        <w:widowControl w:val="0"/>
        <w:numPr>
          <w:ilvl w:val="0"/>
          <w:numId w:val="0"/>
        </w:numPr>
        <w:tabs>
          <w:tab w:val="left" w:pos="700"/>
        </w:tabs>
        <w:spacing w:before="0" w:after="0" w:line="288" w:lineRule="auto"/>
        <w:ind w:left="2268" w:right="0" w:hanging="85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268" w:right="0" w:hanging="850"/>
        <w:jc w:val="both"/>
        <w:outlineLvl w:val="9"/>
        <w:rPr>
          <w:rFonts w:ascii="Calibri" w:eastAsia="Calibri" w:hAnsi="Calibri" w:cs="Calibri"/>
          <w:b w:val="0"/>
          <w:i w:val="0"/>
          <w:color w:val="000000"/>
          <w:sz w:val="22"/>
          <w:u w:val="none"/>
        </w:rPr>
      </w:pPr>
      <w:r>
        <w:rPr>
          <w:rFonts w:ascii="Calibri" w:eastAsia="Calibri" w:hAnsi="Calibri" w:cs="Calibri"/>
          <w:b w:val="0"/>
          <w:i w:val="0"/>
          <w:color w:val="000000"/>
          <w:sz w:val="20"/>
          <w:u w:val="none"/>
        </w:rPr>
        <w:t>34.2.19.-</w:t>
      </w:r>
      <w:r>
        <w:rPr>
          <w:rFonts w:ascii="Calibri" w:eastAsia="Calibri" w:hAnsi="Calibri" w:cs="Calibri"/>
          <w:b w:val="0"/>
          <w:i w:val="0"/>
          <w:color w:val="000000"/>
          <w:sz w:val="20"/>
          <w:u w:val="none"/>
        </w:rPr>
        <w:tab/>
      </w:r>
      <w:r>
        <w:rPr>
          <w:rFonts w:ascii="Calibri" w:eastAsia="Calibri" w:hAnsi="Calibri" w:cs="Calibri"/>
          <w:b w:val="0"/>
          <w:i w:val="0"/>
          <w:sz w:val="20"/>
        </w:rPr>
        <w:t>Mediante Resolución Exenta SEC N° 35.981 de fecha 6 de noviembre de 2025, la Superintendencia de Electricidad y Combustibles impuso una multa por 15.500 UTM: Por infracción al indicador SAIDI en la Región del Maule en el año 2023. Con fecha 13 de noviembre de 2025 se presenta recurso de reposición.</w:t>
      </w:r>
    </w:p>
    <w:p>
      <w:pPr>
        <w:keepNext w:val="0"/>
        <w:keepLines/>
        <w:pageBreakBefore w:val="0"/>
        <w:widowControl w:val="0"/>
        <w:numPr>
          <w:ilvl w:val="0"/>
          <w:numId w:val="0"/>
        </w:numPr>
        <w:tabs>
          <w:tab w:val="left" w:pos="700"/>
        </w:tabs>
        <w:spacing w:before="0" w:after="0" w:line="288" w:lineRule="auto"/>
        <w:ind w:left="2268" w:right="0" w:hanging="85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2268" w:right="0" w:hanging="850"/>
        <w:jc w:val="both"/>
        <w:outlineLvl w:val="9"/>
        <w:sectPr>
          <w:type w:val="continuous"/>
          <w:pgSz w:w="12240" w:h="15840"/>
          <w:pgMar w:top="1134" w:right="1134" w:bottom="1134" w:left="1134" w:header="0" w:footer="140"/>
          <w:cols w:space="708"/>
        </w:sectPr>
      </w:pPr>
    </w:p>
    <w:p>
      <w:pPr>
        <w:pStyle w:val="Heading2-wk"/>
        <w:keepNext/>
        <w:keepLines/>
        <w:pageBreakBefore w:val="0"/>
        <w:widowControl w:val="0"/>
        <w:numPr>
          <w:ilvl w:val="0"/>
          <w:numId w:val="0"/>
        </w:numPr>
        <w:tabs>
          <w:tab w:val="left" w:pos="700"/>
        </w:tabs>
        <w:spacing w:before="0" w:after="0" w:line="288" w:lineRule="auto"/>
        <w:ind w:left="709" w:right="0" w:firstLine="0"/>
        <w:jc w:val="both"/>
        <w:outlineLvl w:val="1"/>
        <w:rPr>
          <w:rFonts w:ascii="Times New Roman" w:eastAsia="Times New Roman" w:hAnsi="Times New Roman" w:cs="Times New Roman"/>
          <w:b/>
          <w:i w:val="0"/>
          <w:color w:val="000000"/>
          <w:sz w:val="24"/>
          <w:u w:val="none"/>
        </w:rPr>
      </w:pPr>
      <w:bookmarkStart w:id="300" w:name="Section154"/>
      <w:bookmarkEnd w:id="300"/>
      <w:bookmarkStart w:id="301" w:name="38ff88b256e44a0cafc0d301a268f8a9"/>
      <w:r>
        <w:rPr>
          <w:rFonts w:ascii="Calibri" w:eastAsia="Calibri" w:hAnsi="Calibri" w:cs="Calibri"/>
          <w:b/>
          <w:i w:val="0"/>
          <w:color w:val="000000"/>
          <w:sz w:val="20"/>
          <w:u w:val="none"/>
        </w:rPr>
        <w:t>34.3.-</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Sanciones.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301"/>
    </w:p>
    <w:p>
      <w:pPr>
        <w:pStyle w:val="Normal-wk"/>
        <w:keepNext w:val="0"/>
        <w:keepLines/>
        <w:pageBreakBefore w:val="0"/>
        <w:widowControl w:val="0"/>
        <w:numPr>
          <w:ilvl w:val="0"/>
          <w:numId w:val="0"/>
        </w:numPr>
        <w:tabs>
          <w:tab w:val="left" w:pos="700"/>
        </w:tabs>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la Comisión para el Mercado Financiero.</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Compañía General de Electricidad S.A., sus subsidiarias, los Directores y Ejecutivos de las empresas que componen el Grupo, no han sido sancionados por la Comisión para el Mercado Financiero durante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34.3.2.-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otras autoridades administrativas.</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Directores y Ejecutivos no han sido sancionados por otras autoridades administrativas durante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y subsidiarias, de acuerdo a lo enunciado en la Nota 34.2 ha sido sancionada por la Superintendencia de Electricidad y Combustibles.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140"/>
          <w:cols w:space="708"/>
        </w:sectPr>
      </w:pPr>
    </w:p>
    <w:p>
      <w:pPr>
        <w:keepNext/>
        <w:keepLines/>
        <w:pageBreakBefore w:val="0"/>
        <w:widowControl w:val="0"/>
        <w:numPr>
          <w:ilvl w:val="0"/>
          <w:numId w:val="0"/>
        </w:numPr>
        <w:tabs>
          <w:tab w:val="left" w:pos="700"/>
        </w:tabs>
        <w:spacing w:before="0" w:after="0" w:line="288" w:lineRule="auto"/>
        <w:ind w:left="0" w:right="0" w:firstLine="708"/>
        <w:jc w:val="both"/>
        <w:outlineLvl w:val="9"/>
        <w:rPr>
          <w:rFonts w:ascii="Times New Roman" w:eastAsia="Times New Roman" w:hAnsi="Times New Roman" w:cs="Times New Roman"/>
          <w:b/>
          <w:i w:val="0"/>
          <w:color w:val="000000"/>
          <w:sz w:val="24"/>
          <w:u w:val="none"/>
        </w:rPr>
      </w:pPr>
      <w:bookmarkStart w:id="302" w:name="Section155"/>
      <w:bookmarkEnd w:id="302"/>
    </w:p>
    <w:p>
      <w:pPr>
        <w:pStyle w:val="Heading2-wk"/>
        <w:keepNext/>
        <w:keepLines/>
        <w:pageBreakBefore/>
        <w:widowControl w:val="0"/>
        <w:numPr>
          <w:ilvl w:val="0"/>
          <w:numId w:val="0"/>
        </w:numPr>
        <w:tabs>
          <w:tab w:val="left" w:pos="700"/>
        </w:tabs>
        <w:spacing w:before="0" w:after="0" w:line="240" w:lineRule="auto"/>
        <w:ind w:left="0" w:right="0" w:firstLine="708"/>
        <w:jc w:val="both"/>
        <w:outlineLvl w:val="1"/>
        <w:rPr>
          <w:rFonts w:ascii="Times New Roman" w:eastAsia="Times New Roman" w:hAnsi="Times New Roman" w:cs="Times New Roman"/>
          <w:b/>
          <w:i w:val="0"/>
          <w:color w:val="000000"/>
          <w:sz w:val="24"/>
          <w:u w:val="none"/>
        </w:rPr>
      </w:pPr>
      <w:bookmarkStart w:id="303" w:name="6eb00ff55d1f45dfbbbb0e6cf1fa1236"/>
      <w:r>
        <w:rPr>
          <w:rFonts w:ascii="Calibri" w:eastAsia="Calibri" w:hAnsi="Calibri" w:cs="Calibri"/>
          <w:b/>
          <w:i w:val="0"/>
          <w:color w:val="000000"/>
          <w:sz w:val="20"/>
          <w:u w:val="none"/>
        </w:rPr>
        <w:t>34.4.-</w:t>
      </w:r>
      <w:r>
        <w:rPr>
          <w:rFonts w:ascii="Calibri" w:eastAsia="Calibri" w:hAnsi="Calibri" w:cs="Calibri"/>
          <w:b/>
          <w:i w:val="0"/>
          <w:color w:val="000000"/>
          <w:sz w:val="20"/>
          <w:u w:val="none"/>
        </w:rPr>
        <w:tab/>
      </w:r>
      <w:r>
        <w:rPr>
          <w:rFonts w:ascii="Calibri" w:eastAsia="Calibri" w:hAnsi="Calibri" w:cs="Calibri"/>
          <w:b/>
          <w:i w:val="0"/>
          <w:color w:val="000000"/>
          <w:sz w:val="20"/>
          <w:u w:val="none"/>
        </w:rPr>
        <w:t>Restricciones.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303"/>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Compañía General de Electricidad S.A. ha convenido con bancos, acreedores y tenedores de bonos los siguientes covenants financieros medidos sobre la base de los estados financieros:</w:t>
      </w:r>
    </w:p>
    <w:p>
      <w:pPr>
        <w:keepNext w:val="0"/>
        <w:keepLines/>
        <w:pageBreakBefore w:val="0"/>
        <w:widowControl w:val="0"/>
        <w:numPr>
          <w:ilvl w:val="0"/>
          <w:numId w:val="0"/>
        </w:numPr>
        <w:spacing w:before="0" w:after="0" w:line="288" w:lineRule="auto"/>
        <w:ind w:left="1416" w:right="0" w:firstLine="2"/>
        <w:jc w:val="both"/>
        <w:outlineLvl w:val="9"/>
        <w:rPr>
          <w:rFonts w:ascii="Calibri" w:eastAsia="Calibri" w:hAnsi="Calibri" w:cs="Calibri"/>
          <w:b w:val="0"/>
          <w:i w:val="0"/>
          <w:color w:val="000000"/>
          <w:sz w:val="20"/>
          <w:u w:val="none"/>
        </w:rPr>
      </w:pPr>
    </w:p>
    <w:tbl>
      <w:tblPr>
        <w:tblW w:w="8550" w:type="dxa"/>
        <w:jc w:val="left"/>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470"/>
        <w:gridCol w:w="885"/>
        <w:gridCol w:w="885"/>
        <w:gridCol w:w="885"/>
        <w:gridCol w:w="885"/>
        <w:gridCol w:w="885"/>
        <w:gridCol w:w="885"/>
        <w:gridCol w:w="885"/>
        <w:gridCol w:w="885"/>
      </w:tblGrid>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Índice</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 BCGE-I</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BCGE-J</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BCGE-K</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BCGED-E</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BCGET-D</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BCGEI-N</w:t>
            </w:r>
          </w:p>
        </w:tc>
        <w:tc>
          <w:tcPr>
            <w:tcW w:w="88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BCGEI-Q</w:t>
            </w:r>
          </w:p>
        </w:tc>
        <w:tc>
          <w:tcPr>
            <w:tcW w:w="88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Créditos CDB</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Razón de Endeudamiento Financiero</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1,10 veces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&lt; o = 1,25 veces</w:t>
            </w:r>
          </w:p>
        </w:tc>
        <w:tc>
          <w:tcPr>
            <w:tcW w:w="8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Activos libres de garantías reales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pasivos financieros sin garantías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saldo insoluto de los bonos con cargo a la presente línea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1,2 veces saldo insoluto de los bonos con cargo a la presente línea</w:t>
            </w:r>
          </w:p>
        </w:tc>
        <w:tc>
          <w:tcPr>
            <w:tcW w:w="8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Patrimonio mínimo</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25.000.000</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25.000.000</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25.000.000</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6.700.000</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UF 7.000.000</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Activos en el sector Eléctrico y Gas</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2 veces capital insoluto de los bonos con cargo a la presente línea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2 veces capital insoluto de los bonos con cargo a la presente línea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&gt; o = 2 veces capital insoluto de los bonos con cargo a la presente línea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2"/>
                <w:u w:val="none"/>
              </w:rPr>
              <w:t>No Aplica</w:t>
            </w:r>
          </w:p>
        </w:tc>
      </w:tr>
      <w:tr>
        <w:tblPrEx>
          <w:tblW w:w="8550" w:type="dxa"/>
          <w:tblInd w:w="1417" w:type="dxa"/>
          <w:tblLayout w:type="fixed"/>
        </w:tblPrEx>
        <w:trPr>
          <w:cantSplit/>
          <w:trHeight w:hRule="auto" w:val="0"/>
        </w:trPr>
        <w:tc>
          <w:tcPr>
            <w:tcW w:w="147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Razón de Endeudamiento</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No Aplica</w:t>
            </w:r>
          </w:p>
        </w:tc>
        <w:tc>
          <w:tcPr>
            <w:tcW w:w="8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&lt; o = 0,8 veces</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Estas restricciones se definen como: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4"/>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Series de Bono: BCGEI-I, BCGEI-J y BCGEI-K:</w:t>
      </w:r>
    </w:p>
    <w:p>
      <w:pPr>
        <w:keepNext w:val="0"/>
        <w:keepLines/>
        <w:pageBreakBefore w:val="0"/>
        <w:widowControl w:val="0"/>
        <w:numPr>
          <w:ilvl w:val="0"/>
          <w:numId w:val="0"/>
        </w:numPr>
        <w:spacing w:before="0" w:after="0" w:line="288" w:lineRule="auto"/>
        <w:ind w:left="213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Razón de Endeudamiento Financiero: calculado como la razón entre “Deuda Financiera Neta” y “Total Patrimonio” definidas de la siguiente manera: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“Efectivo y Equivalente al Efectivo”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“Total Patrimonio”:</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Libres de Garantías Reales: Activos libres de cualquier tipo de garantías reales relativos a los bienes presentes o futuros del emisor que sean equivalente a 1,2 veces el monto insoluto del total de pasivos financieros sin garantías mantenidas por el emisor, incluyendo entre ellas los bonos emitidos con cargo a la presente línea.</w:t>
      </w:r>
    </w:p>
    <w:p>
      <w:pPr>
        <w:keepNext w:val="0"/>
        <w:keepLines/>
        <w:pageBreakBefore w:val="0"/>
        <w:widowControl w:val="0"/>
        <w:numPr>
          <w:ilvl w:val="0"/>
          <w:numId w:val="0"/>
        </w:numPr>
        <w:spacing w:before="0" w:after="0" w:line="288" w:lineRule="auto"/>
        <w:ind w:left="2126" w:right="0" w:firstLine="76"/>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4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otorgante siempre podrá otorgar y mantener garantías reales en los siguientes casos:</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que se constituyan para financiar o refinanciar o amortizar el precio de compra o costos de cualquier clase de activos adquiridos con posterioridad a la inscripción de la línea, siempre que la garantía incluya exclusivamente el o los bienes adquiridos o construidos.</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que se otorguen a favor de sus filiales o viceversa.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otorgadas por una sociedad que posteriormente se fusione con el emisor.</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sobre activos adquiridos con posterioridad a la inscripción de la emisión, que se encuentre garantizadas antes de la compra.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Prorroga o renovación de cualquiera de las garantías anteriores.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“Pasivos Financieros: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widowControl w:val="0"/>
        <w:numPr>
          <w:ilvl w:val="0"/>
          <w:numId w:val="75"/>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Patrimonio mínimo: </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 en Unidades de Fomento al cierre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5"/>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Activos en el sector Eléctrico y Gas: Mantener activos en los sectores de generación y/o distribución y/o comercialización y/o transmisión de energía eléctrica, y/o distribución y/o comercialización y/o almacenamiento y/o transporte de gas licuado o gas natural, incluyendo entre dichos activos la partida “Efectivo y Equivalentes al Efectivo” mayor o igual a 2 veces el saldo insoluto del capital de los bonos emitidos con cargo a la línea presente. </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en los sectores indicados:</w:t>
      </w:r>
    </w:p>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valores de las inversiones en subsidiarias usando el método de la participación y que pertenezcan a los referidos sectores.</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valores de las inversiones directas del emisor en asociadas e inversiones en negocios conjuntos usando el método de la participación y que pertenezcan a los referidos sectores.</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valores de las partidas incluidas en el rubro plusvalía de los estados financieros del emisor que correspondan a inversiones directas del emisor en subsidiarias asociadas o inversiones en negocios conjuntos que pertenezcan a los referidos sectores.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4"/>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BCGED-E:</w:t>
      </w:r>
    </w:p>
    <w:p>
      <w:pPr>
        <w:keepNext w:val="0"/>
        <w:keepLines/>
        <w:pageBreakBefore w:val="0"/>
        <w:widowControl w:val="0"/>
        <w:numPr>
          <w:ilvl w:val="0"/>
          <w:numId w:val="0"/>
        </w:numPr>
        <w:spacing w:before="0" w:after="0" w:line="288" w:lineRule="auto"/>
        <w:ind w:left="213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6"/>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Razón de Endeudamiento Financiero: calculado como la razón entre “Deuda Financiera Neta” y “Total Patrimonio” definidas de la siguiente manera:</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“Efectivo y Equivalente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“Total Patrimonio”:</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6"/>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Libres de Garantías Reales: Activos libres de cualquier tipo de garantías reales relativos a los bienes presentes o futuros del emisor que sean equivalente a 1,2 veces el monto insoluto del total de pasivos financieros sin garantías mantenidas por el emisor, incluyendo entre ellas los bonos emitidos con cargo a la presente línea.</w:t>
      </w:r>
    </w:p>
    <w:p>
      <w:pPr>
        <w:keepNext w:val="0"/>
        <w:keepLines/>
        <w:pageBreakBefore w:val="0"/>
        <w:widowControl w:val="0"/>
        <w:numPr>
          <w:ilvl w:val="0"/>
          <w:numId w:val="0"/>
        </w:numPr>
        <w:spacing w:before="0" w:after="0" w:line="288" w:lineRule="auto"/>
        <w:ind w:left="2127" w:right="0" w:firstLine="76"/>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otorgante siempre podrá otorgar y mantener garantías reales en los siguientes casos: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que se constituyan para financiar o refinanciar o amortizar el precio de compra o costos de cualquier clase de activos adquiridos con posterioridad a la inscripción de la emisión, siempre que la garantía incluya exclusivamente el o los bienes adquiridos o construidos.</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que se otorguen a favor de sus filiales o viceversa.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otorgadas por una sociedad que posteriormente se fusione con el emisor.</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sobre activos adquiridos con posterioridad a la inscripción de la emisión, que se encuentre garantizadas antes de la compra.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Prorroga o renovación de cualquiera de las garantías anteriores.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“Pasivos Financieros”: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6"/>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mínimo:</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 en Unidades de Fomento al cierre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4"/>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BCGET-D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7"/>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Razón de Endeudamiento Financiero: calculado como la razón entre “Deuda Financiera Neta” y “Total Patrimonio” definidas de la siguiente manera: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“Efectivo y Equivalente al Efectivo”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“Total Patrimonio”:</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“Participaciones no Controladoras”.</w:t>
      </w:r>
    </w:p>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7"/>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Libres de Garantías Reales: Activos libres de cualquier tipo de garantías reales relativos a los bienes presentes o futuros del emisor que sean equivalente a 1,2 veces el monto insoluto del total de pasivos financieros sin garantías mantenidas por el emisor, incluyendo entre ellas los bonos emitidos con cargo a la presente línea.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otorgante siempre podrá otorgar y mantener garantías reales en los siguientes casos:</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que se constituyan para financiar o refinanciar o amortizar el precio de compra o costos de cualquier clase de activos adquiridos con posterioridad a la inscripción de la emisión, siempre que la garantía incluya exclusivamente el o los bienes adquiridos o construidos.</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que se otorguen a favor de sus filiales o viceversa.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otorgadas por una sociedad que posteriormente se fusione con el emisor.</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sobre activos adquiridos con posterioridad a la inscripción de la emisión, que se encuentre garantizadas antes de la compra.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Prorroga o renovación de cualquiera de las garantías anteriores.</w:t>
      </w:r>
    </w:p>
    <w:p>
      <w:pPr>
        <w:keepNext w:val="0"/>
        <w:keepLines/>
        <w:pageBreakBefore w:val="0"/>
        <w:widowControl w:val="0"/>
        <w:numPr>
          <w:ilvl w:val="0"/>
          <w:numId w:val="0"/>
        </w:numPr>
        <w:spacing w:before="0" w:after="0" w:line="288" w:lineRule="auto"/>
        <w:ind w:left="1831" w:right="0" w:hanging="65"/>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“Pasivos Financieros”: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7"/>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mínimo:</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 en Unidades de Fomento al cierre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4"/>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Series de Bono: BCGEI-N y BCGEI-Q</w:t>
      </w:r>
    </w:p>
    <w:p>
      <w:pPr>
        <w:pStyle w:val="Normal-wk"/>
        <w:keepNext w:val="0"/>
        <w:keepLines/>
        <w:pageBreakBefore/>
        <w:widowControl w:val="0"/>
        <w:numPr>
          <w:ilvl w:val="0"/>
          <w:numId w:val="78"/>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Razón de Endeudamiento Financiero: calculado como la razón entre “Deuda Financiera Neta” y “Total Patrimonio” definidas de la siguiente manera: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“Deuda Financiera Neta”: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“Otros Pasivos financieros, No corrientes”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“Efectivo y Equivalente al Efectivo”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“Total Patrimonio”:</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“Patrimonio Atribuible a los Propietarios de la Controladora”</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“Participaciones no Controladoras”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78"/>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 Libres de Garantías Reales: Activos libres de cualquier tipo de garantías reales que sean al menos 1,2 veces el saldo insoluto de los bonos emitidos con cargo a la línea.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otorgante siempre podrá otorgar y mantener garantías reales en los siguientes casos:</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que se constituyan para financiar o refinanciar o amortizar el precio de compra o costos de cualquier clase de activos adquiridos con posterioridad a la inscripción de la emisión, siempre que la garantía incluya exclusivamente el o los bienes adquiridos o construidos.</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que se otorguen a favor de sus filiales o viceversa.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otorgadas por una sociedad que posteriormente se fusione con el emisor.</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Garantías reales sobre activos adquiridos con posterioridad a la inscripción de la emisión, que se encuentre garantizadas antes de la compra.</w:t>
      </w:r>
    </w:p>
    <w:p>
      <w:pPr>
        <w:pStyle w:val="Normal-wk"/>
        <w:keepNext w:val="0"/>
        <w:keepLines/>
        <w:pageBreakBefore w:val="0"/>
        <w:widowControl w:val="0"/>
        <w:numPr>
          <w:ilvl w:val="0"/>
          <w:numId w:val="15"/>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Prorroga o renovación de cualquiera de las garantías anteriores.</w:t>
      </w:r>
    </w:p>
    <w:p>
      <w:pPr>
        <w:keepNext w:val="0"/>
        <w:keepLines/>
        <w:pageBreakBefore w:val="0"/>
        <w:widowControl w:val="0"/>
        <w:numPr>
          <w:ilvl w:val="0"/>
          <w:numId w:val="0"/>
        </w:numPr>
        <w:spacing w:before="0" w:after="0" w:line="288" w:lineRule="auto"/>
        <w:ind w:left="283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7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Créditos China Development Bank</w:t>
      </w:r>
    </w:p>
    <w:p>
      <w:pPr>
        <w:keepNext w:val="0"/>
        <w:keepLines/>
        <w:pageBreakBefore w:val="0"/>
        <w:widowControl w:val="0"/>
        <w:numPr>
          <w:ilvl w:val="0"/>
          <w:numId w:val="0"/>
        </w:numPr>
        <w:spacing w:before="0" w:after="0" w:line="288" w:lineRule="auto"/>
        <w:ind w:left="1123" w:right="0" w:hanging="67"/>
        <w:jc w:val="both"/>
        <w:outlineLvl w:val="9"/>
        <w:rPr>
          <w:rFonts w:ascii="Calibri" w:eastAsia="Calibri" w:hAnsi="Calibri" w:cs="Calibri"/>
          <w:b w:val="0"/>
          <w:i w:val="0"/>
          <w:sz w:val="20"/>
        </w:rPr>
      </w:pPr>
    </w:p>
    <w:p>
      <w:pPr>
        <w:keepNext w:val="0"/>
        <w:keepLines/>
        <w:pageBreakBefore w:val="0"/>
        <w:widowControl w:val="0"/>
        <w:numPr>
          <w:ilvl w:val="0"/>
          <w:numId w:val="79"/>
        </w:numPr>
        <w:spacing w:before="0" w:after="0" w:line="240" w:lineRule="exact"/>
        <w:ind w:left="2127"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sz w:val="20"/>
        </w:rPr>
        <w:t>Razón de Endeudamiento: calculado como la razón entre “Total Pasivos” y “Total Activos” al cierre de los Estados Financieros consolidados.</w:t>
      </w:r>
    </w:p>
    <w:p>
      <w:pPr>
        <w:keepNext w:val="0"/>
        <w:keepLines/>
        <w:pageBreakBefore w:val="0"/>
        <w:widowControl w:val="0"/>
        <w:numPr>
          <w:ilvl w:val="0"/>
          <w:numId w:val="0"/>
        </w:numPr>
        <w:spacing w:before="0" w:after="0" w:line="288" w:lineRule="auto"/>
        <w:ind w:left="1407" w:right="0" w:firstLine="2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Descripción de opción de rescate anticipado voluntario.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0"/>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Series de Bono: BCGEI-I, BCGEI-J, BCGEI-K: Si durante la vigencia de la línea, el emisor dejare de ser dueño, directa o indirectamente, de más del 50% del capital con derecho a voto de CGE Distribución S.A., o dejare de mantener el control de la administración de dicha sociedad.</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0"/>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BCGED-E: Mantener al menos un 70% del total de activos en los sectores de transmisión y/o distribución y/o comercialización de electricidad, incluyendo entre dichos activos la partida “Efectivo y Equivalentes al Efectivo”, los valores incluidos en la cuenta “Plusvalía” que pertenezcan a los referidos sectores y “Activos Intangibles Distintos de la Plusvalía” de los Estados Financieros del emisor.</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80"/>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Serie de Bono: BCGET-D: Mantener al menos un 70% del total de activos en los sectores de transmisión, generación o distribución de electricidad, considerando para el cálculo de este porcentaje la suma de las partidas “Total Activos No Corrientes” más “Efectivo y Equivalentes al Efectivo” de los Estados Financieros del emisor.</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iv)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Serie de Bonos: BCGEI-N y BCGEI-Q: Mantener al menos un 70% del total de activos en los sectores de transmisión y/o distribución y/o comercialización de electricidad, incluyendo para el cálculo de dicho porcentaje la cuenta “Efectivo y Equivalentes al Efectivo”, la cuenta “Plusvalía” que pertenezcan a los referidos sectores y la cuenta “Activos Intangibles Distintos de la Plusvalía” de los Estados Financieros consolidados del emisor.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resultado de las principales restricciones de Compañía General de Electricidad S.A. 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05"/>
        <w:gridCol w:w="2130"/>
        <w:gridCol w:w="1005"/>
        <w:gridCol w:w="1005"/>
        <w:gridCol w:w="900"/>
        <w:gridCol w:w="900"/>
      </w:tblGrid>
      <w:tr>
        <w:tblPrEx>
          <w:tblW w:w="7845" w:type="dxa"/>
          <w:tblInd w:w="2126" w:type="dxa"/>
          <w:tblLayout w:type="fixed"/>
        </w:tblPrEx>
        <w:trPr>
          <w:cantSplit/>
          <w:trHeight w:hRule="auto" w:val="0"/>
        </w:trPr>
        <w:tc>
          <w:tcPr>
            <w:tcW w:w="19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Indice</w:t>
            </w:r>
          </w:p>
        </w:tc>
        <w:tc>
          <w:tcPr>
            <w:tcW w:w="213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Medición</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Factor</w:t>
            </w:r>
          </w:p>
        </w:tc>
        <w:tc>
          <w:tcPr>
            <w:tcW w:w="1005"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Resultado</w:t>
            </w:r>
          </w:p>
        </w:tc>
        <w:tc>
          <w:tcPr>
            <w:tcW w:w="900" w:type="dxa"/>
            <w:tcBorders>
              <w:top w:val="single" w:sz="2" w:space="0" w:color="000000"/>
              <w:left w:val="single" w:sz="4" w:space="0" w:color="FFFFFF"/>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Periodicidad de medición</w:t>
            </w:r>
          </w:p>
        </w:tc>
        <w:tc>
          <w:tcPr>
            <w:tcW w:w="9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Procedencia</w:t>
            </w:r>
          </w:p>
        </w:tc>
      </w:tr>
      <w:tr>
        <w:tblPrEx>
          <w:tblW w:w="7845" w:type="dxa"/>
          <w:tblInd w:w="2126" w:type="dxa"/>
          <w:tblLayout w:type="fixed"/>
        </w:tblPrEx>
        <w:trPr>
          <w:cantSplit/>
          <w:trHeight w:hRule="auto" w:val="0"/>
        </w:trPr>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Razón de endeudamiento financiero</w:t>
            </w:r>
          </w:p>
        </w:tc>
        <w:tc>
          <w:tcPr>
            <w:tcW w:w="21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(Total deuda financiera - efectivo y equivalente al efectivo) / total patrimonio neto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&lt; o = 1,1 veces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0,82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9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45" w:type="dxa"/>
          <w:tblInd w:w="2126" w:type="dxa"/>
          <w:tblLayout w:type="fixed"/>
        </w:tblPrEx>
        <w:trPr>
          <w:cantSplit/>
          <w:trHeight w:hRule="auto" w:val="0"/>
        </w:trPr>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Razón de Endeudamiento</w:t>
            </w:r>
          </w:p>
        </w:tc>
        <w:tc>
          <w:tcPr>
            <w:tcW w:w="21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Total Pasivos/Total Activos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&lt; o = 0,8 veces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0,63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9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 xml:space="preserve">China Development Bank </w:t>
            </w:r>
          </w:p>
        </w:tc>
      </w:tr>
      <w:tr>
        <w:tblPrEx>
          <w:tblW w:w="7845" w:type="dxa"/>
          <w:tblInd w:w="2126" w:type="dxa"/>
          <w:tblLayout w:type="fixed"/>
        </w:tblPrEx>
        <w:trPr>
          <w:cantSplit/>
          <w:trHeight w:hRule="auto" w:val="0"/>
        </w:trPr>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libres de garantías reales</w:t>
            </w:r>
          </w:p>
        </w:tc>
        <w:tc>
          <w:tcPr>
            <w:tcW w:w="21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sin Garantía/total deuda financiera no garantizada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o = 1,2 veces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3,22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9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45" w:type="dxa"/>
          <w:tblInd w:w="2126" w:type="dxa"/>
          <w:tblLayout w:type="fixed"/>
        </w:tblPrEx>
        <w:trPr>
          <w:cantSplit/>
          <w:trHeight w:hRule="auto" w:val="0"/>
        </w:trPr>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libres de garantías reales</w:t>
            </w:r>
          </w:p>
        </w:tc>
        <w:tc>
          <w:tcPr>
            <w:tcW w:w="21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sin Garantía/Saldo insoluto de línea N° 917</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o = 1,2 veces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20,52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9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45" w:type="dxa"/>
          <w:tblInd w:w="2126" w:type="dxa"/>
          <w:tblLayout w:type="fixed"/>
        </w:tblPrEx>
        <w:trPr>
          <w:cantSplit/>
          <w:trHeight w:hRule="auto" w:val="0"/>
        </w:trPr>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Patrimonio mínimo</w:t>
            </w:r>
          </w:p>
        </w:tc>
        <w:tc>
          <w:tcPr>
            <w:tcW w:w="21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Patrimonio atribuible a los propietarios de la controladora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UF 25.000.000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15"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UF 37.311.807</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9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45" w:type="dxa"/>
          <w:tblInd w:w="2126" w:type="dxa"/>
          <w:tblLayout w:type="fixed"/>
        </w:tblPrEx>
        <w:trPr>
          <w:cantSplit/>
          <w:trHeight w:hRule="auto" w:val="0"/>
        </w:trPr>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en el sector Eléctrico y Gas</w:t>
            </w:r>
          </w:p>
        </w:tc>
        <w:tc>
          <w:tcPr>
            <w:tcW w:w="21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sector eléctrico y gas/Capital insoluto línea bonos N° 541</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2 veces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50,22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9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45" w:type="dxa"/>
          <w:tblInd w:w="2126" w:type="dxa"/>
          <w:tblLayout w:type="fixed"/>
        </w:tblPrEx>
        <w:trPr>
          <w:cantSplit/>
          <w:trHeight w:hRule="auto" w:val="0"/>
        </w:trPr>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en el sector Eléctrico y Gas</w:t>
            </w:r>
          </w:p>
        </w:tc>
        <w:tc>
          <w:tcPr>
            <w:tcW w:w="21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Activos sector eléctrico y gas/Capital insoluto línea bonos N° 542</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&gt; 2 veces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27,08 veces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Trimestral</w:t>
            </w:r>
          </w:p>
        </w:tc>
        <w:tc>
          <w:tcPr>
            <w:tcW w:w="9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Bonos</w:t>
            </w:r>
          </w:p>
        </w:tc>
      </w:tr>
      <w:tr>
        <w:tblPrEx>
          <w:tblW w:w="7845" w:type="dxa"/>
          <w:tblInd w:w="2126" w:type="dxa"/>
          <w:tblLayout w:type="fixed"/>
        </w:tblPrEx>
        <w:trPr>
          <w:cantSplit/>
          <w:trHeight w:hRule="exact" w:val="60"/>
        </w:trPr>
        <w:tc>
          <w:tcPr>
            <w:tcW w:w="19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13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4035"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Otros Resguardos: Causal de Rescate Anticipado Voluntario</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1905" w:type="dxa"/>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line="240" w:lineRule="auto"/>
              <w:jc w:val="left"/>
            </w:pPr>
            <w:r>
              <w:rPr>
                <w:rFonts w:ascii="Calibri" w:eastAsia="Calibri" w:hAnsi="Calibri" w:cs="Calibri"/>
                <w:b w:val="0"/>
                <w:i w:val="0"/>
                <w:color w:val="000000"/>
                <w:sz w:val="14"/>
                <w:u w:val="none"/>
              </w:rPr>
              <w:t xml:space="preserve">Causal de Rescate </w:t>
            </w:r>
          </w:p>
          <w:p>
            <w:pPr>
              <w:spacing w:after="0" w:line="240" w:lineRule="auto"/>
              <w:jc w:val="left"/>
            </w:pPr>
            <w:r>
              <w:rPr>
                <w:rFonts w:ascii="Calibri" w:eastAsia="Calibri" w:hAnsi="Calibri" w:cs="Calibri"/>
                <w:b w:val="0"/>
                <w:i w:val="0"/>
                <w:color w:val="000000"/>
                <w:sz w:val="14"/>
                <w:u w:val="none"/>
              </w:rPr>
              <w:t>Anticipado Voluntario</w:t>
            </w:r>
          </w:p>
        </w:tc>
        <w:tc>
          <w:tcPr>
            <w:tcW w:w="213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Activos en transmisión y distribución de electricidad</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&gt; o = 70% de Activos Totales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97,89 % de los Activos Totales</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Trimestral</w:t>
            </w:r>
          </w:p>
        </w:tc>
        <w:tc>
          <w:tcPr>
            <w:tcW w:w="9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Bonos</w:t>
            </w:r>
          </w:p>
        </w:tc>
      </w:tr>
    </w:tbl>
    <w:p>
      <w:pPr>
        <w:keepNext w:val="0"/>
        <w:keepLines/>
        <w:pageBreakBefore w:val="0"/>
        <w:widowControl w:val="0"/>
        <w:numPr>
          <w:ilvl w:val="0"/>
          <w:numId w:val="0"/>
        </w:numPr>
        <w:spacing w:before="0" w:after="0" w:line="288" w:lineRule="auto"/>
        <w:ind w:left="184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intermedios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w:t>
      </w:r>
      <w:r>
        <w:rPr>
          <w:rFonts w:ascii="Calibri" w:eastAsia="Calibri" w:hAnsi="Calibri" w:cs="Calibri"/>
          <w:b w:val="0"/>
          <w:i w:val="0"/>
          <w:color w:val="000000"/>
          <w:sz w:val="20"/>
          <w:u w:val="none"/>
        </w:rPr>
        <w:t xml:space="preserve"> la Sociedad y todas sus subsidiarias se encuentran en cumplimiento de sus restricciones y compromisos financieros.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140"/>
          <w:cols w:space="708"/>
        </w:sectPr>
      </w:pPr>
    </w:p>
    <w:p>
      <w:pPr>
        <w:pStyle w:val="Heading1-wk"/>
        <w:keepNext/>
        <w:keepLines/>
        <w:pageBreakBefore w:val="0"/>
        <w:widowControl w:val="0"/>
        <w:numPr>
          <w:ilvl w:val="0"/>
          <w:numId w:val="0"/>
        </w:numPr>
        <w:tabs>
          <w:tab w:val="left" w:pos="700"/>
        </w:tabs>
        <w:spacing w:before="0" w:after="0" w:line="240" w:lineRule="exact"/>
        <w:ind w:left="709" w:right="0" w:hanging="709"/>
        <w:jc w:val="both"/>
        <w:outlineLvl w:val="0"/>
        <w:rPr>
          <w:rFonts w:ascii="Cambria" w:eastAsia="Cambria" w:hAnsi="Cambria" w:cs="Cambria"/>
          <w:b/>
          <w:i w:val="0"/>
          <w:color w:val="365F91"/>
          <w:sz w:val="28"/>
          <w:u w:val="none"/>
        </w:rPr>
      </w:pPr>
      <w:bookmarkStart w:id="304" w:name="Section156"/>
      <w:bookmarkEnd w:id="304"/>
      <w:bookmarkStart w:id="305" w:name="84fad54743ed49b982c36de6766d6d4e"/>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GARANTÍAS COMPROMETIDAS CON TERCEROS, OTROS ACTIVOS Y PASIVOS CONTINGENTES Y OTROS COMPROMISOS.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bookmarkEnd w:id="305"/>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consolidados intermedios por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r>
        <w:rPr>
          <w:rFonts w:ascii="Calibri" w:eastAsia="Calibri" w:hAnsi="Calibri" w:cs="Calibri"/>
          <w:b w:val="0"/>
          <w:i w:val="0"/>
          <w:sz w:val="20"/>
        </w:rPr>
        <w:t xml:space="preserve"> </w:t>
      </w:r>
      <w:r>
        <w:rPr>
          <w:rFonts w:ascii="Calibri" w:eastAsia="Calibri" w:hAnsi="Calibri" w:cs="Calibri"/>
          <w:b w:val="0"/>
          <w:i w:val="0"/>
          <w:color w:val="000000"/>
          <w:sz w:val="20"/>
          <w:u w:val="none"/>
        </w:rPr>
        <w:t>la Sociedad y subsidiarias no registran garantías materiales comprometidas con terceros.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14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306" w:name="Section157"/>
      <w:bookmarkEnd w:id="306"/>
      <w:bookmarkStart w:id="307" w:name="7575171fce66410087ecba333c746036"/>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0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distribución de personal de Compañía General de Electricidad S.A. y subsidiarias por el período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el ejercicio terminado al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1095"/>
        <w:gridCol w:w="1095"/>
        <w:gridCol w:w="1095"/>
        <w:gridCol w:w="1095"/>
        <w:gridCol w:w="1095"/>
      </w:tblGrid>
      <w:tr>
        <w:tblPrEx>
          <w:tblW w:w="9255" w:type="dxa"/>
          <w:tblInd w:w="709"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Subsidiaria / área</w:t>
            </w:r>
          </w:p>
        </w:tc>
        <w:tc>
          <w:tcPr>
            <w:tcW w:w="4380" w:type="dxa"/>
            <w:gridSpan w:val="4"/>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del ejercicio</w:t>
            </w:r>
          </w:p>
        </w:tc>
      </w:tr>
      <w:tr>
        <w:tblPrEx>
          <w:tblW w:w="9255" w:type="dxa"/>
          <w:tblInd w:w="709" w:type="dxa"/>
          <w:tblLayout w:type="fixed"/>
        </w:tblPrEx>
        <w:trPr>
          <w:cantSplit/>
          <w:trHeight w:hRule="auto" w:val="0"/>
        </w:trPr>
        <w:tc>
          <w:tcPr>
            <w:tcW w:w="3780"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Gerentes y ejecutivos principales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Profesionales y técnicos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Trabajadores y otros</w:t>
            </w:r>
          </w:p>
        </w:tc>
        <w:tc>
          <w:tcPr>
            <w:tcW w:w="109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095" w:type="dxa"/>
            <w:vMerge/>
            <w:tcBorders>
              <w:top w:val="nil"/>
              <w:left w:val="nil"/>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3780"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exact" w:val="6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Compañía General de Electricidad S.A.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1.028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1.237</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1.221</w:t>
            </w: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CGE Magallanes S.A. y subsidiaria</w:t>
            </w:r>
          </w:p>
        </w:tc>
        <w:tc>
          <w:tcPr>
            <w:tcW w:w="1095" w:type="dxa"/>
            <w:tcBorders>
              <w:top w:val="single" w:sz="2" w:space="0" w:color="000000"/>
              <w:left w:val="single" w:sz="2" w:space="0" w:color="000000"/>
              <w:bottom w:val="single" w:sz="8" w:space="0" w:color="D9D9D9"/>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w:t>
            </w:r>
          </w:p>
        </w:tc>
        <w:tc>
          <w:tcPr>
            <w:tcW w:w="1095" w:type="dxa"/>
            <w:tcBorders>
              <w:top w:val="single" w:sz="2" w:space="0" w:color="000000"/>
              <w:left w:val="single" w:sz="2" w:space="0" w:color="000000"/>
              <w:bottom w:val="single" w:sz="8" w:space="0" w:color="D9D9D9"/>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w:t>
            </w:r>
          </w:p>
        </w:tc>
        <w:tc>
          <w:tcPr>
            <w:tcW w:w="1095" w:type="dxa"/>
            <w:tcBorders>
              <w:top w:val="single" w:sz="2" w:space="0" w:color="000000"/>
              <w:left w:val="single" w:sz="2" w:space="0" w:color="000000"/>
              <w:bottom w:val="single" w:sz="8" w:space="0" w:color="D9D9D9"/>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132</w:t>
            </w:r>
          </w:p>
        </w:tc>
        <w:tc>
          <w:tcPr>
            <w:tcW w:w="1095" w:type="dxa"/>
            <w:tcBorders>
              <w:top w:val="single" w:sz="2" w:space="0" w:color="000000"/>
              <w:left w:val="single" w:sz="4" w:space="0" w:color="FFFFFF"/>
              <w:bottom w:val="single" w:sz="8" w:space="0" w:color="D9D9D9"/>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130</w:t>
            </w:r>
          </w:p>
        </w:tc>
      </w:tr>
      <w:tr>
        <w:tblPrEx>
          <w:tblW w:w="9255" w:type="dxa"/>
          <w:tblInd w:w="709" w:type="dxa"/>
          <w:tblLayout w:type="fixed"/>
        </w:tblPrEx>
        <w:trPr>
          <w:cantSplit/>
          <w:trHeight w:hRule="auto" w:val="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8" w:space="0" w:color="D9D9D9"/>
              <w:left w:val="nil"/>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center"/>
            </w:pPr>
          </w:p>
        </w:tc>
        <w:tc>
          <w:tcPr>
            <w:tcW w:w="1095" w:type="dxa"/>
            <w:tcBorders>
              <w:top w:val="single" w:sz="8" w:space="0" w:color="D9D9D9"/>
              <w:left w:val="nil"/>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center"/>
            </w:pPr>
          </w:p>
        </w:tc>
        <w:tc>
          <w:tcPr>
            <w:tcW w:w="1095" w:type="dxa"/>
            <w:tcBorders>
              <w:top w:val="single" w:sz="8" w:space="0" w:color="D9D9D9"/>
              <w:left w:val="nil"/>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center"/>
            </w:pPr>
          </w:p>
        </w:tc>
        <w:tc>
          <w:tcPr>
            <w:tcW w:w="1095" w:type="dxa"/>
            <w:tcBorders>
              <w:top w:val="single" w:sz="2" w:space="0" w:color="000000"/>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8" w:space="0" w:color="D9D9D9"/>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1.098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1.369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1.351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1095"/>
        <w:gridCol w:w="1095"/>
        <w:gridCol w:w="1095"/>
        <w:gridCol w:w="1095"/>
        <w:gridCol w:w="1095"/>
      </w:tblGrid>
      <w:tr>
        <w:tblPrEx>
          <w:tblW w:w="9255" w:type="dxa"/>
          <w:tblInd w:w="709" w:type="dxa"/>
          <w:tblLayout w:type="fixed"/>
        </w:tblPrEx>
        <w:trPr>
          <w:cantSplit/>
          <w:trHeight w:hRule="auto" w:val="0"/>
        </w:trPr>
        <w:tc>
          <w:tcPr>
            <w:tcW w:w="37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Subsidiaria / área</w:t>
            </w:r>
          </w:p>
        </w:tc>
        <w:tc>
          <w:tcPr>
            <w:tcW w:w="4380" w:type="dxa"/>
            <w:gridSpan w:val="4"/>
            <w:tcBorders>
              <w:top w:val="single" w:sz="2" w:space="0" w:color="000000"/>
              <w:left w:val="single" w:sz="4" w:space="0" w:color="FFFFFF"/>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del ejercicio</w:t>
            </w:r>
          </w:p>
        </w:tc>
      </w:tr>
      <w:tr>
        <w:tblPrEx>
          <w:tblW w:w="9255" w:type="dxa"/>
          <w:tblInd w:w="709"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Gerentes y ejecutivos principales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Profesionales y técnicos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Trabajadores y otros</w:t>
            </w:r>
          </w:p>
        </w:tc>
        <w:tc>
          <w:tcPr>
            <w:tcW w:w="109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095" w:type="dxa"/>
            <w:vMerge/>
            <w:tcBorders>
              <w:top w:val="nil"/>
              <w:left w:val="nil"/>
              <w:bottom w:val="nil"/>
              <w:right w:val="single" w:sz="2" w:space="0" w:color="000000"/>
            </w:tcBorders>
          </w:tcPr>
          <w:p>
            <w:pPr>
              <w:keepNext/>
              <w:pageBreakBefore w:val="0"/>
            </w:pPr>
          </w:p>
        </w:tc>
      </w:tr>
      <w:tr>
        <w:tblPrEx>
          <w:tblW w:w="9255" w:type="dxa"/>
          <w:tblInd w:w="709"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single" w:sz="2" w:space="0" w:color="000000"/>
            </w:tcBorders>
          </w:tcPr>
          <w:p>
            <w:pPr>
              <w:keepNext/>
              <w:pageBreakBefore w:val="0"/>
            </w:pPr>
          </w:p>
        </w:tc>
      </w:tr>
      <w:tr>
        <w:tblPrEx>
          <w:tblW w:w="9255" w:type="dxa"/>
          <w:tblInd w:w="709" w:type="dxa"/>
          <w:tblLayout w:type="fixed"/>
        </w:tblPrEx>
        <w:trPr>
          <w:cantSplit/>
          <w:trHeight w:hRule="exact" w:val="6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Compañía General de Electricidad S.A.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1.219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1.175</w:t>
            </w: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CGE Magallanes S.A. y subsidiaria</w:t>
            </w:r>
          </w:p>
        </w:tc>
        <w:tc>
          <w:tcPr>
            <w:tcW w:w="1095" w:type="dxa"/>
            <w:tcBorders>
              <w:top w:val="single" w:sz="2" w:space="0" w:color="000000"/>
              <w:left w:val="single" w:sz="2" w:space="0" w:color="000000"/>
              <w:bottom w:val="single" w:sz="8" w:space="0" w:color="D9D9D9"/>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w:t>
            </w:r>
          </w:p>
        </w:tc>
        <w:tc>
          <w:tcPr>
            <w:tcW w:w="1095" w:type="dxa"/>
            <w:tcBorders>
              <w:top w:val="single" w:sz="2" w:space="0" w:color="000000"/>
              <w:left w:val="single" w:sz="2" w:space="0" w:color="000000"/>
              <w:bottom w:val="single" w:sz="8" w:space="0" w:color="D9D9D9"/>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w:t>
            </w:r>
          </w:p>
        </w:tc>
        <w:tc>
          <w:tcPr>
            <w:tcW w:w="1095" w:type="dxa"/>
            <w:tcBorders>
              <w:top w:val="single" w:sz="2" w:space="0" w:color="000000"/>
              <w:left w:val="single" w:sz="2" w:space="0" w:color="000000"/>
              <w:bottom w:val="single" w:sz="8" w:space="0" w:color="D9D9D9"/>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57</w:t>
            </w:r>
          </w:p>
        </w:tc>
        <w:tc>
          <w:tcPr>
            <w:tcW w:w="1095" w:type="dxa"/>
            <w:tcBorders>
              <w:top w:val="single" w:sz="2" w:space="0" w:color="000000"/>
              <w:left w:val="single" w:sz="4" w:space="0" w:color="FFFFFF"/>
              <w:bottom w:val="single" w:sz="8" w:space="0" w:color="D9D9D9"/>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w:t>
            </w:r>
          </w:p>
        </w:tc>
        <w:tc>
          <w:tcPr>
            <w:tcW w:w="1095" w:type="dxa"/>
            <w:tcBorders>
              <w:top w:val="single" w:sz="2" w:space="0" w:color="000000"/>
              <w:left w:val="single" w:sz="4" w:space="0" w:color="FFFFFF"/>
              <w:bottom w:val="single" w:sz="8" w:space="0" w:color="D9D9D9"/>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126</w:t>
            </w:r>
          </w:p>
        </w:tc>
      </w:tr>
      <w:tr>
        <w:tblPrEx>
          <w:tblW w:w="9255" w:type="dxa"/>
          <w:tblInd w:w="709" w:type="dxa"/>
          <w:tblLayout w:type="fixed"/>
        </w:tblPrEx>
        <w:trPr>
          <w:cantSplit/>
          <w:trHeight w:hRule="auto" w:val="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8" w:space="0" w:color="D9D9D9"/>
              <w:left w:val="nil"/>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center"/>
            </w:pPr>
          </w:p>
        </w:tc>
        <w:tc>
          <w:tcPr>
            <w:tcW w:w="1095" w:type="dxa"/>
            <w:tcBorders>
              <w:top w:val="single" w:sz="8" w:space="0" w:color="D9D9D9"/>
              <w:left w:val="nil"/>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center"/>
            </w:pPr>
          </w:p>
        </w:tc>
        <w:tc>
          <w:tcPr>
            <w:tcW w:w="1095" w:type="dxa"/>
            <w:tcBorders>
              <w:top w:val="single" w:sz="8" w:space="0" w:color="D9D9D9"/>
              <w:left w:val="nil"/>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center"/>
            </w:pPr>
          </w:p>
        </w:tc>
        <w:tc>
          <w:tcPr>
            <w:tcW w:w="1095" w:type="dxa"/>
            <w:tcBorders>
              <w:top w:val="single" w:sz="8" w:space="0" w:color="D9D9D9"/>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095" w:type="dxa"/>
            <w:tcBorders>
              <w:top w:val="single" w:sz="8" w:space="0" w:color="D9D9D9"/>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r>
      <w:tr>
        <w:tblPrEx>
          <w:tblW w:w="9255" w:type="dxa"/>
          <w:tblInd w:w="709"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1.069</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1.347</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1.301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140"/>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308" w:name="Section158"/>
      <w:bookmarkEnd w:id="308"/>
      <w:bookmarkStart w:id="309" w:name="ce71b9541f4147cbacf644ea714c400b"/>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MEDIO AMBIENTE.</w:t>
      </w:r>
    </w:p>
    <w:p>
      <w:pPr>
        <w:keepNext w:val="0"/>
        <w:keepLines/>
        <w:pageBreakBefore w:val="0"/>
        <w:widowControl w:val="0"/>
        <w:numPr>
          <w:ilvl w:val="0"/>
          <w:numId w:val="0"/>
        </w:numPr>
        <w:spacing w:before="0" w:after="0" w:line="288" w:lineRule="auto"/>
        <w:ind w:left="0" w:right="48" w:firstLine="0"/>
        <w:jc w:val="both"/>
        <w:outlineLvl w:val="9"/>
        <w:rPr>
          <w:rFonts w:ascii="Calibri" w:eastAsia="Calibri" w:hAnsi="Calibri" w:cs="Calibri"/>
          <w:b w:val="0"/>
          <w:i w:val="0"/>
          <w:color w:val="000000"/>
          <w:sz w:val="20"/>
          <w:u w:val="none"/>
        </w:rPr>
      </w:pPr>
      <w:bookmarkEnd w:id="309"/>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y sus subsidiarias, participan en el mercado de la distribución de energía eléctrica, y más allá de la naturaleza eminentemente eficiente del sector, hacen esfuerzos permanentes por mejorar su desempeño ambiental. A su vez, estas empresas cumplen y hacen seguimiento proactivo a la normativa ambiental de manera de cumplirla cabalmente en forma sostenida. Además de lo anterior, todos los proyectos eléctricos en que la empresa participa cumplen con la normativa y reglamentación existente sobre la materia, los cuales incluyen, en proyectos que así lo requieran, ser sometidos a procesos de calificación ambiental, mediante el Servicio de Evaluación Ambiental. En este mismo sentido, estas empresas han suscrito el compromiso de medir su huella de carbono, iniciativa tendiente a identificar los impactos ambientales, en materia de gases de efecto invernadero, detectar las fuentes de emisión y eventualmente comprometer planes de reducción.</w:t>
      </w:r>
    </w:p>
    <w:p>
      <w:pPr>
        <w:pStyle w:val="Normal-wk"/>
        <w:keepNext w:val="0"/>
        <w:keepLines/>
        <w:pageBreakBefore w:val="0"/>
        <w:widowControl w:val="0"/>
        <w:numPr>
          <w:ilvl w:val="0"/>
          <w:numId w:val="0"/>
        </w:numPr>
        <w:spacing w:before="0" w:after="0" w:line="240" w:lineRule="exact"/>
        <w:ind w:left="708" w:right="0" w:firstLine="0"/>
        <w:jc w:val="both"/>
        <w:outlineLvl w:val="9"/>
        <w:sectPr>
          <w:type w:val="continuous"/>
          <w:pgSz w:w="12240" w:h="15840"/>
          <w:pgMar w:top="1134" w:right="1134" w:bottom="1134" w:left="1134" w:header="0" w:footer="140"/>
          <w:cols w:space="708"/>
        </w:sectPr>
      </w:pPr>
    </w:p>
    <w:p>
      <w:pPr>
        <w:pStyle w:val="Normal-wk"/>
        <w:keepNext w:val="0"/>
        <w:keepLines/>
        <w:pageBreakBefore w:val="0"/>
        <w:widowControl w:val="0"/>
        <w:numPr>
          <w:ilvl w:val="0"/>
          <w:numId w:val="0"/>
        </w:numPr>
        <w:spacing w:before="0" w:after="0" w:line="288" w:lineRule="auto"/>
        <w:ind w:left="708" w:right="0" w:firstLine="0"/>
        <w:jc w:val="both"/>
        <w:outlineLvl w:val="0"/>
        <w:rPr>
          <w:rFonts w:ascii="Calibri" w:eastAsia="Calibri" w:hAnsi="Calibri" w:cs="Calibri"/>
          <w:b w:val="0"/>
          <w:i w:val="0"/>
          <w:color w:val="000000"/>
          <w:sz w:val="20"/>
          <w:u w:val="none"/>
        </w:rPr>
      </w:pPr>
      <w:bookmarkStart w:id="310" w:name="Section159"/>
      <w:bookmarkEnd w:id="310"/>
      <w:r>
        <w:rPr>
          <w:rFonts w:ascii="Calibri" w:eastAsia="Calibri" w:hAnsi="Calibri" w:cs="Calibri"/>
          <w:b w:val="0"/>
          <w:i w:val="0"/>
          <w:color w:val="000000"/>
          <w:sz w:val="20"/>
          <w:u w:val="none"/>
        </w:rPr>
        <w:t xml:space="preserve">El siguiente es el detalle de los desembolsos efectuados relacionados con normas de medioambiente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y </w:t>
      </w:r>
      <w:r>
        <w:rPr>
          <w:rFonts w:ascii="Calibri" w:eastAsia="Calibri" w:hAnsi="Calibri" w:cs="Calibri"/>
          <w:b w:val="0"/>
          <w:i w:val="0"/>
          <w:color w:val="000000"/>
          <w:sz w:val="20"/>
          <w:u w:val="none"/>
        </w:rPr>
        <w:t>31 de diciembre de 2025</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6" w:right="0" w:firstLine="708"/>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80"/>
        <w:gridCol w:w="2895"/>
        <w:gridCol w:w="1995"/>
        <w:gridCol w:w="1005"/>
        <w:gridCol w:w="2850"/>
        <w:gridCol w:w="825"/>
        <w:gridCol w:w="1005"/>
      </w:tblGrid>
      <w:tr>
        <w:tblPrEx>
          <w:tblW w:w="12855" w:type="dxa"/>
          <w:tblInd w:w="709" w:type="dxa"/>
          <w:tblLayout w:type="fixed"/>
        </w:tblPrEx>
        <w:trPr>
          <w:cantSplit/>
          <w:trHeight w:hRule="auto" w:val="0"/>
          <w:tblHeader/>
        </w:trPr>
        <w:tc>
          <w:tcPr>
            <w:tcW w:w="22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28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19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285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de  los desembolsos  efectuados</w:t>
            </w:r>
          </w:p>
        </w:tc>
      </w:tr>
      <w:tr>
        <w:tblPrEx>
          <w:tblW w:w="12855" w:type="dxa"/>
          <w:tblInd w:w="709" w:type="dxa"/>
          <w:tblLayout w:type="fixed"/>
        </w:tblPrEx>
        <w:trPr>
          <w:cantSplit/>
          <w:trHeight w:hRule="auto" w:val="0"/>
          <w:tblHeader/>
        </w:trPr>
        <w:tc>
          <w:tcPr>
            <w:tcW w:w="2280" w:type="dxa"/>
            <w:vMerge/>
            <w:tcBorders>
              <w:top w:val="nil"/>
              <w:left w:val="single" w:sz="2" w:space="0" w:color="000000"/>
              <w:bottom w:val="single" w:sz="2" w:space="0" w:color="000000"/>
              <w:right w:val="nil"/>
            </w:tcBorders>
          </w:tcPr>
          <w:p>
            <w:pPr>
              <w:pageBreakBefore w:val="0"/>
            </w:pPr>
          </w:p>
        </w:tc>
        <w:tc>
          <w:tcPr>
            <w:tcW w:w="2895" w:type="dxa"/>
            <w:vMerge/>
            <w:tcBorders>
              <w:top w:val="nil"/>
              <w:left w:val="single" w:sz="4" w:space="0" w:color="FFFFFF"/>
              <w:bottom w:val="single" w:sz="2" w:space="0" w:color="000000"/>
              <w:right w:val="nil"/>
            </w:tcBorders>
          </w:tcPr>
          <w:p>
            <w:pPr>
              <w:pageBreakBefore w:val="0"/>
            </w:pPr>
          </w:p>
        </w:tc>
        <w:tc>
          <w:tcPr>
            <w:tcW w:w="1995" w:type="dxa"/>
            <w:vMerge/>
            <w:tcBorders>
              <w:top w:val="nil"/>
              <w:left w:val="single" w:sz="4" w:space="0" w:color="FFFFFF"/>
              <w:bottom w:val="single" w:sz="2" w:space="0" w:color="000000"/>
              <w:right w:val="nil"/>
            </w:tcBorders>
          </w:tcPr>
          <w:p>
            <w:pPr>
              <w:pageBreakBefore w:val="0"/>
            </w:pPr>
          </w:p>
        </w:tc>
        <w:tc>
          <w:tcPr>
            <w:tcW w:w="1005" w:type="dxa"/>
            <w:vMerge/>
            <w:tcBorders>
              <w:top w:val="nil"/>
              <w:left w:val="single" w:sz="4" w:space="0" w:color="FFFFFF"/>
              <w:bottom w:val="single" w:sz="2" w:space="0" w:color="000000"/>
              <w:right w:val="nil"/>
            </w:tcBorders>
          </w:tcPr>
          <w:p>
            <w:pPr>
              <w:pageBreakBefore w:val="0"/>
            </w:pPr>
          </w:p>
        </w:tc>
        <w:tc>
          <w:tcPr>
            <w:tcW w:w="2850" w:type="dxa"/>
            <w:vMerge/>
            <w:tcBorders>
              <w:top w:val="nil"/>
              <w:left w:val="single" w:sz="4" w:space="0" w:color="FFFFFF"/>
              <w:bottom w:val="single" w:sz="2" w:space="0" w:color="000000"/>
              <w:right w:val="nil"/>
            </w:tcBorders>
          </w:tcPr>
          <w:p>
            <w:pPr>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005" w:type="dxa"/>
            <w:vMerge/>
            <w:tcBorders>
              <w:top w:val="nil"/>
              <w:left w:val="single" w:sz="4" w:space="0" w:color="FFFFFF"/>
              <w:bottom w:val="single" w:sz="2" w:space="0" w:color="000000"/>
              <w:right w:val="single" w:sz="2" w:space="0" w:color="000000"/>
            </w:tcBorders>
          </w:tcPr>
          <w:p>
            <w:pPr>
              <w:pageBreakBefore w:val="0"/>
            </w:pP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Especializado de Monitoreo y Control de Residuos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Técnico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Control y Seguimiento de Residuos Peligrosos y no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30-01-2026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Especializado de Notificaciones Ambientales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Notificación de Novedades y Requisitos Ambientales - Beeok</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238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30-01-2026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240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25.385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30-01-2026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de 04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794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30-01-2026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Especializado de Notificaciones Ambientales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Servicion de Notificación de Novedades y Requisitos Ambientales - Beeok</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238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Especializado de Monitoreo y Control de Residuos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Técnico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Control y Seguimiento de Residuos Peligrosos y no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218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23.058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de 09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1.791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Jurídica y Ambiental de Proyectos RCA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Consultoría Proyectos RCA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Especializado de Monitoreo y Control de Residuos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Técnico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Control y Seguimiento de Residuos Peligrosos y no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121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12.798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de 06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4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5.514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19-01-2026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17-01-2026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validación de datos CEMS IV trimestre 2026</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mantención equipo SCR central Porvenir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6.436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31-01-2026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validación de datos CEMS Año 2026</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32</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35</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Estudio medio ambiente avistamiento Avi fauna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Estudio medio ambiente avistamiento Avi fauna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5.441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41</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04</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10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20-04-2026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32</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35</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41</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04</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10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20-04-2026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32</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35</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41</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04</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técnica medio ambiental EP 10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apoyo medioambiental proyectos renovables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20-04-2026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PAS 157 - declaración impacto ambiental Guerrico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Asesoría técnica medio ambiental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7.857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final DIA proyecto Guerrico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Asesoría técnica medio ambiental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13.885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27-03-2026</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técnico legal - Medio ambiente DIA Guerrico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técnico legal - medio ambiente DIA Guerrico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7.371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06-04-2026</w:t>
            </w:r>
          </w:p>
        </w:tc>
      </w:tr>
      <w:tr>
        <w:tblPrEx>
          <w:tblW w:w="12855" w:type="dxa"/>
          <w:tblInd w:w="709" w:type="dxa"/>
          <w:tblLayout w:type="fixed"/>
        </w:tblPrEx>
        <w:trPr>
          <w:cantSplit/>
          <w:trHeight w:hRule="auto" w:val="0"/>
        </w:trPr>
        <w:tc>
          <w:tcPr>
            <w:tcW w:w="228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8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9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86.466</w:t>
            </w:r>
          </w:p>
        </w:tc>
        <w:tc>
          <w:tcPr>
            <w:tcW w:w="1005" w:type="dxa"/>
            <w:tcBorders>
              <w:top w:val="single" w:sz="2" w:space="0" w:color="000000"/>
              <w:left w:val="single" w:sz="2" w:space="0" w:color="000000"/>
              <w:bottom w:val="nil"/>
              <w:right w:val="single" w:sz="8" w:space="0" w:color="D9D9D9"/>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31 de diciembre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80"/>
        <w:gridCol w:w="2895"/>
        <w:gridCol w:w="1995"/>
        <w:gridCol w:w="1005"/>
        <w:gridCol w:w="2850"/>
        <w:gridCol w:w="825"/>
        <w:gridCol w:w="1005"/>
      </w:tblGrid>
      <w:tr>
        <w:tblPrEx>
          <w:tblW w:w="12855" w:type="dxa"/>
          <w:tblInd w:w="709" w:type="dxa"/>
          <w:tblLayout w:type="fixed"/>
        </w:tblPrEx>
        <w:trPr>
          <w:cantSplit/>
          <w:trHeight w:hRule="auto" w:val="0"/>
          <w:tblHeader/>
        </w:trPr>
        <w:tc>
          <w:tcPr>
            <w:tcW w:w="22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Identificación de la compañía que efectúa el desembolso </w:t>
            </w:r>
          </w:p>
        </w:tc>
        <w:tc>
          <w:tcPr>
            <w:tcW w:w="28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Nombre del proyecto</w:t>
            </w:r>
          </w:p>
        </w:tc>
        <w:tc>
          <w:tcPr>
            <w:tcW w:w="19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 por el que se efectuó o efectuará el desembolso</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Desembolso activo / gasto</w:t>
            </w:r>
          </w:p>
        </w:tc>
        <w:tc>
          <w:tcPr>
            <w:tcW w:w="285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del activo o Ítem de gasto</w:t>
            </w:r>
          </w:p>
        </w:tc>
        <w:tc>
          <w:tcPr>
            <w:tcW w:w="8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Monto del desembolso</w:t>
            </w:r>
          </w:p>
        </w:tc>
        <w:tc>
          <w:tcPr>
            <w:tcW w:w="100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Fecha de los desembolsos efectuados</w:t>
            </w:r>
          </w:p>
        </w:tc>
      </w:tr>
      <w:tr>
        <w:tblPrEx>
          <w:tblW w:w="12855" w:type="dxa"/>
          <w:tblInd w:w="709" w:type="dxa"/>
          <w:tblLayout w:type="fixed"/>
        </w:tblPrEx>
        <w:trPr>
          <w:cantSplit/>
          <w:trHeight w:hRule="auto" w:val="0"/>
          <w:tblHeader/>
        </w:trPr>
        <w:tc>
          <w:tcPr>
            <w:tcW w:w="2280" w:type="dxa"/>
            <w:vMerge/>
            <w:tcBorders>
              <w:top w:val="nil"/>
              <w:left w:val="single" w:sz="2" w:space="0" w:color="000000"/>
              <w:bottom w:val="single" w:sz="2" w:space="0" w:color="000000"/>
              <w:right w:val="nil"/>
            </w:tcBorders>
          </w:tcPr>
          <w:p>
            <w:pPr>
              <w:pageBreakBefore w:val="0"/>
            </w:pPr>
          </w:p>
        </w:tc>
        <w:tc>
          <w:tcPr>
            <w:tcW w:w="2895" w:type="dxa"/>
            <w:vMerge/>
            <w:tcBorders>
              <w:top w:val="nil"/>
              <w:left w:val="single" w:sz="4" w:space="0" w:color="FFFFFF"/>
              <w:bottom w:val="single" w:sz="2" w:space="0" w:color="000000"/>
              <w:right w:val="nil"/>
            </w:tcBorders>
          </w:tcPr>
          <w:p>
            <w:pPr>
              <w:pageBreakBefore w:val="0"/>
            </w:pPr>
          </w:p>
        </w:tc>
        <w:tc>
          <w:tcPr>
            <w:tcW w:w="1995" w:type="dxa"/>
            <w:vMerge/>
            <w:tcBorders>
              <w:top w:val="nil"/>
              <w:left w:val="single" w:sz="4" w:space="0" w:color="FFFFFF"/>
              <w:bottom w:val="single" w:sz="2" w:space="0" w:color="000000"/>
              <w:right w:val="nil"/>
            </w:tcBorders>
          </w:tcPr>
          <w:p>
            <w:pPr>
              <w:pageBreakBefore w:val="0"/>
            </w:pPr>
          </w:p>
        </w:tc>
        <w:tc>
          <w:tcPr>
            <w:tcW w:w="1005" w:type="dxa"/>
            <w:vMerge/>
            <w:tcBorders>
              <w:top w:val="nil"/>
              <w:left w:val="single" w:sz="4" w:space="0" w:color="FFFFFF"/>
              <w:bottom w:val="single" w:sz="2" w:space="0" w:color="000000"/>
              <w:right w:val="nil"/>
            </w:tcBorders>
          </w:tcPr>
          <w:p>
            <w:pPr>
              <w:pageBreakBefore w:val="0"/>
            </w:pPr>
          </w:p>
        </w:tc>
        <w:tc>
          <w:tcPr>
            <w:tcW w:w="2850" w:type="dxa"/>
            <w:vMerge/>
            <w:tcBorders>
              <w:top w:val="nil"/>
              <w:left w:val="single" w:sz="4" w:space="0" w:color="FFFFFF"/>
              <w:bottom w:val="single" w:sz="2" w:space="0" w:color="000000"/>
              <w:right w:val="nil"/>
            </w:tcBorders>
          </w:tcPr>
          <w:p>
            <w:pPr>
              <w:pageBreakBefore w:val="0"/>
            </w:pPr>
          </w:p>
        </w:tc>
        <w:tc>
          <w:tcPr>
            <w:tcW w:w="82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4"/>
                <w:u w:val="none"/>
              </w:rPr>
              <w:t>M$</w:t>
            </w:r>
          </w:p>
        </w:tc>
        <w:tc>
          <w:tcPr>
            <w:tcW w:w="1005" w:type="dxa"/>
            <w:vMerge/>
            <w:tcBorders>
              <w:top w:val="nil"/>
              <w:left w:val="single" w:sz="4" w:space="0" w:color="FFFFFF"/>
              <w:bottom w:val="single" w:sz="2" w:space="0" w:color="000000"/>
              <w:right w:val="single" w:sz="2" w:space="0" w:color="000000"/>
            </w:tcBorders>
          </w:tcPr>
          <w:p>
            <w:pPr>
              <w:pageBreakBefore w:val="0"/>
            </w:pP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8.057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3.233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3.651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04-03-2025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05-03-2025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3.964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1.252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939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13-03-2025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4.589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6.258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1.252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24-03-2025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5.633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Aceite de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778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2.816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730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2.399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22-04-2025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1.773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1.043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24-04-2025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highlight w:val="white"/>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highlight w:val="white"/>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24-04-2025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3.964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3.025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9.440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736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1.893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08-07-2025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6.519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421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1.175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05-08-2025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946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1.893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08-08-2025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09-08-2025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421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2.208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13-08-2025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16-08-2025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841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7.255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22-08-2025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04-09-2025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05-09-2025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3.890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22-09-2025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3.470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2.103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de PCB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592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3.365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02-10-2025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Asesoria Ambiental (Biodiversidad)</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Asesoria Ambiental ( Biodiversidad)</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4.000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16-10-2025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3.049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2.944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22-10-2025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1.577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23-10-2025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2.629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Analisis de PCB equipos fabricados anterior a 1982</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792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631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1.682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18-11-2025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3.575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421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2.418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24-11-2025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2.944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1.682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2.208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highlight w:val="white"/>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highlight w:val="white"/>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02-12-2025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Fortalecimiento del SGI para Huella de Carbono CGE</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Consultoria Huella de Carbono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6.307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Proyecto de Reparación de Transformadores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Traslado a Tusan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Gestión de Traslado de Equipos para reparación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16-12-2025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HP3 Ingreso DIA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40.217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Modificación planos restitución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4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5.329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Letrero DIA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Certificado de vigencia poder JR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Certificados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5.579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Viaje por ICSARA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Pasajes y estadía</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8.110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- 2025/02</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Proyecto Eólico PUQ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- 2025/02</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Proyecto Eólico PNT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- 2025/02</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656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17-03-2025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Porvenir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7.079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Soporte revisión DIA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15.169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17.189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27-03-2025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1.891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 proyectos generación 2024</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5.601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 N°1 - 50% Estudios ICSARA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12.445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09-04-2025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- 2025/03</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- 2025/03</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- 2025/03</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Registro SISAT (correcciones UGE CPN y CPO)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verificación y corrección de datos CEMS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518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19.250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30-04-2025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1 2025</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5.423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Porvenir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6.878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13-05-2025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- 2025/04</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- 2025/04</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- 2025/04</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Análisis traslado UGE CAT</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4.310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Respuesta resolución exenta N° 576 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2.938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27-05-2025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Mano de obra interna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Mano de obra interna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2.034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8.214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Sistema mitigación de emisiones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Mantenimiento equipos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13.658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31-05-2025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HP1 ING.CAM - 30% Inicio de trabajos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2.017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06-06-2025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- 2025/05</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12-06-2025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- 2025/05</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12-06-2025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- 2025/05</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684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12-06-2025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Mano de obra interna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Mano de obra interna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1.990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8.614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30-06-2025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467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- 2025/06</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- 2025/06</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- 2025/06</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Cilindros de gases patrones para calibración CEMS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7.687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HP2 ING.CAM - 50% entrega ingeniería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3.475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24-07-2025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HP3 ING.CAM - 20% ingeniería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1.382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25-07-2025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Adquisición gases patrones Nacionales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2.979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Consultas procedimiento pago impuesto a emisiones periodo 2023 CPN (junio 2025)</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1.470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2 2025</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5.438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Porvenir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4.425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29-07-2025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Desarrollo estructuras para instalación de silenciadores TG N°4 y TG N°9 y mano de obra interna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Desarrollo  de estructuras para instalaciones de silenciadores TG N°4 y TG N°9 y mano de obra interna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7.828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calibración SCR Porvenir INERCO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6.360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reportes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Revisión de datos CEMS tercer trimestre 2025</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31-07-2025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HP N°2 - 50% Estudios ICSARA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12.795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07-08-2025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Soporte ICSARA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1.812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- 2025/07</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- 2025/07</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- 2025/07</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19-08-2025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Matriz de Permisos Sectoriales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3.475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Soporte técnico ICSARA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6.042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22-08-2025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 jurídico ambiental</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Honorarios julio agosto 2025</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3.818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Matriz de Permisos Sectoriales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3.988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26-08-2025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por estructura y mano de obra interna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por estructura y mano de obra interna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3.574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hito N°1 de contrato por entrega de planos de montaje con Cofama S.A. más pago de mano de obra interna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hito N°1 de Contrato por entrega de planos de montaje con Cofama S.A. más pago de mano de obra interna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14.188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8.686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31-08-2025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de ruido CPA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1.379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Medición de ruido CPN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1.714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Monitoreo calidad de aire CPA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17.633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Seguimientos ambientales RCA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Monitoreo calidad de aire CPN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17.633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01-09-2025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residuos peligrosos Central P. Natales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Manejo de residuos peligrosos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11.857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- 2025/08</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- 2025/08</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- 2025/08</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15-09-2025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EDIS-20240008 Parque Eólico Punta Arenas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Matriz de Permisos Sectoriales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1.896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20-09-2025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Mano de obra interna y externa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Mano de obra interna y externa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8.822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servicio de ingeniería mano de obra interna y externa.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servicio de ingeniería  mano de obra interna y externa. </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7.254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calibración SCR Porvenir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1.072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anual CEMS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6.149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50.230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30-09-2025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14-10-2025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hito N°2 de contrato por entrega de planos de montaje con Cofama S.A. más pago de mano de obra interna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motor portátil CAT 3512 UG N°14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14.386</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reparación Servidor CEMS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395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30.397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31-10-2025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Pago DSS 50% estudio meteorológico PEPN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1.909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GEO4D levantamiento topográfico Natales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4.150</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03-11-2025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Reporte de emisiones trimestre 3 2025</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Impuestos verdes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5.501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10-11-2025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11-11-2025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 - 2025/10</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Mantex cruce y tramitación 50% final</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Apoyo ambiental</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3.499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21-11-2025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Mano de obra interna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Central Tres Puentes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1.977</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28-11-2025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mantenimiento anual Hardware Ambilogger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2.219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9.091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30-11-2025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EDIS-20240010 Parque Eólico Puerto Natales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DSS- Pago H2 informe meteorológico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1.909</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06-12-2025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Conexión en Línea del CEMS - SMA</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Servicio de enlace dedicado a comunicación CEMS-SMA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472</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09-12-2025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y normalización motor portátil CAT 3512 UG N°14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 xml:space="preserve">Pago hito N°3 de contrato por entrega de planos de montaje con Cofama S.A. más pago de mano de obra interna </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Insonorización motor portátil CAT 3512 UG N°14</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17.985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16-12-2025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PPU Legal - asesoría DIA Sept- Oct</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7.674</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PPU Legal - asesoría DIA Nov</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6.203</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EDIS-20240009 Proyecto Guerrico 2024</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PPU Legal - asesoría DIA Dic</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Activo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Asesorías técnicas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5.805</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equipos CEMS</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Validación anual CEMS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Mantención de grúas y equipos pesados</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11.068</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55" w:type="dxa"/>
          <w:tblInd w:w="709" w:type="dxa"/>
          <w:tblLayout w:type="fixed"/>
        </w:tblPrEx>
        <w:trPr>
          <w:cantSplit/>
          <w:trHeight w:hRule="auto" w:val="0"/>
        </w:trPr>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Empresa Eléctrica de Magallanes S.A.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Consumibles Sistema Mitigación Emisiones SCR</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Consumo de urea sistemas de mitigación de emisiones SCR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Gasto</w:t>
            </w: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Insumos generación</w:t>
            </w:r>
          </w:p>
        </w:tc>
        <w:tc>
          <w:tcPr>
            <w:tcW w:w="8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19.661</w:t>
            </w:r>
          </w:p>
        </w:tc>
        <w:tc>
          <w:tcPr>
            <w:tcW w:w="100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31-12-2025</w:t>
            </w:r>
          </w:p>
        </w:tc>
      </w:tr>
      <w:tr>
        <w:tblPrEx>
          <w:tblW w:w="12855" w:type="dxa"/>
          <w:tblInd w:w="709" w:type="dxa"/>
          <w:tblLayout w:type="fixed"/>
        </w:tblPrEx>
        <w:trPr>
          <w:cantSplit/>
          <w:trHeight w:hRule="auto" w:val="0"/>
        </w:trPr>
        <w:tc>
          <w:tcPr>
            <w:tcW w:w="228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8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99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28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8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748.142</w:t>
            </w:r>
          </w:p>
        </w:tc>
        <w:tc>
          <w:tcPr>
            <w:tcW w:w="100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709" w:right="0" w:firstLine="70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708"/>
        <w:jc w:val="both"/>
        <w:outlineLvl w:val="9"/>
        <w:rPr>
          <w:rFonts w:ascii="Calibri" w:eastAsia="Calibri" w:hAnsi="Calibri" w:cs="Calibri"/>
          <w:b w:val="0"/>
          <w:i w:val="0"/>
          <w:color w:val="000000"/>
          <w:sz w:val="20"/>
          <w:u w:val="none"/>
        </w:rPr>
        <w:sectPr>
          <w:headerReference w:type="default" r:id="rId59"/>
          <w:footerReference w:type="default" r:id="rId60"/>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libri" w:eastAsia="Calibri" w:hAnsi="Calibri" w:cs="Calibri"/>
          <w:b/>
          <w:i w:val="0"/>
          <w:color w:val="000000"/>
          <w:sz w:val="20"/>
          <w:u w:val="none"/>
        </w:rPr>
      </w:pPr>
      <w:bookmarkStart w:id="311" w:name="Section160"/>
      <w:bookmarkEnd w:id="311"/>
      <w:bookmarkStart w:id="312" w:name="e06006b71d894b00b400f7e8964f6cea"/>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HECHOS POSTERIORES.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312"/>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Entre el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fecha de cierre de los estados financieros consolidados intermedios, y su fecha de presentación, no han ocurrido hechos significativos de carácter financiero-contable que pudieran afectar el patrimonio de la Sociedad o la interpretación de éstos.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sectPr>
      <w:headerReference w:type="default" r:id="rId61"/>
      <w:footerReference w:type="default" r:id="rId62"/>
      <w:type w:val="continuous"/>
      <w:pgSz w:w="12240" w:h="15840"/>
      <w:pgMar w:top="1134" w:right="1134" w:bottom="1134"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498.9pt;height:1.98pt">
          <v:imagedata r:id="rId1" o:title=""/>
          <o:lock v:ext="edit" aspectratio="t"/>
        </v:shape>
      </w:pict>
    </w:r>
  </w:p>
  <w:p>
    <w:pPr>
      <w:pStyle w:val="Normal-wk"/>
      <w:keepNext w:val="0"/>
      <w:keepLines/>
      <w:pageBreakBefore w:val="0"/>
      <w:widowControl w:val="0"/>
      <w:numPr>
        <w:ilvl w:val="0"/>
        <w:numId w:val="0"/>
      </w:numPr>
      <w:tabs>
        <w:tab w:val="right" w:pos="9920"/>
      </w:tabs>
      <w:spacing w:before="0" w:after="0" w:line="240" w:lineRule="exact"/>
      <w:ind w:left="0" w:right="0" w:firstLine="0"/>
      <w:jc w:val="both"/>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notas adjuntas forman parte integral de estos estados financieros consolidados intermedios.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r>
      <w:rPr>
        <w:rFonts w:ascii="Calibri" w:eastAsia="Calibri" w:hAnsi="Calibri" w:cs="Calibri"/>
        <w:b/>
        <w:i w:val="0"/>
        <w:color w:val="000000"/>
        <w:sz w:val="20"/>
        <w:u w:val="none"/>
      </w:rPr>
      <w:tab/>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677.48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consolidados intermedios.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lef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consolidados intermedios.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85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23</w:t>
    </w:r>
    <w:r>
      <w:rPr>
        <w:rFonts w:ascii="Calibri" w:eastAsia="Calibri" w:hAnsi="Calibri" w:cs="Calibri"/>
        <w:b w:val="0"/>
        <w:i w:val="0"/>
        <w:color w:val="000000"/>
        <w:sz w:val="20"/>
        <w:u w:val="none"/>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24</w:t>
    </w:r>
    <w:r>
      <w:rPr>
        <w:rFonts w:ascii="Calibri" w:eastAsia="Calibri" w:hAnsi="Calibri" w:cs="Calibri"/>
        <w:b w:val="0"/>
        <w:i w:val="0"/>
        <w:color w:val="000000"/>
        <w:sz w:val="20"/>
        <w:u w:val="none"/>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498.9pt;height:1.98pt">
          <v:imagedata r:id="rId1" o:title=""/>
          <o:lock v:ext="edit" aspectratio="t"/>
        </v:shape>
      </w:pic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55</w:t>
    </w:r>
    <w:r>
      <w:rPr>
        <w:rFonts w:ascii="Calibri" w:eastAsia="Calibri" w:hAnsi="Calibri" w:cs="Calibri"/>
        <w:b w:val="0"/>
        <w:i w:val="0"/>
        <w:color w:val="000000"/>
        <w:sz w:val="20"/>
        <w:u w:val="none"/>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56</w:t>
    </w:r>
    <w:r>
      <w:rPr>
        <w:rFonts w:ascii="Calibri" w:eastAsia="Calibri" w:hAnsi="Calibri" w:cs="Calibri"/>
        <w:b w:val="0"/>
        <w:i w:val="0"/>
        <w:color w:val="000000"/>
        <w:sz w:val="20"/>
        <w:u w:val="none"/>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498.9pt;height:1.98pt">
          <v:imagedata r:id="rId1" o:title=""/>
          <o:lock v:ext="edit" aspectratio="t"/>
        </v:shape>
      </w:pic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64</w:t>
    </w:r>
    <w:r>
      <w:rPr>
        <w:rFonts w:ascii="Calibri" w:eastAsia="Calibri" w:hAnsi="Calibri" w:cs="Calibri"/>
        <w:b w:val="0"/>
        <w:i w:val="0"/>
        <w:color w:val="000000"/>
        <w:sz w:val="20"/>
        <w:u w:val="none"/>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65</w:t>
    </w:r>
    <w:r>
      <w:rPr>
        <w:rFonts w:ascii="Calibri" w:eastAsia="Calibri" w:hAnsi="Calibri" w:cs="Calibri"/>
        <w:b w:val="0"/>
        <w:i w:val="0"/>
        <w:color w:val="000000"/>
        <w:sz w:val="20"/>
        <w:u w:val="none"/>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9" type="#_x0000_t75" style="width:498.9pt;height:1.98pt">
          <v:imagedata r:id="rId1" o:title=""/>
          <o:lock v:ext="edit" aspectratio="t"/>
        </v:shape>
      </w:pic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70</w:t>
    </w:r>
    <w:r>
      <w:rPr>
        <w:rFonts w:ascii="Calibri" w:eastAsia="Calibri" w:hAnsi="Calibri" w:cs="Calibri"/>
        <w:b w:val="0"/>
        <w:i w:val="0"/>
        <w:color w:val="000000"/>
        <w:sz w:val="20"/>
        <w:u w:val="none"/>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0"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76</w:t>
    </w:r>
    <w:r>
      <w:rPr>
        <w:rFonts w:ascii="Calibri" w:eastAsia="Calibri" w:hAnsi="Calibri" w:cs="Calibri"/>
        <w:b w:val="0"/>
        <w:i w:val="0"/>
        <w:color w:val="000000"/>
        <w:sz w:val="20"/>
        <w:u w:val="none"/>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1"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79</w:t>
    </w:r>
    <w:r>
      <w:rPr>
        <w:rFonts w:ascii="Calibri" w:eastAsia="Calibri" w:hAnsi="Calibri" w:cs="Calibri"/>
        <w:b w:val="0"/>
        <w:i w:val="0"/>
        <w:color w:val="000000"/>
        <w:sz w:val="20"/>
        <w:u w:val="none"/>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2"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81</w:t>
    </w:r>
    <w:r>
      <w:rPr>
        <w:rFonts w:ascii="Calibri" w:eastAsia="Calibri" w:hAnsi="Calibri" w:cs="Calibri"/>
        <w:b w:val="0"/>
        <w:i w:val="0"/>
        <w:color w:val="000000"/>
        <w:sz w:val="20"/>
        <w:u w:val="none"/>
      </w:rPr>
      <w:fldChar w:fldCharType="end"/>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right"/>
      <w:outlineLvl w:val="9"/>
      <w:rPr>
        <w:rFonts w:ascii="Calibri" w:eastAsia="Calibri" w:hAnsi="Calibri" w:cs="Calibri"/>
        <w:b w:val="0"/>
        <w:i w:val="0"/>
        <w:color w:val="000000"/>
        <w:sz w:val="20"/>
        <w:u w:val="none"/>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3"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88</w:t>
    </w:r>
    <w:r>
      <w:rPr>
        <w:rFonts w:ascii="Calibri" w:eastAsia="Calibri" w:hAnsi="Calibri" w:cs="Calibri"/>
        <w:b w:val="0"/>
        <w:i w:val="0"/>
        <w:color w:val="000000"/>
        <w:sz w:val="20"/>
        <w:u w:val="none"/>
      </w:rPr>
      <w:fldChar w:fldCharType="end"/>
    </w:r>
  </w:p>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4"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90</w:t>
    </w:r>
    <w:r>
      <w:rPr>
        <w:rFonts w:ascii="Calibri" w:eastAsia="Calibri" w:hAnsi="Calibri" w:cs="Calibri"/>
        <w:b w:val="0"/>
        <w:i w:val="0"/>
        <w:color w:val="000000"/>
        <w:sz w:val="20"/>
        <w:u w:val="none"/>
      </w:rPr>
      <w:fldChar w:fldCharType="end"/>
    </w:r>
  </w:p>
  <w:p>
    <w:pPr>
      <w:keepNext w:val="0"/>
      <w:keepLines/>
      <w:pageBreakBefore w:val="0"/>
      <w:widowControl w:val="0"/>
      <w:numPr>
        <w:ilvl w:val="0"/>
        <w:numId w:val="0"/>
      </w:numPr>
      <w:spacing w:before="0" w:after="0" w:line="288" w:lineRule="auto"/>
      <w:ind w:left="0" w:right="0" w:firstLine="0"/>
      <w:jc w:val="right"/>
      <w:outlineLvl w:val="9"/>
      <w:rPr>
        <w:rFonts w:ascii="Calibri" w:eastAsia="Calibri" w:hAnsi="Calibri" w:cs="Calibri"/>
        <w:b w:val="0"/>
        <w:i w:val="0"/>
        <w:color w:val="000000"/>
        <w:sz w:val="20"/>
        <w:u w:val="none"/>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5" type="#_x0000_t75" style="width:498.9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95</w:t>
    </w:r>
    <w:r>
      <w:rPr>
        <w:rFonts w:ascii="Calibri" w:eastAsia="Calibri" w:hAnsi="Calibri" w:cs="Calibri"/>
        <w:b w:val="0"/>
        <w:i w:val="0"/>
        <w:color w:val="000000"/>
        <w:sz w:val="20"/>
        <w:u w:val="none"/>
      </w:rPr>
      <w:fldChar w:fldCharType="end"/>
    </w:r>
    <w:r>
      <w:rPr>
        <w:rFonts w:ascii="Calibri" w:eastAsia="Calibri" w:hAnsi="Calibri" w:cs="Calibri"/>
        <w:b w:val="0"/>
        <w:i w:val="0"/>
        <w:color w:val="000000"/>
        <w:sz w:val="20"/>
        <w:u w:val="none"/>
      </w:rPr>
      <w:t xml:space="preserve"> </w: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6"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115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100</w:t>
    </w:r>
    <w:r>
      <w:rPr>
        <w:rFonts w:ascii="Calibri" w:eastAsia="Calibri" w:hAnsi="Calibri" w:cs="Calibri"/>
        <w:b w:val="0"/>
        <w:i w:val="0"/>
        <w:sz w:val="20"/>
      </w:rP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7"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 w:lineRule="exact"/>
      <w:ind w:left="7920" w:right="0" w:firstLine="0"/>
      <w:jc w:val="lef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 </w:t>
    </w:r>
    <w:r>
      <w:rPr>
        <w:rFonts w:ascii="Calibri" w:eastAsia="Calibri" w:hAnsi="Calibri" w:cs="Calibri"/>
        <w:b w:val="0"/>
        <w:i w:val="0"/>
        <w:sz w:val="20"/>
      </w:rPr>
      <w:tab/>
    </w: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109</w:t>
    </w:r>
    <w:r>
      <w:rPr>
        <w:rFonts w:ascii="Calibri" w:eastAsia="Calibri" w:hAnsi="Calibri" w:cs="Calibri"/>
        <w:b w:val="0"/>
        <w:i w:val="0"/>
        <w:sz w:val="20"/>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8"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110</w:t>
    </w:r>
    <w:r>
      <w:rPr>
        <w:rFonts w:ascii="Calibri" w:eastAsia="Calibri" w:hAnsi="Calibri" w:cs="Calibri"/>
        <w:b w:val="0"/>
        <w:i w:val="0"/>
        <w:color w:val="000000"/>
        <w:sz w:val="20"/>
        <w:u w:val="none"/>
      </w:rPr>
      <w:fldChar w:fldCharType="end"/>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9" type="#_x0000_t75" style="width:498.9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117</w:t>
    </w:r>
    <w:r>
      <w:rPr>
        <w:rFonts w:ascii="Calibri" w:eastAsia="Calibri" w:hAnsi="Calibri" w:cs="Calibri"/>
        <w:b w:val="0"/>
        <w:i w:val="0"/>
        <w:color w:val="000000"/>
        <w:sz w:val="20"/>
        <w:u w:val="none"/>
      </w:rP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0"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124</w:t>
    </w:r>
    <w:r>
      <w:rPr>
        <w:rFonts w:ascii="Calibri" w:eastAsia="Calibri" w:hAnsi="Calibri" w:cs="Calibri"/>
        <w:b w:val="0"/>
        <w:i w:val="0"/>
        <w:color w:val="000000"/>
        <w:sz w:val="20"/>
        <w:u w:val="none"/>
      </w:rPr>
      <w:fldChar w:fldCharType="end"/>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1" type="#_x0000_t75" style="width:498.9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159</w:t>
    </w:r>
    <w:r>
      <w:rPr>
        <w:rFonts w:ascii="Calibri" w:eastAsia="Calibri" w:hAnsi="Calibri" w:cs="Calibri"/>
        <w:b w:val="0"/>
        <w:i w:val="0"/>
        <w:color w:val="000000"/>
        <w:sz w:val="20"/>
        <w:u w:val="none"/>
      </w:rPr>
      <w:fldChar w:fldCharType="end"/>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right"/>
      <w:outlineLvl w:val="9"/>
      <w:rPr>
        <w:rFonts w:ascii="Calibri" w:eastAsia="Calibri" w:hAnsi="Calibri" w:cs="Calibri"/>
        <w:b w:val="0"/>
        <w:i w:val="0"/>
        <w:color w:val="000000"/>
        <w:sz w:val="20"/>
        <w:u w:val="none"/>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2"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166</w:t>
    </w:r>
    <w:r>
      <w:rPr>
        <w:rFonts w:ascii="Calibri" w:eastAsia="Calibri" w:hAnsi="Calibri" w:cs="Calibri"/>
        <w:b w:val="0"/>
        <w:i w:val="0"/>
        <w:color w:val="000000"/>
        <w:sz w:val="20"/>
        <w:u w:val="none"/>
      </w:rPr>
      <w:fldChar w:fldCharType="end"/>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3" type="#_x0000_t75" style="width:677.48pt;height:1.98pt">
          <v:imagedata r:id="rId1" o:title=""/>
          <o:lock v:ext="edit" aspectratio="t"/>
        </v:shape>
      </w:pict>
    </w:r>
  </w:p>
  <w:p>
    <w:pPr>
      <w:pStyle w:val="Normal-wk"/>
      <w:keepNext w:val="0"/>
      <w:keepLines/>
      <w:pageBreakBefore w:val="0"/>
      <w:widowControl w:val="0"/>
      <w:numPr>
        <w:ilvl w:val="0"/>
        <w:numId w:val="0"/>
      </w:numPr>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167</w:t>
    </w:r>
    <w:r>
      <w:rPr>
        <w:rFonts w:ascii="Calibri" w:eastAsia="Calibri" w:hAnsi="Calibri" w:cs="Calibri"/>
        <w:b w:val="0"/>
        <w:i w:val="0"/>
        <w:color w:val="000000"/>
        <w:sz w:val="20"/>
        <w:u w:val="none"/>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1984" w:right="-850" w:firstLine="0"/>
      <w:jc w:val="right"/>
      <w:outlineLvl w:val="9"/>
      <w:rPr>
        <w:rFonts w:ascii="Calibri" w:eastAsia="Calibri" w:hAnsi="Calibri" w:cs="Calibri"/>
        <w:b w:val="0"/>
        <w:i w:val="0"/>
        <w:color w:val="000000"/>
        <w:sz w:val="20"/>
        <w:u w:val="none"/>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1984" w:right="-85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127.56pt;height:52.83pt">
          <v:imagedata r:id="rId1" o:title=""/>
          <o:lock v:ext="edit" aspectratio="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3118" w:right="0" w:firstLine="0"/>
      <w:jc w:val="right"/>
      <w:outlineLvl w:val="9"/>
      <w:rPr>
        <w:rFonts w:ascii="Calibri" w:eastAsia="Calibri" w:hAnsi="Calibri" w:cs="Calibri"/>
        <w:b w:val="0"/>
        <w:i w:val="0"/>
        <w:color w:val="000000"/>
        <w:sz w:val="20"/>
        <w:u w:val="none"/>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534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2580"/>
        <w:tab w:val="left" w:pos="5880"/>
        <w:tab w:val="center" w:pos="6720"/>
        <w:tab w:val="right" w:pos="8820"/>
        <w:tab w:val="left" w:pos="10840"/>
      </w:tabs>
      <w:spacing w:before="0" w:after="240" w:line="288" w:lineRule="auto"/>
      <w:ind w:left="0" w:right="0" w:firstLine="0"/>
      <w:jc w:val="center"/>
      <w:outlineLvl w:val="9"/>
      <w:rPr>
        <w:rFonts w:ascii="Calibri" w:eastAsia="Calibri" w:hAnsi="Calibri" w:cs="Calibri"/>
        <w:b w:val="0"/>
        <w:i w:val="0"/>
        <w:color w:val="000000"/>
        <w:sz w:val="20"/>
        <w:u w:val="none"/>
      </w:rPr>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2580"/>
        <w:tab w:val="left" w:pos="5880"/>
        <w:tab w:val="center" w:pos="6720"/>
        <w:tab w:val="right" w:pos="8820"/>
        <w:tab w:val="left" w:pos="10840"/>
      </w:tabs>
      <w:spacing w:before="0" w:after="240" w:line="288" w:lineRule="auto"/>
      <w:ind w:left="0" w:right="0" w:firstLine="0"/>
      <w:jc w:val="center"/>
      <w:outlineLvl w:val="9"/>
      <w:rPr>
        <w:rFonts w:ascii="Calibri" w:eastAsia="Calibri" w:hAnsi="Calibri" w:cs="Calibri"/>
        <w:b w:val="0"/>
        <w:i w:val="0"/>
        <w:color w:val="000000"/>
        <w:sz w:val="20"/>
        <w:u w:val="non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720"/>
        </w:tabs>
        <w:ind w:left="720" w:hanging="360"/>
      </w:pPr>
      <w:rPr>
        <w:rFonts w:ascii="Calibri" w:eastAsia="Calibri" w:hAnsi="Calibri" w:cs="Calibri"/>
        <w:b/>
        <w:i w:val="0"/>
        <w:strike w:val="0"/>
        <w:color w:val="000000"/>
        <w:sz w:val="20"/>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multilevel"/>
    <w:tmpl w:val="00000003"/>
    <w:lvl w:ilvl="0">
      <w:start w:val="1"/>
      <w:numFmt w:val="lowerRoman"/>
      <w:lvlText w:val="%1)"/>
      <w:lvlJc w:val="left"/>
      <w:pPr>
        <w:tabs>
          <w:tab w:val="num" w:pos="2115"/>
        </w:tabs>
        <w:ind w:left="720" w:hanging="360"/>
      </w:pPr>
      <w:rPr>
        <w:rFonts w:ascii="Calibri" w:eastAsia="Calibri" w:hAnsi="Calibri" w:cs="Calibri"/>
        <w:b w:val="0"/>
        <w:i w:val="0"/>
        <w:strike w:val="0"/>
        <w:color w:val="000000"/>
        <w:sz w:val="20"/>
        <w:u w:val="none"/>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4">
    <w:nsid w:val="0000000F"/>
    <w:multiLevelType w:val="hybridMultilevel"/>
    <w:tmpl w:val="0000000F"/>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
      <w:lvlJc w:val="left"/>
      <w:pPr>
        <w:tabs>
          <w:tab w:val="num" w:pos="3118"/>
        </w:tabs>
        <w:ind w:left="1440" w:hanging="360"/>
      </w:pPr>
      <w:rPr>
        <w:rFonts w:ascii="Calibri" w:eastAsia="Calibri" w:hAnsi="Calibri" w:cs="Calibri"/>
        <w:b w:val="0"/>
        <w:i w:val="0"/>
        <w:strike w:val="0"/>
        <w:color w:val="000000"/>
        <w:sz w:val="20"/>
        <w:highlight w:val="white"/>
        <w:u w:val="none"/>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35"/>
        </w:tabs>
        <w:ind w:left="2880" w:hanging="360"/>
      </w:pPr>
      <w:rPr>
        <w:rFonts w:ascii="Calibri" w:eastAsia="Calibri" w:hAnsi="Calibri" w:cs="Calibri"/>
        <w:b w:val="0"/>
        <w:i w:val="0"/>
        <w:strike w:val="0"/>
        <w:color w:val="000000"/>
        <w:sz w:val="20"/>
        <w:u w:val="none"/>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multilevel"/>
    <w:tmpl w:val="00000003"/>
    <w:lvl w:ilvl="0">
      <w:start w:val="2"/>
      <w:numFmt w:val="lowerRoman"/>
      <w:lvlText w:val="%1)"/>
      <w:lvlJc w:val="left"/>
      <w:pPr>
        <w:tabs>
          <w:tab w:val="num" w:pos="2126"/>
        </w:tabs>
        <w:ind w:left="720" w:hanging="360"/>
      </w:pPr>
      <w:rPr>
        <w:rFonts w:ascii="Calibri" w:eastAsia="Calibri" w:hAnsi="Calibri" w:cs="Calibri"/>
        <w:b w:val="0"/>
        <w:i w:val="0"/>
        <w:strike w:val="0"/>
        <w:sz w:val="20"/>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6">
    <w:nsid w:val="00000011"/>
    <w:multiLevelType w:val="hybridMultilevel"/>
    <w:tmpl w:val="00000011"/>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tabs>
          <w:tab w:val="num" w:pos="2551"/>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multilevel"/>
    <w:tmpl w:val="00000003"/>
    <w:lvl w:ilvl="0">
      <w:start w:val="1"/>
      <w:numFmt w:val="lowerRoman"/>
      <w:lvlText w:val="%1)"/>
      <w:lvlJc w:val="left"/>
      <w:pPr>
        <w:tabs>
          <w:tab w:val="num" w:pos="2835"/>
        </w:tabs>
        <w:ind w:left="720" w:hanging="360"/>
      </w:pPr>
      <w:rPr>
        <w:rFonts w:ascii="Calibri" w:eastAsia="Calibri" w:hAnsi="Calibri" w:cs="Calibri"/>
        <w:b w:val="0"/>
        <w:i w:val="0"/>
        <w:strike w:val="0"/>
        <w:color w:val="000000"/>
        <w:sz w:val="20"/>
        <w:u w:val="none"/>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0">
    <w:nsid w:val="0000001F"/>
    <w:multiLevelType w:val="hybridMultilevel"/>
    <w:tmpl w:val="0000001F"/>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8">
    <w:nsid w:val="00000031"/>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9">
    <w:nsid w:val="00000032"/>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50">
    <w:nsid w:val="00000033"/>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51">
    <w:nsid w:val="00000034"/>
    <w:multiLevelType w:val="multilevel"/>
    <w:tmpl w:val="00000004"/>
    <w:lvl w:ilvl="0">
      <w:start w:val="1"/>
      <w:numFmt w:val="lowerLetter"/>
      <w:lvlText w:val="%1)"/>
      <w:lvlJc w:val="left"/>
      <w:pPr>
        <w:tabs>
          <w:tab w:val="num" w:pos="2835"/>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52">
    <w:nsid w:val="00000035"/>
    <w:multiLevelType w:val="hybridMultilevel"/>
    <w:tmpl w:val="00000035"/>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tabs>
          <w:tab w:val="num" w:pos="2409"/>
        </w:tabs>
        <w:ind w:left="720" w:hanging="360"/>
      </w:pPr>
      <w:rPr>
        <w:rFonts w:ascii="Calibri" w:eastAsia="Calibri" w:hAnsi="Calibri" w:cs="Calibri"/>
        <w:b w:val="0"/>
        <w:i w:val="0"/>
        <w:strike w:val="0"/>
        <w:color w:val="000000"/>
        <w:sz w:val="20"/>
        <w:highlight w:val="white"/>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tabs>
          <w:tab w:val="num" w:pos="2409"/>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2126"/>
        </w:tabs>
        <w:ind w:left="1440" w:hanging="360"/>
      </w:pPr>
      <w:rPr>
        <w:rFonts w:ascii="Calibri" w:eastAsia="Calibri" w:hAnsi="Calibri" w:cs="Calibri"/>
        <w:b w:val="0"/>
        <w:i w:val="0"/>
        <w:strike w:val="0"/>
        <w:color w:val="000000"/>
        <w:sz w:val="20"/>
        <w:u w:val="none"/>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2126"/>
        </w:tabs>
        <w:ind w:left="1440" w:hanging="360"/>
      </w:pPr>
      <w:rPr>
        <w:rFonts w:ascii="Calibri" w:eastAsia="Calibri" w:hAnsi="Calibri" w:cs="Calibri"/>
        <w:b w:val="0"/>
        <w:i w:val="0"/>
        <w:strike w:val="0"/>
        <w:color w:val="000000"/>
        <w:sz w:val="20"/>
        <w:u w:val="none"/>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2126"/>
        </w:tabs>
        <w:ind w:left="1440" w:hanging="360"/>
      </w:pPr>
      <w:rPr>
        <w:rFonts w:ascii="Calibri" w:eastAsia="Calibri" w:hAnsi="Calibri" w:cs="Calibri"/>
        <w:b w:val="0"/>
        <w:i w:val="0"/>
        <w:strike w:val="0"/>
        <w:color w:val="000000"/>
        <w:sz w:val="20"/>
        <w:u w:val="none"/>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multilevel"/>
    <w:tmpl w:val="00000004"/>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2">
    <w:nsid w:val="00000049"/>
    <w:multiLevelType w:val="multilevel"/>
    <w:tmpl w:val="00000004"/>
    <w:lvl w:ilvl="0">
      <w:start w:val="2"/>
      <w:numFmt w:val="lowerLetter"/>
      <w:lvlText w:val="%1)"/>
      <w:lvlJc w:val="left"/>
      <w:pPr>
        <w:tabs>
          <w:tab w:val="num" w:pos="2127"/>
        </w:tabs>
        <w:ind w:left="720" w:hanging="360"/>
      </w:pPr>
      <w:rPr>
        <w:rFonts w:ascii="Calibri" w:eastAsia="Calibri" w:hAnsi="Calibri" w:cs="Calibri"/>
        <w:b w:val="0"/>
        <w:i w:val="0"/>
        <w:strike w:val="0"/>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3">
    <w:nsid w:val="0000004A"/>
    <w:multiLevelType w:val="multilevel"/>
    <w:tmpl w:val="00000003"/>
    <w:lvl w:ilvl="0">
      <w:start w:val="1"/>
      <w:numFmt w:val="lowerRoman"/>
      <w:lvlText w:val="%1)"/>
      <w:lvlJc w:val="left"/>
      <w:pPr>
        <w:tabs>
          <w:tab w:val="num" w:pos="2126"/>
        </w:tabs>
        <w:ind w:left="720" w:hanging="360"/>
      </w:pPr>
      <w:rPr>
        <w:rFonts w:ascii="Calibri" w:eastAsia="Calibri" w:hAnsi="Calibri" w:cs="Calibri"/>
        <w:b w:val="0"/>
        <w:i w:val="0"/>
        <w:strike w:val="0"/>
        <w:color w:val="000000"/>
        <w:sz w:val="20"/>
        <w:u w:val="none"/>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74">
    <w:nsid w:val="0000004B"/>
    <w:multiLevelType w:val="multilevel"/>
    <w:tmpl w:val="00000006"/>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5">
    <w:nsid w:val="0000004C"/>
    <w:multiLevelType w:val="multilevel"/>
    <w:tmpl w:val="00000006"/>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6">
    <w:nsid w:val="0000004D"/>
    <w:multiLevelType w:val="multilevel"/>
    <w:tmpl w:val="00000006"/>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7">
    <w:nsid w:val="0000004E"/>
    <w:multiLevelType w:val="multilevel"/>
    <w:tmpl w:val="00000006"/>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8">
    <w:nsid w:val="0000004F"/>
    <w:multiLevelType w:val="multilevel"/>
    <w:tmpl w:val="00000006"/>
    <w:lvl w:ilvl="0">
      <w:start w:val="1"/>
      <w:numFmt w:val="lowerLetter"/>
      <w:lvlText w:val="%1)"/>
      <w:lvlJc w:val="left"/>
      <w:pPr>
        <w:tabs>
          <w:tab w:val="num" w:pos="2127"/>
        </w:tabs>
        <w:ind w:left="720" w:hanging="360"/>
      </w:pPr>
      <w:rPr>
        <w:rFonts w:ascii="Calibri" w:eastAsia="Calibri" w:hAnsi="Calibri" w:cs="Calibri"/>
        <w:b w:val="0"/>
        <w:i w:val="0"/>
        <w:strike w:val="0"/>
        <w:color w:val="000000"/>
        <w:sz w:val="20"/>
        <w:u w:val="none"/>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79">
    <w:nsid w:val="00000050"/>
    <w:multiLevelType w:val="multilevel"/>
    <w:tmpl w:val="00000003"/>
    <w:lvl w:ilvl="0">
      <w:start w:val="1"/>
      <w:numFmt w:val="lowerRoman"/>
      <w:lvlText w:val="%1)"/>
      <w:lvlJc w:val="left"/>
      <w:pPr>
        <w:tabs>
          <w:tab w:val="num" w:pos="2126"/>
        </w:tabs>
        <w:ind w:left="720" w:hanging="360"/>
      </w:pPr>
      <w:rPr>
        <w:rFonts w:ascii="Calibri" w:eastAsia="Calibri" w:hAnsi="Calibri" w:cs="Calibri"/>
        <w:b w:val="0"/>
        <w:i w:val="0"/>
        <w:strike w:val="0"/>
        <w:color w:val="000000"/>
        <w:sz w:val="20"/>
        <w:u w:val="none"/>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3">
    <w:name w:val="Car Car3"/>
    <w:qFormat/>
    <w:pPr>
      <w:keepNext w:val="0"/>
      <w:spacing w:before="0" w:after="0" w:line="288" w:lineRule="auto"/>
      <w:ind w:left="0" w:firstLine="0"/>
      <w:jc w:val="both"/>
    </w:pPr>
    <w:rPr>
      <w:rFonts w:ascii="Calibri" w:eastAsia="Calibri" w:hAnsi="Calibri" w:cs="Calibri"/>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spacing w:line="288" w:lineRule="auto"/>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customStyle="1" w:styleId="TOC1-wk-1">
    <w:name w:val="TOC 1-wk-1"/>
    <w:qFormat/>
    <w:pPr>
      <w:spacing w:line="288" w:lineRule="auto"/>
      <w:ind w:left="426" w:hanging="426"/>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image" Target="media/image2.png"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header" Target="header7.xml" /><Relationship Id="rId18" Type="http://schemas.openxmlformats.org/officeDocument/2006/relationships/footer" Target="footer7.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8.xml" /><Relationship Id="rId21" Type="http://schemas.openxmlformats.org/officeDocument/2006/relationships/header" Target="header9.xml" /><Relationship Id="rId22" Type="http://schemas.openxmlformats.org/officeDocument/2006/relationships/footer" Target="footer9.xml" /><Relationship Id="rId23" Type="http://schemas.openxmlformats.org/officeDocument/2006/relationships/header" Target="header10.xml" /><Relationship Id="rId24" Type="http://schemas.openxmlformats.org/officeDocument/2006/relationships/footer" Target="footer10.xml" /><Relationship Id="rId25" Type="http://schemas.openxmlformats.org/officeDocument/2006/relationships/header" Target="header11.xml" /><Relationship Id="rId26" Type="http://schemas.openxmlformats.org/officeDocument/2006/relationships/footer" Target="footer11.xml" /><Relationship Id="rId27" Type="http://schemas.openxmlformats.org/officeDocument/2006/relationships/header" Target="header12.xml" /><Relationship Id="rId28" Type="http://schemas.openxmlformats.org/officeDocument/2006/relationships/footer" Target="footer12.xml" /><Relationship Id="rId29" Type="http://schemas.openxmlformats.org/officeDocument/2006/relationships/header" Target="header13.xml" /><Relationship Id="rId3" Type="http://schemas.openxmlformats.org/officeDocument/2006/relationships/fontTable" Target="fontTable.xml" /><Relationship Id="rId30" Type="http://schemas.openxmlformats.org/officeDocument/2006/relationships/footer" Target="footer13.xml" /><Relationship Id="rId31" Type="http://schemas.openxmlformats.org/officeDocument/2006/relationships/header" Target="header14.xml" /><Relationship Id="rId32" Type="http://schemas.openxmlformats.org/officeDocument/2006/relationships/footer" Target="footer14.xml" /><Relationship Id="rId33" Type="http://schemas.openxmlformats.org/officeDocument/2006/relationships/header" Target="header15.xml" /><Relationship Id="rId34" Type="http://schemas.openxmlformats.org/officeDocument/2006/relationships/footer" Target="footer15.xml" /><Relationship Id="rId35" Type="http://schemas.openxmlformats.org/officeDocument/2006/relationships/header" Target="header16.xml" /><Relationship Id="rId36" Type="http://schemas.openxmlformats.org/officeDocument/2006/relationships/footer" Target="footer16.xml" /><Relationship Id="rId37" Type="http://schemas.openxmlformats.org/officeDocument/2006/relationships/header" Target="header17.xml" /><Relationship Id="rId38" Type="http://schemas.openxmlformats.org/officeDocument/2006/relationships/footer" Target="footer17.xml" /><Relationship Id="rId39" Type="http://schemas.openxmlformats.org/officeDocument/2006/relationships/header" Target="header18.xml" /><Relationship Id="rId4" Type="http://schemas.openxmlformats.org/officeDocument/2006/relationships/header" Target="header1.xml" /><Relationship Id="rId40" Type="http://schemas.openxmlformats.org/officeDocument/2006/relationships/header" Target="header19.xml" /><Relationship Id="rId41" Type="http://schemas.openxmlformats.org/officeDocument/2006/relationships/footer" Target="footer18.xml" /><Relationship Id="rId42" Type="http://schemas.openxmlformats.org/officeDocument/2006/relationships/header" Target="header20.xml" /><Relationship Id="rId43" Type="http://schemas.openxmlformats.org/officeDocument/2006/relationships/footer" Target="footer19.xml" /><Relationship Id="rId44" Type="http://schemas.openxmlformats.org/officeDocument/2006/relationships/header" Target="header21.xml" /><Relationship Id="rId45" Type="http://schemas.openxmlformats.org/officeDocument/2006/relationships/footer" Target="footer20.xml" /><Relationship Id="rId46" Type="http://schemas.openxmlformats.org/officeDocument/2006/relationships/header" Target="header22.xml" /><Relationship Id="rId47" Type="http://schemas.openxmlformats.org/officeDocument/2006/relationships/footer" Target="footer21.xml" /><Relationship Id="rId48" Type="http://schemas.openxmlformats.org/officeDocument/2006/relationships/header" Target="header23.xml" /><Relationship Id="rId49" Type="http://schemas.openxmlformats.org/officeDocument/2006/relationships/footer" Target="footer22.xml" /><Relationship Id="rId5" Type="http://schemas.openxmlformats.org/officeDocument/2006/relationships/footer" Target="footer1.xml" /><Relationship Id="rId50" Type="http://schemas.openxmlformats.org/officeDocument/2006/relationships/header" Target="header24.xml" /><Relationship Id="rId51" Type="http://schemas.openxmlformats.org/officeDocument/2006/relationships/footer" Target="footer23.xml" /><Relationship Id="rId52" Type="http://schemas.openxmlformats.org/officeDocument/2006/relationships/header" Target="header25.xml" /><Relationship Id="rId53" Type="http://schemas.openxmlformats.org/officeDocument/2006/relationships/footer" Target="footer24.xml" /><Relationship Id="rId54" Type="http://schemas.openxmlformats.org/officeDocument/2006/relationships/footer" Target="footer25.xml" /><Relationship Id="rId55" Type="http://schemas.openxmlformats.org/officeDocument/2006/relationships/header" Target="header26.xml" /><Relationship Id="rId56" Type="http://schemas.openxmlformats.org/officeDocument/2006/relationships/footer" Target="footer26.xml" /><Relationship Id="rId57" Type="http://schemas.openxmlformats.org/officeDocument/2006/relationships/header" Target="header27.xml" /><Relationship Id="rId58" Type="http://schemas.openxmlformats.org/officeDocument/2006/relationships/footer" Target="footer27.xml" /><Relationship Id="rId59" Type="http://schemas.openxmlformats.org/officeDocument/2006/relationships/header" Target="header28.xml" /><Relationship Id="rId6" Type="http://schemas.openxmlformats.org/officeDocument/2006/relationships/header" Target="header2.xml" /><Relationship Id="rId60" Type="http://schemas.openxmlformats.org/officeDocument/2006/relationships/footer" Target="footer28.xml" /><Relationship Id="rId61" Type="http://schemas.openxmlformats.org/officeDocument/2006/relationships/header" Target="header29.xml" /><Relationship Id="rId62" Type="http://schemas.openxmlformats.org/officeDocument/2006/relationships/footer" Target="footer29.xml" /><Relationship Id="rId63" Type="http://schemas.openxmlformats.org/officeDocument/2006/relationships/theme" Target="theme/theme1.xml" /><Relationship Id="rId64" Type="http://schemas.openxmlformats.org/officeDocument/2006/relationships/numbering" Target="numbering.xml" /><Relationship Id="rId65" Type="http://schemas.openxmlformats.org/officeDocument/2006/relationships/styles" Target="styles.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_rels/footer13.xml.rels><?xml version="1.0" encoding="utf-8" standalone="yes"?><Relationships xmlns="http://schemas.openxmlformats.org/package/2006/relationships"><Relationship Id="rId1" Type="http://schemas.openxmlformats.org/officeDocument/2006/relationships/image" Target="media/image2.png" /></Relationships>
</file>

<file path=word/_rels/footer14.xml.rels><?xml version="1.0" encoding="utf-8" standalone="yes"?><Relationships xmlns="http://schemas.openxmlformats.org/package/2006/relationships"><Relationship Id="rId1" Type="http://schemas.openxmlformats.org/officeDocument/2006/relationships/image" Target="media/image2.png" /></Relationships>
</file>

<file path=word/_rels/footer15.xml.rels><?xml version="1.0" encoding="utf-8" standalone="yes"?><Relationships xmlns="http://schemas.openxmlformats.org/package/2006/relationships"><Relationship Id="rId1" Type="http://schemas.openxmlformats.org/officeDocument/2006/relationships/image" Target="media/image2.png" /></Relationships>
</file>

<file path=word/_rels/footer16.xml.rels><?xml version="1.0" encoding="utf-8" standalone="yes"?><Relationships xmlns="http://schemas.openxmlformats.org/package/2006/relationships"><Relationship Id="rId1" Type="http://schemas.openxmlformats.org/officeDocument/2006/relationships/image" Target="media/image2.png" /></Relationships>
</file>

<file path=word/_rels/footer17.xml.rels><?xml version="1.0" encoding="utf-8" standalone="yes"?><Relationships xmlns="http://schemas.openxmlformats.org/package/2006/relationships"><Relationship Id="rId1" Type="http://schemas.openxmlformats.org/officeDocument/2006/relationships/image" Target="media/image2.png" /></Relationships>
</file>

<file path=word/_rels/footer18.xml.rels><?xml version="1.0" encoding="utf-8" standalone="yes"?><Relationships xmlns="http://schemas.openxmlformats.org/package/2006/relationships"><Relationship Id="rId1" Type="http://schemas.openxmlformats.org/officeDocument/2006/relationships/image" Target="media/image2.png" /></Relationships>
</file>

<file path=word/_rels/footer19.xml.rels><?xml version="1.0" encoding="utf-8" standalone="yes"?><Relationships xmlns="http://schemas.openxmlformats.org/package/2006/relationships"><Relationship Id="rId1" Type="http://schemas.openxmlformats.org/officeDocument/2006/relationships/image" Target="media/image2.png" /></Relationships>
</file>

<file path=word/_rels/footer20.xml.rels><?xml version="1.0" encoding="utf-8" standalone="yes"?><Relationships xmlns="http://schemas.openxmlformats.org/package/2006/relationships"><Relationship Id="rId1" Type="http://schemas.openxmlformats.org/officeDocument/2006/relationships/image" Target="media/image2.png" /></Relationships>
</file>

<file path=word/_rels/footer21.xml.rels><?xml version="1.0" encoding="utf-8" standalone="yes"?><Relationships xmlns="http://schemas.openxmlformats.org/package/2006/relationships"><Relationship Id="rId1" Type="http://schemas.openxmlformats.org/officeDocument/2006/relationships/image" Target="media/image2.png" /></Relationships>
</file>

<file path=word/_rels/footer22.xml.rels><?xml version="1.0" encoding="utf-8" standalone="yes"?><Relationships xmlns="http://schemas.openxmlformats.org/package/2006/relationships"><Relationship Id="rId1" Type="http://schemas.openxmlformats.org/officeDocument/2006/relationships/image" Target="media/image2.png" /></Relationships>
</file>

<file path=word/_rels/footer23.xml.rels><?xml version="1.0" encoding="utf-8" standalone="yes"?><Relationships xmlns="http://schemas.openxmlformats.org/package/2006/relationships"><Relationship Id="rId1" Type="http://schemas.openxmlformats.org/officeDocument/2006/relationships/image" Target="media/image2.png" /></Relationships>
</file>

<file path=word/_rels/footer24.xml.rels><?xml version="1.0" encoding="utf-8" standalone="yes"?><Relationships xmlns="http://schemas.openxmlformats.org/package/2006/relationships"><Relationship Id="rId1" Type="http://schemas.openxmlformats.org/officeDocument/2006/relationships/image" Target="media/image2.png" /></Relationships>
</file>

<file path=word/_rels/footer26.xml.rels><?xml version="1.0" encoding="utf-8" standalone="yes"?><Relationships xmlns="http://schemas.openxmlformats.org/package/2006/relationships"><Relationship Id="rId1" Type="http://schemas.openxmlformats.org/officeDocument/2006/relationships/image" Target="media/image2.png" /></Relationships>
</file>

<file path=word/_rels/footer27.xml.rels><?xml version="1.0" encoding="utf-8" standalone="yes"?><Relationships xmlns="http://schemas.openxmlformats.org/package/2006/relationships"><Relationship Id="rId1" Type="http://schemas.openxmlformats.org/officeDocument/2006/relationships/image" Target="media/image2.png" /></Relationships>
</file>

<file path=word/_rels/footer28.xml.rels><?xml version="1.0" encoding="utf-8" standalone="yes"?><Relationships xmlns="http://schemas.openxmlformats.org/package/2006/relationships"><Relationship Id="rId1" Type="http://schemas.openxmlformats.org/officeDocument/2006/relationships/image" Target="media/image2.png" /></Relationships>
</file>

<file path=word/_rels/footer29.xml.rels><?xml version="1.0" encoding="utf-8" standalone="yes"?><Relationships xmlns="http://schemas.openxmlformats.org/package/2006/relationships"><Relationship Id="rId1" Type="http://schemas.openxmlformats.org/officeDocument/2006/relationships/image" Target="media/image2.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169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E200  (ESP) - EE.FF 06-2026 - Compañía General de Electricidad S.A.</dc:title>
  <cp:revision>1</cp:revision>
</cp:coreProperties>
</file>