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26.4.0 -->
  <w:body>
    <w:p w:rsidR="00A77B3E">
      <w:pPr>
        <w:keepNext w:val="0"/>
        <w:keepLines/>
        <w:pageBreakBefore w:val="0"/>
        <w:widowControl w:val="0"/>
        <w:numPr>
          <w:ilvl w:val="0"/>
          <w:numId w:val="0"/>
        </w:numPr>
        <w:tabs>
          <w:tab w:val="left" w:pos="1340"/>
        </w:tabs>
        <w:spacing w:before="0" w:after="0" w:line="288" w:lineRule="auto"/>
        <w:ind w:left="0" w:right="0" w:firstLine="0"/>
        <w:jc w:val="right"/>
        <w:outlineLvl w:val="9"/>
        <w:rPr>
          <w:rFonts w:ascii="Calibri" w:eastAsia="Calibri" w:hAnsi="Calibri" w:cs="Calibri"/>
          <w:b w:val="0"/>
          <w:i w:val="0"/>
          <w:color w:val="000000"/>
          <w:sz w:val="20"/>
          <w:u w:val="none"/>
        </w:rPr>
      </w:pPr>
      <w:bookmarkStart w:id="0" w:name="Section1"/>
      <w:bookmarkEnd w:id="0"/>
    </w:p>
    <w:p w:rsidR="00A77B3E">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color w:val="000000"/>
          <w:sz w:val="20"/>
          <w:u w:val="none"/>
        </w:rPr>
      </w:pPr>
    </w:p>
    <w:p w:rsidR="00A77B3E">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color w:val="000000"/>
          <w:sz w:val="20"/>
          <w:u w:val="none"/>
        </w:rPr>
      </w:pPr>
    </w:p>
    <w:p w:rsidR="00A77B3E">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color w:val="000000"/>
          <w:sz w:val="20"/>
          <w:u w:val="none"/>
        </w:rPr>
      </w:pPr>
    </w:p>
    <w:p w:rsidR="00A77B3E">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color w:val="000000"/>
          <w:sz w:val="20"/>
          <w:u w:val="none"/>
        </w:rPr>
      </w:pPr>
    </w:p>
    <w:p w:rsidR="00A77B3E">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color w:val="000000"/>
          <w:sz w:val="20"/>
          <w:u w:val="none"/>
        </w:rPr>
      </w:pPr>
    </w:p>
    <w:p w:rsidR="00A77B3E">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color w:val="000000"/>
          <w:sz w:val="20"/>
          <w:u w:val="none"/>
        </w:rPr>
      </w:pPr>
    </w:p>
    <w:p w:rsidR="00A77B3E">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color w:val="000000"/>
          <w:sz w:val="20"/>
          <w:u w:val="none"/>
        </w:rPr>
      </w:pPr>
    </w:p>
    <w:p w:rsidR="00A77B3E">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color w:val="000000"/>
          <w:sz w:val="20"/>
          <w:u w:val="none"/>
        </w:rPr>
      </w:pPr>
    </w:p>
    <w:p w:rsidR="00A77B3E">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color w:val="000000"/>
          <w:sz w:val="20"/>
          <w:u w:val="none"/>
        </w:rPr>
      </w:pPr>
    </w:p>
    <w:p w:rsidR="00A77B3E">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color w:val="000000"/>
          <w:sz w:val="20"/>
          <w:u w:val="none"/>
        </w:rPr>
      </w:pPr>
    </w:p>
    <w:p w:rsidR="00A77B3E">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color w:val="000000"/>
          <w:sz w:val="20"/>
          <w:u w:val="none"/>
        </w:rPr>
      </w:pPr>
    </w:p>
    <w:p w:rsidR="00A77B3E">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color w:val="000000"/>
          <w:sz w:val="20"/>
          <w:u w:val="none"/>
        </w:rPr>
      </w:pPr>
    </w:p>
    <w:p w:rsidR="00A77B3E">
      <w:pPr>
        <w:keepNext w:val="0"/>
        <w:keepLines/>
        <w:pageBreakBefore w:val="0"/>
        <w:widowControl w:val="0"/>
        <w:numPr>
          <w:ilvl w:val="0"/>
          <w:numId w:val="0"/>
        </w:numPr>
        <w:tabs>
          <w:tab w:val="left" w:pos="1340"/>
        </w:tabs>
        <w:spacing w:before="0" w:after="0" w:line="480" w:lineRule="exact"/>
        <w:ind w:left="0" w:right="0" w:firstLine="0"/>
        <w:jc w:val="center"/>
        <w:outlineLvl w:val="0"/>
        <w:rPr>
          <w:rFonts w:ascii="Arial" w:eastAsia="Arial" w:hAnsi="Arial" w:cs="Arial"/>
          <w:b w:val="0"/>
          <w:i w:val="0"/>
          <w:color w:val="000000"/>
          <w:sz w:val="22"/>
          <w:u w:val="none"/>
        </w:rPr>
      </w:pPr>
      <w:r>
        <w:rPr>
          <w:rFonts w:ascii="Calibri" w:eastAsia="Calibri" w:hAnsi="Calibri" w:cs="Calibri"/>
          <w:b/>
          <w:i w:val="0"/>
          <w:sz w:val="40"/>
        </w:rPr>
        <w:t>CGE TRANSMISIÓN S.A.</w:t>
      </w:r>
    </w:p>
    <w:p w:rsidR="00A77B3E">
      <w:pPr>
        <w:keepNext w:val="0"/>
        <w:keepLines/>
        <w:pageBreakBefore w:val="0"/>
        <w:widowControl w:val="0"/>
        <w:numPr>
          <w:ilvl w:val="0"/>
          <w:numId w:val="0"/>
        </w:numPr>
        <w:spacing w:before="0" w:after="0" w:line="288" w:lineRule="auto"/>
        <w:ind w:left="0" w:right="0" w:firstLine="0"/>
        <w:jc w:val="center"/>
        <w:outlineLvl w:val="9"/>
        <w:rPr>
          <w:rFonts w:ascii="Arial" w:eastAsia="Arial" w:hAnsi="Arial" w:cs="Arial"/>
          <w:b w:val="0"/>
          <w:i w:val="0"/>
          <w:sz w:val="22"/>
        </w:rPr>
      </w:pPr>
      <w:r>
        <w:rPr>
          <w:rFonts w:ascii="Calibri" w:eastAsia="Calibri" w:hAnsi="Calibri" w:cs="Calibri"/>
          <w:b/>
          <w:i w:val="0"/>
          <w:sz w:val="40"/>
        </w:rPr>
        <w:t>Y SUBSIDIARIAS</w:t>
      </w:r>
    </w:p>
    <w:p w:rsidR="00A77B3E">
      <w:pPr>
        <w:keepNext w:val="0"/>
        <w:keepLines/>
        <w:pageBreakBefore w:val="0"/>
        <w:widowControl w:val="0"/>
        <w:numPr>
          <w:ilvl w:val="0"/>
          <w:numId w:val="0"/>
        </w:numPr>
        <w:spacing w:before="0" w:after="0" w:line="288" w:lineRule="auto"/>
        <w:ind w:left="0" w:right="0" w:firstLine="0"/>
        <w:jc w:val="center"/>
        <w:outlineLvl w:val="9"/>
        <w:rPr>
          <w:rFonts w:ascii="Arial" w:eastAsia="Arial" w:hAnsi="Arial" w:cs="Arial"/>
          <w:b w:val="0"/>
          <w:i w:val="0"/>
          <w:sz w:val="24"/>
        </w:rPr>
      </w:pPr>
    </w:p>
    <w:p w:rsidR="00A77B3E">
      <w:pPr>
        <w:keepNext w:val="0"/>
        <w:keepLines/>
        <w:pageBreakBefore w:val="0"/>
        <w:widowControl w:val="0"/>
        <w:numPr>
          <w:ilvl w:val="0"/>
          <w:numId w:val="0"/>
        </w:numPr>
        <w:spacing w:before="0" w:after="0" w:line="288" w:lineRule="auto"/>
        <w:ind w:left="0" w:right="0" w:firstLine="0"/>
        <w:jc w:val="center"/>
        <w:outlineLvl w:val="9"/>
        <w:rPr>
          <w:rFonts w:ascii="Calibri" w:eastAsia="Calibri" w:hAnsi="Calibri" w:cs="Calibri"/>
          <w:b w:val="0"/>
          <w:i w:val="0"/>
          <w:sz w:val="20"/>
        </w:rPr>
      </w:pPr>
    </w:p>
    <w:p w:rsidR="00A77B3E">
      <w:pPr>
        <w:keepNext w:val="0"/>
        <w:keepLines/>
        <w:pageBreakBefore w:val="0"/>
        <w:widowControl w:val="0"/>
        <w:numPr>
          <w:ilvl w:val="0"/>
          <w:numId w:val="0"/>
        </w:numPr>
        <w:spacing w:before="0" w:after="0" w:line="288" w:lineRule="auto"/>
        <w:ind w:left="0" w:right="0" w:firstLine="0"/>
        <w:jc w:val="center"/>
        <w:outlineLvl w:val="9"/>
        <w:rPr>
          <w:rFonts w:ascii="Arial" w:eastAsia="Arial" w:hAnsi="Arial" w:cs="Arial"/>
          <w:b w:val="0"/>
          <w:i w:val="0"/>
          <w:sz w:val="22"/>
        </w:rPr>
      </w:pPr>
      <w:r>
        <w:rPr>
          <w:rFonts w:ascii="Calibri" w:eastAsia="Calibri" w:hAnsi="Calibri" w:cs="Calibri"/>
          <w:b/>
          <w:i w:val="0"/>
          <w:sz w:val="36"/>
        </w:rPr>
        <w:t xml:space="preserve">ESTADOS FINANCIEROS CONSOLIDADOS INTERMEDIOS </w:t>
      </w:r>
    </w:p>
    <w:p w:rsidR="00A77B3E">
      <w:pPr>
        <w:keepNext w:val="0"/>
        <w:keepLines/>
        <w:pageBreakBefore w:val="0"/>
        <w:widowControl w:val="0"/>
        <w:numPr>
          <w:ilvl w:val="0"/>
          <w:numId w:val="0"/>
        </w:numPr>
        <w:spacing w:before="0" w:after="0" w:line="288" w:lineRule="auto"/>
        <w:ind w:left="0" w:right="0" w:firstLine="0"/>
        <w:jc w:val="center"/>
        <w:outlineLvl w:val="9"/>
        <w:rPr>
          <w:rFonts w:ascii="Arial" w:eastAsia="Arial" w:hAnsi="Arial" w:cs="Arial"/>
          <w:b w:val="0"/>
          <w:i w:val="0"/>
          <w:sz w:val="22"/>
        </w:rPr>
      </w:pPr>
      <w:r>
        <w:rPr>
          <w:rFonts w:ascii="Calibri" w:eastAsia="Calibri" w:hAnsi="Calibri" w:cs="Calibri"/>
          <w:b/>
          <w:i w:val="0"/>
          <w:sz w:val="24"/>
        </w:rPr>
        <w:t>(Expresados en miles de pesos chilenos)</w:t>
      </w:r>
    </w:p>
    <w:p w:rsidR="00A77B3E">
      <w:pPr>
        <w:keepNext w:val="0"/>
        <w:keepLines/>
        <w:pageBreakBefore w:val="0"/>
        <w:widowControl w:val="0"/>
        <w:numPr>
          <w:ilvl w:val="0"/>
          <w:numId w:val="0"/>
        </w:numPr>
        <w:spacing w:before="0" w:after="0" w:line="288" w:lineRule="exact"/>
        <w:ind w:left="0" w:right="0" w:firstLine="0"/>
        <w:jc w:val="center"/>
        <w:outlineLvl w:val="9"/>
        <w:rPr>
          <w:rFonts w:ascii="Arial" w:eastAsia="Arial" w:hAnsi="Arial" w:cs="Arial"/>
          <w:b w:val="0"/>
          <w:i w:val="0"/>
          <w:sz w:val="22"/>
        </w:rPr>
      </w:pPr>
      <w:r>
        <w:rPr>
          <w:rFonts w:ascii="Calibri" w:eastAsia="Calibri" w:hAnsi="Calibri" w:cs="Calibri"/>
          <w:b/>
          <w:i w:val="0"/>
          <w:sz w:val="24"/>
        </w:rPr>
        <w:t>Correspondientes a los períodos terminados al</w:t>
      </w:r>
    </w:p>
    <w:p w:rsidR="00A77B3E">
      <w:pPr>
        <w:keepNext w:val="0"/>
        <w:keepLines/>
        <w:pageBreakBefore w:val="0"/>
        <w:widowControl w:val="0"/>
        <w:numPr>
          <w:ilvl w:val="0"/>
          <w:numId w:val="0"/>
        </w:numPr>
        <w:spacing w:before="0" w:after="0" w:line="288" w:lineRule="auto"/>
        <w:ind w:left="0" w:right="0" w:firstLine="0"/>
        <w:jc w:val="center"/>
        <w:outlineLvl w:val="9"/>
        <w:rPr>
          <w:rFonts w:ascii="Calibri" w:eastAsia="Calibri" w:hAnsi="Calibri" w:cs="Calibri"/>
          <w:b/>
          <w:i w:val="0"/>
          <w:color w:val="000000"/>
          <w:sz w:val="24"/>
          <w:u w:val="none"/>
        </w:rPr>
      </w:pPr>
      <w:r>
        <w:rPr>
          <w:rFonts w:ascii="Calibri" w:eastAsia="Calibri" w:hAnsi="Calibri" w:cs="Calibri"/>
          <w:b/>
          <w:i w:val="0"/>
          <w:color w:val="000000"/>
          <w:sz w:val="24"/>
          <w:u w:val="none"/>
        </w:rPr>
        <w:t>30 de junio de 2026 y 2025</w:t>
      </w:r>
    </w:p>
    <w:p w:rsidR="00A77B3E">
      <w:pPr>
        <w:keepNext w:val="0"/>
        <w:keepLines/>
        <w:pageBreakBefore w:val="0"/>
        <w:widowControl w:val="0"/>
        <w:numPr>
          <w:ilvl w:val="0"/>
          <w:numId w:val="0"/>
        </w:numPr>
        <w:spacing w:before="0" w:after="0" w:line="288" w:lineRule="auto"/>
        <w:ind w:left="0" w:right="0" w:firstLine="0"/>
        <w:jc w:val="center"/>
        <w:outlineLvl w:val="9"/>
        <w:sectPr>
          <w:headerReference w:type="default" r:id="rId5"/>
          <w:footerReference w:type="default" r:id="rId6"/>
          <w:pgSz w:w="12240" w:h="15840"/>
          <w:pgMar w:top="1134" w:right="1134" w:bottom="1134" w:left="1134" w:header="270" w:footer="0" w:gutter="0"/>
          <w:cols w:space="708"/>
          <w:docGrid w:linePitch="360"/>
        </w:sectPr>
      </w:pPr>
    </w:p>
    <w:p>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i w:val="0"/>
          <w:color w:val="000000"/>
          <w:sz w:val="20"/>
          <w:u w:val="none"/>
        </w:rPr>
      </w:pPr>
      <w:bookmarkStart w:id="1" w:name="Section2"/>
      <w:bookmarkEnd w:id="1"/>
    </w:p>
    <w:p>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0" w:right="0" w:firstLine="0"/>
        <w:jc w:val="center"/>
        <w:outlineLvl w:val="0"/>
        <w:rPr>
          <w:rFonts w:ascii="Calibri" w:eastAsia="Calibri" w:hAnsi="Calibri" w:cs="Calibri"/>
          <w:b/>
          <w:i w:val="0"/>
          <w:color w:val="000000"/>
          <w:sz w:val="20"/>
          <w:u w:val="none"/>
        </w:rPr>
      </w:pPr>
      <w:r>
        <w:rPr>
          <w:rFonts w:ascii="Calibri" w:eastAsia="Calibri" w:hAnsi="Calibri" w:cs="Calibri"/>
          <w:b/>
          <w:i w:val="0"/>
          <w:color w:val="000000"/>
          <w:sz w:val="28"/>
          <w:u w:val="none"/>
        </w:rPr>
        <w:t>CONTENIDO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i w:val="0"/>
          <w:sz w:val="20"/>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i w:val="0"/>
          <w:sz w:val="20"/>
        </w:rPr>
      </w:pPr>
      <w:r>
        <w:rPr>
          <w:rFonts w:ascii="Calibri" w:eastAsia="Calibri" w:hAnsi="Calibri" w:cs="Calibri"/>
          <w:b/>
          <w:i w:val="0"/>
          <w:sz w:val="20"/>
        </w:rPr>
        <w:tab/>
      </w:r>
    </w:p>
    <w:p>
      <w:pPr>
        <w:keepNext w:val="0"/>
        <w:keepLines/>
        <w:pageBreakBefore w:val="0"/>
        <w:widowControl w:val="0"/>
        <w:numPr>
          <w:ilvl w:val="0"/>
          <w:numId w:val="13"/>
        </w:numPr>
        <w:spacing w:before="0" w:after="0" w:line="288" w:lineRule="auto"/>
        <w:ind w:left="720" w:right="0" w:hanging="360"/>
        <w:jc w:val="both"/>
        <w:outlineLvl w:val="9"/>
        <w:rPr>
          <w:rFonts w:ascii="Calibri" w:eastAsia="Calibri" w:hAnsi="Calibri" w:cs="Calibri"/>
          <w:b/>
          <w:i w:val="0"/>
          <w:sz w:val="20"/>
        </w:rPr>
      </w:pPr>
      <w:r>
        <w:rPr>
          <w:rFonts w:ascii="Calibri" w:eastAsia="Calibri" w:hAnsi="Calibri" w:cs="Calibri"/>
          <w:b/>
          <w:i w:val="0"/>
          <w:sz w:val="20"/>
        </w:rPr>
        <w:t>ESTADOS FINANCIEROS CONSOLIDADOS INTERMEDIOS.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720" w:right="0" w:firstLine="0"/>
        <w:jc w:val="both"/>
        <w:outlineLvl w:val="9"/>
        <w:rPr>
          <w:rFonts w:ascii="Calibri" w:eastAsia="Calibri" w:hAnsi="Calibri" w:cs="Calibri"/>
          <w:b w:val="0"/>
          <w:i w:val="0"/>
          <w:sz w:val="20"/>
        </w:rPr>
      </w:pPr>
      <w:r>
        <w:rPr>
          <w:rFonts w:ascii="Calibri" w:eastAsia="Calibri" w:hAnsi="Calibri" w:cs="Calibri"/>
          <w:b w:val="0"/>
          <w:i w:val="0"/>
          <w:sz w:val="20"/>
        </w:rPr>
        <w:t>ESTADO CONSOLIDADO INTERMEDIO DE SITUACIÓN FINANCIERA CLASIFICADO.</w:t>
      </w:r>
    </w:p>
    <w:p>
      <w:pPr>
        <w:keepNext w:val="0"/>
        <w:keepLines/>
        <w:pageBreakBefore w:val="0"/>
        <w:widowControl w:val="0"/>
        <w:numPr>
          <w:ilvl w:val="0"/>
          <w:numId w:val="0"/>
        </w:numPr>
        <w:spacing w:before="0" w:after="0" w:line="288" w:lineRule="auto"/>
        <w:ind w:left="720" w:right="0" w:firstLine="0"/>
        <w:jc w:val="both"/>
        <w:outlineLvl w:val="9"/>
        <w:rPr>
          <w:rFonts w:ascii="Calibri" w:eastAsia="Calibri" w:hAnsi="Calibri" w:cs="Calibri"/>
          <w:b w:val="0"/>
          <w:i w:val="0"/>
          <w:sz w:val="20"/>
        </w:rPr>
      </w:pPr>
      <w:r>
        <w:rPr>
          <w:rFonts w:ascii="Calibri" w:eastAsia="Calibri" w:hAnsi="Calibri" w:cs="Calibri"/>
          <w:b w:val="0"/>
          <w:i w:val="0"/>
          <w:sz w:val="20"/>
        </w:rPr>
        <w:t>Activos.</w:t>
      </w:r>
    </w:p>
    <w:p>
      <w:pPr>
        <w:keepNext w:val="0"/>
        <w:keepLines/>
        <w:pageBreakBefore w:val="0"/>
        <w:widowControl w:val="0"/>
        <w:numPr>
          <w:ilvl w:val="0"/>
          <w:numId w:val="0"/>
        </w:numPr>
        <w:spacing w:before="0" w:after="0" w:line="288" w:lineRule="auto"/>
        <w:ind w:left="720" w:right="0" w:firstLine="0"/>
        <w:jc w:val="both"/>
        <w:outlineLvl w:val="9"/>
        <w:rPr>
          <w:rFonts w:ascii="Calibri" w:eastAsia="Calibri" w:hAnsi="Calibri" w:cs="Calibri"/>
          <w:b w:val="0"/>
          <w:i w:val="0"/>
          <w:sz w:val="20"/>
        </w:rPr>
      </w:pPr>
      <w:r>
        <w:rPr>
          <w:rFonts w:ascii="Calibri" w:eastAsia="Calibri" w:hAnsi="Calibri" w:cs="Calibri"/>
          <w:b w:val="0"/>
          <w:i w:val="0"/>
          <w:sz w:val="20"/>
        </w:rPr>
        <w:t>Patrimonio y pasivos.</w:t>
      </w:r>
    </w:p>
    <w:p>
      <w:pPr>
        <w:keepNext w:val="0"/>
        <w:keepLines/>
        <w:pageBreakBefore w:val="0"/>
        <w:widowControl w:val="0"/>
        <w:numPr>
          <w:ilvl w:val="0"/>
          <w:numId w:val="0"/>
        </w:numPr>
        <w:spacing w:before="0" w:after="0" w:line="240" w:lineRule="exact"/>
        <w:ind w:left="720" w:right="0" w:firstLine="0"/>
        <w:jc w:val="both"/>
        <w:outlineLvl w:val="9"/>
        <w:rPr>
          <w:rFonts w:ascii="Calibri" w:eastAsia="Calibri" w:hAnsi="Calibri" w:cs="Calibri"/>
          <w:b w:val="0"/>
          <w:i w:val="0"/>
          <w:sz w:val="20"/>
        </w:rPr>
      </w:pPr>
      <w:r>
        <w:rPr>
          <w:rFonts w:ascii="Calibri" w:eastAsia="Calibri" w:hAnsi="Calibri" w:cs="Calibri"/>
          <w:b w:val="0"/>
          <w:i w:val="0"/>
          <w:sz w:val="20"/>
        </w:rPr>
        <w:t>ESTADO CONSOLIDADO INTERMEDIO DE RESULTADOS POR FUNCIÓN.</w:t>
      </w:r>
    </w:p>
    <w:p>
      <w:pPr>
        <w:keepNext w:val="0"/>
        <w:keepLines/>
        <w:pageBreakBefore w:val="0"/>
        <w:widowControl w:val="0"/>
        <w:numPr>
          <w:ilvl w:val="0"/>
          <w:numId w:val="0"/>
        </w:numPr>
        <w:spacing w:before="0" w:after="0" w:line="288" w:lineRule="auto"/>
        <w:ind w:left="720" w:right="0" w:firstLine="0"/>
        <w:jc w:val="both"/>
        <w:outlineLvl w:val="9"/>
        <w:rPr>
          <w:rFonts w:ascii="Calibri" w:eastAsia="Calibri" w:hAnsi="Calibri" w:cs="Calibri"/>
          <w:b w:val="0"/>
          <w:i w:val="0"/>
          <w:sz w:val="20"/>
        </w:rPr>
      </w:pPr>
      <w:r>
        <w:rPr>
          <w:rFonts w:ascii="Calibri" w:eastAsia="Calibri" w:hAnsi="Calibri" w:cs="Calibri"/>
          <w:b w:val="0"/>
          <w:i w:val="0"/>
          <w:sz w:val="20"/>
        </w:rPr>
        <w:t>ESTADO CONSOLIDADO INTERMEDIO DE RESULTADO INTEGRAL.</w:t>
      </w:r>
    </w:p>
    <w:p>
      <w:pPr>
        <w:keepNext w:val="0"/>
        <w:keepLines/>
        <w:pageBreakBefore w:val="0"/>
        <w:widowControl w:val="0"/>
        <w:numPr>
          <w:ilvl w:val="0"/>
          <w:numId w:val="0"/>
        </w:numPr>
        <w:spacing w:before="0" w:after="0" w:line="288" w:lineRule="auto"/>
        <w:ind w:left="720" w:right="0" w:firstLine="0"/>
        <w:jc w:val="both"/>
        <w:outlineLvl w:val="9"/>
        <w:rPr>
          <w:rFonts w:ascii="Calibri" w:eastAsia="Calibri" w:hAnsi="Calibri" w:cs="Calibri"/>
          <w:b w:val="0"/>
          <w:i w:val="0"/>
          <w:sz w:val="20"/>
        </w:rPr>
      </w:pPr>
      <w:r>
        <w:rPr>
          <w:rFonts w:ascii="Calibri" w:eastAsia="Calibri" w:hAnsi="Calibri" w:cs="Calibri"/>
          <w:b w:val="0"/>
          <w:i w:val="0"/>
          <w:sz w:val="20"/>
        </w:rPr>
        <w:t>ESTADO CONSOLIDADO INTERMEDIO DE CAMBIOS EN EL PATRIMONIO NETO.</w:t>
      </w:r>
    </w:p>
    <w:p>
      <w:pPr>
        <w:keepNext w:val="0"/>
        <w:keepLines/>
        <w:pageBreakBefore w:val="0"/>
        <w:widowControl w:val="0"/>
        <w:numPr>
          <w:ilvl w:val="0"/>
          <w:numId w:val="0"/>
        </w:numPr>
        <w:spacing w:before="0" w:after="0" w:line="288" w:lineRule="auto"/>
        <w:ind w:left="720" w:right="0" w:firstLine="0"/>
        <w:jc w:val="both"/>
        <w:outlineLvl w:val="9"/>
        <w:rPr>
          <w:rFonts w:ascii="Calibri" w:eastAsia="Calibri" w:hAnsi="Calibri" w:cs="Calibri"/>
          <w:b w:val="0"/>
          <w:i w:val="0"/>
          <w:sz w:val="20"/>
        </w:rPr>
      </w:pPr>
      <w:r>
        <w:rPr>
          <w:rFonts w:ascii="Calibri" w:eastAsia="Calibri" w:hAnsi="Calibri" w:cs="Calibri"/>
          <w:b w:val="0"/>
          <w:i w:val="0"/>
          <w:sz w:val="20"/>
        </w:rPr>
        <w:t>ESTADO CONSOLIDADO INTERMEDIO DE FLUJO DE EFECTIVO DIRECTO.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i w:val="0"/>
          <w:sz w:val="20"/>
        </w:rPr>
      </w:pPr>
    </w:p>
    <w:p>
      <w:pPr>
        <w:keepNext w:val="0"/>
        <w:keepLines/>
        <w:pageBreakBefore w:val="0"/>
        <w:widowControl w:val="0"/>
        <w:numPr>
          <w:ilvl w:val="0"/>
          <w:numId w:val="13"/>
        </w:numPr>
        <w:spacing w:before="0" w:after="0" w:line="288" w:lineRule="auto"/>
        <w:ind w:left="720" w:right="0" w:hanging="360"/>
        <w:jc w:val="both"/>
        <w:outlineLvl w:val="9"/>
        <w:rPr>
          <w:rFonts w:ascii="Calibri" w:eastAsia="Calibri" w:hAnsi="Calibri" w:cs="Calibri"/>
          <w:b/>
          <w:i w:val="0"/>
          <w:sz w:val="20"/>
        </w:rPr>
      </w:pPr>
      <w:r>
        <w:rPr>
          <w:rFonts w:ascii="Calibri" w:eastAsia="Calibri" w:hAnsi="Calibri" w:cs="Calibri"/>
          <w:b/>
          <w:i w:val="0"/>
          <w:sz w:val="20"/>
        </w:rPr>
        <w:t>NOTAS A LOS ESTADOS FINANCIEROS CONSOLIDADOS INTERMEDIOS.</w:t>
      </w:r>
    </w:p>
    <w:p>
      <w:pPr>
        <w:keepNext w:val="0"/>
        <w:keepLines/>
        <w:pageBreakBefore w:val="0"/>
        <w:widowControl w:val="0"/>
        <w:numPr>
          <w:ilvl w:val="0"/>
          <w:numId w:val="0"/>
        </w:numPr>
        <w:spacing w:before="0" w:after="0" w:line="288" w:lineRule="auto"/>
        <w:ind w:left="1080" w:right="0" w:firstLine="338"/>
        <w:jc w:val="both"/>
        <w:outlineLvl w:val="9"/>
        <w:rPr>
          <w:rFonts w:ascii="Calibri" w:eastAsia="Calibri" w:hAnsi="Calibri" w:cs="Calibri"/>
          <w:b w:val="0"/>
          <w:i w:val="0"/>
          <w:color w:val="000000"/>
          <w:sz w:val="24"/>
          <w:u w:val="none"/>
        </w:rPr>
      </w:pPr>
    </w:p>
    <w:p>
      <w:pPr>
        <w:pStyle w:val="Normal-wk"/>
        <w:keepNext w:val="0"/>
        <w:keepLines/>
        <w:pageBreakBefore w:val="0"/>
        <w:widowControl w:val="0"/>
        <w:numPr>
          <w:ilvl w:val="0"/>
          <w:numId w:val="0"/>
        </w:numPr>
        <w:tabs>
          <w:tab w:val="left" w:pos="700"/>
        </w:tabs>
        <w:spacing w:before="0" w:after="0" w:line="288" w:lineRule="auto"/>
        <w:ind w:left="1080"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4"/>
          <w:u w:val="none"/>
        </w:rPr>
        <w:tab/>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tabs>
          <w:tab w:val="left" w:pos="700"/>
        </w:tabs>
        <w:spacing w:before="0" w:after="0" w:line="288" w:lineRule="auto"/>
        <w:ind w:left="0" w:right="0" w:firstLine="709"/>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M$</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Miles de pesos chilenos.</w:t>
      </w:r>
    </w:p>
    <w:p>
      <w:pPr>
        <w:pStyle w:val="Normal-wk"/>
        <w:keepNext w:val="0"/>
        <w:keepLines/>
        <w:pageBreakBefore w:val="0"/>
        <w:widowControl w:val="0"/>
        <w:numPr>
          <w:ilvl w:val="0"/>
          <w:numId w:val="0"/>
        </w:numPr>
        <w:tabs>
          <w:tab w:val="left" w:pos="700"/>
        </w:tabs>
        <w:spacing w:before="0" w:after="0" w:line="288" w:lineRule="auto"/>
        <w:ind w:left="0" w:right="0" w:firstLine="709"/>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CL $</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Peso chileno.</w:t>
      </w:r>
    </w:p>
    <w:p>
      <w:pPr>
        <w:pStyle w:val="Normal-wk"/>
        <w:keepNext w:val="0"/>
        <w:keepLines/>
        <w:pageBreakBefore w:val="0"/>
        <w:widowControl w:val="0"/>
        <w:numPr>
          <w:ilvl w:val="0"/>
          <w:numId w:val="0"/>
        </w:numPr>
        <w:tabs>
          <w:tab w:val="left" w:pos="700"/>
        </w:tabs>
        <w:spacing w:before="0" w:after="0" w:line="240" w:lineRule="exact"/>
        <w:ind w:left="0" w:right="0" w:firstLine="709"/>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US $</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Dólar estadounidense.</w:t>
      </w:r>
    </w:p>
    <w:p>
      <w:pPr>
        <w:pStyle w:val="Normal-wk"/>
        <w:keepNext w:val="0"/>
        <w:keepLines/>
        <w:pageBreakBefore w:val="0"/>
        <w:widowControl w:val="0"/>
        <w:numPr>
          <w:ilvl w:val="0"/>
          <w:numId w:val="0"/>
        </w:numPr>
        <w:tabs>
          <w:tab w:val="left" w:pos="700"/>
        </w:tabs>
        <w:spacing w:before="0" w:after="0" w:line="288" w:lineRule="auto"/>
        <w:ind w:left="0" w:right="0" w:firstLine="709"/>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EUR $</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Euro.</w:t>
      </w:r>
    </w:p>
    <w:p>
      <w:pPr>
        <w:keepNext w:val="0"/>
        <w:keepLines/>
        <w:pageBreakBefore w:val="0"/>
        <w:widowControl w:val="0"/>
        <w:numPr>
          <w:ilvl w:val="0"/>
          <w:numId w:val="0"/>
        </w:numPr>
        <w:tabs>
          <w:tab w:val="left" w:pos="700"/>
        </w:tabs>
        <w:spacing w:before="0" w:after="0" w:line="288" w:lineRule="auto"/>
        <w:ind w:left="0" w:right="0" w:firstLine="709"/>
        <w:jc w:val="both"/>
        <w:outlineLvl w:val="9"/>
        <w:rPr>
          <w:rFonts w:ascii="Calibri" w:eastAsia="Calibri" w:hAnsi="Calibri" w:cs="Calibri"/>
          <w:b w:val="0"/>
          <w:i w:val="0"/>
          <w:color w:val="000000"/>
          <w:sz w:val="20"/>
          <w:u w:val="none"/>
        </w:rPr>
      </w:pPr>
      <w:r>
        <w:rPr>
          <w:rFonts w:ascii="Calibri" w:eastAsia="Calibri" w:hAnsi="Calibri" w:cs="Calibri"/>
          <w:b w:val="0"/>
          <w:i w:val="0"/>
          <w:sz w:val="20"/>
        </w:rPr>
        <w:t>CNH $</w:t>
      </w:r>
      <w:r>
        <w:rPr>
          <w:rFonts w:ascii="Calibri" w:eastAsia="Calibri" w:hAnsi="Calibri" w:cs="Calibri"/>
          <w:b w:val="0"/>
          <w:i w:val="0"/>
          <w:sz w:val="20"/>
        </w:rPr>
        <w:tab/>
      </w:r>
      <w:r>
        <w:rPr>
          <w:rFonts w:ascii="Calibri" w:eastAsia="Calibri" w:hAnsi="Calibri" w:cs="Calibri"/>
          <w:b w:val="0"/>
          <w:i w:val="0"/>
          <w:sz w:val="20"/>
        </w:rPr>
        <w:tab/>
      </w:r>
      <w:r>
        <w:rPr>
          <w:rFonts w:ascii="Calibri" w:eastAsia="Calibri" w:hAnsi="Calibri" w:cs="Calibri"/>
          <w:b w:val="0"/>
          <w:i w:val="0"/>
          <w:color w:val="000000"/>
          <w:sz w:val="20"/>
          <w:u w:val="none"/>
        </w:rPr>
        <w:t>Yuan</w:t>
      </w:r>
      <w:r>
        <w:rPr>
          <w:rFonts w:ascii="Calibri" w:eastAsia="Calibri" w:hAnsi="Calibri" w:cs="Calibri"/>
          <w:b w:val="0"/>
          <w:i w:val="0"/>
          <w:sz w:val="20"/>
        </w:rPr>
        <w:t xml:space="preserve"> chino.</w:t>
      </w:r>
    </w:p>
    <w:p>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color w:val="000000"/>
          <w:sz w:val="20"/>
          <w:u w:val="none"/>
        </w:rPr>
      </w:pPr>
    </w:p>
    <w:p>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color w:val="000000"/>
          <w:sz w:val="20"/>
          <w:u w:val="none"/>
        </w:rPr>
      </w:pPr>
    </w:p>
    <w:p>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color w:val="000000"/>
          <w:sz w:val="20"/>
          <w:u w:val="none"/>
        </w:rPr>
      </w:pPr>
    </w:p>
    <w:p>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color w:val="000000"/>
          <w:sz w:val="20"/>
          <w:u w:val="none"/>
        </w:rPr>
      </w:pPr>
    </w:p>
    <w:p>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color w:val="000000"/>
          <w:sz w:val="20"/>
          <w:u w:val="none"/>
        </w:rPr>
      </w:pPr>
    </w:p>
    <w:p>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color w:val="000000"/>
          <w:sz w:val="20"/>
          <w:u w:val="none"/>
        </w:rPr>
      </w:pPr>
    </w:p>
    <w:p>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color w:val="000000"/>
          <w:sz w:val="20"/>
          <w:u w:val="none"/>
        </w:rPr>
      </w:pPr>
    </w:p>
    <w:p>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color w:val="000000"/>
          <w:sz w:val="20"/>
          <w:u w:val="none"/>
        </w:rPr>
      </w:pPr>
    </w:p>
    <w:p>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color w:val="000000"/>
          <w:sz w:val="20"/>
          <w:u w:val="none"/>
        </w:rPr>
      </w:pPr>
    </w:p>
    <w:p>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color w:val="000000"/>
          <w:sz w:val="20"/>
          <w:u w:val="none"/>
        </w:rPr>
      </w:pPr>
    </w:p>
    <w:p>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color w:val="000000"/>
          <w:sz w:val="20"/>
          <w:u w:val="none"/>
        </w:rPr>
      </w:pPr>
    </w:p>
    <w:p>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color w:val="000000"/>
          <w:sz w:val="20"/>
          <w:u w:val="none"/>
        </w:rPr>
      </w:pPr>
    </w:p>
    <w:p>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color w:val="000000"/>
          <w:sz w:val="20"/>
          <w:u w:val="none"/>
        </w:rPr>
      </w:pPr>
    </w:p>
    <w:p>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color w:val="000000"/>
          <w:sz w:val="20"/>
          <w:u w:val="none"/>
        </w:rPr>
      </w:pPr>
    </w:p>
    <w:p>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color w:val="000000"/>
          <w:sz w:val="20"/>
          <w:u w:val="none"/>
        </w:rPr>
      </w:pPr>
    </w:p>
    <w:p>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color w:val="000000"/>
          <w:sz w:val="20"/>
          <w:u w:val="none"/>
        </w:rPr>
      </w:pPr>
    </w:p>
    <w:p>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color w:val="000000"/>
          <w:sz w:val="20"/>
          <w:u w:val="none"/>
        </w:rPr>
      </w:pPr>
    </w:p>
    <w:p>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color w:val="000000"/>
          <w:sz w:val="20"/>
          <w:u w:val="none"/>
        </w:rPr>
      </w:pPr>
    </w:p>
    <w:p>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color w:val="000000"/>
          <w:sz w:val="20"/>
          <w:u w:val="none"/>
        </w:rPr>
      </w:pPr>
    </w:p>
    <w:p>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color w:val="000000"/>
          <w:sz w:val="20"/>
          <w:u w:val="none"/>
        </w:rPr>
      </w:pPr>
    </w:p>
    <w:p>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color w:val="000000"/>
          <w:sz w:val="20"/>
          <w:u w:val="none"/>
        </w:rPr>
      </w:pPr>
    </w:p>
    <w:p>
      <w:pPr>
        <w:keepNext w:val="0"/>
        <w:keepLines/>
        <w:pageBreakBefore w:val="0"/>
        <w:widowControl w:val="0"/>
        <w:numPr>
          <w:ilvl w:val="0"/>
          <w:numId w:val="0"/>
        </w:numPr>
        <w:tabs>
          <w:tab w:val="left" w:pos="1340"/>
        </w:tabs>
        <w:spacing w:before="0" w:after="0" w:line="288" w:lineRule="auto"/>
        <w:ind w:left="0" w:right="0" w:firstLine="0"/>
        <w:jc w:val="center"/>
        <w:outlineLvl w:val="9"/>
        <w:sectPr>
          <w:headerReference w:type="default" r:id="rId7"/>
          <w:footerReference w:type="default" r:id="rId8"/>
          <w:headerReference w:type="first" r:id="rId9"/>
          <w:footerReference w:type="first" r:id="rId10"/>
          <w:pgSz w:w="12240" w:h="15840"/>
          <w:pgMar w:top="1134" w:right="1134" w:bottom="1134" w:left="1134" w:header="0" w:footer="0"/>
          <w:cols w:space="708"/>
          <w:titlePg/>
        </w:sectPr>
      </w:pPr>
    </w:p>
    <w:p>
      <w:pPr>
        <w:pStyle w:val="Normal-wk"/>
        <w:keepNext w:val="0"/>
        <w:keepLines/>
        <w:pageBreakBefore w:val="0"/>
        <w:widowControl w:val="0"/>
        <w:numPr>
          <w:ilvl w:val="0"/>
          <w:numId w:val="0"/>
        </w:numPr>
        <w:spacing w:before="0" w:after="0" w:line="240" w:lineRule="exact"/>
        <w:ind w:left="0" w:right="0" w:firstLine="0"/>
        <w:jc w:val="both"/>
        <w:outlineLvl w:val="0"/>
        <w:rPr>
          <w:rFonts w:ascii="Calibri" w:eastAsia="Calibri" w:hAnsi="Calibri" w:cs="Calibri"/>
          <w:b/>
          <w:i w:val="0"/>
          <w:color w:val="000000"/>
          <w:sz w:val="20"/>
          <w:u w:val="none"/>
        </w:rPr>
      </w:pPr>
      <w:bookmarkStart w:id="2" w:name="Section3"/>
      <w:bookmarkEnd w:id="2"/>
      <w:r>
        <w:rPr>
          <w:rFonts w:ascii="Calibri" w:eastAsia="Calibri" w:hAnsi="Calibri" w:cs="Calibri"/>
          <w:b/>
          <w:i w:val="0"/>
          <w:color w:val="000000"/>
          <w:sz w:val="20"/>
          <w:u w:val="none"/>
        </w:rPr>
        <w:t>CGE TRANSMISIÓN S.A. Y SUBSIDIARIAS</w:t>
      </w:r>
    </w:p>
    <w:p>
      <w:pPr>
        <w:pStyle w:val="Normal-wk"/>
        <w:keepNext w:val="0"/>
        <w:keepLines/>
        <w:pageBreakBefore w:val="0"/>
        <w:widowControl w:val="0"/>
        <w:numPr>
          <w:ilvl w:val="0"/>
          <w:numId w:val="0"/>
        </w:numPr>
        <w:spacing w:before="0" w:after="0" w:line="240" w:lineRule="exact"/>
        <w:ind w:left="0" w:right="0" w:firstLine="0"/>
        <w:jc w:val="both"/>
        <w:outlineLvl w:val="9"/>
        <w:rPr>
          <w:rFonts w:ascii="Calibri" w:eastAsia="Calibri" w:hAnsi="Calibri" w:cs="Calibri"/>
          <w:b/>
          <w:i w:val="0"/>
          <w:color w:val="000000"/>
          <w:sz w:val="20"/>
          <w:u w:val="none"/>
        </w:rPr>
      </w:pPr>
      <w:r>
        <w:rPr>
          <w:rFonts w:ascii="Calibri" w:eastAsia="Calibri" w:hAnsi="Calibri" w:cs="Calibri"/>
          <w:b/>
          <w:i w:val="0"/>
          <w:color w:val="000000"/>
          <w:sz w:val="20"/>
          <w:u w:val="none"/>
        </w:rPr>
        <w:t>ESTADO CONSOLIDADO INTERMEDIO DE SITUACIÓN FINANCIERA CLASIFICADO</w: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i w:val="0"/>
          <w:color w:val="000000"/>
          <w:sz w:val="20"/>
          <w:u w:val="none"/>
        </w:rPr>
      </w:pPr>
      <w:r>
        <w:rPr>
          <w:rFonts w:ascii="Calibri" w:eastAsia="Calibri" w:hAnsi="Calibri" w:cs="Calibri"/>
          <w:b/>
          <w:i w:val="0"/>
          <w:color w:val="000000"/>
          <w:sz w:val="20"/>
          <w:u w:val="none"/>
        </w:rPr>
        <w:t xml:space="preserve">Al </w:t>
      </w:r>
      <w:r>
        <w:rPr>
          <w:rFonts w:ascii="Calibri" w:eastAsia="Calibri" w:hAnsi="Calibri" w:cs="Calibri"/>
          <w:b/>
          <w:i w:val="0"/>
          <w:color w:val="000000"/>
          <w:sz w:val="20"/>
          <w:u w:val="none"/>
        </w:rPr>
        <w:t>30 de junio de 2026</w:t>
      </w:r>
      <w:r>
        <w:rPr>
          <w:rFonts w:ascii="Calibri" w:eastAsia="Calibri" w:hAnsi="Calibri" w:cs="Calibri"/>
          <w:b/>
          <w:i w:val="0"/>
          <w:color w:val="000000"/>
          <w:sz w:val="20"/>
          <w:u w:val="none"/>
        </w:rPr>
        <w:t xml:space="preserve"> (no auditado) y 31 de diciembre de 2025</w: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i w:val="0"/>
          <w:color w:val="000000"/>
          <w:sz w:val="20"/>
          <w:u w:val="none"/>
        </w:rPr>
      </w:pPr>
      <w:r>
        <w:rPr>
          <w:rFonts w:ascii="Calibri" w:eastAsia="Calibri" w:hAnsi="Calibri" w:cs="Calibri"/>
          <w:b/>
          <w:i w:val="0"/>
          <w:color w:val="000000"/>
          <w:sz w:val="20"/>
          <w:u w:val="none"/>
        </w:rPr>
        <w:t>(Expresados en miles de pesos chilenos (M$))</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8.9pt;height:1.98pt">
            <v:imagedata r:id="rId11" o:title=""/>
            <o:lock v:ext="edit" aspectratio="t"/>
          </v:shape>
        </w:pic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99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7080"/>
        <w:gridCol w:w="480"/>
        <w:gridCol w:w="1200"/>
        <w:gridCol w:w="1200"/>
      </w:tblGrid>
      <w:tr>
        <w:tblPrEx>
          <w:tblW w:w="9960" w:type="dxa"/>
          <w:tblInd w:w="0" w:type="dxa"/>
          <w:tblLayout w:type="fixed"/>
        </w:tblPrEx>
        <w:trPr>
          <w:cantSplit/>
          <w:trHeight w:hRule="exact" w:val="240"/>
        </w:trPr>
        <w:tc>
          <w:tcPr>
            <w:tcW w:w="708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ACTIVOS</w:t>
            </w:r>
          </w:p>
        </w:tc>
        <w:tc>
          <w:tcPr>
            <w:tcW w:w="480"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Nota</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9960" w:type="dxa"/>
          <w:tblInd w:w="0" w:type="dxa"/>
          <w:tblLayout w:type="fixed"/>
        </w:tblPrEx>
        <w:trPr>
          <w:cantSplit/>
          <w:trHeight w:hRule="exact" w:val="240"/>
        </w:trPr>
        <w:tc>
          <w:tcPr>
            <w:tcW w:w="7080" w:type="dxa"/>
            <w:vMerge/>
            <w:tcBorders>
              <w:top w:val="nil"/>
              <w:left w:val="single" w:sz="2" w:space="0" w:color="000000"/>
              <w:bottom w:val="single" w:sz="2" w:space="0" w:color="000000"/>
              <w:right w:val="nil"/>
            </w:tcBorders>
          </w:tcPr>
          <w:p>
            <w:pPr>
              <w:keepNext/>
              <w:pageBreakBefore w:val="0"/>
            </w:pPr>
          </w:p>
        </w:tc>
        <w:tc>
          <w:tcPr>
            <w:tcW w:w="480" w:type="dxa"/>
            <w:vMerge/>
            <w:tcBorders>
              <w:top w:val="nil"/>
              <w:left w:val="single" w:sz="4" w:space="0" w:color="FFFFFF"/>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9960" w:type="dxa"/>
          <w:tblInd w:w="0" w:type="dxa"/>
          <w:tblLayout w:type="fixed"/>
        </w:tblPrEx>
        <w:trPr>
          <w:cantSplit/>
          <w:trHeight w:hRule="exact" w:val="60"/>
        </w:trPr>
        <w:tc>
          <w:tcPr>
            <w:tcW w:w="70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8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ACTIVOS CORRIENTES</w:t>
            </w:r>
          </w:p>
        </w:tc>
        <w:tc>
          <w:tcPr>
            <w:tcW w:w="48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Efectivo y equivalentes al efectivo.</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6</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1.681.948</w:t>
            </w:r>
          </w:p>
        </w:tc>
      </w:tr>
      <w:tr>
        <w:tblPrEx>
          <w:tblW w:w="996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Otros activos financieros corrientes.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7</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18.720</w:t>
            </w:r>
          </w:p>
        </w:tc>
      </w:tr>
      <w:tr>
        <w:tblPrEx>
          <w:tblW w:w="996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Otros activos no financieros corrientes.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12</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1.665.025</w:t>
            </w:r>
          </w:p>
        </w:tc>
      </w:tr>
      <w:tr>
        <w:tblPrEx>
          <w:tblW w:w="996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Deudores comerciales y otras cuentas por cobrar corrientes.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8</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55.404.055</w:t>
            </w:r>
          </w:p>
        </w:tc>
      </w:tr>
      <w:tr>
        <w:tblPrEx>
          <w:tblW w:w="996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Cuentas por cobrar a entidades relacionadas, corrientes.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9</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38.923.140</w:t>
            </w:r>
          </w:p>
        </w:tc>
      </w:tr>
      <w:tr>
        <w:tblPrEx>
          <w:tblW w:w="996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Inventarios corrientes.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10</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14.061.757</w:t>
            </w:r>
          </w:p>
        </w:tc>
      </w:tr>
      <w:tr>
        <w:tblPrEx>
          <w:tblW w:w="996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Activos corrientes totales</w:t>
            </w:r>
          </w:p>
        </w:tc>
        <w:tc>
          <w:tcPr>
            <w:tcW w:w="480" w:type="dxa"/>
            <w:tcBorders>
              <w:top w:val="single" w:sz="2" w:space="0" w:color="000000"/>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111.754.645</w:t>
            </w:r>
          </w:p>
        </w:tc>
      </w:tr>
      <w:tr>
        <w:tblPrEx>
          <w:tblW w:w="9960" w:type="dxa"/>
          <w:tblInd w:w="0" w:type="dxa"/>
          <w:tblLayout w:type="fixed"/>
        </w:tblPrEx>
        <w:trPr>
          <w:cantSplit/>
          <w:trHeight w:hRule="exact" w:val="60"/>
        </w:trPr>
        <w:tc>
          <w:tcPr>
            <w:tcW w:w="70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8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ACTIVOS NO CORRIENTES</w:t>
            </w:r>
          </w:p>
        </w:tc>
        <w:tc>
          <w:tcPr>
            <w:tcW w:w="48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Otros activos financieros no corrientes.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7</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247.069</w:t>
            </w:r>
          </w:p>
        </w:tc>
      </w:tr>
      <w:tr>
        <w:tblPrEx>
          <w:tblW w:w="996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Cuentas por cobrar no corrientes.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8</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16.428</w:t>
            </w:r>
          </w:p>
        </w:tc>
      </w:tr>
      <w:tr>
        <w:tblPrEx>
          <w:tblW w:w="996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Activos intangibles distintos de la plusvalía.</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14</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249.124.499</w:t>
            </w:r>
          </w:p>
        </w:tc>
      </w:tr>
      <w:tr>
        <w:tblPrEx>
          <w:tblW w:w="996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Plusvalía.</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15</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61.388.000</w:t>
            </w:r>
          </w:p>
        </w:tc>
      </w:tr>
      <w:tr>
        <w:tblPrEx>
          <w:tblW w:w="996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Propiedades, planta y equipo.</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17</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878.183.917</w:t>
            </w:r>
          </w:p>
        </w:tc>
      </w:tr>
      <w:tr>
        <w:tblPrEx>
          <w:tblW w:w="996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Propiedad de inversión.</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16</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14.927.470</w:t>
            </w:r>
          </w:p>
        </w:tc>
      </w:tr>
      <w:tr>
        <w:tblPrEx>
          <w:tblW w:w="996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Activos por derecho de uso.</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25</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577.789</w:t>
            </w:r>
          </w:p>
        </w:tc>
      </w:tr>
      <w:tr>
        <w:tblPrEx>
          <w:tblW w:w="996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Activos por impuestos diferidos.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19</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935.212</w:t>
            </w:r>
          </w:p>
        </w:tc>
      </w:tr>
      <w:tr>
        <w:tblPrEx>
          <w:tblW w:w="996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Activos no corrientes totales</w:t>
            </w:r>
          </w:p>
        </w:tc>
        <w:tc>
          <w:tcPr>
            <w:tcW w:w="480" w:type="dxa"/>
            <w:tcBorders>
              <w:top w:val="single" w:sz="2" w:space="0" w:color="000000"/>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1.205.400.384</w:t>
            </w:r>
          </w:p>
        </w:tc>
      </w:tr>
      <w:tr>
        <w:tblPrEx>
          <w:tblW w:w="9960" w:type="dxa"/>
          <w:tblInd w:w="0" w:type="dxa"/>
          <w:tblLayout w:type="fixed"/>
        </w:tblPrEx>
        <w:trPr>
          <w:cantSplit/>
          <w:trHeight w:hRule="exact" w:val="60"/>
        </w:trPr>
        <w:tc>
          <w:tcPr>
            <w:tcW w:w="70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8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 DE ACTIVOS</w:t>
            </w:r>
          </w:p>
        </w:tc>
        <w:tc>
          <w:tcPr>
            <w:tcW w:w="480" w:type="dxa"/>
            <w:tcBorders>
              <w:top w:val="nil"/>
              <w:left w:val="single" w:sz="2" w:space="0" w:color="000000"/>
              <w:bottom w:val="nil"/>
              <w:right w:val="nil"/>
            </w:tcBorders>
            <w:tcMar>
              <w:top w:w="0" w:type="dxa"/>
              <w:left w:w="0" w:type="dxa"/>
              <w:bottom w:w="0" w:type="dxa"/>
              <w:right w:w="0" w:type="dxa"/>
            </w:tcMar>
            <w:vAlign w:val="bottom"/>
          </w:tcPr>
          <w:p>
            <w:pPr>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1.317.155.029</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18"/>
          <w:u w:val="none"/>
        </w:rPr>
      </w:pPr>
    </w:p>
    <w:p>
      <w:pPr>
        <w:pStyle w:val="Normal-wk"/>
        <w:keepNext/>
        <w:keepLines/>
        <w:pageBreakBefore w:val="0"/>
        <w:widowControl w:val="0"/>
        <w:numPr>
          <w:ilvl w:val="0"/>
          <w:numId w:val="0"/>
        </w:numPr>
        <w:spacing w:before="0" w:after="0" w:line="240" w:lineRule="exact"/>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CGE TRANSMISIÓN S.A. Y SUBSIDIARIAS</w:t>
      </w:r>
    </w:p>
    <w:p>
      <w:pPr>
        <w:pStyle w:val="Normal-wk"/>
        <w:keepNext/>
        <w:keepLines/>
        <w:pageBreakBefore w:val="0"/>
        <w:widowControl w:val="0"/>
        <w:numPr>
          <w:ilvl w:val="0"/>
          <w:numId w:val="0"/>
        </w:numPr>
        <w:spacing w:before="0" w:after="0" w:line="240" w:lineRule="exact"/>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ESTADO CONSOLIDADO INTERMEDIO DE SITUACIÓN FINANCIERA CLASIFICADO</w:t>
      </w:r>
    </w:p>
    <w:p>
      <w:pPr>
        <w:pStyle w:val="Normal-wk"/>
        <w:keepNext/>
        <w:keepLines/>
        <w:pageBreakBefore w:val="0"/>
        <w:widowControl w:val="0"/>
        <w:numPr>
          <w:ilvl w:val="0"/>
          <w:numId w:val="0"/>
        </w:numPr>
        <w:spacing w:before="0" w:after="0" w:line="288" w:lineRule="auto"/>
        <w:ind w:left="0" w:right="0" w:firstLine="0"/>
        <w:jc w:val="both"/>
        <w:outlineLvl w:val="9"/>
        <w:rPr>
          <w:rFonts w:ascii="Calibri" w:eastAsia="Calibri" w:hAnsi="Calibri" w:cs="Calibri"/>
          <w:b/>
          <w:i w:val="0"/>
          <w:color w:val="000000"/>
          <w:sz w:val="20"/>
          <w:u w:val="none"/>
        </w:rPr>
      </w:pPr>
      <w:r>
        <w:rPr>
          <w:rFonts w:ascii="Calibri" w:eastAsia="Calibri" w:hAnsi="Calibri" w:cs="Calibri"/>
          <w:b/>
          <w:i w:val="0"/>
          <w:color w:val="000000"/>
          <w:sz w:val="20"/>
          <w:u w:val="none"/>
        </w:rPr>
        <w:t xml:space="preserve">Al </w:t>
      </w:r>
      <w:r>
        <w:rPr>
          <w:rFonts w:ascii="Calibri" w:eastAsia="Calibri" w:hAnsi="Calibri" w:cs="Calibri"/>
          <w:b/>
          <w:i w:val="0"/>
          <w:color w:val="000000"/>
          <w:sz w:val="20"/>
          <w:u w:val="none"/>
        </w:rPr>
        <w:t>30 de junio de 2026</w:t>
      </w:r>
      <w:r>
        <w:rPr>
          <w:rFonts w:ascii="Calibri" w:eastAsia="Calibri" w:hAnsi="Calibri" w:cs="Calibri"/>
          <w:b/>
          <w:i w:val="0"/>
          <w:color w:val="000000"/>
          <w:sz w:val="20"/>
          <w:u w:val="none"/>
        </w:rPr>
        <w:t xml:space="preserve"> (no auditado) y 31 de diciembre de 2025</w:t>
      </w:r>
    </w:p>
    <w:p>
      <w:pPr>
        <w:pStyle w:val="Normal-wk"/>
        <w:keepNext/>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(Expresados en miles de pesos chilenos (M$))</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18"/>
          <w:u w:val="none"/>
        </w:rPr>
      </w:pPr>
      <w:r>
        <w:pict>
          <v:shape id="_x0000_i1026" type="#_x0000_t75" style="width:498.9pt;height:1.98pt">
            <v:imagedata r:id="rId11" o:title=""/>
            <o:lock v:ext="edit" aspectratio="t"/>
          </v:shape>
        </w:pict>
      </w:r>
    </w:p>
    <w:p>
      <w:pPr>
        <w:keepNext/>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18"/>
          <w:u w:val="none"/>
        </w:rPr>
      </w:pPr>
    </w:p>
    <w:tbl>
      <w:tblPr>
        <w:tblW w:w="99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7080"/>
        <w:gridCol w:w="480"/>
        <w:gridCol w:w="1200"/>
        <w:gridCol w:w="1200"/>
      </w:tblGrid>
      <w:tr>
        <w:tblPrEx>
          <w:tblW w:w="9960" w:type="dxa"/>
          <w:tblInd w:w="0" w:type="dxa"/>
          <w:tblLayout w:type="fixed"/>
        </w:tblPrEx>
        <w:trPr>
          <w:cantSplit/>
          <w:trHeight w:hRule="exact" w:val="240"/>
        </w:trPr>
        <w:tc>
          <w:tcPr>
            <w:tcW w:w="708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PATRIMONIO Y PASIVOS</w:t>
            </w:r>
          </w:p>
        </w:tc>
        <w:tc>
          <w:tcPr>
            <w:tcW w:w="480"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Nota</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9960" w:type="dxa"/>
          <w:tblInd w:w="0" w:type="dxa"/>
          <w:tblLayout w:type="fixed"/>
        </w:tblPrEx>
        <w:trPr>
          <w:cantSplit/>
          <w:trHeight w:hRule="exact" w:val="240"/>
        </w:trPr>
        <w:tc>
          <w:tcPr>
            <w:tcW w:w="7080" w:type="dxa"/>
            <w:vMerge/>
            <w:tcBorders>
              <w:top w:val="nil"/>
              <w:left w:val="single" w:sz="2" w:space="0" w:color="000000"/>
              <w:bottom w:val="single" w:sz="2" w:space="0" w:color="000000"/>
              <w:right w:val="nil"/>
            </w:tcBorders>
          </w:tcPr>
          <w:p>
            <w:pPr>
              <w:keepNext/>
              <w:pageBreakBefore w:val="0"/>
            </w:pPr>
          </w:p>
        </w:tc>
        <w:tc>
          <w:tcPr>
            <w:tcW w:w="480" w:type="dxa"/>
            <w:vMerge/>
            <w:tcBorders>
              <w:top w:val="nil"/>
              <w:left w:val="single" w:sz="4" w:space="0" w:color="FFFFFF"/>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9960" w:type="dxa"/>
          <w:tblInd w:w="0" w:type="dxa"/>
          <w:tblLayout w:type="fixed"/>
        </w:tblPrEx>
        <w:trPr>
          <w:cantSplit/>
          <w:trHeight w:hRule="exact" w:val="60"/>
        </w:trPr>
        <w:tc>
          <w:tcPr>
            <w:tcW w:w="70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8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PASIVOS CORRIENTES</w:t>
            </w:r>
          </w:p>
        </w:tc>
        <w:tc>
          <w:tcPr>
            <w:tcW w:w="48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Otros pasivos financieros corrientes.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20</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431.377.862</w:t>
            </w:r>
          </w:p>
        </w:tc>
      </w:tr>
      <w:tr>
        <w:tblPrEx>
          <w:tblW w:w="996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Pasivos por arrendamientos corrientes.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25</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339.577</w:t>
            </w:r>
          </w:p>
        </w:tc>
      </w:tr>
      <w:tr>
        <w:tblPrEx>
          <w:tblW w:w="996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Cuentas por pagar comerciales y otras cuentas por pagar.</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21</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42.672.463</w:t>
            </w:r>
          </w:p>
        </w:tc>
      </w:tr>
      <w:tr>
        <w:tblPrEx>
          <w:tblW w:w="996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Cuentas por pagar a entidades relacionadas, corrientes.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9</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21.343.952</w:t>
            </w:r>
          </w:p>
        </w:tc>
      </w:tr>
      <w:tr>
        <w:tblPrEx>
          <w:tblW w:w="996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Otras provisiones a corto plazo.</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22</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6.789.317</w:t>
            </w:r>
          </w:p>
        </w:tc>
      </w:tr>
      <w:tr>
        <w:tblPrEx>
          <w:tblW w:w="996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Pasivos por impuestos corrientes.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11</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6.114.215</w:t>
            </w:r>
          </w:p>
        </w:tc>
      </w:tr>
      <w:tr>
        <w:tblPrEx>
          <w:tblW w:w="996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Otros pasivos no financieros corrientes.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24</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548.150</w:t>
            </w:r>
          </w:p>
        </w:tc>
      </w:tr>
      <w:tr>
        <w:tblPrEx>
          <w:tblW w:w="996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Pasivos corrientes totales</w:t>
            </w:r>
          </w:p>
        </w:tc>
        <w:tc>
          <w:tcPr>
            <w:tcW w:w="480" w:type="dxa"/>
            <w:tcBorders>
              <w:top w:val="single" w:sz="2" w:space="0" w:color="000000"/>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509.185.536</w:t>
            </w:r>
          </w:p>
        </w:tc>
      </w:tr>
      <w:tr>
        <w:tblPrEx>
          <w:tblW w:w="9960" w:type="dxa"/>
          <w:tblInd w:w="0" w:type="dxa"/>
          <w:tblLayout w:type="fixed"/>
        </w:tblPrEx>
        <w:trPr>
          <w:cantSplit/>
          <w:trHeight w:hRule="auto" w:val="0"/>
        </w:trPr>
        <w:tc>
          <w:tcPr>
            <w:tcW w:w="70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8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PASIVOS NO CORRIENTES</w:t>
            </w:r>
          </w:p>
        </w:tc>
        <w:tc>
          <w:tcPr>
            <w:tcW w:w="48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Otros pasivos financieros no corrientes.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20</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182.063.373</w:t>
            </w:r>
          </w:p>
        </w:tc>
      </w:tr>
      <w:tr>
        <w:tblPrEx>
          <w:tblW w:w="996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Pasivos por arrendamientos no corrientes.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25</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371.576</w:t>
            </w:r>
          </w:p>
        </w:tc>
      </w:tr>
      <w:tr>
        <w:tblPrEx>
          <w:tblW w:w="996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Cuentas por pagar no corrientes.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21</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1.274.601</w:t>
            </w:r>
          </w:p>
        </w:tc>
      </w:tr>
      <w:tr>
        <w:tblPrEx>
          <w:tblW w:w="996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Cuentas por pagar a entidades relacionadas, no corrientes.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9</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91.118.000</w:t>
            </w:r>
          </w:p>
        </w:tc>
      </w:tr>
      <w:tr>
        <w:tblPrEx>
          <w:tblW w:w="996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Pasivo por impuestos diferidos.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19</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74.665.845</w:t>
            </w:r>
          </w:p>
        </w:tc>
      </w:tr>
      <w:tr>
        <w:tblPrEx>
          <w:tblW w:w="996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Provisiones no corrientes por beneficios a los empleados.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23</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2.038.127</w:t>
            </w:r>
          </w:p>
        </w:tc>
      </w:tr>
      <w:tr>
        <w:tblPrEx>
          <w:tblW w:w="996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Pasivos no corrientes totales</w:t>
            </w:r>
          </w:p>
        </w:tc>
        <w:tc>
          <w:tcPr>
            <w:tcW w:w="480" w:type="dxa"/>
            <w:tcBorders>
              <w:top w:val="single" w:sz="2" w:space="0" w:color="000000"/>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351.531.522</w:t>
            </w:r>
          </w:p>
        </w:tc>
      </w:tr>
      <w:tr>
        <w:tblPrEx>
          <w:tblW w:w="9960" w:type="dxa"/>
          <w:tblInd w:w="0" w:type="dxa"/>
          <w:tblLayout w:type="fixed"/>
        </w:tblPrEx>
        <w:trPr>
          <w:cantSplit/>
          <w:trHeight w:hRule="exact" w:val="60"/>
        </w:trPr>
        <w:tc>
          <w:tcPr>
            <w:tcW w:w="70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8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TOTAL DE PASIVOS</w:t>
            </w:r>
          </w:p>
        </w:tc>
        <w:tc>
          <w:tcPr>
            <w:tcW w:w="48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860.717.058</w:t>
            </w:r>
          </w:p>
        </w:tc>
      </w:tr>
      <w:tr>
        <w:tblPrEx>
          <w:tblW w:w="9960" w:type="dxa"/>
          <w:tblInd w:w="0" w:type="dxa"/>
          <w:tblLayout w:type="fixed"/>
        </w:tblPrEx>
        <w:trPr>
          <w:cantSplit/>
          <w:trHeight w:hRule="exact" w:val="60"/>
        </w:trPr>
        <w:tc>
          <w:tcPr>
            <w:tcW w:w="70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8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PATRIMONIO</w:t>
            </w:r>
          </w:p>
        </w:tc>
        <w:tc>
          <w:tcPr>
            <w:tcW w:w="48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Capital emitido y pagado.</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26</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306.181.134</w:t>
            </w:r>
          </w:p>
        </w:tc>
      </w:tr>
      <w:tr>
        <w:tblPrEx>
          <w:tblW w:w="996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Ganancias (pérdidas) acumuladas.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26</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137.623.296</w:t>
            </w:r>
          </w:p>
        </w:tc>
      </w:tr>
      <w:tr>
        <w:tblPrEx>
          <w:tblW w:w="996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Otras reservas.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26</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11.847.407</w:t>
            </w:r>
          </w:p>
        </w:tc>
      </w:tr>
      <w:tr>
        <w:tblPrEx>
          <w:tblW w:w="996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Patrimonio atribuible a los propietarios de la controladora</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455.651.837</w:t>
            </w:r>
          </w:p>
        </w:tc>
      </w:tr>
      <w:tr>
        <w:tblPrEx>
          <w:tblW w:w="996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Participaciones no controladoras.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26</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786.134</w:t>
            </w:r>
          </w:p>
        </w:tc>
      </w:tr>
      <w:tr>
        <w:tblPrEx>
          <w:tblW w:w="996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Patrimonio total</w:t>
            </w:r>
          </w:p>
        </w:tc>
        <w:tc>
          <w:tcPr>
            <w:tcW w:w="480" w:type="dxa"/>
            <w:tcBorders>
              <w:top w:val="single" w:sz="2" w:space="0" w:color="000000"/>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456.437.971</w:t>
            </w:r>
          </w:p>
        </w:tc>
      </w:tr>
      <w:tr>
        <w:tblPrEx>
          <w:tblW w:w="9960" w:type="dxa"/>
          <w:tblInd w:w="0" w:type="dxa"/>
          <w:tblLayout w:type="fixed"/>
        </w:tblPrEx>
        <w:trPr>
          <w:cantSplit/>
          <w:trHeight w:hRule="exact" w:val="60"/>
        </w:trPr>
        <w:tc>
          <w:tcPr>
            <w:tcW w:w="70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8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 DE PASIVOS Y PATRIMONIO</w:t>
            </w:r>
          </w:p>
        </w:tc>
        <w:tc>
          <w:tcPr>
            <w:tcW w:w="480" w:type="dxa"/>
            <w:tcBorders>
              <w:top w:val="nil"/>
              <w:left w:val="single" w:sz="2" w:space="0" w:color="000000"/>
              <w:bottom w:val="nil"/>
              <w:right w:val="nil"/>
            </w:tcBorders>
            <w:tcMar>
              <w:top w:w="0" w:type="dxa"/>
              <w:left w:w="0" w:type="dxa"/>
              <w:bottom w:w="0" w:type="dxa"/>
              <w:right w:w="0" w:type="dxa"/>
            </w:tcMar>
            <w:vAlign w:val="bottom"/>
          </w:tcPr>
          <w:p>
            <w:pPr>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1.317.155.029</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keepLines/>
        <w:pageBreakBefore w:val="0"/>
        <w:widowControl w:val="0"/>
        <w:numPr>
          <w:ilvl w:val="0"/>
          <w:numId w:val="0"/>
        </w:numPr>
        <w:spacing w:before="0" w:after="0" w:line="240" w:lineRule="exact"/>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CGE TRANSMISIÓN S.A. Y SUBSIDIARIAS</w:t>
      </w:r>
    </w:p>
    <w:p>
      <w:pPr>
        <w:pStyle w:val="Normal-wk"/>
        <w:keepNext/>
        <w:keepLines/>
        <w:pageBreakBefore w:val="0"/>
        <w:widowControl w:val="0"/>
        <w:numPr>
          <w:ilvl w:val="0"/>
          <w:numId w:val="0"/>
        </w:numPr>
        <w:spacing w:before="0" w:after="0" w:line="240" w:lineRule="exact"/>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ESTADO CONSOLIDADO INTERMEDIO DE RESULTADOS POR FUNCIÓN</w:t>
      </w:r>
    </w:p>
    <w:p>
      <w:pPr>
        <w:pStyle w:val="Normal-wk"/>
        <w:keepNext/>
        <w:keepLines/>
        <w:pageBreakBefore w:val="0"/>
        <w:widowControl w:val="0"/>
        <w:numPr>
          <w:ilvl w:val="0"/>
          <w:numId w:val="0"/>
        </w:numPr>
        <w:spacing w:before="0" w:after="0" w:line="240" w:lineRule="exact"/>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Por los períodos de</w:t>
      </w:r>
      <w:r>
        <w:rPr>
          <w:rFonts w:ascii="Calibri" w:eastAsia="Calibri" w:hAnsi="Calibri" w:cs="Calibri"/>
          <w:b/>
          <w:i w:val="0"/>
          <w:color w:val="000000"/>
          <w:sz w:val="20"/>
          <w:u w:val="none"/>
        </w:rPr>
        <w:t xml:space="preserve"> seis </w:t>
      </w:r>
      <w:r>
        <w:rPr>
          <w:rFonts w:ascii="Calibri" w:eastAsia="Calibri" w:hAnsi="Calibri" w:cs="Calibri"/>
          <w:b/>
          <w:i w:val="0"/>
          <w:color w:val="000000"/>
          <w:sz w:val="20"/>
          <w:u w:val="none"/>
        </w:rPr>
        <w:t>y</w:t>
      </w:r>
      <w:r>
        <w:rPr>
          <w:rFonts w:ascii="Calibri" w:eastAsia="Calibri" w:hAnsi="Calibri" w:cs="Calibri"/>
          <w:b/>
          <w:i w:val="0"/>
          <w:color w:val="000000"/>
          <w:sz w:val="20"/>
          <w:u w:val="none"/>
        </w:rPr>
        <w:t xml:space="preserve"> tres meses terminados al </w:t>
      </w:r>
      <w:r>
        <w:rPr>
          <w:rFonts w:ascii="Calibri" w:eastAsia="Calibri" w:hAnsi="Calibri" w:cs="Calibri"/>
          <w:b/>
          <w:i w:val="0"/>
          <w:color w:val="000000"/>
          <w:sz w:val="20"/>
          <w:u w:val="none"/>
        </w:rPr>
        <w:t>30 de junio de 2026 y 2025</w:t>
      </w:r>
      <w:r>
        <w:rPr>
          <w:rFonts w:ascii="Calibri" w:eastAsia="Calibri" w:hAnsi="Calibri" w:cs="Calibri"/>
          <w:b/>
          <w:i w:val="0"/>
          <w:sz w:val="20"/>
        </w:rPr>
        <w:t xml:space="preserve"> (no auditados)</w:t>
      </w:r>
    </w:p>
    <w:p>
      <w:pPr>
        <w:pStyle w:val="Normal-wk"/>
        <w:keepNext/>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(Expresados en miles de pesos chilenos (M$))</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18"/>
          <w:u w:val="none"/>
        </w:rPr>
      </w:pPr>
      <w:r>
        <w:pict>
          <v:shape id="_x0000_i1027" type="#_x0000_t75" style="width:498.9pt;height:1.98pt">
            <v:imagedata r:id="rId11" o:title=""/>
            <o:lock v:ext="edit" aspectratio="t"/>
          </v:shape>
        </w:pict>
      </w:r>
    </w:p>
    <w:p>
      <w:pPr>
        <w:keepNext/>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99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665"/>
        <w:gridCol w:w="480"/>
        <w:gridCol w:w="1200"/>
        <w:gridCol w:w="1200"/>
        <w:gridCol w:w="1200"/>
        <w:gridCol w:w="1215"/>
      </w:tblGrid>
      <w:tr>
        <w:tblPrEx>
          <w:tblW w:w="9960" w:type="dxa"/>
          <w:tblInd w:w="0" w:type="dxa"/>
          <w:tblLayout w:type="fixed"/>
        </w:tblPrEx>
        <w:trPr>
          <w:cantSplit/>
          <w:trHeight w:hRule="exact" w:val="255"/>
        </w:trPr>
        <w:tc>
          <w:tcPr>
            <w:tcW w:w="466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ESTADO DE RESULTADOS POR FUNCIÓN</w:t>
            </w:r>
          </w:p>
        </w:tc>
        <w:tc>
          <w:tcPr>
            <w:tcW w:w="48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del</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01-01-2026</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01-01-2025</w:t>
            </w:r>
          </w:p>
        </w:tc>
        <w:tc>
          <w:tcPr>
            <w:tcW w:w="1200" w:type="dxa"/>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01-04-2026</w:t>
            </w:r>
          </w:p>
        </w:tc>
        <w:tc>
          <w:tcPr>
            <w:tcW w:w="1215" w:type="dxa"/>
            <w:tcBorders>
              <w:top w:val="single" w:sz="2" w:space="0" w:color="000000"/>
              <w:left w:val="single" w:sz="8"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01-04-2025</w:t>
            </w:r>
          </w:p>
        </w:tc>
      </w:tr>
      <w:tr>
        <w:tblPrEx>
          <w:tblW w:w="9960" w:type="dxa"/>
          <w:tblInd w:w="0" w:type="dxa"/>
          <w:tblLayout w:type="fixed"/>
        </w:tblPrEx>
        <w:trPr>
          <w:cantSplit/>
          <w:trHeight w:hRule="exact" w:val="255"/>
        </w:trPr>
        <w:tc>
          <w:tcPr>
            <w:tcW w:w="4665" w:type="dxa"/>
            <w:vMerge/>
            <w:tcBorders>
              <w:top w:val="nil"/>
              <w:left w:val="single" w:sz="2" w:space="0" w:color="000000"/>
              <w:bottom w:val="nil"/>
              <w:right w:val="nil"/>
            </w:tcBorders>
          </w:tcPr>
          <w:p>
            <w:pPr>
              <w:keepNext/>
              <w:pageBreakBefore w:val="0"/>
            </w:pPr>
          </w:p>
        </w:tc>
        <w:tc>
          <w:tcPr>
            <w:tcW w:w="48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al</w:t>
            </w: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30-06-2025</w:t>
            </w:r>
          </w:p>
        </w:tc>
        <w:tc>
          <w:tcPr>
            <w:tcW w:w="1200" w:type="dxa"/>
            <w:tcBorders>
              <w:top w:val="nil"/>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15" w:type="dxa"/>
            <w:tcBorders>
              <w:top w:val="nil"/>
              <w:left w:val="single" w:sz="8"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30-06-2025</w:t>
            </w:r>
          </w:p>
        </w:tc>
      </w:tr>
      <w:tr>
        <w:tblPrEx>
          <w:tblW w:w="9960" w:type="dxa"/>
          <w:tblInd w:w="0" w:type="dxa"/>
          <w:tblLayout w:type="fixed"/>
        </w:tblPrEx>
        <w:trPr>
          <w:cantSplit/>
          <w:trHeight w:hRule="exact" w:val="225"/>
        </w:trPr>
        <w:tc>
          <w:tcPr>
            <w:tcW w:w="4665" w:type="dxa"/>
            <w:vMerge/>
            <w:tcBorders>
              <w:top w:val="nil"/>
              <w:left w:val="single" w:sz="2" w:space="0" w:color="000000"/>
              <w:bottom w:val="single" w:sz="2" w:space="0" w:color="000000"/>
              <w:right w:val="nil"/>
            </w:tcBorders>
          </w:tcPr>
          <w:p>
            <w:pPr>
              <w:keepNext/>
              <w:pageBreakBefore w:val="0"/>
            </w:pPr>
          </w:p>
        </w:tc>
        <w:tc>
          <w:tcPr>
            <w:tcW w:w="48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Nota</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15" w:type="dxa"/>
            <w:tcBorders>
              <w:top w:val="nil"/>
              <w:left w:val="single" w:sz="8"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9960" w:type="dxa"/>
          <w:tblInd w:w="0" w:type="dxa"/>
          <w:tblLayout w:type="fixed"/>
        </w:tblPrEx>
        <w:trPr>
          <w:cantSplit/>
          <w:trHeight w:hRule="exact" w:val="255"/>
        </w:trPr>
        <w:tc>
          <w:tcPr>
            <w:tcW w:w="46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Ingresos de actividades ordinarias.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27</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133.891.092</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(64.071.767)</w:t>
            </w:r>
          </w:p>
        </w:tc>
        <w:tc>
          <w:tcPr>
            <w:tcW w:w="121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68.629.991</w:t>
            </w:r>
          </w:p>
        </w:tc>
      </w:tr>
      <w:tr>
        <w:tblPrEx>
          <w:tblW w:w="9960" w:type="dxa"/>
          <w:tblInd w:w="0" w:type="dxa"/>
          <w:tblLayout w:type="fixed"/>
        </w:tblPrEx>
        <w:trPr>
          <w:cantSplit/>
          <w:trHeight w:hRule="exact" w:val="255"/>
        </w:trPr>
        <w:tc>
          <w:tcPr>
            <w:tcW w:w="46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Costo de ventas.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28</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(64.729.647)</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29.511.934</w:t>
            </w:r>
          </w:p>
        </w:tc>
        <w:tc>
          <w:tcPr>
            <w:tcW w:w="121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(34.065.357)</w:t>
            </w:r>
          </w:p>
        </w:tc>
      </w:tr>
      <w:tr>
        <w:tblPrEx>
          <w:tblW w:w="9960" w:type="dxa"/>
          <w:tblInd w:w="0" w:type="dxa"/>
          <w:tblLayout w:type="fixed"/>
        </w:tblPrEx>
        <w:trPr>
          <w:cantSplit/>
          <w:trHeight w:hRule="exact" w:val="255"/>
        </w:trPr>
        <w:tc>
          <w:tcPr>
            <w:tcW w:w="46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Ganancia bruta.</w:t>
            </w:r>
          </w:p>
        </w:tc>
        <w:tc>
          <w:tcPr>
            <w:tcW w:w="480" w:type="dxa"/>
            <w:tcBorders>
              <w:top w:val="single" w:sz="2" w:space="0" w:color="000000"/>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69.161.445</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(34.559.833)</w:t>
            </w:r>
          </w:p>
        </w:tc>
        <w:tc>
          <w:tcPr>
            <w:tcW w:w="1215" w:type="dxa"/>
            <w:tcBorders>
              <w:top w:val="single" w:sz="2" w:space="0" w:color="000000"/>
              <w:left w:val="single" w:sz="8"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34.564.634</w:t>
            </w:r>
          </w:p>
        </w:tc>
      </w:tr>
      <w:tr>
        <w:tblPrEx>
          <w:tblW w:w="9960" w:type="dxa"/>
          <w:tblInd w:w="0" w:type="dxa"/>
          <w:tblLayout w:type="fixed"/>
        </w:tblPrEx>
        <w:trPr>
          <w:cantSplit/>
          <w:trHeight w:hRule="exact" w:val="255"/>
        </w:trPr>
        <w:tc>
          <w:tcPr>
            <w:tcW w:w="46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Otros ingresos.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27</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749.538</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(367.790)</w:t>
            </w:r>
          </w:p>
        </w:tc>
        <w:tc>
          <w:tcPr>
            <w:tcW w:w="121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379.021</w:t>
            </w:r>
          </w:p>
        </w:tc>
      </w:tr>
      <w:tr>
        <w:tblPrEx>
          <w:tblW w:w="9960" w:type="dxa"/>
          <w:tblInd w:w="0" w:type="dxa"/>
          <w:tblLayout w:type="fixed"/>
        </w:tblPrEx>
        <w:trPr>
          <w:cantSplit/>
          <w:trHeight w:hRule="exact" w:val="255"/>
        </w:trPr>
        <w:tc>
          <w:tcPr>
            <w:tcW w:w="46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Gasto de administración.</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28</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(18.461.609)</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8.967.795</w:t>
            </w:r>
          </w:p>
        </w:tc>
        <w:tc>
          <w:tcPr>
            <w:tcW w:w="121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(9.241.749)</w:t>
            </w:r>
          </w:p>
        </w:tc>
      </w:tr>
      <w:tr>
        <w:tblPrEx>
          <w:tblW w:w="9960" w:type="dxa"/>
          <w:tblInd w:w="0" w:type="dxa"/>
          <w:tblLayout w:type="fixed"/>
        </w:tblPrEx>
        <w:trPr>
          <w:cantSplit/>
          <w:trHeight w:hRule="exact" w:val="585"/>
        </w:trPr>
        <w:tc>
          <w:tcPr>
            <w:tcW w:w="46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Deterioro de valor de ganancias y reversión de pérdidas por deterioro de valor (pérdidas por deterioro de valor) determinado de acuerdo con la NIIF 9.</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28</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(18.302)</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100.346</w:t>
            </w:r>
          </w:p>
        </w:tc>
        <w:tc>
          <w:tcPr>
            <w:tcW w:w="121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68.193</w:t>
            </w:r>
          </w:p>
        </w:tc>
      </w:tr>
      <w:tr>
        <w:tblPrEx>
          <w:tblW w:w="9960" w:type="dxa"/>
          <w:tblInd w:w="0" w:type="dxa"/>
          <w:tblLayout w:type="fixed"/>
        </w:tblPrEx>
        <w:trPr>
          <w:cantSplit/>
          <w:trHeight w:hRule="exact" w:val="255"/>
        </w:trPr>
        <w:tc>
          <w:tcPr>
            <w:tcW w:w="46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Otras ganancias (pérdidas).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28</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4.795.234</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333.043</w:t>
            </w:r>
          </w:p>
        </w:tc>
        <w:tc>
          <w:tcPr>
            <w:tcW w:w="121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1.853.067</w:t>
            </w:r>
          </w:p>
        </w:tc>
      </w:tr>
      <w:tr>
        <w:tblPrEx>
          <w:tblW w:w="9960" w:type="dxa"/>
          <w:tblInd w:w="0" w:type="dxa"/>
          <w:tblLayout w:type="fixed"/>
        </w:tblPrEx>
        <w:trPr>
          <w:cantSplit/>
          <w:trHeight w:hRule="exact" w:val="255"/>
        </w:trPr>
        <w:tc>
          <w:tcPr>
            <w:tcW w:w="46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Ganancias (pérdidas) de actividades operacionales.</w:t>
            </w:r>
          </w:p>
        </w:tc>
        <w:tc>
          <w:tcPr>
            <w:tcW w:w="480" w:type="dxa"/>
            <w:tcBorders>
              <w:top w:val="single" w:sz="2" w:space="0" w:color="000000"/>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56.226.306</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(25.526.439)</w:t>
            </w:r>
          </w:p>
        </w:tc>
        <w:tc>
          <w:tcPr>
            <w:tcW w:w="1215" w:type="dxa"/>
            <w:tcBorders>
              <w:top w:val="single" w:sz="2" w:space="0" w:color="000000"/>
              <w:left w:val="single" w:sz="8"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27.623.166</w:t>
            </w:r>
          </w:p>
        </w:tc>
      </w:tr>
      <w:tr>
        <w:tblPrEx>
          <w:tblW w:w="9960" w:type="dxa"/>
          <w:tblInd w:w="0" w:type="dxa"/>
          <w:tblLayout w:type="fixed"/>
        </w:tblPrEx>
        <w:trPr>
          <w:cantSplit/>
          <w:trHeight w:hRule="exact" w:val="255"/>
        </w:trPr>
        <w:tc>
          <w:tcPr>
            <w:tcW w:w="46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Ingresos financieros.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29</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2.540.380</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(1.493.188)</w:t>
            </w:r>
          </w:p>
        </w:tc>
        <w:tc>
          <w:tcPr>
            <w:tcW w:w="121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1.348.904</w:t>
            </w:r>
          </w:p>
        </w:tc>
      </w:tr>
      <w:tr>
        <w:tblPrEx>
          <w:tblW w:w="9960" w:type="dxa"/>
          <w:tblInd w:w="0" w:type="dxa"/>
          <w:tblLayout w:type="fixed"/>
        </w:tblPrEx>
        <w:trPr>
          <w:cantSplit/>
          <w:trHeight w:hRule="exact" w:val="255"/>
        </w:trPr>
        <w:tc>
          <w:tcPr>
            <w:tcW w:w="46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Costos financieros.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29</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(19.494.536)</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9.330.405</w:t>
            </w:r>
          </w:p>
        </w:tc>
        <w:tc>
          <w:tcPr>
            <w:tcW w:w="121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(9.900.626)</w:t>
            </w:r>
          </w:p>
        </w:tc>
      </w:tr>
      <w:tr>
        <w:tblPrEx>
          <w:tblW w:w="9960" w:type="dxa"/>
          <w:tblInd w:w="0" w:type="dxa"/>
          <w:tblLayout w:type="fixed"/>
        </w:tblPrEx>
        <w:trPr>
          <w:cantSplit/>
          <w:trHeight w:hRule="exact" w:val="255"/>
        </w:trPr>
        <w:tc>
          <w:tcPr>
            <w:tcW w:w="46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Ganancias (pérdidas) de cambio en moneda extranjera.</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29</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5.628.407</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1.673.333</w:t>
            </w:r>
          </w:p>
        </w:tc>
        <w:tc>
          <w:tcPr>
            <w:tcW w:w="121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(410.917)</w:t>
            </w:r>
          </w:p>
        </w:tc>
      </w:tr>
      <w:tr>
        <w:tblPrEx>
          <w:tblW w:w="9960" w:type="dxa"/>
          <w:tblInd w:w="0" w:type="dxa"/>
          <w:tblLayout w:type="fixed"/>
        </w:tblPrEx>
        <w:trPr>
          <w:cantSplit/>
          <w:trHeight w:hRule="exact" w:val="255"/>
        </w:trPr>
        <w:tc>
          <w:tcPr>
            <w:tcW w:w="46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Resultados por unidades de reajuste.</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29</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(4.946.100)</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261.053</w:t>
            </w:r>
          </w:p>
        </w:tc>
        <w:tc>
          <w:tcPr>
            <w:tcW w:w="121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(1.807.627)</w:t>
            </w:r>
          </w:p>
        </w:tc>
      </w:tr>
      <w:tr>
        <w:tblPrEx>
          <w:tblW w:w="9960" w:type="dxa"/>
          <w:tblInd w:w="0" w:type="dxa"/>
          <w:tblLayout w:type="fixed"/>
        </w:tblPrEx>
        <w:trPr>
          <w:cantSplit/>
          <w:trHeight w:hRule="exact" w:val="255"/>
        </w:trPr>
        <w:tc>
          <w:tcPr>
            <w:tcW w:w="46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Ganancia (pérdida) antes de impuesto.</w:t>
            </w:r>
          </w:p>
        </w:tc>
        <w:tc>
          <w:tcPr>
            <w:tcW w:w="480" w:type="dxa"/>
            <w:tcBorders>
              <w:top w:val="single" w:sz="2" w:space="0" w:color="000000"/>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39.954.457</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(15.754.836)</w:t>
            </w:r>
          </w:p>
        </w:tc>
        <w:tc>
          <w:tcPr>
            <w:tcW w:w="1215" w:type="dxa"/>
            <w:tcBorders>
              <w:top w:val="single" w:sz="2" w:space="0" w:color="000000"/>
              <w:left w:val="single" w:sz="8"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16.852.900</w:t>
            </w:r>
          </w:p>
        </w:tc>
      </w:tr>
      <w:tr>
        <w:tblPrEx>
          <w:tblW w:w="9960" w:type="dxa"/>
          <w:tblInd w:w="0" w:type="dxa"/>
          <w:tblLayout w:type="fixed"/>
        </w:tblPrEx>
        <w:trPr>
          <w:cantSplit/>
          <w:trHeight w:hRule="exact" w:val="255"/>
        </w:trPr>
        <w:tc>
          <w:tcPr>
            <w:tcW w:w="46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Beneficio (gasto) por impuestos a las ganancias.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30</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(10.314.951)</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4.337.587</w:t>
            </w:r>
          </w:p>
        </w:tc>
        <w:tc>
          <w:tcPr>
            <w:tcW w:w="121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(4.781.415)</w:t>
            </w:r>
          </w:p>
        </w:tc>
      </w:tr>
      <w:tr>
        <w:tblPrEx>
          <w:tblW w:w="9960" w:type="dxa"/>
          <w:tblInd w:w="0" w:type="dxa"/>
          <w:tblLayout w:type="fixed"/>
        </w:tblPrEx>
        <w:trPr>
          <w:cantSplit/>
          <w:trHeight w:hRule="exact" w:val="255"/>
        </w:trPr>
        <w:tc>
          <w:tcPr>
            <w:tcW w:w="46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Ganancia (pérdida)</w:t>
            </w:r>
          </w:p>
        </w:tc>
        <w:tc>
          <w:tcPr>
            <w:tcW w:w="480" w:type="dxa"/>
            <w:tcBorders>
              <w:top w:val="single" w:sz="2" w:space="0" w:color="000000"/>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29.639.506</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(11.417.249)</w:t>
            </w:r>
          </w:p>
        </w:tc>
        <w:tc>
          <w:tcPr>
            <w:tcW w:w="1215" w:type="dxa"/>
            <w:tcBorders>
              <w:top w:val="single" w:sz="2" w:space="0" w:color="000000"/>
              <w:left w:val="single" w:sz="8"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12.071.485</w:t>
            </w:r>
          </w:p>
        </w:tc>
      </w:tr>
      <w:tr>
        <w:tblPrEx>
          <w:tblW w:w="9960" w:type="dxa"/>
          <w:tblInd w:w="0" w:type="dxa"/>
          <w:tblLayout w:type="fixed"/>
        </w:tblPrEx>
        <w:trPr>
          <w:cantSplit/>
          <w:trHeight w:hRule="exact" w:val="60"/>
        </w:trPr>
        <w:tc>
          <w:tcPr>
            <w:tcW w:w="46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8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1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255"/>
        </w:trPr>
        <w:tc>
          <w:tcPr>
            <w:tcW w:w="46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Ganancia (pérdida) atribuible a</w:t>
            </w:r>
          </w:p>
        </w:tc>
        <w:tc>
          <w:tcPr>
            <w:tcW w:w="48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1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60"/>
        </w:trPr>
        <w:tc>
          <w:tcPr>
            <w:tcW w:w="46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8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1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255"/>
        </w:trPr>
        <w:tc>
          <w:tcPr>
            <w:tcW w:w="46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Ganancia (pérdida) atribuible a los propietarios de la controladora.</w:t>
            </w:r>
          </w:p>
        </w:tc>
        <w:tc>
          <w:tcPr>
            <w:tcW w:w="480" w:type="dxa"/>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29.597.988</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(11.381.575)</w:t>
            </w:r>
          </w:p>
        </w:tc>
        <w:tc>
          <w:tcPr>
            <w:tcW w:w="1215" w:type="dxa"/>
            <w:tcBorders>
              <w:top w:val="single" w:sz="2" w:space="0" w:color="000000"/>
              <w:left w:val="single" w:sz="8"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12.040.312</w:t>
            </w:r>
          </w:p>
        </w:tc>
      </w:tr>
      <w:tr>
        <w:tblPrEx>
          <w:tblW w:w="9960" w:type="dxa"/>
          <w:tblInd w:w="0" w:type="dxa"/>
          <w:tblLayout w:type="fixed"/>
        </w:tblPrEx>
        <w:trPr>
          <w:cantSplit/>
          <w:trHeight w:hRule="exact" w:val="255"/>
        </w:trPr>
        <w:tc>
          <w:tcPr>
            <w:tcW w:w="46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Ganancia (pérdida) atribuible a participaciones no controladoras.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26</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41.518</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(35.674)</w:t>
            </w:r>
          </w:p>
        </w:tc>
        <w:tc>
          <w:tcPr>
            <w:tcW w:w="121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31.173</w:t>
            </w:r>
          </w:p>
        </w:tc>
      </w:tr>
      <w:tr>
        <w:tblPrEx>
          <w:tblW w:w="9960" w:type="dxa"/>
          <w:tblInd w:w="0" w:type="dxa"/>
          <w:tblLayout w:type="fixed"/>
        </w:tblPrEx>
        <w:trPr>
          <w:cantSplit/>
          <w:trHeight w:hRule="exact" w:val="255"/>
        </w:trPr>
        <w:tc>
          <w:tcPr>
            <w:tcW w:w="46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Ganancia (pérdida)</w:t>
            </w:r>
          </w:p>
        </w:tc>
        <w:tc>
          <w:tcPr>
            <w:tcW w:w="480" w:type="dxa"/>
            <w:tcBorders>
              <w:top w:val="single" w:sz="2" w:space="0" w:color="000000"/>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29.639.506</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(11.417.249)</w:t>
            </w:r>
          </w:p>
        </w:tc>
        <w:tc>
          <w:tcPr>
            <w:tcW w:w="1215" w:type="dxa"/>
            <w:tcBorders>
              <w:top w:val="single" w:sz="2" w:space="0" w:color="000000"/>
              <w:left w:val="single" w:sz="8"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12.071.485</w:t>
            </w:r>
          </w:p>
        </w:tc>
      </w:tr>
      <w:tr>
        <w:tblPrEx>
          <w:tblW w:w="9960" w:type="dxa"/>
          <w:tblInd w:w="0" w:type="dxa"/>
          <w:tblLayout w:type="fixed"/>
        </w:tblPrEx>
        <w:trPr>
          <w:cantSplit/>
          <w:trHeight w:hRule="exact" w:val="60"/>
        </w:trPr>
        <w:tc>
          <w:tcPr>
            <w:tcW w:w="46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8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1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255"/>
        </w:trPr>
        <w:tc>
          <w:tcPr>
            <w:tcW w:w="46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Ganancias por acción</w:t>
            </w:r>
          </w:p>
        </w:tc>
        <w:tc>
          <w:tcPr>
            <w:tcW w:w="48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1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60"/>
        </w:trPr>
        <w:tc>
          <w:tcPr>
            <w:tcW w:w="46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8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1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255"/>
        </w:trPr>
        <w:tc>
          <w:tcPr>
            <w:tcW w:w="46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Ganancia por acción básica y diluida ($ por acción)</w:t>
            </w:r>
          </w:p>
        </w:tc>
        <w:tc>
          <w:tcPr>
            <w:tcW w:w="48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1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255"/>
        </w:trPr>
        <w:tc>
          <w:tcPr>
            <w:tcW w:w="46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Ganancia (pérdida) por acción básica en operaciones continuadas.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14,65</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-5,63</w:t>
            </w:r>
          </w:p>
        </w:tc>
        <w:tc>
          <w:tcPr>
            <w:tcW w:w="121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5,96</w:t>
            </w:r>
          </w:p>
        </w:tc>
      </w:tr>
      <w:tr>
        <w:tblPrEx>
          <w:tblW w:w="9960" w:type="dxa"/>
          <w:tblInd w:w="0" w:type="dxa"/>
          <w:tblLayout w:type="fixed"/>
        </w:tblPrEx>
        <w:trPr>
          <w:cantSplit/>
          <w:trHeight w:hRule="exact" w:val="255"/>
        </w:trPr>
        <w:tc>
          <w:tcPr>
            <w:tcW w:w="46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Ganancia (pérdida) por acción básica.</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numPr>
                <w:ilvl w:val="0"/>
                <w:numId w:val="0"/>
              </w:numPr>
              <w:spacing w:before="0" w:after="0" w:line="240" w:lineRule="auto"/>
              <w:ind w:left="0" w:right="0" w:firstLine="0"/>
              <w:jc w:val="center"/>
              <w:outlineLvl w:val="9"/>
              <w:rPr>
                <w:rFonts w:ascii="Calibri" w:eastAsia="Calibri" w:hAnsi="Calibri" w:cs="Calibri"/>
                <w:b/>
                <w:i w:val="0"/>
                <w:sz w:val="16"/>
              </w:rPr>
            </w:pPr>
            <w:r>
              <w:rPr>
                <w:rFonts w:ascii="Calibri" w:eastAsia="Calibri" w:hAnsi="Calibri" w:cs="Calibri"/>
                <w:b/>
                <w:i w:val="0"/>
                <w:sz w:val="16"/>
              </w:rPr>
              <w:t>31</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0,00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14,65</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(5,63)</w:t>
            </w:r>
          </w:p>
        </w:tc>
        <w:tc>
          <w:tcPr>
            <w:tcW w:w="1215" w:type="dxa"/>
            <w:tcBorders>
              <w:top w:val="single" w:sz="2" w:space="0" w:color="000000"/>
              <w:left w:val="single" w:sz="8"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5,96</w:t>
            </w:r>
          </w:p>
        </w:tc>
      </w:tr>
    </w:tbl>
    <w:p>
      <w:pPr>
        <w:pStyle w:val="Normal-wk"/>
        <w:keepNext w:val="0"/>
        <w:keepLines/>
        <w:pageBreakBefore/>
        <w:widowControl w:val="0"/>
        <w:numPr>
          <w:ilvl w:val="0"/>
          <w:numId w:val="0"/>
        </w:numPr>
        <w:spacing w:before="0" w:after="0" w:line="240" w:lineRule="exact"/>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CGE TRANSMISIÓN S.A. Y SUBSIDIARIAS</w: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ESTADO CONSOLIDADO INTERMEDIO DE RESULTADO INTEGRAL</w:t>
      </w:r>
    </w:p>
    <w:p>
      <w:pPr>
        <w:pStyle w:val="Normal-wk"/>
        <w:keepNext w:val="0"/>
        <w:keepLines/>
        <w:pageBreakBefore w:val="0"/>
        <w:widowControl w:val="0"/>
        <w:numPr>
          <w:ilvl w:val="0"/>
          <w:numId w:val="0"/>
        </w:numPr>
        <w:spacing w:before="0" w:after="0" w:line="240" w:lineRule="exact"/>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Por los períodos de</w:t>
      </w:r>
      <w:r>
        <w:rPr>
          <w:rFonts w:ascii="Calibri" w:eastAsia="Calibri" w:hAnsi="Calibri" w:cs="Calibri"/>
          <w:b/>
          <w:i w:val="0"/>
          <w:color w:val="000000"/>
          <w:sz w:val="20"/>
          <w:u w:val="none"/>
        </w:rPr>
        <w:t xml:space="preserve"> s</w:t>
      </w:r>
      <w:r>
        <w:rPr>
          <w:rFonts w:ascii="Calibri" w:eastAsia="Calibri" w:hAnsi="Calibri" w:cs="Calibri"/>
          <w:b/>
          <w:i w:val="0"/>
          <w:color w:val="000000"/>
          <w:sz w:val="20"/>
          <w:u w:val="none"/>
        </w:rPr>
        <w:t>eis y</w:t>
      </w:r>
      <w:r>
        <w:rPr>
          <w:rFonts w:ascii="Calibri" w:eastAsia="Calibri" w:hAnsi="Calibri" w:cs="Calibri"/>
          <w:b/>
          <w:i w:val="0"/>
          <w:color w:val="000000"/>
          <w:sz w:val="20"/>
          <w:u w:val="none"/>
        </w:rPr>
        <w:t xml:space="preserve"> tres meses terminados al </w:t>
      </w:r>
      <w:r>
        <w:rPr>
          <w:rFonts w:ascii="Calibri" w:eastAsia="Calibri" w:hAnsi="Calibri" w:cs="Calibri"/>
          <w:b/>
          <w:i w:val="0"/>
          <w:color w:val="000000"/>
          <w:sz w:val="20"/>
          <w:u w:val="none"/>
        </w:rPr>
        <w:t>30 de junio de 2026 y 2025</w:t>
      </w:r>
      <w:r>
        <w:rPr>
          <w:rFonts w:ascii="Calibri" w:eastAsia="Calibri" w:hAnsi="Calibri" w:cs="Calibri"/>
          <w:b/>
          <w:i w:val="0"/>
          <w:sz w:val="20"/>
        </w:rPr>
        <w:t xml:space="preserve"> (no auditados) </w: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(Expresados en miles de pesos chilenos (M$))</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18"/>
          <w:u w:val="none"/>
        </w:rPr>
      </w:pPr>
      <w:r>
        <w:pict>
          <v:shape id="_x0000_i1028" type="#_x0000_t75" style="width:498.9pt;height:1.98pt">
            <v:imagedata r:id="rId11" o:title=""/>
            <o:lock v:ext="edit" aspectratio="t"/>
          </v:shape>
        </w:pic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18"/>
          <w:u w:val="none"/>
        </w:rPr>
      </w:pPr>
    </w:p>
    <w:tbl>
      <w:tblPr>
        <w:tblW w:w="99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725"/>
        <w:gridCol w:w="435"/>
        <w:gridCol w:w="1200"/>
        <w:gridCol w:w="1200"/>
        <w:gridCol w:w="1200"/>
        <w:gridCol w:w="1200"/>
      </w:tblGrid>
      <w:tr>
        <w:tblPrEx>
          <w:tblW w:w="9960" w:type="dxa"/>
          <w:tblInd w:w="0" w:type="dxa"/>
          <w:tblLayout w:type="fixed"/>
        </w:tblPrEx>
        <w:trPr>
          <w:cantSplit/>
          <w:trHeight w:hRule="auto" w:val="0"/>
          <w:tblHeader/>
        </w:trPr>
        <w:tc>
          <w:tcPr>
            <w:tcW w:w="472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ESTADO DEL RESULTADO INTEGRAL</w:t>
            </w:r>
          </w:p>
        </w:tc>
        <w:tc>
          <w:tcPr>
            <w:tcW w:w="43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del</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01-01-2026</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01-01-2025</w:t>
            </w:r>
          </w:p>
        </w:tc>
        <w:tc>
          <w:tcPr>
            <w:tcW w:w="1200" w:type="dxa"/>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01-04-2026</w:t>
            </w:r>
          </w:p>
        </w:tc>
        <w:tc>
          <w:tcPr>
            <w:tcW w:w="1200" w:type="dxa"/>
            <w:tcBorders>
              <w:top w:val="single" w:sz="2" w:space="0" w:color="000000"/>
              <w:left w:val="single" w:sz="8"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01-04-2025</w:t>
            </w:r>
          </w:p>
        </w:tc>
      </w:tr>
      <w:tr>
        <w:tblPrEx>
          <w:tblW w:w="9960" w:type="dxa"/>
          <w:tblInd w:w="0" w:type="dxa"/>
          <w:tblLayout w:type="fixed"/>
        </w:tblPrEx>
        <w:trPr>
          <w:cantSplit/>
          <w:trHeight w:hRule="auto" w:val="0"/>
          <w:tblHeader/>
        </w:trPr>
        <w:tc>
          <w:tcPr>
            <w:tcW w:w="4725" w:type="dxa"/>
            <w:vMerge/>
            <w:tcBorders>
              <w:top w:val="nil"/>
              <w:left w:val="single" w:sz="2" w:space="0" w:color="000000"/>
              <w:bottom w:val="nil"/>
              <w:right w:val="nil"/>
            </w:tcBorders>
          </w:tcPr>
          <w:p>
            <w:pPr>
              <w:keepNext/>
              <w:pageBreakBefore w:val="0"/>
            </w:pPr>
          </w:p>
        </w:tc>
        <w:tc>
          <w:tcPr>
            <w:tcW w:w="43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al</w:t>
            </w: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30-06-2025</w:t>
            </w:r>
          </w:p>
        </w:tc>
        <w:tc>
          <w:tcPr>
            <w:tcW w:w="1200" w:type="dxa"/>
            <w:tcBorders>
              <w:top w:val="nil"/>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nil"/>
              <w:left w:val="single" w:sz="8"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30-06-2025</w:t>
            </w:r>
          </w:p>
        </w:tc>
      </w:tr>
      <w:tr>
        <w:tblPrEx>
          <w:tblW w:w="9960" w:type="dxa"/>
          <w:tblInd w:w="0" w:type="dxa"/>
          <w:tblLayout w:type="fixed"/>
        </w:tblPrEx>
        <w:trPr>
          <w:cantSplit/>
          <w:trHeight w:hRule="auto" w:val="0"/>
          <w:tblHeader/>
        </w:trPr>
        <w:tc>
          <w:tcPr>
            <w:tcW w:w="4725" w:type="dxa"/>
            <w:vMerge/>
            <w:tcBorders>
              <w:top w:val="nil"/>
              <w:left w:val="single" w:sz="2" w:space="0" w:color="000000"/>
              <w:bottom w:val="single" w:sz="2" w:space="0" w:color="000000"/>
              <w:right w:val="nil"/>
            </w:tcBorders>
          </w:tcPr>
          <w:p>
            <w:pPr>
              <w:keepNext/>
              <w:pageBreakBefore w:val="0"/>
            </w:pPr>
          </w:p>
        </w:tc>
        <w:tc>
          <w:tcPr>
            <w:tcW w:w="43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Nota</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8"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9960" w:type="dxa"/>
          <w:tblInd w:w="0" w:type="dxa"/>
          <w:tblLayout w:type="fixed"/>
        </w:tblPrEx>
        <w:trPr>
          <w:cantSplit/>
          <w:trHeight w:hRule="exact" w:val="60"/>
          <w:tblHeader/>
        </w:trPr>
        <w:tc>
          <w:tcPr>
            <w:tcW w:w="47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3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47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Ganancia (pérdida)</w:t>
            </w:r>
          </w:p>
        </w:tc>
        <w:tc>
          <w:tcPr>
            <w:tcW w:w="435"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29.639.506</w:t>
            </w:r>
          </w:p>
        </w:tc>
        <w:tc>
          <w:tcPr>
            <w:tcW w:w="1200" w:type="dxa"/>
            <w:tcBorders>
              <w:top w:val="nil"/>
              <w:left w:val="single" w:sz="2" w:space="0" w:color="000000"/>
              <w:bottom w:val="nil"/>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(11.417.249)</w:t>
            </w:r>
          </w:p>
        </w:tc>
        <w:tc>
          <w:tcPr>
            <w:tcW w:w="1200" w:type="dxa"/>
            <w:tcBorders>
              <w:top w:val="single" w:sz="2" w:space="0" w:color="000000"/>
              <w:left w:val="single" w:sz="8"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12.071.485</w:t>
            </w:r>
          </w:p>
        </w:tc>
      </w:tr>
      <w:tr>
        <w:tblPrEx>
          <w:tblW w:w="9960" w:type="dxa"/>
          <w:tblInd w:w="0" w:type="dxa"/>
          <w:tblLayout w:type="fixed"/>
        </w:tblPrEx>
        <w:trPr>
          <w:cantSplit/>
          <w:trHeight w:hRule="exact" w:val="60"/>
        </w:trPr>
        <w:tc>
          <w:tcPr>
            <w:tcW w:w="47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3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47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Componentes de otro resultado integral que no se reclasificarán al resultado del período, antes de impuestos.</w:t>
            </w:r>
          </w:p>
        </w:tc>
        <w:tc>
          <w:tcPr>
            <w:tcW w:w="43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47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Otro resultado integral, antes de impuestos, ganancias (pérdidas) por nuevas mediciones de planes de beneficios definidos.</w:t>
            </w:r>
          </w:p>
        </w:tc>
        <w:tc>
          <w:tcPr>
            <w:tcW w:w="4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26.8</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(17.476.651)</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297.270</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(17.359.744)</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96.585</w:t>
            </w:r>
          </w:p>
        </w:tc>
      </w:tr>
      <w:tr>
        <w:tblPrEx>
          <w:tblW w:w="9960" w:type="dxa"/>
          <w:tblInd w:w="0" w:type="dxa"/>
          <w:tblLayout w:type="fixed"/>
        </w:tblPrEx>
        <w:trPr>
          <w:cantSplit/>
          <w:trHeight w:hRule="auto" w:val="0"/>
        </w:trPr>
        <w:tc>
          <w:tcPr>
            <w:tcW w:w="47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Total otro resultado integral que no se reclasificará al resultado del periodo, antes de impuestos.</w:t>
            </w:r>
          </w:p>
        </w:tc>
        <w:tc>
          <w:tcPr>
            <w:tcW w:w="435" w:type="dxa"/>
            <w:tcBorders>
              <w:top w:val="single" w:sz="2" w:space="0" w:color="000000"/>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(17.476.651)</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297.270</w:t>
            </w:r>
          </w:p>
        </w:tc>
        <w:tc>
          <w:tcPr>
            <w:tcW w:w="1200" w:type="dxa"/>
            <w:tcBorders>
              <w:top w:val="single" w:sz="2" w:space="0" w:color="000000"/>
              <w:left w:val="single" w:sz="2" w:space="0" w:color="000000"/>
              <w:bottom w:val="nil"/>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(17.359.744)</w:t>
            </w:r>
          </w:p>
        </w:tc>
        <w:tc>
          <w:tcPr>
            <w:tcW w:w="1200" w:type="dxa"/>
            <w:tcBorders>
              <w:top w:val="single" w:sz="2" w:space="0" w:color="000000"/>
              <w:left w:val="single" w:sz="8"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96.585</w:t>
            </w:r>
          </w:p>
        </w:tc>
      </w:tr>
      <w:tr>
        <w:tblPrEx>
          <w:tblW w:w="9960" w:type="dxa"/>
          <w:tblInd w:w="0" w:type="dxa"/>
          <w:tblLayout w:type="fixed"/>
        </w:tblPrEx>
        <w:trPr>
          <w:cantSplit/>
          <w:trHeight w:hRule="auto" w:val="0"/>
        </w:trPr>
        <w:tc>
          <w:tcPr>
            <w:tcW w:w="47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3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47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Componentes de otro resultado integral que se reclasificarán al resultado del período, antes de impuestos.</w:t>
            </w:r>
          </w:p>
        </w:tc>
        <w:tc>
          <w:tcPr>
            <w:tcW w:w="435"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47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3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47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Coberturas del flujo de efectivo.</w:t>
            </w:r>
          </w:p>
        </w:tc>
        <w:tc>
          <w:tcPr>
            <w:tcW w:w="43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405"/>
        </w:trPr>
        <w:tc>
          <w:tcPr>
            <w:tcW w:w="47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Ganancias (pérdidas) por coberturas de flujos de efectivo, antes de impuestos.</w:t>
            </w:r>
          </w:p>
        </w:tc>
        <w:tc>
          <w:tcPr>
            <w:tcW w:w="4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26.8</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1.247.327</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(1.124.886)</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733.601</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(993.154)</w:t>
            </w:r>
          </w:p>
        </w:tc>
      </w:tr>
      <w:tr>
        <w:tblPrEx>
          <w:tblW w:w="9960" w:type="dxa"/>
          <w:tblInd w:w="0" w:type="dxa"/>
          <w:tblLayout w:type="fixed"/>
        </w:tblPrEx>
        <w:trPr>
          <w:cantSplit/>
          <w:trHeight w:hRule="auto" w:val="0"/>
        </w:trPr>
        <w:tc>
          <w:tcPr>
            <w:tcW w:w="47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Otro resultado integral, antes de impuestos, coberturas del flujo de efectivo.</w:t>
            </w:r>
          </w:p>
        </w:tc>
        <w:tc>
          <w:tcPr>
            <w:tcW w:w="435" w:type="dxa"/>
            <w:tcBorders>
              <w:top w:val="single" w:sz="2" w:space="0" w:color="000000"/>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1.247.327</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(1.124.886)</w:t>
            </w:r>
          </w:p>
        </w:tc>
        <w:tc>
          <w:tcPr>
            <w:tcW w:w="1200" w:type="dxa"/>
            <w:tcBorders>
              <w:top w:val="single" w:sz="2" w:space="0" w:color="000000"/>
              <w:left w:val="single" w:sz="2" w:space="0" w:color="000000"/>
              <w:bottom w:val="nil"/>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733.601</w:t>
            </w:r>
          </w:p>
        </w:tc>
        <w:tc>
          <w:tcPr>
            <w:tcW w:w="1200" w:type="dxa"/>
            <w:tcBorders>
              <w:top w:val="single" w:sz="2" w:space="0" w:color="000000"/>
              <w:left w:val="single" w:sz="8"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(993.154)</w:t>
            </w:r>
          </w:p>
        </w:tc>
      </w:tr>
      <w:tr>
        <w:tblPrEx>
          <w:tblW w:w="9960" w:type="dxa"/>
          <w:tblInd w:w="0" w:type="dxa"/>
          <w:tblLayout w:type="fixed"/>
        </w:tblPrEx>
        <w:trPr>
          <w:cantSplit/>
          <w:trHeight w:hRule="exact" w:val="60"/>
        </w:trPr>
        <w:tc>
          <w:tcPr>
            <w:tcW w:w="47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3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47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Total otro resultado integral que se reclasificará al resultado del periodo, antes de impuestos.</w:t>
            </w:r>
          </w:p>
        </w:tc>
        <w:tc>
          <w:tcPr>
            <w:tcW w:w="435"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1.247.327</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(1.124.886)</w:t>
            </w:r>
          </w:p>
        </w:tc>
        <w:tc>
          <w:tcPr>
            <w:tcW w:w="1200" w:type="dxa"/>
            <w:tcBorders>
              <w:top w:val="single" w:sz="2" w:space="0" w:color="000000"/>
              <w:left w:val="single" w:sz="2" w:space="0" w:color="000000"/>
              <w:bottom w:val="nil"/>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733.601</w:t>
            </w:r>
          </w:p>
        </w:tc>
        <w:tc>
          <w:tcPr>
            <w:tcW w:w="1200" w:type="dxa"/>
            <w:tcBorders>
              <w:top w:val="single" w:sz="2" w:space="0" w:color="000000"/>
              <w:left w:val="single" w:sz="8"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(993.154)</w:t>
            </w:r>
          </w:p>
        </w:tc>
      </w:tr>
      <w:tr>
        <w:tblPrEx>
          <w:tblW w:w="9960" w:type="dxa"/>
          <w:tblInd w:w="0" w:type="dxa"/>
          <w:tblLayout w:type="fixed"/>
        </w:tblPrEx>
        <w:trPr>
          <w:cantSplit/>
          <w:trHeight w:hRule="auto" w:val="0"/>
        </w:trPr>
        <w:tc>
          <w:tcPr>
            <w:tcW w:w="47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3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47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Otros componentes de otro resultado integral, antes de impuestos.</w:t>
            </w:r>
          </w:p>
        </w:tc>
        <w:tc>
          <w:tcPr>
            <w:tcW w:w="435"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(16.229.324)</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(827.616)</w:t>
            </w:r>
          </w:p>
        </w:tc>
        <w:tc>
          <w:tcPr>
            <w:tcW w:w="1200" w:type="dxa"/>
            <w:tcBorders>
              <w:top w:val="nil"/>
              <w:left w:val="single" w:sz="2" w:space="0" w:color="000000"/>
              <w:bottom w:val="nil"/>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(16.626.143)</w:t>
            </w:r>
          </w:p>
        </w:tc>
        <w:tc>
          <w:tcPr>
            <w:tcW w:w="1200" w:type="dxa"/>
            <w:tcBorders>
              <w:top w:val="single" w:sz="2" w:space="0" w:color="000000"/>
              <w:left w:val="single" w:sz="8"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(896.569)</w:t>
            </w:r>
          </w:p>
        </w:tc>
      </w:tr>
      <w:tr>
        <w:tblPrEx>
          <w:tblW w:w="9960" w:type="dxa"/>
          <w:tblInd w:w="0" w:type="dxa"/>
          <w:tblLayout w:type="fixed"/>
        </w:tblPrEx>
        <w:trPr>
          <w:cantSplit/>
          <w:trHeight w:hRule="auto" w:val="0"/>
        </w:trPr>
        <w:tc>
          <w:tcPr>
            <w:tcW w:w="47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3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405"/>
        </w:trPr>
        <w:tc>
          <w:tcPr>
            <w:tcW w:w="47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Impuestos a las ganancias relativos a componentes de otro resultado integral que no se reclasificará al resultado del periodo.</w:t>
            </w:r>
          </w:p>
        </w:tc>
        <w:tc>
          <w:tcPr>
            <w:tcW w:w="43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47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Impuesto a las ganancias relativo a nuevas mediciones de planes de beneficios definidos de otro resultado integral.</w:t>
            </w:r>
          </w:p>
        </w:tc>
        <w:tc>
          <w:tcPr>
            <w:tcW w:w="4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26.8</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4.718.696</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(80.262)</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4.687.132</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(26.077)</w:t>
            </w:r>
          </w:p>
        </w:tc>
      </w:tr>
      <w:tr>
        <w:tblPrEx>
          <w:tblW w:w="9960" w:type="dxa"/>
          <w:tblInd w:w="0" w:type="dxa"/>
          <w:tblLayout w:type="fixed"/>
        </w:tblPrEx>
        <w:trPr>
          <w:cantSplit/>
          <w:trHeight w:hRule="auto" w:val="0"/>
        </w:trPr>
        <w:tc>
          <w:tcPr>
            <w:tcW w:w="47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Impuestos a las ganancias acumulados relativos a componentes de otro resultado integral que no se reclasificarán al resultado del periodo.</w:t>
            </w:r>
          </w:p>
        </w:tc>
        <w:tc>
          <w:tcPr>
            <w:tcW w:w="435" w:type="dxa"/>
            <w:tcBorders>
              <w:top w:val="single" w:sz="2" w:space="0" w:color="000000"/>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4.718.696</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(80.262)</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4.687.132</w:t>
            </w:r>
          </w:p>
        </w:tc>
        <w:tc>
          <w:tcPr>
            <w:tcW w:w="1200" w:type="dxa"/>
            <w:tcBorders>
              <w:top w:val="single" w:sz="2" w:space="0" w:color="000000"/>
              <w:left w:val="single" w:sz="8"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(26.077)</w:t>
            </w:r>
          </w:p>
        </w:tc>
      </w:tr>
      <w:tr>
        <w:tblPrEx>
          <w:tblW w:w="9960" w:type="dxa"/>
          <w:tblInd w:w="0" w:type="dxa"/>
          <w:tblLayout w:type="fixed"/>
        </w:tblPrEx>
        <w:trPr>
          <w:cantSplit/>
          <w:trHeight w:hRule="auto" w:val="0"/>
        </w:trPr>
        <w:tc>
          <w:tcPr>
            <w:tcW w:w="47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3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47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Impuestos a las ganancias relativos a componentes de otro resultado integral que se reclasificará al resultado del periodo.</w:t>
            </w:r>
          </w:p>
        </w:tc>
        <w:tc>
          <w:tcPr>
            <w:tcW w:w="43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single" w:sz="2" w:space="0" w:color="000000"/>
              <w:bottom w:val="single" w:sz="2" w:space="0" w:color="000000"/>
              <w:right w:val="single" w:sz="2" w:space="0" w:color="000000"/>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405"/>
        </w:trPr>
        <w:tc>
          <w:tcPr>
            <w:tcW w:w="47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Impuesto a las ganancias relacionado con coberturas de flujos de efectivo de otro resultado integral.</w:t>
            </w:r>
          </w:p>
        </w:tc>
        <w:tc>
          <w:tcPr>
            <w:tcW w:w="4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26.8</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(336.778)</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303.719</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(198.072)</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268.151</w:t>
            </w:r>
          </w:p>
        </w:tc>
      </w:tr>
      <w:tr>
        <w:tblPrEx>
          <w:tblW w:w="9960" w:type="dxa"/>
          <w:tblInd w:w="0" w:type="dxa"/>
          <w:tblLayout w:type="fixed"/>
        </w:tblPrEx>
        <w:trPr>
          <w:cantSplit/>
          <w:trHeight w:hRule="auto" w:val="0"/>
        </w:trPr>
        <w:tc>
          <w:tcPr>
            <w:tcW w:w="47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Impuestos a las ganancias acumulados relativos a componentes de otro resultado integral que se reclasificarán al resultado del periodo.</w:t>
            </w:r>
          </w:p>
        </w:tc>
        <w:tc>
          <w:tcPr>
            <w:tcW w:w="435" w:type="dxa"/>
            <w:tcBorders>
              <w:top w:val="single" w:sz="2" w:space="0" w:color="000000"/>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(336.778)</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303.719</w:t>
            </w:r>
          </w:p>
        </w:tc>
        <w:tc>
          <w:tcPr>
            <w:tcW w:w="1200" w:type="dxa"/>
            <w:tcBorders>
              <w:top w:val="single" w:sz="2" w:space="0" w:color="000000"/>
              <w:left w:val="single" w:sz="2" w:space="0" w:color="000000"/>
              <w:bottom w:val="nil"/>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(198.072)</w:t>
            </w:r>
          </w:p>
        </w:tc>
        <w:tc>
          <w:tcPr>
            <w:tcW w:w="1200" w:type="dxa"/>
            <w:tcBorders>
              <w:top w:val="single" w:sz="2" w:space="0" w:color="000000"/>
              <w:left w:val="single" w:sz="8" w:space="0" w:color="FFFFFF"/>
              <w:bottom w:val="nil"/>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268.151</w:t>
            </w:r>
          </w:p>
        </w:tc>
      </w:tr>
      <w:tr>
        <w:tblPrEx>
          <w:tblW w:w="9960" w:type="dxa"/>
          <w:tblInd w:w="0" w:type="dxa"/>
          <w:tblLayout w:type="fixed"/>
        </w:tblPrEx>
        <w:trPr>
          <w:cantSplit/>
          <w:trHeight w:hRule="auto" w:val="0"/>
        </w:trPr>
        <w:tc>
          <w:tcPr>
            <w:tcW w:w="47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3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47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Total otro resultado integral.</w:t>
            </w:r>
          </w:p>
        </w:tc>
        <w:tc>
          <w:tcPr>
            <w:tcW w:w="435"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(11.847.406)</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(604.159)</w:t>
            </w:r>
          </w:p>
        </w:tc>
        <w:tc>
          <w:tcPr>
            <w:tcW w:w="1200" w:type="dxa"/>
            <w:tcBorders>
              <w:top w:val="single" w:sz="2" w:space="0" w:color="000000"/>
              <w:left w:val="single" w:sz="2" w:space="0" w:color="000000"/>
              <w:bottom w:val="nil"/>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(12.137.083)</w:t>
            </w:r>
          </w:p>
        </w:tc>
        <w:tc>
          <w:tcPr>
            <w:tcW w:w="1200" w:type="dxa"/>
            <w:tcBorders>
              <w:top w:val="single" w:sz="2" w:space="0" w:color="000000"/>
              <w:left w:val="single" w:sz="8"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(654.495)</w:t>
            </w:r>
          </w:p>
        </w:tc>
      </w:tr>
      <w:tr>
        <w:tblPrEx>
          <w:tblW w:w="9960" w:type="dxa"/>
          <w:tblInd w:w="0" w:type="dxa"/>
          <w:tblLayout w:type="fixed"/>
        </w:tblPrEx>
        <w:trPr>
          <w:cantSplit/>
          <w:trHeight w:hRule="auto" w:val="0"/>
        </w:trPr>
        <w:tc>
          <w:tcPr>
            <w:tcW w:w="47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3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47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Resultado integral total.</w:t>
            </w:r>
          </w:p>
        </w:tc>
        <w:tc>
          <w:tcPr>
            <w:tcW w:w="435"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(11.847.406)</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29.035.347</w:t>
            </w:r>
          </w:p>
        </w:tc>
        <w:tc>
          <w:tcPr>
            <w:tcW w:w="1200" w:type="dxa"/>
            <w:tcBorders>
              <w:top w:val="nil"/>
              <w:left w:val="single" w:sz="2" w:space="0" w:color="000000"/>
              <w:bottom w:val="nil"/>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(23.554.332)</w:t>
            </w:r>
          </w:p>
        </w:tc>
        <w:tc>
          <w:tcPr>
            <w:tcW w:w="1200" w:type="dxa"/>
            <w:tcBorders>
              <w:top w:val="single" w:sz="2" w:space="0" w:color="000000"/>
              <w:left w:val="single" w:sz="8"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11.416.990</w:t>
            </w:r>
          </w:p>
        </w:tc>
      </w:tr>
      <w:tr>
        <w:tblPrEx>
          <w:tblW w:w="9960" w:type="dxa"/>
          <w:tblInd w:w="0" w:type="dxa"/>
          <w:tblLayout w:type="fixed"/>
        </w:tblPrEx>
        <w:trPr>
          <w:cantSplit/>
          <w:trHeight w:hRule="auto" w:val="0"/>
        </w:trPr>
        <w:tc>
          <w:tcPr>
            <w:tcW w:w="47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3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255"/>
        </w:trPr>
        <w:tc>
          <w:tcPr>
            <w:tcW w:w="47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Resultado integral atribuible a</w:t>
            </w:r>
          </w:p>
        </w:tc>
        <w:tc>
          <w:tcPr>
            <w:tcW w:w="435"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47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3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255"/>
        </w:trPr>
        <w:tc>
          <w:tcPr>
            <w:tcW w:w="47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Resultado integral atribuible a los propietarios de la controladora.</w:t>
            </w:r>
          </w:p>
        </w:tc>
        <w:tc>
          <w:tcPr>
            <w:tcW w:w="435" w:type="dxa"/>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(11.847.406)</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28.993.292</w:t>
            </w:r>
          </w:p>
        </w:tc>
        <w:tc>
          <w:tcPr>
            <w:tcW w:w="1200" w:type="dxa"/>
            <w:tcBorders>
              <w:top w:val="nil"/>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(23.518.583)</w:t>
            </w:r>
          </w:p>
        </w:tc>
        <w:tc>
          <w:tcPr>
            <w:tcW w:w="1200" w:type="dxa"/>
            <w:tcBorders>
              <w:top w:val="single" w:sz="2" w:space="0" w:color="000000"/>
              <w:left w:val="single" w:sz="8"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11.385.818</w:t>
            </w:r>
          </w:p>
        </w:tc>
      </w:tr>
      <w:tr>
        <w:tblPrEx>
          <w:tblW w:w="9960" w:type="dxa"/>
          <w:tblInd w:w="0" w:type="dxa"/>
          <w:tblLayout w:type="fixed"/>
        </w:tblPrEx>
        <w:trPr>
          <w:cantSplit/>
          <w:trHeight w:hRule="auto" w:val="0"/>
        </w:trPr>
        <w:tc>
          <w:tcPr>
            <w:tcW w:w="47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Resultado integral atribuible a participaciones no controladoras.</w:t>
            </w:r>
          </w:p>
        </w:tc>
        <w:tc>
          <w:tcPr>
            <w:tcW w:w="4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6.399</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42.055</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(29.350)</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31.172</w:t>
            </w:r>
          </w:p>
        </w:tc>
      </w:tr>
      <w:tr>
        <w:tblPrEx>
          <w:tblW w:w="9960" w:type="dxa"/>
          <w:tblInd w:w="0" w:type="dxa"/>
          <w:tblLayout w:type="fixed"/>
        </w:tblPrEx>
        <w:trPr>
          <w:cantSplit/>
          <w:trHeight w:hRule="auto" w:val="0"/>
        </w:trPr>
        <w:tc>
          <w:tcPr>
            <w:tcW w:w="47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Resultado integral total.</w:t>
            </w:r>
          </w:p>
        </w:tc>
        <w:tc>
          <w:tcPr>
            <w:tcW w:w="435" w:type="dxa"/>
            <w:tcBorders>
              <w:top w:val="single" w:sz="2" w:space="0" w:color="000000"/>
              <w:left w:val="single" w:sz="2" w:space="0" w:color="000000"/>
              <w:bottom w:val="nil"/>
              <w:right w:val="nil"/>
            </w:tcBorders>
            <w:tcMar>
              <w:top w:w="0" w:type="dxa"/>
              <w:left w:w="0" w:type="dxa"/>
              <w:bottom w:w="0" w:type="dxa"/>
              <w:right w:w="0" w:type="dxa"/>
            </w:tcMar>
            <w:vAlign w:val="bottom"/>
          </w:tcPr>
          <w:p>
            <w:pPr>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(11.841.007)</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29.035.347</w:t>
            </w:r>
          </w:p>
        </w:tc>
        <w:tc>
          <w:tcPr>
            <w:tcW w:w="1200" w:type="dxa"/>
            <w:tcBorders>
              <w:top w:val="single" w:sz="2" w:space="0" w:color="000000"/>
              <w:left w:val="single" w:sz="2" w:space="0" w:color="000000"/>
              <w:bottom w:val="nil"/>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(23.547.933)</w:t>
            </w:r>
          </w:p>
        </w:tc>
        <w:tc>
          <w:tcPr>
            <w:tcW w:w="1200" w:type="dxa"/>
            <w:tcBorders>
              <w:top w:val="single" w:sz="2" w:space="0" w:color="000000"/>
              <w:left w:val="single" w:sz="8"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11.416.990</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
          <w:u w:val="none"/>
        </w:rPr>
        <w:sectPr>
          <w:headerReference w:type="default" r:id="rId12"/>
          <w:footerReference w:type="default" r:id="rId13"/>
          <w:pgSz w:w="12240" w:h="15840"/>
          <w:pgMar w:top="1134" w:right="1134" w:bottom="1134" w:left="1134" w:header="0" w:footer="425"/>
          <w:pgNumType w:start="1"/>
          <w:cols w:space="708"/>
        </w:sectPr>
      </w:pPr>
    </w:p>
    <w:p>
      <w:pPr>
        <w:pStyle w:val="Normal-wk"/>
        <w:keepNext w:val="0"/>
        <w:keepLines/>
        <w:pageBreakBefore w:val="0"/>
        <w:widowControl w:val="0"/>
        <w:numPr>
          <w:ilvl w:val="0"/>
          <w:numId w:val="0"/>
        </w:numPr>
        <w:spacing w:before="0" w:after="0" w:line="240" w:lineRule="exact"/>
        <w:ind w:left="0" w:right="0" w:firstLine="0"/>
        <w:jc w:val="both"/>
        <w:outlineLvl w:val="0"/>
        <w:rPr>
          <w:rFonts w:ascii="Calibri" w:eastAsia="Calibri" w:hAnsi="Calibri" w:cs="Calibri"/>
          <w:b w:val="0"/>
          <w:i w:val="0"/>
          <w:color w:val="000000"/>
          <w:sz w:val="20"/>
          <w:u w:val="none"/>
        </w:rPr>
      </w:pPr>
      <w:bookmarkStart w:id="3" w:name="Section4"/>
      <w:bookmarkEnd w:id="3"/>
      <w:r>
        <w:rPr>
          <w:rFonts w:ascii="Calibri" w:eastAsia="Calibri" w:hAnsi="Calibri" w:cs="Calibri"/>
          <w:b/>
          <w:i w:val="0"/>
          <w:color w:val="000000"/>
          <w:sz w:val="20"/>
          <w:u w:val="none"/>
        </w:rPr>
        <w:t>CGE TRANSMISIÓN S.A. Y SUBSIDIARIAS</w: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ESTADO CONSOLIDADO INTERMEDIO DE CAMBIOS EN EL PATRIMONIO NETO</w:t>
      </w:r>
    </w:p>
    <w:p>
      <w:pPr>
        <w:pStyle w:val="Normal-wk"/>
        <w:keepNext w:val="0"/>
        <w:keepLines/>
        <w:pageBreakBefore w:val="0"/>
        <w:widowControl w:val="0"/>
        <w:numPr>
          <w:ilvl w:val="0"/>
          <w:numId w:val="0"/>
        </w:numPr>
        <w:spacing w:before="0" w:after="0" w:line="240" w:lineRule="exact"/>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 xml:space="preserve">Por los períodos de </w:t>
      </w:r>
      <w:r>
        <w:rPr>
          <w:rFonts w:ascii="Calibri" w:eastAsia="Calibri" w:hAnsi="Calibri" w:cs="Calibri"/>
          <w:b/>
          <w:i w:val="0"/>
          <w:color w:val="000000"/>
          <w:sz w:val="20"/>
          <w:u w:val="none"/>
        </w:rPr>
        <w:t>se</w:t>
      </w:r>
      <w:r>
        <w:rPr>
          <w:rFonts w:ascii="Calibri" w:eastAsia="Calibri" w:hAnsi="Calibri" w:cs="Calibri"/>
          <w:b/>
          <w:i w:val="0"/>
          <w:color w:val="000000"/>
          <w:sz w:val="20"/>
          <w:u w:val="none"/>
        </w:rPr>
        <w:t>is</w:t>
      </w:r>
      <w:r>
        <w:rPr>
          <w:rFonts w:ascii="Calibri" w:eastAsia="Calibri" w:hAnsi="Calibri" w:cs="Calibri"/>
          <w:b/>
          <w:i w:val="0"/>
          <w:color w:val="000000"/>
          <w:sz w:val="20"/>
          <w:u w:val="none"/>
        </w:rPr>
        <w:t xml:space="preserve"> meses terminados al </w:t>
      </w:r>
      <w:r>
        <w:rPr>
          <w:rFonts w:ascii="Calibri" w:eastAsia="Calibri" w:hAnsi="Calibri" w:cs="Calibri"/>
          <w:b/>
          <w:i w:val="0"/>
          <w:color w:val="000000"/>
          <w:sz w:val="20"/>
          <w:u w:val="none"/>
        </w:rPr>
        <w:t>30 de junio de 2026 y 2025</w:t>
      </w:r>
      <w:r>
        <w:rPr>
          <w:rFonts w:ascii="Calibri" w:eastAsia="Calibri" w:hAnsi="Calibri" w:cs="Calibri"/>
          <w:b/>
          <w:i w:val="0"/>
          <w:sz w:val="20"/>
        </w:rPr>
        <w:t xml:space="preserve"> (no auditados)</w: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(Expresados en miles de pesos chilenos (M$))</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18"/>
          <w:u w:val="none"/>
        </w:rPr>
      </w:pPr>
      <w:r>
        <w:pict>
          <v:shape id="_x0000_i1029" type="#_x0000_t75" style="width:677.48pt;height:1.98pt">
            <v:imagedata r:id="rId11" o:title=""/>
            <o:lock v:ext="edit" aspectratio="t"/>
          </v:shape>
        </w:pic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18"/>
          <w:u w:val="none"/>
        </w:rPr>
      </w:pPr>
    </w:p>
    <w:tbl>
      <w:tblPr>
        <w:tblW w:w="135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705"/>
        <w:gridCol w:w="1095"/>
        <w:gridCol w:w="1095"/>
        <w:gridCol w:w="1095"/>
        <w:gridCol w:w="1095"/>
        <w:gridCol w:w="1095"/>
        <w:gridCol w:w="1095"/>
        <w:gridCol w:w="1095"/>
        <w:gridCol w:w="1095"/>
        <w:gridCol w:w="1095"/>
      </w:tblGrid>
      <w:tr>
        <w:tblPrEx>
          <w:tblW w:w="13560" w:type="dxa"/>
          <w:tblInd w:w="0" w:type="dxa"/>
          <w:tblLayout w:type="fixed"/>
        </w:tblPrEx>
        <w:trPr>
          <w:cantSplit/>
          <w:trHeight w:hRule="exact" w:val="225"/>
        </w:trPr>
        <w:tc>
          <w:tcPr>
            <w:tcW w:w="3705"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 xml:space="preserve">Estado de cambios en el patrimonio </w:t>
            </w:r>
          </w:p>
        </w:tc>
        <w:tc>
          <w:tcPr>
            <w:tcW w:w="109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Capital                     emitido</w:t>
            </w:r>
          </w:p>
        </w:tc>
        <w:tc>
          <w:tcPr>
            <w:tcW w:w="4380" w:type="dxa"/>
            <w:gridSpan w:val="4"/>
            <w:tcBorders>
              <w:top w:val="single" w:sz="2" w:space="0" w:color="000000"/>
              <w:left w:val="nil"/>
              <w:bottom w:val="single" w:sz="4" w:space="0" w:color="FFFFFF"/>
              <w:right w:val="single" w:sz="8"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Reservas</w:t>
            </w:r>
          </w:p>
        </w:tc>
        <w:tc>
          <w:tcPr>
            <w:tcW w:w="109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Ganancias (pérdidas) acumuladas</w:t>
            </w:r>
          </w:p>
        </w:tc>
        <w:tc>
          <w:tcPr>
            <w:tcW w:w="3285" w:type="dxa"/>
            <w:gridSpan w:val="3"/>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Patrimonio</w:t>
            </w:r>
          </w:p>
        </w:tc>
      </w:tr>
      <w:tr>
        <w:tblPrEx>
          <w:tblW w:w="13560" w:type="dxa"/>
          <w:tblInd w:w="0" w:type="dxa"/>
          <w:tblLayout w:type="fixed"/>
        </w:tblPrEx>
        <w:trPr>
          <w:cantSplit/>
          <w:trHeight w:hRule="auto" w:val="0"/>
        </w:trPr>
        <w:tc>
          <w:tcPr>
            <w:tcW w:w="3705" w:type="dxa"/>
            <w:vMerge/>
            <w:tcBorders>
              <w:top w:val="nil"/>
              <w:left w:val="single" w:sz="2" w:space="0" w:color="000000"/>
              <w:bottom w:val="nil"/>
              <w:right w:val="single" w:sz="4" w:space="0" w:color="FFFFFF"/>
            </w:tcBorders>
          </w:tcPr>
          <w:p>
            <w:pPr>
              <w:keepNext/>
              <w:pageBreakBefore w:val="0"/>
            </w:pPr>
          </w:p>
        </w:tc>
        <w:tc>
          <w:tcPr>
            <w:tcW w:w="1095" w:type="dxa"/>
            <w:vMerge/>
            <w:tcBorders>
              <w:top w:val="nil"/>
              <w:left w:val="nil"/>
              <w:bottom w:val="nil"/>
              <w:right w:val="nil"/>
            </w:tcBorders>
          </w:tcPr>
          <w:p>
            <w:pPr>
              <w:keepNext/>
              <w:pageBreakBefore w:val="0"/>
            </w:pPr>
          </w:p>
        </w:tc>
        <w:tc>
          <w:tcPr>
            <w:tcW w:w="109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Reservas de coberturas de flujo de efectivo</w:t>
            </w:r>
          </w:p>
        </w:tc>
        <w:tc>
          <w:tcPr>
            <w:tcW w:w="109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Reserva de ganancias o pérdidas actuariales en planes de beneficios definidos</w:t>
            </w:r>
          </w:p>
        </w:tc>
        <w:tc>
          <w:tcPr>
            <w:tcW w:w="109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Otras reservas varias</w:t>
            </w:r>
          </w:p>
        </w:tc>
        <w:tc>
          <w:tcPr>
            <w:tcW w:w="1095" w:type="dxa"/>
            <w:tcBorders>
              <w:top w:val="single" w:sz="4" w:space="0" w:color="FFFFFF"/>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Total                              reservas</w:t>
            </w:r>
          </w:p>
        </w:tc>
        <w:tc>
          <w:tcPr>
            <w:tcW w:w="1095" w:type="dxa"/>
            <w:vMerge/>
            <w:tcBorders>
              <w:top w:val="nil"/>
              <w:left w:val="nil"/>
              <w:bottom w:val="nil"/>
              <w:right w:val="nil"/>
            </w:tcBorders>
          </w:tcPr>
          <w:p>
            <w:pPr>
              <w:keepNext/>
              <w:pageBreakBefore w:val="0"/>
            </w:pPr>
          </w:p>
        </w:tc>
        <w:tc>
          <w:tcPr>
            <w:tcW w:w="109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Patrimonio atribuible a los propietarios de la controladora</w:t>
            </w:r>
          </w:p>
        </w:tc>
        <w:tc>
          <w:tcPr>
            <w:tcW w:w="109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Participaciones no controladoras</w:t>
            </w:r>
          </w:p>
        </w:tc>
        <w:tc>
          <w:tcPr>
            <w:tcW w:w="109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Patrimonio                                             total</w:t>
            </w:r>
          </w:p>
        </w:tc>
      </w:tr>
      <w:tr>
        <w:tblPrEx>
          <w:tblW w:w="13560" w:type="dxa"/>
          <w:tblInd w:w="0" w:type="dxa"/>
          <w:tblLayout w:type="fixed"/>
        </w:tblPrEx>
        <w:trPr>
          <w:cantSplit/>
          <w:trHeight w:hRule="exact" w:val="225"/>
        </w:trPr>
        <w:tc>
          <w:tcPr>
            <w:tcW w:w="3705" w:type="dxa"/>
            <w:vMerge/>
            <w:tcBorders>
              <w:top w:val="nil"/>
              <w:left w:val="single" w:sz="2" w:space="0" w:color="000000"/>
              <w:bottom w:val="single" w:sz="2" w:space="0" w:color="000000"/>
              <w:right w:val="nil"/>
            </w:tcBorders>
          </w:tcPr>
          <w:p>
            <w:pPr>
              <w:keepNext/>
              <w:pageBreakBefore w:val="0"/>
            </w:pP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95" w:type="dxa"/>
            <w:tcBorders>
              <w:top w:val="nil"/>
              <w:left w:val="single" w:sz="8"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9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13560" w:type="dxa"/>
          <w:tblInd w:w="0" w:type="dxa"/>
          <w:tblLayout w:type="fixed"/>
        </w:tblPrEx>
        <w:trPr>
          <w:cantSplit/>
          <w:trHeight w:hRule="exact" w:val="60"/>
        </w:trPr>
        <w:tc>
          <w:tcPr>
            <w:tcW w:w="37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3560" w:type="dxa"/>
          <w:tblInd w:w="0" w:type="dxa"/>
          <w:tblLayout w:type="fixed"/>
        </w:tblPrEx>
        <w:trPr>
          <w:cantSplit/>
          <w:trHeight w:hRule="auto" w:val="0"/>
        </w:trPr>
        <w:tc>
          <w:tcPr>
            <w:tcW w:w="3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Patrimonio al comienzo del período al 1 de enero de 2026</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306.181.134</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(910.551)</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90.138</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12.667.820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11.847.407</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137.623.296</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455.651.837</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786.134</w:t>
            </w:r>
          </w:p>
        </w:tc>
        <w:tc>
          <w:tcPr>
            <w:tcW w:w="10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456.437.971</w:t>
            </w:r>
          </w:p>
        </w:tc>
      </w:tr>
      <w:tr>
        <w:tblPrEx>
          <w:tblW w:w="13560" w:type="dxa"/>
          <w:tblInd w:w="0" w:type="dxa"/>
          <w:tblLayout w:type="fixed"/>
        </w:tblPrEx>
        <w:trPr>
          <w:cantSplit/>
          <w:trHeight w:hRule="exact" w:val="60"/>
        </w:trPr>
        <w:tc>
          <w:tcPr>
            <w:tcW w:w="37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13560" w:type="dxa"/>
          <w:tblInd w:w="0" w:type="dxa"/>
          <w:tblLayout w:type="fixed"/>
        </w:tblPrEx>
        <w:trPr>
          <w:cantSplit/>
          <w:trHeight w:hRule="auto" w:val="0"/>
        </w:trPr>
        <w:tc>
          <w:tcPr>
            <w:tcW w:w="3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Cambios en patrimonio</w:t>
            </w:r>
          </w:p>
        </w:tc>
        <w:tc>
          <w:tcPr>
            <w:tcW w:w="1095"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r>
      <w:tr>
        <w:tblPrEx>
          <w:tblW w:w="13560" w:type="dxa"/>
          <w:tblInd w:w="0" w:type="dxa"/>
          <w:tblLayout w:type="fixed"/>
        </w:tblPrEx>
        <w:trPr>
          <w:cantSplit/>
          <w:trHeight w:hRule="exact" w:val="60"/>
        </w:trPr>
        <w:tc>
          <w:tcPr>
            <w:tcW w:w="37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r>
      <w:tr>
        <w:tblPrEx>
          <w:tblW w:w="13560" w:type="dxa"/>
          <w:tblInd w:w="0" w:type="dxa"/>
          <w:tblLayout w:type="fixed"/>
        </w:tblPrEx>
        <w:trPr>
          <w:cantSplit/>
          <w:trHeight w:hRule="auto" w:val="0"/>
        </w:trPr>
        <w:tc>
          <w:tcPr>
            <w:tcW w:w="3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Resultado integral</w:t>
            </w:r>
          </w:p>
        </w:tc>
        <w:tc>
          <w:tcPr>
            <w:tcW w:w="1095"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r>
      <w:tr>
        <w:tblPrEx>
          <w:tblW w:w="13560" w:type="dxa"/>
          <w:tblInd w:w="0" w:type="dxa"/>
          <w:tblLayout w:type="fixed"/>
        </w:tblPrEx>
        <w:trPr>
          <w:cantSplit/>
          <w:trHeight w:hRule="auto" w:val="0"/>
        </w:trPr>
        <w:tc>
          <w:tcPr>
            <w:tcW w:w="37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3560" w:type="dxa"/>
          <w:tblInd w:w="0" w:type="dxa"/>
          <w:tblLayout w:type="fixed"/>
        </w:tblPrEx>
        <w:trPr>
          <w:cantSplit/>
          <w:trHeight w:hRule="exact" w:val="225"/>
        </w:trPr>
        <w:tc>
          <w:tcPr>
            <w:tcW w:w="3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Ganancia (pérdida).</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r>
      <w:tr>
        <w:tblPrEx>
          <w:tblW w:w="13560" w:type="dxa"/>
          <w:tblInd w:w="0" w:type="dxa"/>
          <w:tblLayout w:type="fixed"/>
        </w:tblPrEx>
        <w:trPr>
          <w:cantSplit/>
          <w:trHeight w:hRule="auto" w:val="0"/>
        </w:trPr>
        <w:tc>
          <w:tcPr>
            <w:tcW w:w="3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Otro resultado integral.</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910.549</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(12.757.955)</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4" w:space="0" w:color="FFFFFF"/>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(11.847.406)</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4" w:space="0" w:color="FFFFFF"/>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(11.847.406)</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6.399</w:t>
            </w:r>
          </w:p>
        </w:tc>
        <w:tc>
          <w:tcPr>
            <w:tcW w:w="1095" w:type="dxa"/>
            <w:tcBorders>
              <w:top w:val="single" w:sz="4" w:space="0" w:color="FFFFFF"/>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(11.841.007)</w:t>
            </w:r>
          </w:p>
        </w:tc>
      </w:tr>
      <w:tr>
        <w:tblPrEx>
          <w:tblW w:w="13560" w:type="dxa"/>
          <w:tblInd w:w="0" w:type="dxa"/>
          <w:tblLayout w:type="fixed"/>
        </w:tblPrEx>
        <w:trPr>
          <w:cantSplit/>
          <w:trHeight w:hRule="exact" w:val="60"/>
        </w:trPr>
        <w:tc>
          <w:tcPr>
            <w:tcW w:w="37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3560" w:type="dxa"/>
          <w:tblInd w:w="0" w:type="dxa"/>
          <w:tblLayout w:type="fixed"/>
        </w:tblPrEx>
        <w:trPr>
          <w:cantSplit/>
          <w:trHeight w:hRule="auto" w:val="0"/>
        </w:trPr>
        <w:tc>
          <w:tcPr>
            <w:tcW w:w="3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Total resultado integral</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910.549</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(12.757.955)</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(11.847.406)</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(11.847.406)</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6.399</w:t>
            </w:r>
          </w:p>
        </w:tc>
        <w:tc>
          <w:tcPr>
            <w:tcW w:w="10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(11.841.007)</w:t>
            </w:r>
          </w:p>
        </w:tc>
      </w:tr>
      <w:tr>
        <w:tblPrEx>
          <w:tblW w:w="13560" w:type="dxa"/>
          <w:tblInd w:w="0" w:type="dxa"/>
          <w:tblLayout w:type="fixed"/>
        </w:tblPrEx>
        <w:trPr>
          <w:cantSplit/>
          <w:trHeight w:hRule="exact" w:val="60"/>
        </w:trPr>
        <w:tc>
          <w:tcPr>
            <w:tcW w:w="37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3560" w:type="dxa"/>
          <w:tblInd w:w="0" w:type="dxa"/>
          <w:tblLayout w:type="fixed"/>
        </w:tblPrEx>
        <w:trPr>
          <w:cantSplit/>
          <w:trHeight w:hRule="auto" w:val="0"/>
        </w:trPr>
        <w:tc>
          <w:tcPr>
            <w:tcW w:w="3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Dividendos.</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r>
      <w:tr>
        <w:tblPrEx>
          <w:tblW w:w="13560" w:type="dxa"/>
          <w:tblInd w:w="0" w:type="dxa"/>
          <w:tblLayout w:type="fixed"/>
        </w:tblPrEx>
        <w:trPr>
          <w:cantSplit/>
          <w:trHeight w:hRule="exact" w:val="225"/>
        </w:trPr>
        <w:tc>
          <w:tcPr>
            <w:tcW w:w="3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Total incremento (disminución) en el patrimonio</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910.549</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(12.757.955)</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(11.847.406)</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(11.847.406)</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6.399</w:t>
            </w:r>
          </w:p>
        </w:tc>
        <w:tc>
          <w:tcPr>
            <w:tcW w:w="10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(11.841.007)</w:t>
            </w:r>
          </w:p>
        </w:tc>
      </w:tr>
      <w:tr>
        <w:tblPrEx>
          <w:tblW w:w="13560" w:type="dxa"/>
          <w:tblInd w:w="0" w:type="dxa"/>
          <w:tblLayout w:type="fixed"/>
        </w:tblPrEx>
        <w:trPr>
          <w:cantSplit/>
          <w:trHeight w:hRule="auto" w:val="0"/>
        </w:trPr>
        <w:tc>
          <w:tcPr>
            <w:tcW w:w="37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3560" w:type="dxa"/>
          <w:tblInd w:w="0" w:type="dxa"/>
          <w:tblLayout w:type="fixed"/>
        </w:tblPrEx>
        <w:trPr>
          <w:cantSplit/>
          <w:trHeight w:hRule="exact" w:val="225"/>
        </w:trPr>
        <w:tc>
          <w:tcPr>
            <w:tcW w:w="3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Patrimonio al final del período al 30 de junio de 2026</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306.181.134</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(2)</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(12.667.817)</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12.667.820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137.623.296</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443.804.431</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792.533</w:t>
            </w:r>
          </w:p>
        </w:tc>
        <w:tc>
          <w:tcPr>
            <w:tcW w:w="10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444.596.964</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widowControl w:val="0"/>
        <w:numPr>
          <w:ilvl w:val="0"/>
          <w:numId w:val="0"/>
        </w:numPr>
        <w:spacing w:before="0" w:after="0" w:line="240" w:lineRule="exact"/>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CGE TRANSMISIÓN S.A. Y SUBSIDIARIAS</w: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ESTADO CONSOLIDADO INTERMEDIO DE CAMBIOS EN EL PATRIMONIO NETO</w:t>
      </w:r>
    </w:p>
    <w:p>
      <w:pPr>
        <w:pStyle w:val="Normal-wk"/>
        <w:keepNext w:val="0"/>
        <w:keepLines/>
        <w:pageBreakBefore w:val="0"/>
        <w:widowControl w:val="0"/>
        <w:numPr>
          <w:ilvl w:val="0"/>
          <w:numId w:val="0"/>
        </w:numPr>
        <w:spacing w:before="0" w:after="0" w:line="240" w:lineRule="exact"/>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 xml:space="preserve">Por los períodos de </w:t>
      </w:r>
      <w:r>
        <w:rPr>
          <w:rFonts w:ascii="Calibri" w:eastAsia="Calibri" w:hAnsi="Calibri" w:cs="Calibri"/>
          <w:b/>
          <w:i w:val="0"/>
          <w:color w:val="000000"/>
          <w:sz w:val="20"/>
          <w:u w:val="none"/>
        </w:rPr>
        <w:t>seis</w:t>
      </w:r>
      <w:r>
        <w:rPr>
          <w:rFonts w:ascii="Calibri" w:eastAsia="Calibri" w:hAnsi="Calibri" w:cs="Calibri"/>
          <w:b/>
          <w:i w:val="0"/>
          <w:color w:val="000000"/>
          <w:sz w:val="20"/>
          <w:u w:val="none"/>
        </w:rPr>
        <w:t xml:space="preserve"> meses terminados al </w:t>
      </w:r>
      <w:r>
        <w:rPr>
          <w:rFonts w:ascii="Calibri" w:eastAsia="Calibri" w:hAnsi="Calibri" w:cs="Calibri"/>
          <w:b/>
          <w:i w:val="0"/>
          <w:color w:val="000000"/>
          <w:sz w:val="20"/>
          <w:u w:val="none"/>
        </w:rPr>
        <w:t>30 de junio de 2026 y 2025</w:t>
      </w:r>
      <w:r>
        <w:rPr>
          <w:rFonts w:ascii="Calibri" w:eastAsia="Calibri" w:hAnsi="Calibri" w:cs="Calibri"/>
          <w:b/>
          <w:i w:val="0"/>
          <w:sz w:val="20"/>
        </w:rPr>
        <w:t xml:space="preserve"> (no auditados)</w: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(Expresados en miles de pesos chilenos (M$))</w:t>
      </w:r>
    </w:p>
    <w:p>
      <w:pPr>
        <w:keepNext w:val="0"/>
        <w:keepLines/>
        <w:pageBreakBefore w:val="0"/>
        <w:widowControl w:val="0"/>
        <w:numPr>
          <w:ilvl w:val="0"/>
          <w:numId w:val="0"/>
        </w:numPr>
        <w:tabs>
          <w:tab w:val="left" w:pos="700"/>
          <w:tab w:val="right" w:pos="13600"/>
        </w:tabs>
        <w:spacing w:before="0" w:after="0" w:line="288" w:lineRule="auto"/>
        <w:ind w:left="0" w:right="0" w:firstLine="0"/>
        <w:jc w:val="both"/>
        <w:outlineLvl w:val="9"/>
        <w:rPr>
          <w:rFonts w:ascii="Calibri" w:eastAsia="Calibri" w:hAnsi="Calibri" w:cs="Calibri"/>
          <w:b w:val="0"/>
          <w:i w:val="0"/>
          <w:color w:val="000000"/>
          <w:sz w:val="18"/>
          <w:u w:val="none"/>
        </w:rPr>
      </w:pPr>
      <w:r>
        <w:pict>
          <v:shape id="_x0000_i1030" type="#_x0000_t75" style="width:677.48pt;height:1.98pt">
            <v:imagedata r:id="rId11" o:title=""/>
            <o:lock v:ext="edit" aspectratio="t"/>
          </v:shape>
        </w:pic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18"/>
          <w:u w:val="none"/>
        </w:rPr>
      </w:pPr>
    </w:p>
    <w:tbl>
      <w:tblPr>
        <w:tblW w:w="135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705"/>
        <w:gridCol w:w="1095"/>
        <w:gridCol w:w="1095"/>
        <w:gridCol w:w="1095"/>
        <w:gridCol w:w="1095"/>
        <w:gridCol w:w="1095"/>
        <w:gridCol w:w="1095"/>
        <w:gridCol w:w="1095"/>
        <w:gridCol w:w="1095"/>
        <w:gridCol w:w="1095"/>
      </w:tblGrid>
      <w:tr>
        <w:tblPrEx>
          <w:tblW w:w="13560" w:type="dxa"/>
          <w:tblInd w:w="0" w:type="dxa"/>
          <w:tblLayout w:type="fixed"/>
        </w:tblPrEx>
        <w:trPr>
          <w:cantSplit/>
          <w:trHeight w:hRule="exact" w:val="225"/>
        </w:trPr>
        <w:tc>
          <w:tcPr>
            <w:tcW w:w="3705"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 xml:space="preserve">Estado de cambios en el patrimonio </w:t>
            </w:r>
          </w:p>
        </w:tc>
        <w:tc>
          <w:tcPr>
            <w:tcW w:w="109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Capital                     emitido</w:t>
            </w:r>
          </w:p>
        </w:tc>
        <w:tc>
          <w:tcPr>
            <w:tcW w:w="4380" w:type="dxa"/>
            <w:gridSpan w:val="4"/>
            <w:tcBorders>
              <w:top w:val="single" w:sz="2" w:space="0" w:color="000000"/>
              <w:left w:val="nil"/>
              <w:bottom w:val="single" w:sz="4" w:space="0" w:color="FFFFFF"/>
              <w:right w:val="single" w:sz="8"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Reservas</w:t>
            </w:r>
          </w:p>
        </w:tc>
        <w:tc>
          <w:tcPr>
            <w:tcW w:w="1095" w:type="dxa"/>
            <w:vMerge w:val="restart"/>
            <w:tcBorders>
              <w:top w:val="single" w:sz="2" w:space="0" w:color="000000"/>
              <w:left w:val="nil"/>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Ganancias (pérdidas) acumuladas</w:t>
            </w:r>
          </w:p>
        </w:tc>
        <w:tc>
          <w:tcPr>
            <w:tcW w:w="3285" w:type="dxa"/>
            <w:gridSpan w:val="3"/>
            <w:tcBorders>
              <w:top w:val="single" w:sz="2" w:space="0" w:color="000000"/>
              <w:left w:val="single" w:sz="4" w:space="0" w:color="FFFFFF"/>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Patrimonio</w:t>
            </w:r>
          </w:p>
        </w:tc>
      </w:tr>
      <w:tr>
        <w:tblPrEx>
          <w:tblW w:w="13560" w:type="dxa"/>
          <w:tblInd w:w="0" w:type="dxa"/>
          <w:tblLayout w:type="fixed"/>
        </w:tblPrEx>
        <w:trPr>
          <w:cantSplit/>
          <w:trHeight w:hRule="auto" w:val="0"/>
        </w:trPr>
        <w:tc>
          <w:tcPr>
            <w:tcW w:w="3705" w:type="dxa"/>
            <w:vMerge/>
            <w:tcBorders>
              <w:top w:val="nil"/>
              <w:left w:val="single" w:sz="2" w:space="0" w:color="000000"/>
              <w:bottom w:val="nil"/>
              <w:right w:val="single" w:sz="4" w:space="0" w:color="FFFFFF"/>
            </w:tcBorders>
          </w:tcPr>
          <w:p>
            <w:pPr>
              <w:keepNext/>
              <w:pageBreakBefore w:val="0"/>
            </w:pPr>
          </w:p>
        </w:tc>
        <w:tc>
          <w:tcPr>
            <w:tcW w:w="1095" w:type="dxa"/>
            <w:vMerge/>
            <w:tcBorders>
              <w:top w:val="nil"/>
              <w:left w:val="nil"/>
              <w:bottom w:val="nil"/>
              <w:right w:val="nil"/>
            </w:tcBorders>
          </w:tcPr>
          <w:p>
            <w:pPr>
              <w:keepNext/>
              <w:pageBreakBefore w:val="0"/>
            </w:pPr>
          </w:p>
        </w:tc>
        <w:tc>
          <w:tcPr>
            <w:tcW w:w="109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Reservas de coberturas de flujo de efectivo</w:t>
            </w:r>
          </w:p>
        </w:tc>
        <w:tc>
          <w:tcPr>
            <w:tcW w:w="109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Reserva de ganancias o pérdidas actuariales en planes de beneficios definidos</w:t>
            </w:r>
          </w:p>
        </w:tc>
        <w:tc>
          <w:tcPr>
            <w:tcW w:w="109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Otras reservas varias</w:t>
            </w:r>
          </w:p>
        </w:tc>
        <w:tc>
          <w:tcPr>
            <w:tcW w:w="1095" w:type="dxa"/>
            <w:tcBorders>
              <w:top w:val="single" w:sz="4" w:space="0" w:color="FFFFFF"/>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Total                              reservas</w:t>
            </w:r>
          </w:p>
        </w:tc>
        <w:tc>
          <w:tcPr>
            <w:tcW w:w="1095" w:type="dxa"/>
            <w:vMerge/>
            <w:tcBorders>
              <w:top w:val="nil"/>
              <w:left w:val="nil"/>
              <w:bottom w:val="nil"/>
              <w:right w:val="nil"/>
            </w:tcBorders>
          </w:tcPr>
          <w:p>
            <w:pPr>
              <w:keepNext/>
              <w:pageBreakBefore w:val="0"/>
            </w:pPr>
          </w:p>
        </w:tc>
        <w:tc>
          <w:tcPr>
            <w:tcW w:w="109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Patrimonio atribuible a los propietarios de la controladora</w:t>
            </w:r>
          </w:p>
        </w:tc>
        <w:tc>
          <w:tcPr>
            <w:tcW w:w="109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Participaciones no controladoras</w:t>
            </w:r>
          </w:p>
        </w:tc>
        <w:tc>
          <w:tcPr>
            <w:tcW w:w="109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Patrimonio                                             total</w:t>
            </w:r>
          </w:p>
        </w:tc>
      </w:tr>
      <w:tr>
        <w:tblPrEx>
          <w:tblW w:w="13560" w:type="dxa"/>
          <w:tblInd w:w="0" w:type="dxa"/>
          <w:tblLayout w:type="fixed"/>
        </w:tblPrEx>
        <w:trPr>
          <w:cantSplit/>
          <w:trHeight w:hRule="exact" w:val="225"/>
        </w:trPr>
        <w:tc>
          <w:tcPr>
            <w:tcW w:w="3705" w:type="dxa"/>
            <w:vMerge/>
            <w:tcBorders>
              <w:top w:val="nil"/>
              <w:left w:val="single" w:sz="2" w:space="0" w:color="000000"/>
              <w:bottom w:val="single" w:sz="2" w:space="0" w:color="000000"/>
              <w:right w:val="nil"/>
            </w:tcBorders>
          </w:tcPr>
          <w:p>
            <w:pPr>
              <w:keepNext/>
              <w:pageBreakBefore w:val="0"/>
            </w:pP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95" w:type="dxa"/>
            <w:tcBorders>
              <w:top w:val="nil"/>
              <w:left w:val="single" w:sz="8"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9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13560" w:type="dxa"/>
          <w:tblInd w:w="0" w:type="dxa"/>
          <w:tblLayout w:type="fixed"/>
        </w:tblPrEx>
        <w:trPr>
          <w:cantSplit/>
          <w:trHeight w:hRule="exact" w:val="60"/>
        </w:trPr>
        <w:tc>
          <w:tcPr>
            <w:tcW w:w="37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3560" w:type="dxa"/>
          <w:tblInd w:w="0" w:type="dxa"/>
          <w:tblLayout w:type="fixed"/>
        </w:tblPrEx>
        <w:trPr>
          <w:cantSplit/>
          <w:trHeight w:hRule="auto" w:val="0"/>
        </w:trPr>
        <w:tc>
          <w:tcPr>
            <w:tcW w:w="3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Patrimonio al comienzo del período al 1 de enero de 2025</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306.181.134</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514.784</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(140.881)</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12.667.820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13.039.723</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95.016.587</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414.237.444</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778.391</w:t>
            </w:r>
          </w:p>
        </w:tc>
        <w:tc>
          <w:tcPr>
            <w:tcW w:w="10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415.015.835</w:t>
            </w:r>
          </w:p>
        </w:tc>
      </w:tr>
      <w:tr>
        <w:tblPrEx>
          <w:tblW w:w="13560" w:type="dxa"/>
          <w:tblInd w:w="0" w:type="dxa"/>
          <w:tblLayout w:type="fixed"/>
        </w:tblPrEx>
        <w:trPr>
          <w:cantSplit/>
          <w:trHeight w:hRule="exact" w:val="60"/>
        </w:trPr>
        <w:tc>
          <w:tcPr>
            <w:tcW w:w="37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13560" w:type="dxa"/>
          <w:tblInd w:w="0" w:type="dxa"/>
          <w:tblLayout w:type="fixed"/>
        </w:tblPrEx>
        <w:trPr>
          <w:cantSplit/>
          <w:trHeight w:hRule="auto" w:val="0"/>
        </w:trPr>
        <w:tc>
          <w:tcPr>
            <w:tcW w:w="3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Cambios en patrimonio</w:t>
            </w:r>
          </w:p>
        </w:tc>
        <w:tc>
          <w:tcPr>
            <w:tcW w:w="1095"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r>
      <w:tr>
        <w:tblPrEx>
          <w:tblW w:w="13560" w:type="dxa"/>
          <w:tblInd w:w="0" w:type="dxa"/>
          <w:tblLayout w:type="fixed"/>
        </w:tblPrEx>
        <w:trPr>
          <w:cantSplit/>
          <w:trHeight w:hRule="exact" w:val="60"/>
        </w:trPr>
        <w:tc>
          <w:tcPr>
            <w:tcW w:w="37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r>
      <w:tr>
        <w:tblPrEx>
          <w:tblW w:w="13560" w:type="dxa"/>
          <w:tblInd w:w="0" w:type="dxa"/>
          <w:tblLayout w:type="fixed"/>
        </w:tblPrEx>
        <w:trPr>
          <w:cantSplit/>
          <w:trHeight w:hRule="auto" w:val="0"/>
        </w:trPr>
        <w:tc>
          <w:tcPr>
            <w:tcW w:w="3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Resultado integral</w:t>
            </w:r>
          </w:p>
        </w:tc>
        <w:tc>
          <w:tcPr>
            <w:tcW w:w="1095"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r>
      <w:tr>
        <w:tblPrEx>
          <w:tblW w:w="13560" w:type="dxa"/>
          <w:tblInd w:w="0" w:type="dxa"/>
          <w:tblLayout w:type="fixed"/>
        </w:tblPrEx>
        <w:trPr>
          <w:cantSplit/>
          <w:trHeight w:hRule="auto" w:val="0"/>
        </w:trPr>
        <w:tc>
          <w:tcPr>
            <w:tcW w:w="37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3560" w:type="dxa"/>
          <w:tblInd w:w="0" w:type="dxa"/>
          <w:tblLayout w:type="fixed"/>
        </w:tblPrEx>
        <w:trPr>
          <w:cantSplit/>
          <w:trHeight w:hRule="exact" w:val="225"/>
        </w:trPr>
        <w:tc>
          <w:tcPr>
            <w:tcW w:w="3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Ganancia (pérdida).</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29.597.988</w:t>
            </w:r>
          </w:p>
        </w:tc>
        <w:tc>
          <w:tcPr>
            <w:tcW w:w="1095"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29.597.988</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41.518</w:t>
            </w:r>
          </w:p>
        </w:tc>
        <w:tc>
          <w:tcPr>
            <w:tcW w:w="1095" w:type="dxa"/>
            <w:tcBorders>
              <w:top w:val="single" w:sz="2" w:space="0" w:color="000000"/>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29.639.506</w:t>
            </w:r>
          </w:p>
        </w:tc>
      </w:tr>
      <w:tr>
        <w:tblPrEx>
          <w:tblW w:w="13560" w:type="dxa"/>
          <w:tblInd w:w="0" w:type="dxa"/>
          <w:tblLayout w:type="fixed"/>
        </w:tblPrEx>
        <w:trPr>
          <w:cantSplit/>
          <w:trHeight w:hRule="auto" w:val="0"/>
        </w:trPr>
        <w:tc>
          <w:tcPr>
            <w:tcW w:w="3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Otro resultado integral.</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(821.167)</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216.471</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4" w:space="0" w:color="FFFFFF"/>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(604.696)</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4" w:space="0" w:color="FFFFFF"/>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(604.696)</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537</w:t>
            </w:r>
          </w:p>
        </w:tc>
        <w:tc>
          <w:tcPr>
            <w:tcW w:w="1095" w:type="dxa"/>
            <w:tcBorders>
              <w:top w:val="single" w:sz="4" w:space="0" w:color="FFFFFF"/>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(604.159)</w:t>
            </w:r>
          </w:p>
        </w:tc>
      </w:tr>
      <w:tr>
        <w:tblPrEx>
          <w:tblW w:w="13560" w:type="dxa"/>
          <w:tblInd w:w="0" w:type="dxa"/>
          <w:tblLayout w:type="fixed"/>
        </w:tblPrEx>
        <w:trPr>
          <w:cantSplit/>
          <w:trHeight w:hRule="exact" w:val="60"/>
        </w:trPr>
        <w:tc>
          <w:tcPr>
            <w:tcW w:w="37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3560" w:type="dxa"/>
          <w:tblInd w:w="0" w:type="dxa"/>
          <w:tblLayout w:type="fixed"/>
        </w:tblPrEx>
        <w:trPr>
          <w:cantSplit/>
          <w:trHeight w:hRule="auto" w:val="0"/>
        </w:trPr>
        <w:tc>
          <w:tcPr>
            <w:tcW w:w="3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Total resultado integral</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(821.167)</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216.471</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(604.696)</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29.597.988</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28.993.292</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42.055</w:t>
            </w:r>
          </w:p>
        </w:tc>
        <w:tc>
          <w:tcPr>
            <w:tcW w:w="10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29.035.347</w:t>
            </w:r>
          </w:p>
        </w:tc>
      </w:tr>
      <w:tr>
        <w:tblPrEx>
          <w:tblW w:w="13560" w:type="dxa"/>
          <w:tblInd w:w="0" w:type="dxa"/>
          <w:tblLayout w:type="fixed"/>
        </w:tblPrEx>
        <w:trPr>
          <w:cantSplit/>
          <w:trHeight w:hRule="exact" w:val="60"/>
        </w:trPr>
        <w:tc>
          <w:tcPr>
            <w:tcW w:w="37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3560" w:type="dxa"/>
          <w:tblInd w:w="0" w:type="dxa"/>
          <w:tblLayout w:type="fixed"/>
        </w:tblPrEx>
        <w:trPr>
          <w:cantSplit/>
          <w:trHeight w:hRule="auto" w:val="0"/>
        </w:trPr>
        <w:tc>
          <w:tcPr>
            <w:tcW w:w="3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Dividendos.</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(16.915)</w:t>
            </w:r>
          </w:p>
        </w:tc>
        <w:tc>
          <w:tcPr>
            <w:tcW w:w="1095" w:type="dxa"/>
            <w:tcBorders>
              <w:top w:val="single" w:sz="2" w:space="0" w:color="000000"/>
              <w:left w:val="single" w:sz="2" w:space="0" w:color="000000"/>
              <w:bottom w:val="single" w:sz="8"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(16.915)</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(44.434)</w:t>
            </w: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(61.349)</w:t>
            </w:r>
          </w:p>
        </w:tc>
      </w:tr>
      <w:tr>
        <w:tblPrEx>
          <w:tblW w:w="13560" w:type="dxa"/>
          <w:tblInd w:w="0" w:type="dxa"/>
          <w:tblLayout w:type="fixed"/>
        </w:tblPrEx>
        <w:trPr>
          <w:cantSplit/>
          <w:trHeight w:hRule="exact" w:val="225"/>
        </w:trPr>
        <w:tc>
          <w:tcPr>
            <w:tcW w:w="3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Total incremento (disminución) en el patrimonio</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(821.167)</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216.471</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(604.696)</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29.581.073</w:t>
            </w:r>
          </w:p>
        </w:tc>
        <w:tc>
          <w:tcPr>
            <w:tcW w:w="1095" w:type="dxa"/>
            <w:tcBorders>
              <w:top w:val="single" w:sz="8" w:space="0" w:color="FFFFFF"/>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28.976.377</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(2.379)</w:t>
            </w:r>
          </w:p>
        </w:tc>
        <w:tc>
          <w:tcPr>
            <w:tcW w:w="10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28.973.998</w:t>
            </w:r>
          </w:p>
        </w:tc>
      </w:tr>
      <w:tr>
        <w:tblPrEx>
          <w:tblW w:w="13560" w:type="dxa"/>
          <w:tblInd w:w="0" w:type="dxa"/>
          <w:tblLayout w:type="fixed"/>
        </w:tblPrEx>
        <w:trPr>
          <w:cantSplit/>
          <w:trHeight w:hRule="auto" w:val="0"/>
        </w:trPr>
        <w:tc>
          <w:tcPr>
            <w:tcW w:w="37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3560" w:type="dxa"/>
          <w:tblInd w:w="0" w:type="dxa"/>
          <w:tblLayout w:type="fixed"/>
        </w:tblPrEx>
        <w:trPr>
          <w:cantSplit/>
          <w:trHeight w:hRule="exact" w:val="225"/>
        </w:trPr>
        <w:tc>
          <w:tcPr>
            <w:tcW w:w="3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Patrimonio al final del período al 30 de junio de 2025</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306.181.134</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(306.383)</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75.590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12.667.820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12.435.027</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124.597.660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443.213.821</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776.012</w:t>
            </w:r>
          </w:p>
        </w:tc>
        <w:tc>
          <w:tcPr>
            <w:tcW w:w="10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443.989.833</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18"/>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18"/>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18"/>
          <w:u w:val="none"/>
        </w:rPr>
        <w:sectPr>
          <w:headerReference w:type="default" r:id="rId14"/>
          <w:footerReference w:type="default" r:id="rId15"/>
          <w:pgSz w:w="15840" w:h="12240" w:orient="landscape"/>
          <w:pgMar w:top="1134" w:right="1134" w:bottom="1134" w:left="1134" w:header="0" w:footer="425"/>
          <w:cols w:space="708"/>
        </w:sectPr>
      </w:pPr>
    </w:p>
    <w:p>
      <w:pPr>
        <w:pStyle w:val="Normal-wk"/>
        <w:keepNext w:val="0"/>
        <w:keepLines/>
        <w:pageBreakBefore w:val="0"/>
        <w:widowControl w:val="0"/>
        <w:numPr>
          <w:ilvl w:val="0"/>
          <w:numId w:val="0"/>
        </w:numPr>
        <w:spacing w:before="0" w:after="0" w:line="240" w:lineRule="exact"/>
        <w:ind w:left="0" w:right="0" w:firstLine="0"/>
        <w:jc w:val="both"/>
        <w:outlineLvl w:val="0"/>
        <w:rPr>
          <w:rFonts w:ascii="Calibri" w:eastAsia="Calibri" w:hAnsi="Calibri" w:cs="Calibri"/>
          <w:b w:val="0"/>
          <w:i w:val="0"/>
          <w:color w:val="000000"/>
          <w:sz w:val="20"/>
          <w:u w:val="none"/>
        </w:rPr>
      </w:pPr>
      <w:bookmarkStart w:id="4" w:name="Section5"/>
      <w:bookmarkEnd w:id="4"/>
      <w:r>
        <w:rPr>
          <w:rFonts w:ascii="Calibri" w:eastAsia="Calibri" w:hAnsi="Calibri" w:cs="Calibri"/>
          <w:b/>
          <w:i w:val="0"/>
          <w:color w:val="000000"/>
          <w:sz w:val="20"/>
          <w:u w:val="none"/>
        </w:rPr>
        <w:t>CGE TRANSMISIÓN S.A. Y SUBSIDIARIAS</w: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ESTADO CONSOLIDADO INTERMEDIO DE FLUJO DE EFECTIVO DIRECTO</w:t>
      </w:r>
    </w:p>
    <w:p>
      <w:pPr>
        <w:pStyle w:val="Normal-wk"/>
        <w:keepNext w:val="0"/>
        <w:keepLines/>
        <w:pageBreakBefore w:val="0"/>
        <w:widowControl w:val="0"/>
        <w:numPr>
          <w:ilvl w:val="0"/>
          <w:numId w:val="0"/>
        </w:numPr>
        <w:spacing w:before="0" w:after="0" w:line="240" w:lineRule="exact"/>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 xml:space="preserve">Por los períodos de </w:t>
      </w:r>
      <w:r>
        <w:rPr>
          <w:rFonts w:ascii="Calibri" w:eastAsia="Calibri" w:hAnsi="Calibri" w:cs="Calibri"/>
          <w:b/>
          <w:i w:val="0"/>
          <w:color w:val="000000"/>
          <w:sz w:val="20"/>
          <w:u w:val="none"/>
        </w:rPr>
        <w:t>seis</w:t>
      </w:r>
      <w:r>
        <w:rPr>
          <w:rFonts w:ascii="Calibri" w:eastAsia="Calibri" w:hAnsi="Calibri" w:cs="Calibri"/>
          <w:b/>
          <w:i w:val="0"/>
          <w:color w:val="000000"/>
          <w:sz w:val="20"/>
          <w:u w:val="none"/>
        </w:rPr>
        <w:t xml:space="preserve"> meses terminados al </w:t>
      </w:r>
      <w:r>
        <w:rPr>
          <w:rFonts w:ascii="Calibri" w:eastAsia="Calibri" w:hAnsi="Calibri" w:cs="Calibri"/>
          <w:b/>
          <w:i w:val="0"/>
          <w:color w:val="000000"/>
          <w:sz w:val="20"/>
          <w:u w:val="none"/>
        </w:rPr>
        <w:t>30 de junio de 2026 y 2025</w:t>
      </w:r>
      <w:r>
        <w:rPr>
          <w:rFonts w:ascii="Calibri" w:eastAsia="Calibri" w:hAnsi="Calibri" w:cs="Calibri"/>
          <w:b/>
          <w:i w:val="0"/>
          <w:sz w:val="20"/>
        </w:rPr>
        <w:t xml:space="preserve"> (no auditados)</w: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(Expresados en miles de pesos chilenos (M$))</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18"/>
          <w:u w:val="none"/>
        </w:rPr>
      </w:pPr>
      <w:r>
        <w:pict>
          <v:shape id="_x0000_i1031" type="#_x0000_t75" style="width:498.9pt;height:1.98pt">
            <v:imagedata r:id="rId11" o:title=""/>
            <o:lock v:ext="edit" aspectratio="t"/>
          </v:shape>
        </w:pic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p>
    <w:tbl>
      <w:tblPr>
        <w:tblW w:w="99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7125"/>
        <w:gridCol w:w="435"/>
        <w:gridCol w:w="1200"/>
        <w:gridCol w:w="1200"/>
      </w:tblGrid>
      <w:tr>
        <w:tblPrEx>
          <w:tblW w:w="9960" w:type="dxa"/>
          <w:tblInd w:w="0" w:type="dxa"/>
          <w:tblLayout w:type="fixed"/>
        </w:tblPrEx>
        <w:trPr>
          <w:cantSplit/>
          <w:trHeight w:hRule="auto" w:val="0"/>
          <w:tblHeader/>
        </w:trPr>
        <w:tc>
          <w:tcPr>
            <w:tcW w:w="712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ESTADO DE FLUJO DE EFECTIVO POR MÉTODO DIRECTO</w:t>
            </w:r>
          </w:p>
        </w:tc>
        <w:tc>
          <w:tcPr>
            <w:tcW w:w="43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del</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01-01-2025</w:t>
            </w:r>
          </w:p>
        </w:tc>
      </w:tr>
      <w:tr>
        <w:tblPrEx>
          <w:tblW w:w="9960" w:type="dxa"/>
          <w:tblInd w:w="0" w:type="dxa"/>
          <w:tblLayout w:type="fixed"/>
        </w:tblPrEx>
        <w:trPr>
          <w:cantSplit/>
          <w:trHeight w:hRule="auto" w:val="0"/>
          <w:tblHeader/>
        </w:trPr>
        <w:tc>
          <w:tcPr>
            <w:tcW w:w="7125" w:type="dxa"/>
            <w:vMerge/>
            <w:tcBorders>
              <w:top w:val="nil"/>
              <w:left w:val="single" w:sz="2" w:space="0" w:color="000000"/>
              <w:bottom w:val="nil"/>
              <w:right w:val="nil"/>
            </w:tcBorders>
          </w:tcPr>
          <w:p>
            <w:pPr>
              <w:keepNext/>
              <w:pageBreakBefore w:val="0"/>
            </w:pPr>
          </w:p>
        </w:tc>
        <w:tc>
          <w:tcPr>
            <w:tcW w:w="43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al</w:t>
            </w: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30-06-2025</w:t>
            </w:r>
          </w:p>
        </w:tc>
      </w:tr>
      <w:tr>
        <w:tblPrEx>
          <w:tblW w:w="9960" w:type="dxa"/>
          <w:tblInd w:w="0" w:type="dxa"/>
          <w:tblLayout w:type="fixed"/>
        </w:tblPrEx>
        <w:trPr>
          <w:cantSplit/>
          <w:trHeight w:hRule="auto" w:val="0"/>
          <w:tblHeader/>
        </w:trPr>
        <w:tc>
          <w:tcPr>
            <w:tcW w:w="7125" w:type="dxa"/>
            <w:vMerge/>
            <w:tcBorders>
              <w:top w:val="nil"/>
              <w:left w:val="single" w:sz="2" w:space="0" w:color="000000"/>
              <w:bottom w:val="single" w:sz="2" w:space="0" w:color="000000"/>
              <w:right w:val="nil"/>
            </w:tcBorders>
          </w:tcPr>
          <w:p>
            <w:pPr>
              <w:keepNext/>
              <w:pageBreakBefore w:val="0"/>
            </w:pPr>
          </w:p>
        </w:tc>
        <w:tc>
          <w:tcPr>
            <w:tcW w:w="43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Nota</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9960" w:type="dxa"/>
          <w:tblInd w:w="0" w:type="dxa"/>
          <w:tblLayout w:type="fixed"/>
        </w:tblPrEx>
        <w:trPr>
          <w:cantSplit/>
          <w:trHeight w:hRule="exact" w:val="60"/>
          <w:tblHeader/>
        </w:trPr>
        <w:tc>
          <w:tcPr>
            <w:tcW w:w="71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3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71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Flujos de efectivo procedentes de (utilizados en) actividades de operación</w:t>
            </w:r>
          </w:p>
        </w:tc>
        <w:tc>
          <w:tcPr>
            <w:tcW w:w="435"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60"/>
        </w:trPr>
        <w:tc>
          <w:tcPr>
            <w:tcW w:w="71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3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71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Clases de cobros por actividades de operación</w:t>
            </w:r>
          </w:p>
        </w:tc>
        <w:tc>
          <w:tcPr>
            <w:tcW w:w="43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71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Cobros procedentes de las ventas de bienes y prestación de servicios.</w:t>
            </w:r>
          </w:p>
        </w:tc>
        <w:tc>
          <w:tcPr>
            <w:tcW w:w="4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170.854.076</w:t>
            </w:r>
          </w:p>
        </w:tc>
      </w:tr>
      <w:tr>
        <w:tblPrEx>
          <w:tblW w:w="9960" w:type="dxa"/>
          <w:tblInd w:w="0" w:type="dxa"/>
          <w:tblLayout w:type="fixed"/>
        </w:tblPrEx>
        <w:trPr>
          <w:cantSplit/>
          <w:trHeight w:hRule="auto" w:val="0"/>
        </w:trPr>
        <w:tc>
          <w:tcPr>
            <w:tcW w:w="71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Otros cobros por actividades de operación.</w:t>
            </w:r>
          </w:p>
        </w:tc>
        <w:tc>
          <w:tcPr>
            <w:tcW w:w="4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6.2</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482.000</w:t>
            </w:r>
          </w:p>
        </w:tc>
      </w:tr>
      <w:tr>
        <w:tblPrEx>
          <w:tblW w:w="9960" w:type="dxa"/>
          <w:tblInd w:w="0" w:type="dxa"/>
          <w:tblLayout w:type="fixed"/>
        </w:tblPrEx>
        <w:trPr>
          <w:cantSplit/>
          <w:trHeight w:hRule="auto" w:val="0"/>
        </w:trPr>
        <w:tc>
          <w:tcPr>
            <w:tcW w:w="71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Clases de pagos</w:t>
            </w:r>
          </w:p>
        </w:tc>
        <w:tc>
          <w:tcPr>
            <w:tcW w:w="435" w:type="dxa"/>
            <w:tcBorders>
              <w:top w:val="single" w:sz="2" w:space="0" w:color="000000"/>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71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Pagos a proveedores por el suministro de bienes y servicios.</w:t>
            </w:r>
          </w:p>
        </w:tc>
        <w:tc>
          <w:tcPr>
            <w:tcW w:w="4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(75.001.925)</w:t>
            </w:r>
          </w:p>
        </w:tc>
      </w:tr>
      <w:tr>
        <w:tblPrEx>
          <w:tblW w:w="9960" w:type="dxa"/>
          <w:tblInd w:w="0" w:type="dxa"/>
          <w:tblLayout w:type="fixed"/>
        </w:tblPrEx>
        <w:trPr>
          <w:cantSplit/>
          <w:trHeight w:hRule="auto" w:val="0"/>
        </w:trPr>
        <w:tc>
          <w:tcPr>
            <w:tcW w:w="71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Pagos a y por cuenta de los empleados.</w:t>
            </w:r>
          </w:p>
        </w:tc>
        <w:tc>
          <w:tcPr>
            <w:tcW w:w="4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(10.046.827)</w:t>
            </w:r>
          </w:p>
        </w:tc>
      </w:tr>
      <w:tr>
        <w:tblPrEx>
          <w:tblW w:w="9960" w:type="dxa"/>
          <w:tblInd w:w="0" w:type="dxa"/>
          <w:tblLayout w:type="fixed"/>
        </w:tblPrEx>
        <w:trPr>
          <w:cantSplit/>
          <w:trHeight w:hRule="auto" w:val="0"/>
        </w:trPr>
        <w:tc>
          <w:tcPr>
            <w:tcW w:w="71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Otros pagos por actividades de operación.</w:t>
            </w:r>
          </w:p>
        </w:tc>
        <w:tc>
          <w:tcPr>
            <w:tcW w:w="4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6.2</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(10.175.580)</w:t>
            </w:r>
          </w:p>
        </w:tc>
      </w:tr>
      <w:tr>
        <w:tblPrEx>
          <w:tblW w:w="9960" w:type="dxa"/>
          <w:tblInd w:w="0" w:type="dxa"/>
          <w:tblLayout w:type="fixed"/>
        </w:tblPrEx>
        <w:trPr>
          <w:cantSplit/>
          <w:trHeight w:hRule="auto" w:val="0"/>
        </w:trPr>
        <w:tc>
          <w:tcPr>
            <w:tcW w:w="71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Otros cobros y pagos de operación</w:t>
            </w:r>
          </w:p>
        </w:tc>
        <w:tc>
          <w:tcPr>
            <w:tcW w:w="435" w:type="dxa"/>
            <w:tcBorders>
              <w:top w:val="single" w:sz="2" w:space="0" w:color="000000"/>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71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Impuestos a las ganancias reembolsados (pagados).</w:t>
            </w:r>
          </w:p>
        </w:tc>
        <w:tc>
          <w:tcPr>
            <w:tcW w:w="4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7.709.870</w:t>
            </w:r>
          </w:p>
        </w:tc>
      </w:tr>
      <w:tr>
        <w:tblPrEx>
          <w:tblW w:w="9960" w:type="dxa"/>
          <w:tblInd w:w="0" w:type="dxa"/>
          <w:tblLayout w:type="fixed"/>
        </w:tblPrEx>
        <w:trPr>
          <w:cantSplit/>
          <w:trHeight w:hRule="auto" w:val="0"/>
        </w:trPr>
        <w:tc>
          <w:tcPr>
            <w:tcW w:w="71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Otras entradas (salidas) de efectivo.</w:t>
            </w:r>
          </w:p>
        </w:tc>
        <w:tc>
          <w:tcPr>
            <w:tcW w:w="4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60.817</w:t>
            </w:r>
          </w:p>
        </w:tc>
      </w:tr>
      <w:tr>
        <w:tblPrEx>
          <w:tblW w:w="9960" w:type="dxa"/>
          <w:tblInd w:w="0" w:type="dxa"/>
          <w:tblLayout w:type="fixed"/>
        </w:tblPrEx>
        <w:trPr>
          <w:cantSplit/>
          <w:trHeight w:hRule="auto" w:val="0"/>
        </w:trPr>
        <w:tc>
          <w:tcPr>
            <w:tcW w:w="71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3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71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Flujos de efectivo netos procedentes de (utilizados en) actividades de operación</w:t>
            </w:r>
          </w:p>
        </w:tc>
        <w:tc>
          <w:tcPr>
            <w:tcW w:w="435"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83.882.431</w:t>
            </w:r>
          </w:p>
        </w:tc>
      </w:tr>
      <w:tr>
        <w:tblPrEx>
          <w:tblW w:w="9960" w:type="dxa"/>
          <w:tblInd w:w="0" w:type="dxa"/>
          <w:tblLayout w:type="fixed"/>
        </w:tblPrEx>
        <w:trPr>
          <w:cantSplit/>
          <w:trHeight w:hRule="auto" w:val="0"/>
        </w:trPr>
        <w:tc>
          <w:tcPr>
            <w:tcW w:w="71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3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71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Flujos de efectivo procedentes de (utilizados en) actividades de inversión</w:t>
            </w:r>
          </w:p>
        </w:tc>
        <w:tc>
          <w:tcPr>
            <w:tcW w:w="43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71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Compras de propiedades, planta y equipo.</w:t>
            </w:r>
          </w:p>
        </w:tc>
        <w:tc>
          <w:tcPr>
            <w:tcW w:w="4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(35.391.302)</w:t>
            </w:r>
          </w:p>
        </w:tc>
      </w:tr>
      <w:tr>
        <w:tblPrEx>
          <w:tblW w:w="9960" w:type="dxa"/>
          <w:tblInd w:w="0" w:type="dxa"/>
          <w:tblLayout w:type="fixed"/>
        </w:tblPrEx>
        <w:trPr>
          <w:cantSplit/>
          <w:trHeight w:hRule="auto" w:val="0"/>
        </w:trPr>
        <w:tc>
          <w:tcPr>
            <w:tcW w:w="71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Compras de activos intangibles.</w:t>
            </w:r>
          </w:p>
        </w:tc>
        <w:tc>
          <w:tcPr>
            <w:tcW w:w="4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9960" w:type="dxa"/>
          <w:tblInd w:w="0" w:type="dxa"/>
          <w:tblLayout w:type="fixed"/>
        </w:tblPrEx>
        <w:trPr>
          <w:cantSplit/>
          <w:trHeight w:hRule="auto" w:val="0"/>
        </w:trPr>
        <w:tc>
          <w:tcPr>
            <w:tcW w:w="71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Cobros a entidades relacionadas.</w:t>
            </w:r>
          </w:p>
        </w:tc>
        <w:tc>
          <w:tcPr>
            <w:tcW w:w="4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9960" w:type="dxa"/>
          <w:tblInd w:w="0" w:type="dxa"/>
          <w:tblLayout w:type="fixed"/>
        </w:tblPrEx>
        <w:trPr>
          <w:cantSplit/>
          <w:trHeight w:hRule="auto" w:val="0"/>
        </w:trPr>
        <w:tc>
          <w:tcPr>
            <w:tcW w:w="71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Intereses recibidos.</w:t>
            </w:r>
          </w:p>
        </w:tc>
        <w:tc>
          <w:tcPr>
            <w:tcW w:w="4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23.243</w:t>
            </w:r>
          </w:p>
        </w:tc>
      </w:tr>
      <w:tr>
        <w:tblPrEx>
          <w:tblW w:w="9960" w:type="dxa"/>
          <w:tblInd w:w="0" w:type="dxa"/>
          <w:tblLayout w:type="fixed"/>
        </w:tblPrEx>
        <w:trPr>
          <w:cantSplit/>
          <w:trHeight w:hRule="auto" w:val="0"/>
        </w:trPr>
        <w:tc>
          <w:tcPr>
            <w:tcW w:w="71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Flujos de efectivo netos procedentes de (utilizados en) actividades de inversión</w:t>
            </w:r>
          </w:p>
        </w:tc>
        <w:tc>
          <w:tcPr>
            <w:tcW w:w="435" w:type="dxa"/>
            <w:tcBorders>
              <w:top w:val="single" w:sz="2" w:space="0" w:color="000000"/>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(48.999.172)</w:t>
            </w:r>
          </w:p>
        </w:tc>
      </w:tr>
      <w:tr>
        <w:tblPrEx>
          <w:tblW w:w="9960" w:type="dxa"/>
          <w:tblInd w:w="0" w:type="dxa"/>
          <w:tblLayout w:type="fixed"/>
        </w:tblPrEx>
        <w:trPr>
          <w:cantSplit/>
          <w:trHeight w:hRule="auto" w:val="0"/>
        </w:trPr>
        <w:tc>
          <w:tcPr>
            <w:tcW w:w="71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3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255"/>
        </w:trPr>
        <w:tc>
          <w:tcPr>
            <w:tcW w:w="71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Flujos de efectivo procedentes de (utilizados en) actividades de financiación</w:t>
            </w:r>
          </w:p>
        </w:tc>
        <w:tc>
          <w:tcPr>
            <w:tcW w:w="435"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71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3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255"/>
        </w:trPr>
        <w:tc>
          <w:tcPr>
            <w:tcW w:w="71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Total importes procedentes de préstamos.</w:t>
            </w:r>
          </w:p>
        </w:tc>
        <w:tc>
          <w:tcPr>
            <w:tcW w:w="43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18.556.863</w:t>
            </w:r>
          </w:p>
        </w:tc>
      </w:tr>
      <w:tr>
        <w:tblPrEx>
          <w:tblW w:w="9960" w:type="dxa"/>
          <w:tblInd w:w="0" w:type="dxa"/>
          <w:tblLayout w:type="fixed"/>
        </w:tblPrEx>
        <w:trPr>
          <w:cantSplit/>
          <w:trHeight w:hRule="auto" w:val="0"/>
        </w:trPr>
        <w:tc>
          <w:tcPr>
            <w:tcW w:w="71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 Importes procedentes de préstamos de corto plazo.</w:t>
            </w:r>
          </w:p>
        </w:tc>
        <w:tc>
          <w:tcPr>
            <w:tcW w:w="4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6.3</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18.556.863</w:t>
            </w:r>
          </w:p>
        </w:tc>
      </w:tr>
      <w:tr>
        <w:tblPrEx>
          <w:tblW w:w="9960" w:type="dxa"/>
          <w:tblInd w:w="0" w:type="dxa"/>
          <w:tblLayout w:type="fixed"/>
        </w:tblPrEx>
        <w:trPr>
          <w:cantSplit/>
          <w:trHeight w:hRule="auto" w:val="0"/>
        </w:trPr>
        <w:tc>
          <w:tcPr>
            <w:tcW w:w="71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Préstamos de entidades relacionadas.</w:t>
            </w:r>
          </w:p>
        </w:tc>
        <w:tc>
          <w:tcPr>
            <w:tcW w:w="4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6.3</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93.954.000</w:t>
            </w:r>
          </w:p>
        </w:tc>
      </w:tr>
      <w:tr>
        <w:tblPrEx>
          <w:tblW w:w="9960" w:type="dxa"/>
          <w:tblInd w:w="0" w:type="dxa"/>
          <w:tblLayout w:type="fixed"/>
        </w:tblPrEx>
        <w:trPr>
          <w:cantSplit/>
          <w:trHeight w:hRule="auto" w:val="0"/>
        </w:trPr>
        <w:tc>
          <w:tcPr>
            <w:tcW w:w="71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Reembolsos de préstamos.</w:t>
            </w:r>
          </w:p>
        </w:tc>
        <w:tc>
          <w:tcPr>
            <w:tcW w:w="4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6.3</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9960" w:type="dxa"/>
          <w:tblInd w:w="0" w:type="dxa"/>
          <w:tblLayout w:type="fixed"/>
        </w:tblPrEx>
        <w:trPr>
          <w:cantSplit/>
          <w:trHeight w:hRule="auto" w:val="0"/>
        </w:trPr>
        <w:tc>
          <w:tcPr>
            <w:tcW w:w="71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Pagos de pasivos por arrendamientos.</w:t>
            </w:r>
          </w:p>
        </w:tc>
        <w:tc>
          <w:tcPr>
            <w:tcW w:w="4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6.3</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(285.295)</w:t>
            </w:r>
          </w:p>
        </w:tc>
      </w:tr>
      <w:tr>
        <w:tblPrEx>
          <w:tblW w:w="9960" w:type="dxa"/>
          <w:tblInd w:w="0" w:type="dxa"/>
          <w:tblLayout w:type="fixed"/>
        </w:tblPrEx>
        <w:trPr>
          <w:cantSplit/>
          <w:trHeight w:hRule="auto" w:val="0"/>
        </w:trPr>
        <w:tc>
          <w:tcPr>
            <w:tcW w:w="71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Pagos de préstamos de entidades relacionadas.</w:t>
            </w:r>
          </w:p>
        </w:tc>
        <w:tc>
          <w:tcPr>
            <w:tcW w:w="4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6.3</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(121.055.026)</w:t>
            </w:r>
          </w:p>
        </w:tc>
      </w:tr>
      <w:tr>
        <w:tblPrEx>
          <w:tblW w:w="9960" w:type="dxa"/>
          <w:tblInd w:w="0" w:type="dxa"/>
          <w:tblLayout w:type="fixed"/>
        </w:tblPrEx>
        <w:trPr>
          <w:cantSplit/>
          <w:trHeight w:hRule="auto" w:val="0"/>
        </w:trPr>
        <w:tc>
          <w:tcPr>
            <w:tcW w:w="71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Dividendos pagados.</w:t>
            </w:r>
          </w:p>
        </w:tc>
        <w:tc>
          <w:tcPr>
            <w:tcW w:w="4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(11.596.479)</w:t>
            </w:r>
          </w:p>
        </w:tc>
      </w:tr>
      <w:tr>
        <w:tblPrEx>
          <w:tblW w:w="9960" w:type="dxa"/>
          <w:tblInd w:w="0" w:type="dxa"/>
          <w:tblLayout w:type="fixed"/>
        </w:tblPrEx>
        <w:trPr>
          <w:cantSplit/>
          <w:trHeight w:hRule="auto" w:val="0"/>
        </w:trPr>
        <w:tc>
          <w:tcPr>
            <w:tcW w:w="71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Intereses recibidos.</w:t>
            </w:r>
          </w:p>
        </w:tc>
        <w:tc>
          <w:tcPr>
            <w:tcW w:w="4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2.529.668</w:t>
            </w:r>
          </w:p>
        </w:tc>
      </w:tr>
      <w:tr>
        <w:tblPrEx>
          <w:tblW w:w="9960" w:type="dxa"/>
          <w:tblInd w:w="0" w:type="dxa"/>
          <w:tblLayout w:type="fixed"/>
        </w:tblPrEx>
        <w:trPr>
          <w:cantSplit/>
          <w:trHeight w:hRule="auto" w:val="0"/>
        </w:trPr>
        <w:tc>
          <w:tcPr>
            <w:tcW w:w="71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Intereses pagados.</w:t>
            </w:r>
          </w:p>
        </w:tc>
        <w:tc>
          <w:tcPr>
            <w:tcW w:w="4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6.3</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(19.779.753)</w:t>
            </w:r>
          </w:p>
        </w:tc>
      </w:tr>
      <w:tr>
        <w:tblPrEx>
          <w:tblW w:w="9960" w:type="dxa"/>
          <w:tblInd w:w="0" w:type="dxa"/>
          <w:tblLayout w:type="fixed"/>
        </w:tblPrEx>
        <w:trPr>
          <w:cantSplit/>
          <w:trHeight w:hRule="auto" w:val="0"/>
        </w:trPr>
        <w:tc>
          <w:tcPr>
            <w:tcW w:w="71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Otras entradas (salidas) de efectivo.</w:t>
            </w:r>
          </w:p>
        </w:tc>
        <w:tc>
          <w:tcPr>
            <w:tcW w:w="4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(10.910)</w:t>
            </w:r>
          </w:p>
        </w:tc>
      </w:tr>
      <w:tr>
        <w:tblPrEx>
          <w:tblW w:w="9960" w:type="dxa"/>
          <w:tblInd w:w="0" w:type="dxa"/>
          <w:tblLayout w:type="fixed"/>
        </w:tblPrEx>
        <w:trPr>
          <w:cantSplit/>
          <w:trHeight w:hRule="auto" w:val="0"/>
        </w:trPr>
        <w:tc>
          <w:tcPr>
            <w:tcW w:w="71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Flujos de efectivo netos procedentes de (utilizados en) actividades de financiación</w:t>
            </w:r>
          </w:p>
        </w:tc>
        <w:tc>
          <w:tcPr>
            <w:tcW w:w="435" w:type="dxa"/>
            <w:tcBorders>
              <w:top w:val="single" w:sz="2" w:space="0" w:color="000000"/>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(37.686.932)</w:t>
            </w:r>
          </w:p>
        </w:tc>
      </w:tr>
      <w:tr>
        <w:tblPrEx>
          <w:tblW w:w="9960" w:type="dxa"/>
          <w:tblInd w:w="0" w:type="dxa"/>
          <w:tblLayout w:type="fixed"/>
        </w:tblPrEx>
        <w:trPr>
          <w:cantSplit/>
          <w:trHeight w:hRule="auto" w:val="0"/>
        </w:trPr>
        <w:tc>
          <w:tcPr>
            <w:tcW w:w="71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3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71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Incremento (disminución) neto de efectivo y equivalentes al efectivo, antes del efecto de los cambios en la tasa de cambio</w:t>
            </w:r>
          </w:p>
        </w:tc>
        <w:tc>
          <w:tcPr>
            <w:tcW w:w="43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(2.803.673)</w:t>
            </w:r>
          </w:p>
        </w:tc>
      </w:tr>
      <w:tr>
        <w:tblPrEx>
          <w:tblW w:w="9960" w:type="dxa"/>
          <w:tblInd w:w="0" w:type="dxa"/>
          <w:tblLayout w:type="fixed"/>
        </w:tblPrEx>
        <w:trPr>
          <w:cantSplit/>
          <w:trHeight w:hRule="auto" w:val="0"/>
        </w:trPr>
        <w:tc>
          <w:tcPr>
            <w:tcW w:w="71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Efectos de la variación en la tasa de cambio sobre el efectivo y equivalentes al efectivo.</w:t>
            </w:r>
          </w:p>
        </w:tc>
        <w:tc>
          <w:tcPr>
            <w:tcW w:w="4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(20.454)</w:t>
            </w:r>
          </w:p>
        </w:tc>
      </w:tr>
      <w:tr>
        <w:tblPrEx>
          <w:tblW w:w="9960" w:type="dxa"/>
          <w:tblInd w:w="0" w:type="dxa"/>
          <w:tblLayout w:type="fixed"/>
        </w:tblPrEx>
        <w:trPr>
          <w:cantSplit/>
          <w:trHeight w:hRule="auto" w:val="0"/>
        </w:trPr>
        <w:tc>
          <w:tcPr>
            <w:tcW w:w="71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Incremento (disminución) neto de efectivo y equivalentes al efectivo</w:t>
            </w:r>
          </w:p>
        </w:tc>
        <w:tc>
          <w:tcPr>
            <w:tcW w:w="435" w:type="dxa"/>
            <w:tcBorders>
              <w:top w:val="single" w:sz="2" w:space="0" w:color="000000"/>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(2.824.127)</w:t>
            </w:r>
          </w:p>
        </w:tc>
      </w:tr>
      <w:tr>
        <w:tblPrEx>
          <w:tblW w:w="9960" w:type="dxa"/>
          <w:tblInd w:w="0" w:type="dxa"/>
          <w:tblLayout w:type="fixed"/>
        </w:tblPrEx>
        <w:trPr>
          <w:cantSplit/>
          <w:trHeight w:hRule="auto" w:val="0"/>
        </w:trPr>
        <w:tc>
          <w:tcPr>
            <w:tcW w:w="71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Efectivo y equivalentes al efectivo al principio del período o ejercicio.</w:t>
            </w:r>
          </w:p>
        </w:tc>
        <w:tc>
          <w:tcPr>
            <w:tcW w:w="4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1.681.948</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4.951.683</w:t>
            </w:r>
          </w:p>
        </w:tc>
      </w:tr>
      <w:tr>
        <w:tblPrEx>
          <w:tblW w:w="9960" w:type="dxa"/>
          <w:tblInd w:w="0" w:type="dxa"/>
          <w:tblLayout w:type="fixed"/>
        </w:tblPrEx>
        <w:trPr>
          <w:cantSplit/>
          <w:trHeight w:hRule="auto" w:val="0"/>
        </w:trPr>
        <w:tc>
          <w:tcPr>
            <w:tcW w:w="71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Efectivo y equivalentes al efectivo al final del período o ejercicio</w:t>
            </w:r>
          </w:p>
        </w:tc>
        <w:tc>
          <w:tcPr>
            <w:tcW w:w="4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6"/>
                <w:u w:val="none"/>
              </w:rPr>
              <w:t>6</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1.681.948</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2.127.556</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
          <w:u w:val="none"/>
        </w:rPr>
        <w:sectPr>
          <w:headerReference w:type="default" r:id="rId16"/>
          <w:footerReference w:type="default" r:id="rId17"/>
          <w:type w:val="continuous"/>
          <w:pgSz w:w="12240" w:h="15840"/>
          <w:pgMar w:top="1134" w:right="1134" w:bottom="1134" w:left="1134" w:header="0" w:footer="420"/>
          <w:cols w:space="708"/>
        </w:sectPr>
      </w:pPr>
    </w:p>
    <w:p>
      <w:pPr>
        <w:pStyle w:val="Normal-wk"/>
        <w:keepNext w:val="0"/>
        <w:keepLines/>
        <w:pageBreakBefore w:val="0"/>
        <w:widowControl w:val="0"/>
        <w:numPr>
          <w:ilvl w:val="0"/>
          <w:numId w:val="0"/>
        </w:numPr>
        <w:tabs>
          <w:tab w:val="left" w:pos="700"/>
        </w:tabs>
        <w:spacing w:before="0" w:after="0" w:line="240" w:lineRule="exact"/>
        <w:ind w:left="709" w:right="0" w:hanging="709"/>
        <w:jc w:val="both"/>
        <w:outlineLvl w:val="0"/>
        <w:rPr>
          <w:rFonts w:ascii="Calibri" w:eastAsia="Calibri" w:hAnsi="Calibri" w:cs="Calibri"/>
          <w:b w:val="0"/>
          <w:i w:val="0"/>
          <w:color w:val="000000"/>
          <w:sz w:val="20"/>
          <w:u w:val="none"/>
        </w:rPr>
      </w:pPr>
      <w:bookmarkStart w:id="5" w:name="Section6"/>
      <w:bookmarkEnd w:id="5"/>
      <w:r>
        <w:rPr>
          <w:rFonts w:ascii="Calibri" w:eastAsia="Calibri" w:hAnsi="Calibri" w:cs="Calibri"/>
          <w:b/>
          <w:i w:val="0"/>
          <w:color w:val="000000"/>
          <w:sz w:val="20"/>
          <w:u w:val="none"/>
        </w:rPr>
        <w:t>CGE TRANSMISIÓN S.A. Y SUBSIDIARIAS</w:t>
      </w:r>
      <w:r>
        <w:rPr>
          <w:rFonts w:ascii="Calibri" w:eastAsia="Calibri" w:hAnsi="Calibri" w:cs="Calibri"/>
          <w:b/>
          <w:i w:val="0"/>
          <w:color w:val="000000"/>
          <w:sz w:val="20"/>
          <w:u w:val="none"/>
        </w:rPr>
        <w:tab/>
      </w:r>
    </w:p>
    <w:p>
      <w:pPr>
        <w:pStyle w:val="Normal-wk"/>
        <w:keepNext w:val="0"/>
        <w:keepLines/>
        <w:pageBreakBefore w:val="0"/>
        <w:widowControl w:val="0"/>
        <w:numPr>
          <w:ilvl w:val="0"/>
          <w:numId w:val="0"/>
        </w:numPr>
        <w:spacing w:before="0" w:after="0" w:line="240" w:lineRule="exact"/>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ÍNDICE A LAS NOTAS DE LOS ESTADOS FINANCIEROS CONSOLIDADOS INTERMEDIOS</w: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 xml:space="preserve">Correspondientes al  </w:t>
      </w:r>
      <w:r>
        <w:rPr>
          <w:rFonts w:ascii="Calibri" w:eastAsia="Calibri" w:hAnsi="Calibri" w:cs="Calibri"/>
          <w:b/>
          <w:i w:val="0"/>
          <w:color w:val="000000"/>
          <w:sz w:val="20"/>
          <w:u w:val="none"/>
        </w:rPr>
        <w:t>30 de junio de 2026 y 2025</w:t>
      </w:r>
    </w:p>
    <w:p>
      <w:pPr>
        <w:keepNext w:val="0"/>
        <w:keepLines/>
        <w:pageBreakBefore w:val="0"/>
        <w:widowControl w:val="0"/>
        <w:numPr>
          <w:ilvl w:val="0"/>
          <w:numId w:val="0"/>
        </w:numPr>
        <w:tabs>
          <w:tab w:val="left" w:pos="700"/>
        </w:tabs>
        <w:spacing w:before="0" w:after="0" w:line="288" w:lineRule="auto"/>
        <w:ind w:left="0" w:right="0" w:firstLine="0"/>
        <w:jc w:val="right"/>
        <w:outlineLvl w:val="9"/>
        <w:rPr>
          <w:rFonts w:ascii="Calibri" w:eastAsia="Calibri" w:hAnsi="Calibri" w:cs="Calibri"/>
          <w:b w:val="0"/>
          <w:i w:val="0"/>
          <w:color w:val="000000"/>
          <w:sz w:val="18"/>
          <w:u w:val="none"/>
        </w:rPr>
      </w:pPr>
      <w:r>
        <w:pict>
          <v:shape id="_x0000_i1032" type="#_x0000_t75" style="width:498.9pt;height:1.98pt">
            <v:imagedata r:id="rId11" o:title=""/>
            <o:lock v:ext="edit" aspectratio="t"/>
          </v:shape>
        </w:pict>
      </w:r>
    </w:p>
    <w:tbl>
      <w:tblPr>
        <w:tblW w:w="9972"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8975"/>
        <w:gridCol w:w="997"/>
      </w:tblGrid>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faf440b73c1f4f48b61b7d227a2960d8" w:history="1">
              <w:r>
                <w:rPr>
                  <w:rFonts w:ascii="Calibri" w:eastAsia="Calibri" w:hAnsi="Calibri" w:cs="Calibri"/>
                  <w:b w:val="0"/>
                  <w:i w:val="0"/>
                  <w:color w:val="000000"/>
                  <w:sz w:val="20"/>
                  <w:u w:val="none"/>
                  <w:shd w:val="clear" w:color="auto" w:fill="auto"/>
                </w:rPr>
                <w:t>1.-</w:t>
                <w:tab/>
                <w:t>INFORMACIÓN GENERAL.</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faf440b73c1f4f48b61b7d227a2960d8" w:history="1">
              <w:r>
                <w:rPr>
                  <w:rFonts w:ascii="Calibri" w:eastAsia="Calibri" w:hAnsi="Calibri" w:cs="Calibri"/>
                  <w:b w:val="0"/>
                  <w:i w:val="0"/>
                  <w:color w:val="000000"/>
                  <w:sz w:val="20"/>
                  <w:u w:val="none"/>
                  <w:shd w:val="clear" w:color="auto" w:fill="auto"/>
                </w:rPr>
                <w:t>12</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a641fb53eefd4a608ccb831ac2e4dcc5" w:history="1">
              <w:r>
                <w:rPr>
                  <w:rFonts w:ascii="Calibri" w:eastAsia="Calibri" w:hAnsi="Calibri" w:cs="Calibri"/>
                  <w:b w:val="0"/>
                  <w:i w:val="0"/>
                  <w:color w:val="000000"/>
                  <w:sz w:val="20"/>
                  <w:u w:val="none"/>
                  <w:shd w:val="clear" w:color="auto" w:fill="auto"/>
                </w:rPr>
                <w:t>2.-</w:t>
                <w:tab/>
                <w:t>DESCRIPCIÓN DEL SECTOR DONDE PARTICIPA LA SOCIEDAD Y SUBSIDIARIAS.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a641fb53eefd4a608ccb831ac2e4dcc5" w:history="1">
              <w:r>
                <w:rPr>
                  <w:rFonts w:ascii="Calibri" w:eastAsia="Calibri" w:hAnsi="Calibri" w:cs="Calibri"/>
                  <w:b w:val="0"/>
                  <w:i w:val="0"/>
                  <w:color w:val="000000"/>
                  <w:sz w:val="20"/>
                  <w:u w:val="none"/>
                  <w:shd w:val="clear" w:color="auto" w:fill="auto"/>
                </w:rPr>
                <w:t>12</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7e8a19c1bc434ccebe7b74f839c210d1" w:history="1">
              <w:r>
                <w:rPr>
                  <w:rFonts w:ascii="Calibri" w:eastAsia="Calibri" w:hAnsi="Calibri" w:cs="Calibri"/>
                  <w:b w:val="0"/>
                  <w:i w:val="0"/>
                  <w:color w:val="000000"/>
                  <w:sz w:val="20"/>
                  <w:u w:val="none"/>
                  <w:shd w:val="clear" w:color="auto" w:fill="auto"/>
                </w:rPr>
                <w:t>2.1.-</w:t>
                <w:tab/>
                <w:t>Transmisión y transformación de energía eléctrica.</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7e8a19c1bc434ccebe7b74f839c210d1" w:history="1">
              <w:r>
                <w:rPr>
                  <w:rFonts w:ascii="Calibri" w:eastAsia="Calibri" w:hAnsi="Calibri" w:cs="Calibri"/>
                  <w:b w:val="0"/>
                  <w:i w:val="0"/>
                  <w:color w:val="000000"/>
                  <w:sz w:val="20"/>
                  <w:u w:val="none"/>
                  <w:shd w:val="clear" w:color="auto" w:fill="auto"/>
                </w:rPr>
                <w:t>12</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79f26c6107104ebca2d8796ed5798d97" w:history="1">
              <w:r>
                <w:rPr>
                  <w:rFonts w:ascii="Calibri" w:eastAsia="Calibri" w:hAnsi="Calibri" w:cs="Calibri"/>
                  <w:b w:val="0"/>
                  <w:i w:val="0"/>
                  <w:color w:val="000000"/>
                  <w:sz w:val="20"/>
                  <w:u w:val="none"/>
                  <w:shd w:val="clear" w:color="auto" w:fill="auto"/>
                </w:rPr>
                <w:t>2.2.-</w:t>
                <w:tab/>
                <w:t>Otros Servicios.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79f26c6107104ebca2d8796ed5798d97" w:history="1">
              <w:r>
                <w:rPr>
                  <w:rFonts w:ascii="Calibri" w:eastAsia="Calibri" w:hAnsi="Calibri" w:cs="Calibri"/>
                  <w:b w:val="0"/>
                  <w:i w:val="0"/>
                  <w:color w:val="000000"/>
                  <w:sz w:val="20"/>
                  <w:u w:val="none"/>
                  <w:shd w:val="clear" w:color="auto" w:fill="auto"/>
                </w:rPr>
                <w:t>14</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f2c7f68b782d4a56b9d53fffaf1b9a7a" w:history="1">
              <w:r>
                <w:rPr>
                  <w:rFonts w:ascii="Calibri" w:eastAsia="Calibri" w:hAnsi="Calibri" w:cs="Calibri"/>
                  <w:b w:val="0"/>
                  <w:i w:val="0"/>
                  <w:color w:val="000000"/>
                  <w:sz w:val="20"/>
                  <w:u w:val="none"/>
                  <w:shd w:val="clear" w:color="auto" w:fill="auto"/>
                </w:rPr>
                <w:t>3.-</w:t>
                <w:tab/>
                <w:t>RESUMEN DE LAS PRINCIPALES POLÍTICAS CONTABLES.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f2c7f68b782d4a56b9d53fffaf1b9a7a" w:history="1">
              <w:r>
                <w:rPr>
                  <w:rFonts w:ascii="Calibri" w:eastAsia="Calibri" w:hAnsi="Calibri" w:cs="Calibri"/>
                  <w:b w:val="0"/>
                  <w:i w:val="0"/>
                  <w:color w:val="000000"/>
                  <w:sz w:val="20"/>
                  <w:u w:val="none"/>
                  <w:shd w:val="clear" w:color="auto" w:fill="auto"/>
                </w:rPr>
                <w:t>14</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3cff3e2291574a8cab246cdc745eeae2" w:history="1">
              <w:r>
                <w:rPr>
                  <w:rFonts w:ascii="Calibri" w:eastAsia="Calibri" w:hAnsi="Calibri" w:cs="Calibri"/>
                  <w:b w:val="0"/>
                  <w:i w:val="0"/>
                  <w:color w:val="000000"/>
                  <w:sz w:val="20"/>
                  <w:u w:val="none"/>
                  <w:shd w:val="clear" w:color="auto" w:fill="auto"/>
                </w:rPr>
                <w:t>3.1.-</w:t>
                <w:tab/>
                <w:t xml:space="preserve">Bases de preparación de los estados financieros consolidados intermedios. </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3cff3e2291574a8cab246cdc745eeae2" w:history="1">
              <w:r>
                <w:rPr>
                  <w:rFonts w:ascii="Calibri" w:eastAsia="Calibri" w:hAnsi="Calibri" w:cs="Calibri"/>
                  <w:b w:val="0"/>
                  <w:i w:val="0"/>
                  <w:color w:val="000000"/>
                  <w:sz w:val="20"/>
                  <w:u w:val="none"/>
                  <w:shd w:val="clear" w:color="auto" w:fill="auto"/>
                </w:rPr>
                <w:t>14</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3fa9d880e8464b4d89c08a3f7273629c" w:history="1">
              <w:r>
                <w:rPr>
                  <w:rFonts w:ascii="Calibri" w:eastAsia="Calibri" w:hAnsi="Calibri" w:cs="Calibri"/>
                  <w:b w:val="0"/>
                  <w:i w:val="0"/>
                  <w:color w:val="000000"/>
                  <w:sz w:val="20"/>
                  <w:u w:val="none"/>
                  <w:shd w:val="clear" w:color="auto" w:fill="auto"/>
                </w:rPr>
                <w:t>3.2.-</w:t>
                <w:tab/>
                <w:t>Nuevos estándares, interpretaciones y enmiendas adoptadas por la Sociedad.</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3fa9d880e8464b4d89c08a3f7273629c" w:history="1">
              <w:r>
                <w:rPr>
                  <w:rFonts w:ascii="Calibri" w:eastAsia="Calibri" w:hAnsi="Calibri" w:cs="Calibri"/>
                  <w:b w:val="0"/>
                  <w:i w:val="0"/>
                  <w:color w:val="000000"/>
                  <w:sz w:val="20"/>
                  <w:u w:val="none"/>
                  <w:shd w:val="clear" w:color="auto" w:fill="auto"/>
                </w:rPr>
                <w:t>15</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2f407dd1d4584eab800031551eefaf71" w:history="1">
              <w:r>
                <w:rPr>
                  <w:rFonts w:ascii="Calibri" w:eastAsia="Calibri" w:hAnsi="Calibri" w:cs="Calibri"/>
                  <w:b w:val="0"/>
                  <w:i w:val="0"/>
                  <w:color w:val="000000"/>
                  <w:sz w:val="20"/>
                  <w:u w:val="none"/>
                  <w:shd w:val="clear" w:color="auto" w:fill="auto"/>
                </w:rPr>
                <w:t>3.3.-</w:t>
                <w:tab/>
                <w:t>Nuevas normas, interpretaciones y enmiendas emitidas, no vigentes para el ejercicio 2026, para las cuales no se ha efectuado adopción anticipada de las mismas.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2f407dd1d4584eab800031551eefaf71" w:history="1">
              <w:r>
                <w:rPr>
                  <w:rFonts w:ascii="Calibri" w:eastAsia="Calibri" w:hAnsi="Calibri" w:cs="Calibri"/>
                  <w:b w:val="0"/>
                  <w:i w:val="0"/>
                  <w:color w:val="000000"/>
                  <w:sz w:val="20"/>
                  <w:u w:val="none"/>
                  <w:shd w:val="clear" w:color="auto" w:fill="auto"/>
                </w:rPr>
                <w:t>16</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97087ec0833442e6bcb64acbef982dc3" w:history="1">
              <w:r>
                <w:rPr>
                  <w:rFonts w:ascii="Calibri" w:eastAsia="Calibri" w:hAnsi="Calibri" w:cs="Calibri"/>
                  <w:b w:val="0"/>
                  <w:i w:val="0"/>
                  <w:color w:val="000000"/>
                  <w:sz w:val="20"/>
                  <w:u w:val="none"/>
                  <w:shd w:val="clear" w:color="auto" w:fill="auto"/>
                </w:rPr>
                <w:t>3.4.-</w:t>
                <w:tab/>
                <w:t>Bases de consolidación.</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97087ec0833442e6bcb64acbef982dc3" w:history="1">
              <w:r>
                <w:rPr>
                  <w:rFonts w:ascii="Calibri" w:eastAsia="Calibri" w:hAnsi="Calibri" w:cs="Calibri"/>
                  <w:b w:val="0"/>
                  <w:i w:val="0"/>
                  <w:color w:val="000000"/>
                  <w:sz w:val="20"/>
                  <w:u w:val="none"/>
                  <w:shd w:val="clear" w:color="auto" w:fill="auto"/>
                </w:rPr>
                <w:t>18</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fb6de10c72234dc2b0bcd6fd7ad47881" w:history="1">
              <w:r>
                <w:rPr>
                  <w:rFonts w:ascii="Calibri" w:eastAsia="Calibri" w:hAnsi="Calibri" w:cs="Calibri"/>
                  <w:b w:val="0"/>
                  <w:i w:val="0"/>
                  <w:color w:val="000000"/>
                  <w:sz w:val="20"/>
                  <w:u w:val="none"/>
                  <w:shd w:val="clear" w:color="auto" w:fill="auto"/>
                </w:rPr>
                <w:t>3.5.-</w:t>
                <w:tab/>
                <w:t>Entidades subsidiarias.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fb6de10c72234dc2b0bcd6fd7ad47881" w:history="1">
              <w:r>
                <w:rPr>
                  <w:rFonts w:ascii="Calibri" w:eastAsia="Calibri" w:hAnsi="Calibri" w:cs="Calibri"/>
                  <w:b w:val="0"/>
                  <w:i w:val="0"/>
                  <w:color w:val="000000"/>
                  <w:sz w:val="20"/>
                  <w:u w:val="none"/>
                  <w:shd w:val="clear" w:color="auto" w:fill="auto"/>
                </w:rPr>
                <w:t>20</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60faaa5cf1fd48a58f46dfa042d8262f" w:history="1">
              <w:r>
                <w:rPr>
                  <w:rFonts w:ascii="Calibri" w:eastAsia="Calibri" w:hAnsi="Calibri" w:cs="Calibri"/>
                  <w:b w:val="0"/>
                  <w:i w:val="0"/>
                  <w:color w:val="000000"/>
                  <w:sz w:val="20"/>
                  <w:u w:val="none"/>
                  <w:shd w:val="clear" w:color="auto" w:fill="auto"/>
                </w:rPr>
                <w:t>3.6.-</w:t>
                <w:tab/>
                <w:t>Transacciones en moneda extranjera y unidades de reajuste.</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60faaa5cf1fd48a58f46dfa042d8262f" w:history="1">
              <w:r>
                <w:rPr>
                  <w:rFonts w:ascii="Calibri" w:eastAsia="Calibri" w:hAnsi="Calibri" w:cs="Calibri"/>
                  <w:b w:val="0"/>
                  <w:i w:val="0"/>
                  <w:color w:val="000000"/>
                  <w:sz w:val="20"/>
                  <w:u w:val="none"/>
                  <w:shd w:val="clear" w:color="auto" w:fill="auto"/>
                </w:rPr>
                <w:t>21</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5e0c25a43c314b8b891c94874793936f" w:history="1">
              <w:r>
                <w:rPr>
                  <w:rFonts w:ascii="Calibri" w:eastAsia="Calibri" w:hAnsi="Calibri" w:cs="Calibri"/>
                  <w:b w:val="0"/>
                  <w:i w:val="0"/>
                  <w:color w:val="000000"/>
                  <w:sz w:val="20"/>
                  <w:u w:val="none"/>
                  <w:shd w:val="clear" w:color="auto" w:fill="auto"/>
                </w:rPr>
                <w:t>3.7.-</w:t>
                <w:tab/>
                <w:t>Información financiera por segmentos operativos.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5e0c25a43c314b8b891c94874793936f" w:history="1">
              <w:r>
                <w:rPr>
                  <w:rFonts w:ascii="Calibri" w:eastAsia="Calibri" w:hAnsi="Calibri" w:cs="Calibri"/>
                  <w:b w:val="0"/>
                  <w:i w:val="0"/>
                  <w:color w:val="000000"/>
                  <w:sz w:val="20"/>
                  <w:u w:val="none"/>
                  <w:shd w:val="clear" w:color="auto" w:fill="auto"/>
                </w:rPr>
                <w:t>22</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32e1317bc7c948919452a46f733468c3" w:history="1">
              <w:r>
                <w:rPr>
                  <w:rFonts w:ascii="Calibri" w:eastAsia="Calibri" w:hAnsi="Calibri" w:cs="Calibri"/>
                  <w:b w:val="0"/>
                  <w:i w:val="0"/>
                  <w:color w:val="000000"/>
                  <w:sz w:val="20"/>
                  <w:u w:val="none"/>
                  <w:shd w:val="clear" w:color="auto" w:fill="auto"/>
                </w:rPr>
                <w:t>3.8.-</w:t>
                <w:tab/>
                <w:t>Propiedades, planta y equipo.</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32e1317bc7c948919452a46f733468c3" w:history="1">
              <w:r>
                <w:rPr>
                  <w:rFonts w:ascii="Calibri" w:eastAsia="Calibri" w:hAnsi="Calibri" w:cs="Calibri"/>
                  <w:b w:val="0"/>
                  <w:i w:val="0"/>
                  <w:color w:val="000000"/>
                  <w:sz w:val="20"/>
                  <w:u w:val="none"/>
                  <w:shd w:val="clear" w:color="auto" w:fill="auto"/>
                </w:rPr>
                <w:t>22</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3cb9c22526e145fdbd589eb2bf061675" w:history="1">
              <w:r>
                <w:rPr>
                  <w:rFonts w:ascii="Calibri" w:eastAsia="Calibri" w:hAnsi="Calibri" w:cs="Calibri"/>
                  <w:b w:val="0"/>
                  <w:i w:val="0"/>
                  <w:color w:val="000000"/>
                  <w:sz w:val="20"/>
                  <w:u w:val="none"/>
                  <w:shd w:val="clear" w:color="auto" w:fill="auto"/>
                </w:rPr>
                <w:t>3.9.-</w:t>
                <w:tab/>
                <w:t>Propiedades de inversión.</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3cb9c22526e145fdbd589eb2bf061675" w:history="1">
              <w:r>
                <w:rPr>
                  <w:rFonts w:ascii="Calibri" w:eastAsia="Calibri" w:hAnsi="Calibri" w:cs="Calibri"/>
                  <w:b w:val="0"/>
                  <w:i w:val="0"/>
                  <w:color w:val="000000"/>
                  <w:sz w:val="20"/>
                  <w:u w:val="none"/>
                  <w:shd w:val="clear" w:color="auto" w:fill="auto"/>
                </w:rPr>
                <w:t>23</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0e9e571daacd4b4aa896b1b335b54022" w:history="1">
              <w:r>
                <w:rPr>
                  <w:rFonts w:ascii="Calibri" w:eastAsia="Calibri" w:hAnsi="Calibri" w:cs="Calibri"/>
                  <w:b w:val="0"/>
                  <w:i w:val="0"/>
                  <w:color w:val="000000"/>
                  <w:sz w:val="20"/>
                  <w:u w:val="none"/>
                  <w:shd w:val="clear" w:color="auto" w:fill="auto"/>
                </w:rPr>
                <w:t>3.10.-</w:t>
                <w:tab/>
                <w:t>Menor valor o plusvalía (Goodwill).</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0e9e571daacd4b4aa896b1b335b54022" w:history="1">
              <w:r>
                <w:rPr>
                  <w:rFonts w:ascii="Calibri" w:eastAsia="Calibri" w:hAnsi="Calibri" w:cs="Calibri"/>
                  <w:b w:val="0"/>
                  <w:i w:val="0"/>
                  <w:color w:val="000000"/>
                  <w:sz w:val="20"/>
                  <w:u w:val="none"/>
                  <w:shd w:val="clear" w:color="auto" w:fill="auto"/>
                </w:rPr>
                <w:t>23</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7805bfddc62d47f38106b028737d9d58" w:history="1">
              <w:r>
                <w:rPr>
                  <w:rFonts w:ascii="Calibri" w:eastAsia="Calibri" w:hAnsi="Calibri" w:cs="Calibri"/>
                  <w:b w:val="0"/>
                  <w:i w:val="0"/>
                  <w:color w:val="000000"/>
                  <w:sz w:val="20"/>
                  <w:u w:val="none"/>
                  <w:shd w:val="clear" w:color="auto" w:fill="auto"/>
                </w:rPr>
                <w:t>3.11.-</w:t>
                <w:tab/>
                <w:t>Activos intangibles distintos de la plusvalía.</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7805bfddc62d47f38106b028737d9d58" w:history="1">
              <w:r>
                <w:rPr>
                  <w:rFonts w:ascii="Calibri" w:eastAsia="Calibri" w:hAnsi="Calibri" w:cs="Calibri"/>
                  <w:b w:val="0"/>
                  <w:i w:val="0"/>
                  <w:color w:val="000000"/>
                  <w:sz w:val="20"/>
                  <w:u w:val="none"/>
                  <w:shd w:val="clear" w:color="auto" w:fill="auto"/>
                </w:rPr>
                <w:t>24</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9db2669a80da419ca9564e7a74731208" w:history="1">
              <w:r>
                <w:rPr>
                  <w:rFonts w:ascii="Calibri" w:eastAsia="Calibri" w:hAnsi="Calibri" w:cs="Calibri"/>
                  <w:b w:val="0"/>
                  <w:i w:val="0"/>
                  <w:color w:val="000000"/>
                  <w:sz w:val="20"/>
                  <w:u w:val="none"/>
                  <w:shd w:val="clear" w:color="auto" w:fill="auto"/>
                </w:rPr>
                <w:t>3.12.-</w:t>
                <w:tab/>
                <w:t>Costos por intereses.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9db2669a80da419ca9564e7a74731208" w:history="1">
              <w:r>
                <w:rPr>
                  <w:rFonts w:ascii="Calibri" w:eastAsia="Calibri" w:hAnsi="Calibri" w:cs="Calibri"/>
                  <w:b w:val="0"/>
                  <w:i w:val="0"/>
                  <w:color w:val="000000"/>
                  <w:sz w:val="20"/>
                  <w:u w:val="none"/>
                  <w:shd w:val="clear" w:color="auto" w:fill="auto"/>
                </w:rPr>
                <w:t>25</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eb31f08708fd4e31a8ac33656a5ae3d1" w:history="1">
              <w:r>
                <w:rPr>
                  <w:rFonts w:ascii="Calibri" w:eastAsia="Calibri" w:hAnsi="Calibri" w:cs="Calibri"/>
                  <w:b w:val="0"/>
                  <w:i w:val="0"/>
                  <w:color w:val="000000"/>
                  <w:sz w:val="20"/>
                  <w:u w:val="none"/>
                  <w:shd w:val="clear" w:color="auto" w:fill="auto"/>
                </w:rPr>
                <w:t>3.13.-</w:t>
                <w:tab/>
                <w:t>Deterioro de activos no financieros.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eb31f08708fd4e31a8ac33656a5ae3d1" w:history="1">
              <w:r>
                <w:rPr>
                  <w:rFonts w:ascii="Calibri" w:eastAsia="Calibri" w:hAnsi="Calibri" w:cs="Calibri"/>
                  <w:b w:val="0"/>
                  <w:i w:val="0"/>
                  <w:color w:val="000000"/>
                  <w:sz w:val="20"/>
                  <w:u w:val="none"/>
                  <w:shd w:val="clear" w:color="auto" w:fill="auto"/>
                </w:rPr>
                <w:t>25</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363e71d175c84dd59c1ddd1e23a2978d" w:history="1">
              <w:r>
                <w:rPr>
                  <w:rFonts w:ascii="Calibri" w:eastAsia="Calibri" w:hAnsi="Calibri" w:cs="Calibri"/>
                  <w:b w:val="0"/>
                  <w:i w:val="0"/>
                  <w:color w:val="000000"/>
                  <w:sz w:val="20"/>
                  <w:u w:val="none"/>
                  <w:shd w:val="clear" w:color="auto" w:fill="auto"/>
                </w:rPr>
                <w:t>3.14.-</w:t>
                <w:tab/>
                <w:t>Activos no corrientes mantenidos para la venta y grupos en disposición.</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363e71d175c84dd59c1ddd1e23a2978d" w:history="1">
              <w:r>
                <w:rPr>
                  <w:rFonts w:ascii="Calibri" w:eastAsia="Calibri" w:hAnsi="Calibri" w:cs="Calibri"/>
                  <w:b w:val="0"/>
                  <w:i w:val="0"/>
                  <w:color w:val="000000"/>
                  <w:sz w:val="20"/>
                  <w:u w:val="none"/>
                  <w:shd w:val="clear" w:color="auto" w:fill="auto"/>
                </w:rPr>
                <w:t>25</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a12fd6db4b1a4973ae40a7eba6b05ca1" w:history="1">
              <w:r>
                <w:rPr>
                  <w:rFonts w:ascii="Calibri" w:eastAsia="Calibri" w:hAnsi="Calibri" w:cs="Calibri"/>
                  <w:b w:val="0"/>
                  <w:i w:val="0"/>
                  <w:color w:val="000000"/>
                  <w:sz w:val="20"/>
                  <w:u w:val="none"/>
                  <w:shd w:val="clear" w:color="auto" w:fill="auto"/>
                </w:rPr>
                <w:t>3.15.-</w:t>
                <w:tab/>
                <w:t>Activos financieros.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a12fd6db4b1a4973ae40a7eba6b05ca1" w:history="1">
              <w:r>
                <w:rPr>
                  <w:rFonts w:ascii="Calibri" w:eastAsia="Calibri" w:hAnsi="Calibri" w:cs="Calibri"/>
                  <w:b w:val="0"/>
                  <w:i w:val="0"/>
                  <w:color w:val="000000"/>
                  <w:sz w:val="20"/>
                  <w:u w:val="none"/>
                  <w:shd w:val="clear" w:color="auto" w:fill="auto"/>
                </w:rPr>
                <w:t>26</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ea508a07373f4b49a3ea0917689d0cbc" w:history="1">
              <w:r>
                <w:rPr>
                  <w:rFonts w:ascii="Calibri" w:eastAsia="Calibri" w:hAnsi="Calibri" w:cs="Calibri"/>
                  <w:b w:val="0"/>
                  <w:i w:val="0"/>
                  <w:color w:val="000000"/>
                  <w:sz w:val="20"/>
                  <w:u w:val="none"/>
                  <w:shd w:val="clear" w:color="auto" w:fill="auto"/>
                </w:rPr>
                <w:t>3.16.-</w:t>
                <w:tab/>
                <w:t>Inventarios.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ea508a07373f4b49a3ea0917689d0cbc" w:history="1">
              <w:r>
                <w:rPr>
                  <w:rFonts w:ascii="Calibri" w:eastAsia="Calibri" w:hAnsi="Calibri" w:cs="Calibri"/>
                  <w:b w:val="0"/>
                  <w:i w:val="0"/>
                  <w:color w:val="000000"/>
                  <w:sz w:val="20"/>
                  <w:u w:val="none"/>
                  <w:shd w:val="clear" w:color="auto" w:fill="auto"/>
                </w:rPr>
                <w:t>29</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fcf41af58a7448bba38c792c6c0d9017" w:history="1">
              <w:r>
                <w:rPr>
                  <w:rFonts w:ascii="Calibri" w:eastAsia="Calibri" w:hAnsi="Calibri" w:cs="Calibri"/>
                  <w:b w:val="0"/>
                  <w:i w:val="0"/>
                  <w:color w:val="000000"/>
                  <w:sz w:val="20"/>
                  <w:u w:val="none"/>
                  <w:shd w:val="clear" w:color="auto" w:fill="auto"/>
                </w:rPr>
                <w:t>3.17.-</w:t>
                <w:tab/>
                <w:t>Deudores comerciales y otras cuentas por cobrar.</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fcf41af58a7448bba38c792c6c0d9017" w:history="1">
              <w:r>
                <w:rPr>
                  <w:rFonts w:ascii="Calibri" w:eastAsia="Calibri" w:hAnsi="Calibri" w:cs="Calibri"/>
                  <w:b w:val="0"/>
                  <w:i w:val="0"/>
                  <w:color w:val="000000"/>
                  <w:sz w:val="20"/>
                  <w:u w:val="none"/>
                  <w:shd w:val="clear" w:color="auto" w:fill="auto"/>
                </w:rPr>
                <w:t>29</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51ff977fa3274567b19c39704e1866eb" w:history="1">
              <w:r>
                <w:rPr>
                  <w:rFonts w:ascii="Calibri" w:eastAsia="Calibri" w:hAnsi="Calibri" w:cs="Calibri"/>
                  <w:b w:val="0"/>
                  <w:i w:val="0"/>
                  <w:color w:val="000000"/>
                  <w:sz w:val="20"/>
                  <w:u w:val="none"/>
                  <w:shd w:val="clear" w:color="auto" w:fill="auto"/>
                </w:rPr>
                <w:t>3.18.-</w:t>
                <w:tab/>
                <w:t>Efectivo y equivalentes al efectivo.</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51ff977fa3274567b19c39704e1866eb" w:history="1">
              <w:r>
                <w:rPr>
                  <w:rFonts w:ascii="Calibri" w:eastAsia="Calibri" w:hAnsi="Calibri" w:cs="Calibri"/>
                  <w:b w:val="0"/>
                  <w:i w:val="0"/>
                  <w:color w:val="000000"/>
                  <w:sz w:val="20"/>
                  <w:u w:val="none"/>
                  <w:shd w:val="clear" w:color="auto" w:fill="auto"/>
                </w:rPr>
                <w:t>29</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2a169b6622d34f2cb6c23178bd37f9e1" w:history="1">
              <w:r>
                <w:rPr>
                  <w:rFonts w:ascii="Calibri" w:eastAsia="Calibri" w:hAnsi="Calibri" w:cs="Calibri"/>
                  <w:b w:val="0"/>
                  <w:i w:val="0"/>
                  <w:color w:val="000000"/>
                  <w:sz w:val="20"/>
                  <w:u w:val="none"/>
                  <w:shd w:val="clear" w:color="auto" w:fill="auto"/>
                </w:rPr>
                <w:t>3.19.-</w:t>
                <w:tab/>
                <w:t>Capital social.</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2a169b6622d34f2cb6c23178bd37f9e1" w:history="1">
              <w:r>
                <w:rPr>
                  <w:rFonts w:ascii="Calibri" w:eastAsia="Calibri" w:hAnsi="Calibri" w:cs="Calibri"/>
                  <w:b w:val="0"/>
                  <w:i w:val="0"/>
                  <w:color w:val="000000"/>
                  <w:sz w:val="20"/>
                  <w:u w:val="none"/>
                  <w:shd w:val="clear" w:color="auto" w:fill="auto"/>
                </w:rPr>
                <w:t>29</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25f0fa34aa5c48f78d5c5600ce09b384" w:history="1">
              <w:r>
                <w:rPr>
                  <w:rFonts w:ascii="Calibri" w:eastAsia="Calibri" w:hAnsi="Calibri" w:cs="Calibri"/>
                  <w:b w:val="0"/>
                  <w:i w:val="0"/>
                  <w:color w:val="000000"/>
                  <w:sz w:val="20"/>
                  <w:u w:val="none"/>
                  <w:shd w:val="clear" w:color="auto" w:fill="auto"/>
                </w:rPr>
                <w:t>3.20.-</w:t>
                <w:tab/>
                <w:t>Cuentas por pagar comerciales y otras cuentas por pagar.</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25f0fa34aa5c48f78d5c5600ce09b384" w:history="1">
              <w:r>
                <w:rPr>
                  <w:rFonts w:ascii="Calibri" w:eastAsia="Calibri" w:hAnsi="Calibri" w:cs="Calibri"/>
                  <w:b w:val="0"/>
                  <w:i w:val="0"/>
                  <w:color w:val="000000"/>
                  <w:sz w:val="20"/>
                  <w:u w:val="none"/>
                  <w:shd w:val="clear" w:color="auto" w:fill="auto"/>
                </w:rPr>
                <w:t>29</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a2de2cc3819841169f92cce868384d52" w:history="1">
              <w:r>
                <w:rPr>
                  <w:rFonts w:ascii="Calibri" w:eastAsia="Calibri" w:hAnsi="Calibri" w:cs="Calibri"/>
                  <w:b w:val="0"/>
                  <w:i w:val="0"/>
                  <w:color w:val="000000"/>
                  <w:sz w:val="20"/>
                  <w:u w:val="none"/>
                  <w:shd w:val="clear" w:color="auto" w:fill="auto"/>
                </w:rPr>
                <w:t>3.21.-</w:t>
                <w:tab/>
                <w:t>Préstamos y otros pasivos financieros.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a2de2cc3819841169f92cce868384d52" w:history="1">
              <w:r>
                <w:rPr>
                  <w:rFonts w:ascii="Calibri" w:eastAsia="Calibri" w:hAnsi="Calibri" w:cs="Calibri"/>
                  <w:b w:val="0"/>
                  <w:i w:val="0"/>
                  <w:color w:val="000000"/>
                  <w:sz w:val="20"/>
                  <w:u w:val="none"/>
                  <w:shd w:val="clear" w:color="auto" w:fill="auto"/>
                </w:rPr>
                <w:t>29</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cdbb0aa2558944808d01c69bc2a6503f" w:history="1">
              <w:r>
                <w:rPr>
                  <w:rFonts w:ascii="Calibri" w:eastAsia="Calibri" w:hAnsi="Calibri" w:cs="Calibri"/>
                  <w:b w:val="0"/>
                  <w:i w:val="0"/>
                  <w:color w:val="000000"/>
                  <w:sz w:val="20"/>
                  <w:u w:val="none"/>
                  <w:shd w:val="clear" w:color="auto" w:fill="auto"/>
                </w:rPr>
                <w:t>3.22.-</w:t>
                <w:tab/>
                <w:t>Impuesto a las ganancias e impuestos diferidos.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cdbb0aa2558944808d01c69bc2a6503f" w:history="1">
              <w:r>
                <w:rPr>
                  <w:rFonts w:ascii="Calibri" w:eastAsia="Calibri" w:hAnsi="Calibri" w:cs="Calibri"/>
                  <w:b w:val="0"/>
                  <w:i w:val="0"/>
                  <w:color w:val="000000"/>
                  <w:sz w:val="20"/>
                  <w:u w:val="none"/>
                  <w:shd w:val="clear" w:color="auto" w:fill="auto"/>
                </w:rPr>
                <w:t>30</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ee59d27b415b4ef9a308fc7af717b473" w:history="1">
              <w:r>
                <w:rPr>
                  <w:rFonts w:ascii="Calibri" w:eastAsia="Calibri" w:hAnsi="Calibri" w:cs="Calibri"/>
                  <w:b w:val="0"/>
                  <w:i w:val="0"/>
                  <w:color w:val="000000"/>
                  <w:sz w:val="20"/>
                  <w:u w:val="none"/>
                  <w:shd w:val="clear" w:color="auto" w:fill="auto"/>
                </w:rPr>
                <w:t>3.23.-</w:t>
                <w:tab/>
                <w:t xml:space="preserve">Obligaciones por beneficios post empleo u otros similares. </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ee59d27b415b4ef9a308fc7af717b473" w:history="1">
              <w:r>
                <w:rPr>
                  <w:rFonts w:ascii="Calibri" w:eastAsia="Calibri" w:hAnsi="Calibri" w:cs="Calibri"/>
                  <w:b w:val="0"/>
                  <w:i w:val="0"/>
                  <w:color w:val="000000"/>
                  <w:sz w:val="20"/>
                  <w:u w:val="none"/>
                  <w:shd w:val="clear" w:color="auto" w:fill="auto"/>
                </w:rPr>
                <w:t>30</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98b1ad25fa1b495a893e07cf306dc09b" w:history="1">
              <w:r>
                <w:rPr>
                  <w:rFonts w:ascii="Calibri" w:eastAsia="Calibri" w:hAnsi="Calibri" w:cs="Calibri"/>
                  <w:b w:val="0"/>
                  <w:i w:val="0"/>
                  <w:color w:val="000000"/>
                  <w:sz w:val="20"/>
                  <w:u w:val="none"/>
                  <w:shd w:val="clear" w:color="auto" w:fill="auto"/>
                </w:rPr>
                <w:t>3.24.-</w:t>
                <w:tab/>
                <w:t>Provisiones.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98b1ad25fa1b495a893e07cf306dc09b" w:history="1">
              <w:r>
                <w:rPr>
                  <w:rFonts w:ascii="Calibri" w:eastAsia="Calibri" w:hAnsi="Calibri" w:cs="Calibri"/>
                  <w:b w:val="0"/>
                  <w:i w:val="0"/>
                  <w:color w:val="000000"/>
                  <w:sz w:val="20"/>
                  <w:u w:val="none"/>
                  <w:shd w:val="clear" w:color="auto" w:fill="auto"/>
                </w:rPr>
                <w:t>31</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1e4855ca85ab481aa6ccaca868d26e0c" w:history="1">
              <w:r>
                <w:rPr>
                  <w:rFonts w:ascii="Calibri" w:eastAsia="Calibri" w:hAnsi="Calibri" w:cs="Calibri"/>
                  <w:b w:val="0"/>
                  <w:i w:val="0"/>
                  <w:color w:val="000000"/>
                  <w:sz w:val="20"/>
                  <w:u w:val="none"/>
                  <w:shd w:val="clear" w:color="auto" w:fill="auto"/>
                </w:rPr>
                <w:t>3.25.-</w:t>
                <w:tab/>
                <w:t>Subvenciones estatales.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1e4855ca85ab481aa6ccaca868d26e0c" w:history="1">
              <w:r>
                <w:rPr>
                  <w:rFonts w:ascii="Calibri" w:eastAsia="Calibri" w:hAnsi="Calibri" w:cs="Calibri"/>
                  <w:b w:val="0"/>
                  <w:i w:val="0"/>
                  <w:color w:val="000000"/>
                  <w:sz w:val="20"/>
                  <w:u w:val="none"/>
                  <w:shd w:val="clear" w:color="auto" w:fill="auto"/>
                </w:rPr>
                <w:t>32</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7f83c179c0b44e4b8a72ea5090f8a086" w:history="1">
              <w:r>
                <w:rPr>
                  <w:rFonts w:ascii="Calibri" w:eastAsia="Calibri" w:hAnsi="Calibri" w:cs="Calibri"/>
                  <w:b w:val="0"/>
                  <w:i w:val="0"/>
                  <w:color w:val="000000"/>
                  <w:sz w:val="20"/>
                  <w:u w:val="none"/>
                  <w:shd w:val="clear" w:color="auto" w:fill="auto"/>
                </w:rPr>
                <w:t>3.26.-</w:t>
                <w:tab/>
                <w:t>Clasificación de saldos en corrientes y no corrientes.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7f83c179c0b44e4b8a72ea5090f8a086" w:history="1">
              <w:r>
                <w:rPr>
                  <w:rFonts w:ascii="Calibri" w:eastAsia="Calibri" w:hAnsi="Calibri" w:cs="Calibri"/>
                  <w:b w:val="0"/>
                  <w:i w:val="0"/>
                  <w:color w:val="000000"/>
                  <w:sz w:val="20"/>
                  <w:u w:val="none"/>
                  <w:shd w:val="clear" w:color="auto" w:fill="auto"/>
                </w:rPr>
                <w:t>32</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6195e67c134f4c87b150c15fd39aad38" w:history="1">
              <w:r>
                <w:rPr>
                  <w:rFonts w:ascii="Calibri" w:eastAsia="Calibri" w:hAnsi="Calibri" w:cs="Calibri"/>
                  <w:b w:val="0"/>
                  <w:i w:val="0"/>
                  <w:color w:val="000000"/>
                  <w:sz w:val="20"/>
                  <w:u w:val="none"/>
                  <w:shd w:val="clear" w:color="auto" w:fill="auto"/>
                </w:rPr>
                <w:t>3.27.-</w:t>
                <w:tab/>
                <w:t>Reconocimiento de ingresos.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6195e67c134f4c87b150c15fd39aad38" w:history="1">
              <w:r>
                <w:rPr>
                  <w:rFonts w:ascii="Calibri" w:eastAsia="Calibri" w:hAnsi="Calibri" w:cs="Calibri"/>
                  <w:b w:val="0"/>
                  <w:i w:val="0"/>
                  <w:color w:val="000000"/>
                  <w:sz w:val="20"/>
                  <w:u w:val="none"/>
                  <w:shd w:val="clear" w:color="auto" w:fill="auto"/>
                </w:rPr>
                <w:t>32</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b5bc78290efb41b592ed94d78156bf77" w:history="1">
              <w:r>
                <w:rPr>
                  <w:rFonts w:ascii="Calibri" w:eastAsia="Calibri" w:hAnsi="Calibri" w:cs="Calibri"/>
                  <w:b w:val="0"/>
                  <w:i w:val="0"/>
                  <w:color w:val="000000"/>
                  <w:sz w:val="20"/>
                  <w:u w:val="none"/>
                  <w:shd w:val="clear" w:color="auto" w:fill="auto"/>
                </w:rPr>
                <w:t>3.28.-</w:t>
                <w:tab/>
                <w:t>Arrendamientos.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b5bc78290efb41b592ed94d78156bf77" w:history="1">
              <w:r>
                <w:rPr>
                  <w:rFonts w:ascii="Calibri" w:eastAsia="Calibri" w:hAnsi="Calibri" w:cs="Calibri"/>
                  <w:b w:val="0"/>
                  <w:i w:val="0"/>
                  <w:color w:val="000000"/>
                  <w:sz w:val="20"/>
                  <w:u w:val="none"/>
                  <w:shd w:val="clear" w:color="auto" w:fill="auto"/>
                </w:rPr>
                <w:t>34</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19fd32398cc348c2a81e6d7fcddbc863" w:history="1">
              <w:r>
                <w:rPr>
                  <w:rFonts w:ascii="Calibri" w:eastAsia="Calibri" w:hAnsi="Calibri" w:cs="Calibri"/>
                  <w:b w:val="0"/>
                  <w:i w:val="0"/>
                  <w:color w:val="000000"/>
                  <w:sz w:val="20"/>
                  <w:u w:val="none"/>
                  <w:shd w:val="clear" w:color="auto" w:fill="auto"/>
                </w:rPr>
                <w:t>3.29.-</w:t>
                <w:tab/>
                <w:t>Distribución de dividendos.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19fd32398cc348c2a81e6d7fcddbc863" w:history="1">
              <w:r>
                <w:rPr>
                  <w:rFonts w:ascii="Calibri" w:eastAsia="Calibri" w:hAnsi="Calibri" w:cs="Calibri"/>
                  <w:b w:val="0"/>
                  <w:i w:val="0"/>
                  <w:color w:val="000000"/>
                  <w:sz w:val="20"/>
                  <w:u w:val="none"/>
                  <w:shd w:val="clear" w:color="auto" w:fill="auto"/>
                </w:rPr>
                <w:t>34</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79a7a6226abe43f4b92122fd11559057" w:history="1">
              <w:r>
                <w:rPr>
                  <w:rFonts w:ascii="Calibri" w:eastAsia="Calibri" w:hAnsi="Calibri" w:cs="Calibri"/>
                  <w:b w:val="0"/>
                  <w:i w:val="0"/>
                  <w:color w:val="000000"/>
                  <w:sz w:val="20"/>
                  <w:u w:val="none"/>
                  <w:shd w:val="clear" w:color="auto" w:fill="auto"/>
                </w:rPr>
                <w:t>3.30.-</w:t>
                <w:tab/>
                <w:t>Costo de ventas.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79a7a6226abe43f4b92122fd11559057" w:history="1">
              <w:r>
                <w:rPr>
                  <w:rFonts w:ascii="Calibri" w:eastAsia="Calibri" w:hAnsi="Calibri" w:cs="Calibri"/>
                  <w:b w:val="0"/>
                  <w:i w:val="0"/>
                  <w:color w:val="000000"/>
                  <w:sz w:val="20"/>
                  <w:u w:val="none"/>
                  <w:shd w:val="clear" w:color="auto" w:fill="auto"/>
                </w:rPr>
                <w:t>35</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46a3aa1ee82f49bfb3c3993896c4416c" w:history="1">
              <w:r>
                <w:rPr>
                  <w:rFonts w:ascii="Calibri" w:eastAsia="Calibri" w:hAnsi="Calibri" w:cs="Calibri"/>
                  <w:b w:val="0"/>
                  <w:i w:val="0"/>
                  <w:color w:val="000000"/>
                  <w:sz w:val="20"/>
                  <w:u w:val="none"/>
                  <w:shd w:val="clear" w:color="auto" w:fill="auto"/>
                </w:rPr>
                <w:t>3.31.-</w:t>
                <w:tab/>
                <w:t>Estado de flujos de efectivo.</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46a3aa1ee82f49bfb3c3993896c4416c" w:history="1">
              <w:r>
                <w:rPr>
                  <w:rFonts w:ascii="Calibri" w:eastAsia="Calibri" w:hAnsi="Calibri" w:cs="Calibri"/>
                  <w:b w:val="0"/>
                  <w:i w:val="0"/>
                  <w:color w:val="000000"/>
                  <w:sz w:val="20"/>
                  <w:u w:val="none"/>
                  <w:shd w:val="clear" w:color="auto" w:fill="auto"/>
                </w:rPr>
                <w:t>35</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fcb00dce107148dfa851befe56b2de84" w:history="1">
              <w:r>
                <w:rPr>
                  <w:rFonts w:ascii="Calibri" w:eastAsia="Calibri" w:hAnsi="Calibri" w:cs="Calibri"/>
                  <w:b w:val="0"/>
                  <w:i w:val="0"/>
                  <w:color w:val="000000"/>
                  <w:sz w:val="20"/>
                  <w:u w:val="none"/>
                  <w:shd w:val="clear" w:color="auto" w:fill="auto"/>
                </w:rPr>
                <w:t>4.-</w:t>
                <w:tab/>
                <w:t>ESTIMACIONES Y JUICIOS O CRITERIOS CRÍTICOS DE LA ADMINISTRACIÓN.</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fcb00dce107148dfa851befe56b2de84" w:history="1">
              <w:r>
                <w:rPr>
                  <w:rFonts w:ascii="Calibri" w:eastAsia="Calibri" w:hAnsi="Calibri" w:cs="Calibri"/>
                  <w:b w:val="0"/>
                  <w:i w:val="0"/>
                  <w:color w:val="000000"/>
                  <w:sz w:val="20"/>
                  <w:u w:val="none"/>
                  <w:shd w:val="clear" w:color="auto" w:fill="auto"/>
                </w:rPr>
                <w:t>35</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2d1d6f6b577743bb882fb9b7a27481b8" w:history="1">
              <w:r>
                <w:rPr>
                  <w:rFonts w:ascii="Calibri" w:eastAsia="Calibri" w:hAnsi="Calibri" w:cs="Calibri"/>
                  <w:b w:val="0"/>
                  <w:i w:val="0"/>
                  <w:color w:val="000000"/>
                  <w:sz w:val="20"/>
                  <w:u w:val="none"/>
                  <w:shd w:val="clear" w:color="auto" w:fill="auto"/>
                </w:rPr>
                <w:t>4.1.-</w:t>
                <w:tab/>
                <w:t xml:space="preserve">Estimación del deterioro de la plusvalía comprada y activos no corrientes de vida útil indefinida. </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2d1d6f6b577743bb882fb9b7a27481b8" w:history="1">
              <w:r>
                <w:rPr>
                  <w:rFonts w:ascii="Calibri" w:eastAsia="Calibri" w:hAnsi="Calibri" w:cs="Calibri"/>
                  <w:b w:val="0"/>
                  <w:i w:val="0"/>
                  <w:color w:val="000000"/>
                  <w:sz w:val="20"/>
                  <w:u w:val="none"/>
                  <w:shd w:val="clear" w:color="auto" w:fill="auto"/>
                </w:rPr>
                <w:t>35</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81c695db1a7741f2a13efa6ca16a614d" w:history="1">
              <w:r>
                <w:rPr>
                  <w:rFonts w:ascii="Calibri" w:eastAsia="Calibri" w:hAnsi="Calibri" w:cs="Calibri"/>
                  <w:b w:val="0"/>
                  <w:i w:val="0"/>
                  <w:color w:val="000000"/>
                  <w:sz w:val="20"/>
                  <w:u w:val="none"/>
                  <w:shd w:val="clear" w:color="auto" w:fill="auto"/>
                </w:rPr>
                <w:t>4.2.-</w:t>
                <w:tab/>
                <w:t>Valor razonable de derivados y de otros instrumentos financieros.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81c695db1a7741f2a13efa6ca16a614d" w:history="1">
              <w:r>
                <w:rPr>
                  <w:rFonts w:ascii="Calibri" w:eastAsia="Calibri" w:hAnsi="Calibri" w:cs="Calibri"/>
                  <w:b w:val="0"/>
                  <w:i w:val="0"/>
                  <w:color w:val="000000"/>
                  <w:sz w:val="20"/>
                  <w:u w:val="none"/>
                  <w:shd w:val="clear" w:color="auto" w:fill="auto"/>
                </w:rPr>
                <w:t>35</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f4c3008fc126470aa0e0080eca0bea2b" w:history="1">
              <w:r>
                <w:rPr>
                  <w:rFonts w:ascii="Calibri" w:eastAsia="Calibri" w:hAnsi="Calibri" w:cs="Calibri"/>
                  <w:b w:val="0"/>
                  <w:i w:val="0"/>
                  <w:color w:val="000000"/>
                  <w:sz w:val="20"/>
                  <w:u w:val="none"/>
                  <w:shd w:val="clear" w:color="auto" w:fill="auto"/>
                </w:rPr>
                <w:t>4.3.-</w:t>
                <w:tab/>
                <w:t>Beneficios por Indemnizaciones por cese pactadas (PIAS) y premios por antigüedad.</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f4c3008fc126470aa0e0080eca0bea2b" w:history="1">
              <w:r>
                <w:rPr>
                  <w:rFonts w:ascii="Calibri" w:eastAsia="Calibri" w:hAnsi="Calibri" w:cs="Calibri"/>
                  <w:b w:val="0"/>
                  <w:i w:val="0"/>
                  <w:color w:val="000000"/>
                  <w:sz w:val="20"/>
                  <w:u w:val="none"/>
                  <w:shd w:val="clear" w:color="auto" w:fill="auto"/>
                </w:rPr>
                <w:t>36</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371f6a1d7d004825852d3dedb4a54344" w:history="1">
              <w:r>
                <w:rPr>
                  <w:rFonts w:ascii="Calibri" w:eastAsia="Calibri" w:hAnsi="Calibri" w:cs="Calibri"/>
                  <w:b w:val="0"/>
                  <w:i w:val="0"/>
                  <w:color w:val="000000"/>
                  <w:sz w:val="20"/>
                  <w:u w:val="none"/>
                  <w:shd w:val="clear" w:color="auto" w:fill="auto"/>
                </w:rPr>
                <w:t>4.4.-</w:t>
                <w:tab/>
                <w:t>Reconocimiento de ingresos - Efectos de Precios de Transmisión.</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371f6a1d7d004825852d3dedb4a54344" w:history="1">
              <w:r>
                <w:rPr>
                  <w:rFonts w:ascii="Calibri" w:eastAsia="Calibri" w:hAnsi="Calibri" w:cs="Calibri"/>
                  <w:b w:val="0"/>
                  <w:i w:val="0"/>
                  <w:color w:val="000000"/>
                  <w:sz w:val="20"/>
                  <w:u w:val="none"/>
                  <w:shd w:val="clear" w:color="auto" w:fill="auto"/>
                </w:rPr>
                <w:t>36</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4f40b28e2f3e4d5292abd8a05c76cc11" w:history="1">
              <w:r>
                <w:rPr>
                  <w:rFonts w:ascii="Calibri" w:eastAsia="Calibri" w:hAnsi="Calibri" w:cs="Calibri"/>
                  <w:b w:val="0"/>
                  <w:i w:val="0"/>
                  <w:color w:val="000000"/>
                  <w:sz w:val="20"/>
                  <w:u w:val="none"/>
                  <w:shd w:val="clear" w:color="auto" w:fill="auto"/>
                </w:rPr>
                <w:t>5.-</w:t>
                <w:tab/>
                <w:t>POLÍTICA DE GESTIÓN DE RIESGOS.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4f40b28e2f3e4d5292abd8a05c76cc11" w:history="1">
              <w:r>
                <w:rPr>
                  <w:rFonts w:ascii="Calibri" w:eastAsia="Calibri" w:hAnsi="Calibri" w:cs="Calibri"/>
                  <w:b w:val="0"/>
                  <w:i w:val="0"/>
                  <w:color w:val="000000"/>
                  <w:sz w:val="20"/>
                  <w:u w:val="none"/>
                  <w:shd w:val="clear" w:color="auto" w:fill="auto"/>
                </w:rPr>
                <w:t>37</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760fa27f0bf848e98ee2b521ca2798bb" w:history="1">
              <w:r>
                <w:rPr>
                  <w:rFonts w:ascii="Calibri" w:eastAsia="Calibri" w:hAnsi="Calibri" w:cs="Calibri"/>
                  <w:b w:val="0"/>
                  <w:i w:val="0"/>
                  <w:color w:val="000000"/>
                  <w:sz w:val="20"/>
                  <w:u w:val="none"/>
                  <w:shd w:val="clear" w:color="auto" w:fill="auto"/>
                </w:rPr>
                <w:t>5.1.-</w:t>
                <w:tab/>
                <w:t xml:space="preserve">Riesgo financiero. </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760fa27f0bf848e98ee2b521ca2798bb" w:history="1">
              <w:r>
                <w:rPr>
                  <w:rFonts w:ascii="Calibri" w:eastAsia="Calibri" w:hAnsi="Calibri" w:cs="Calibri"/>
                  <w:b w:val="0"/>
                  <w:i w:val="0"/>
                  <w:color w:val="000000"/>
                  <w:sz w:val="20"/>
                  <w:u w:val="none"/>
                  <w:shd w:val="clear" w:color="auto" w:fill="auto"/>
                </w:rPr>
                <w:t>37</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aacd97d17c6c47f3a8e9b5553bb41b1b" w:history="1">
              <w:r>
                <w:rPr>
                  <w:rFonts w:ascii="Calibri" w:eastAsia="Calibri" w:hAnsi="Calibri" w:cs="Calibri"/>
                  <w:b w:val="0"/>
                  <w:i w:val="0"/>
                  <w:color w:val="000000"/>
                  <w:sz w:val="20"/>
                  <w:u w:val="none"/>
                  <w:shd w:val="clear" w:color="auto" w:fill="auto"/>
                </w:rPr>
                <w:t>6.-</w:t>
                <w:tab/>
                <w:t>EFECTIVO Y EQUIVALENTES AL EFECTIVO.</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aacd97d17c6c47f3a8e9b5553bb41b1b" w:history="1">
              <w:r>
                <w:rPr>
                  <w:rFonts w:ascii="Calibri" w:eastAsia="Calibri" w:hAnsi="Calibri" w:cs="Calibri"/>
                  <w:b w:val="0"/>
                  <w:i w:val="0"/>
                  <w:color w:val="000000"/>
                  <w:sz w:val="20"/>
                  <w:u w:val="none"/>
                  <w:shd w:val="clear" w:color="auto" w:fill="auto"/>
                </w:rPr>
                <w:t>45</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8b8723e7f2674abeb1e00bb22d3f0478" w:history="1">
              <w:r>
                <w:rPr>
                  <w:rFonts w:ascii="Calibri" w:eastAsia="Calibri" w:hAnsi="Calibri" w:cs="Calibri"/>
                  <w:b w:val="0"/>
                  <w:i w:val="0"/>
                  <w:color w:val="000000"/>
                  <w:sz w:val="20"/>
                  <w:u w:val="none"/>
                  <w:shd w:val="clear" w:color="auto" w:fill="auto"/>
                </w:rPr>
                <w:t>6.1.-</w:t>
                <w:tab/>
                <w:t>Composición del rubro.</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8b8723e7f2674abeb1e00bb22d3f0478" w:history="1">
              <w:r>
                <w:rPr>
                  <w:rFonts w:ascii="Calibri" w:eastAsia="Calibri" w:hAnsi="Calibri" w:cs="Calibri"/>
                  <w:b w:val="0"/>
                  <w:i w:val="0"/>
                  <w:color w:val="000000"/>
                  <w:sz w:val="20"/>
                  <w:u w:val="none"/>
                  <w:shd w:val="clear" w:color="auto" w:fill="auto"/>
                </w:rPr>
                <w:t>45</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f75a7be1739f4059b4dc67fa4f7909c6" w:history="1">
              <w:r>
                <w:rPr>
                  <w:rFonts w:ascii="Calibri" w:eastAsia="Calibri" w:hAnsi="Calibri" w:cs="Calibri"/>
                  <w:b w:val="0"/>
                  <w:i w:val="0"/>
                  <w:color w:val="000000"/>
                  <w:sz w:val="20"/>
                  <w:u w:val="none"/>
                  <w:shd w:val="clear" w:color="auto" w:fill="auto"/>
                </w:rPr>
                <w:t>6.2.-</w:t>
                <w:tab/>
                <w:t>Detalles flujos de efectivo.</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f75a7be1739f4059b4dc67fa4f7909c6" w:history="1">
              <w:r>
                <w:rPr>
                  <w:rFonts w:ascii="Calibri" w:eastAsia="Calibri" w:hAnsi="Calibri" w:cs="Calibri"/>
                  <w:b w:val="0"/>
                  <w:i w:val="0"/>
                  <w:color w:val="000000"/>
                  <w:sz w:val="20"/>
                  <w:u w:val="none"/>
                  <w:shd w:val="clear" w:color="auto" w:fill="auto"/>
                </w:rPr>
                <w:t>46</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de388d0b86434db1a255824099f909ae" w:history="1">
              <w:r>
                <w:rPr>
                  <w:rFonts w:ascii="Calibri" w:eastAsia="Calibri" w:hAnsi="Calibri" w:cs="Calibri"/>
                  <w:b w:val="0"/>
                  <w:i w:val="0"/>
                  <w:color w:val="000000"/>
                  <w:sz w:val="20"/>
                  <w:u w:val="none"/>
                  <w:shd w:val="clear" w:color="auto" w:fill="auto"/>
                </w:rPr>
                <w:t>6.3.-</w:t>
                <w:tab/>
                <w:t>Conciliación de los pasivos que surgen de las actividades de financiamiento.</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de388d0b86434db1a255824099f909ae" w:history="1">
              <w:r>
                <w:rPr>
                  <w:rFonts w:ascii="Calibri" w:eastAsia="Calibri" w:hAnsi="Calibri" w:cs="Calibri"/>
                  <w:b w:val="0"/>
                  <w:i w:val="0"/>
                  <w:color w:val="000000"/>
                  <w:sz w:val="20"/>
                  <w:u w:val="none"/>
                  <w:shd w:val="clear" w:color="auto" w:fill="auto"/>
                </w:rPr>
                <w:t>47</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3af0e1824e6045a0a283b3a42ade2668" w:history="1">
              <w:r>
                <w:rPr>
                  <w:rFonts w:ascii="Calibri" w:eastAsia="Calibri" w:hAnsi="Calibri" w:cs="Calibri"/>
                  <w:b w:val="0"/>
                  <w:i w:val="0"/>
                  <w:color w:val="000000"/>
                  <w:sz w:val="20"/>
                  <w:u w:val="none"/>
                  <w:shd w:val="clear" w:color="auto" w:fill="auto"/>
                </w:rPr>
                <w:t>7.-</w:t>
                <w:tab/>
                <w:t>ACTIVOS Y PASIVOS FINANCIEROS.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3af0e1824e6045a0a283b3a42ade2668" w:history="1">
              <w:r>
                <w:rPr>
                  <w:rFonts w:ascii="Calibri" w:eastAsia="Calibri" w:hAnsi="Calibri" w:cs="Calibri"/>
                  <w:b w:val="0"/>
                  <w:i w:val="0"/>
                  <w:color w:val="000000"/>
                  <w:sz w:val="20"/>
                  <w:u w:val="none"/>
                  <w:shd w:val="clear" w:color="auto" w:fill="auto"/>
                </w:rPr>
                <w:t>48</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750c6eedc2444e718f1055cf6ae080fc" w:history="1">
              <w:r>
                <w:rPr>
                  <w:rFonts w:ascii="Calibri" w:eastAsia="Calibri" w:hAnsi="Calibri" w:cs="Calibri"/>
                  <w:b w:val="0"/>
                  <w:i w:val="0"/>
                  <w:color w:val="000000"/>
                  <w:sz w:val="20"/>
                  <w:u w:val="none"/>
                  <w:shd w:val="clear" w:color="auto" w:fill="auto"/>
                </w:rPr>
                <w:t>7.1.-</w:t>
                <w:tab/>
                <w:t xml:space="preserve">Activos y pasivos de cobertura. </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750c6eedc2444e718f1055cf6ae080fc" w:history="1">
              <w:r>
                <w:rPr>
                  <w:rFonts w:ascii="Calibri" w:eastAsia="Calibri" w:hAnsi="Calibri" w:cs="Calibri"/>
                  <w:b w:val="0"/>
                  <w:i w:val="0"/>
                  <w:color w:val="000000"/>
                  <w:sz w:val="20"/>
                  <w:u w:val="none"/>
                  <w:shd w:val="clear" w:color="auto" w:fill="auto"/>
                </w:rPr>
                <w:t>48</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62af21fbe6e24cfe94dcd0b1e4fdfc47" w:history="1">
              <w:r>
                <w:rPr>
                  <w:rFonts w:ascii="Calibri" w:eastAsia="Calibri" w:hAnsi="Calibri" w:cs="Calibri"/>
                  <w:b w:val="0"/>
                  <w:i w:val="0"/>
                  <w:color w:val="000000"/>
                  <w:sz w:val="20"/>
                  <w:u w:val="none"/>
                  <w:shd w:val="clear" w:color="auto" w:fill="auto"/>
                </w:rPr>
                <w:t>7.2.-</w:t>
                <w:tab/>
                <w:t>Jerarquías del valor razonable.</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62af21fbe6e24cfe94dcd0b1e4fdfc47" w:history="1">
              <w:r>
                <w:rPr>
                  <w:rFonts w:ascii="Calibri" w:eastAsia="Calibri" w:hAnsi="Calibri" w:cs="Calibri"/>
                  <w:b w:val="0"/>
                  <w:i w:val="0"/>
                  <w:color w:val="000000"/>
                  <w:sz w:val="20"/>
                  <w:u w:val="none"/>
                  <w:shd w:val="clear" w:color="auto" w:fill="auto"/>
                </w:rPr>
                <w:t>49</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c745eea9c52a43b2a2e40636c62a992d" w:history="1">
              <w:r>
                <w:rPr>
                  <w:rFonts w:ascii="Calibri" w:eastAsia="Calibri" w:hAnsi="Calibri" w:cs="Calibri"/>
                  <w:b w:val="0"/>
                  <w:i w:val="0"/>
                  <w:color w:val="000000"/>
                  <w:sz w:val="20"/>
                  <w:u w:val="none"/>
                  <w:shd w:val="clear" w:color="auto" w:fill="auto"/>
                </w:rPr>
                <w:t xml:space="preserve">7.3.- </w:t>
                <w:tab/>
                <w:t>Categorías de activos y pasivos financieros.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c745eea9c52a43b2a2e40636c62a992d" w:history="1">
              <w:r>
                <w:rPr>
                  <w:rFonts w:ascii="Calibri" w:eastAsia="Calibri" w:hAnsi="Calibri" w:cs="Calibri"/>
                  <w:b w:val="0"/>
                  <w:i w:val="0"/>
                  <w:color w:val="000000"/>
                  <w:sz w:val="20"/>
                  <w:u w:val="none"/>
                  <w:shd w:val="clear" w:color="auto" w:fill="auto"/>
                </w:rPr>
                <w:t>50</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94c18924cccb4a35bef7b9359cacbce5" w:history="1">
              <w:r>
                <w:rPr>
                  <w:rFonts w:ascii="Calibri" w:eastAsia="Calibri" w:hAnsi="Calibri" w:cs="Calibri"/>
                  <w:b w:val="0"/>
                  <w:i w:val="0"/>
                  <w:color w:val="000000"/>
                  <w:sz w:val="20"/>
                  <w:u w:val="none"/>
                  <w:shd w:val="clear" w:color="auto" w:fill="auto"/>
                </w:rPr>
                <w:t>8.-</w:t>
                <w:tab/>
                <w:t>DEUDORES COMERCIALES Y OTRAS CUENTAS POR COBRAR.</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94c18924cccb4a35bef7b9359cacbce5" w:history="1">
              <w:r>
                <w:rPr>
                  <w:rFonts w:ascii="Calibri" w:eastAsia="Calibri" w:hAnsi="Calibri" w:cs="Calibri"/>
                  <w:b w:val="0"/>
                  <w:i w:val="0"/>
                  <w:color w:val="000000"/>
                  <w:sz w:val="20"/>
                  <w:u w:val="none"/>
                  <w:shd w:val="clear" w:color="auto" w:fill="auto"/>
                </w:rPr>
                <w:t>51</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d6d259d048a84e43a0cbe554bee07351" w:history="1">
              <w:r>
                <w:rPr>
                  <w:rFonts w:ascii="Calibri" w:eastAsia="Calibri" w:hAnsi="Calibri" w:cs="Calibri"/>
                  <w:b w:val="0"/>
                  <w:i w:val="0"/>
                  <w:color w:val="000000"/>
                  <w:sz w:val="20"/>
                  <w:u w:val="none"/>
                  <w:shd w:val="clear" w:color="auto" w:fill="auto"/>
                </w:rPr>
                <w:t>8.1.-</w:t>
                <w:tab/>
                <w:t>Composición del rubro.</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d6d259d048a84e43a0cbe554bee07351" w:history="1">
              <w:r>
                <w:rPr>
                  <w:rFonts w:ascii="Calibri" w:eastAsia="Calibri" w:hAnsi="Calibri" w:cs="Calibri"/>
                  <w:b w:val="0"/>
                  <w:i w:val="0"/>
                  <w:color w:val="000000"/>
                  <w:sz w:val="20"/>
                  <w:u w:val="none"/>
                  <w:shd w:val="clear" w:color="auto" w:fill="auto"/>
                </w:rPr>
                <w:t>51</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80932c5b3cc14d34b3d6b6f6f4f16e5a" w:history="1">
              <w:r>
                <w:rPr>
                  <w:rFonts w:ascii="Calibri" w:eastAsia="Calibri" w:hAnsi="Calibri" w:cs="Calibri"/>
                  <w:b w:val="0"/>
                  <w:i w:val="0"/>
                  <w:color w:val="000000"/>
                  <w:sz w:val="20"/>
                  <w:u w:val="none"/>
                  <w:shd w:val="clear" w:color="auto" w:fill="auto"/>
                </w:rPr>
                <w:t>8.2.-</w:t>
                <w:tab/>
                <w:t>Estratificación de la cartera.</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80932c5b3cc14d34b3d6b6f6f4f16e5a" w:history="1">
              <w:r>
                <w:rPr>
                  <w:rFonts w:ascii="Calibri" w:eastAsia="Calibri" w:hAnsi="Calibri" w:cs="Calibri"/>
                  <w:b w:val="0"/>
                  <w:i w:val="0"/>
                  <w:color w:val="000000"/>
                  <w:sz w:val="20"/>
                  <w:u w:val="none"/>
                  <w:shd w:val="clear" w:color="auto" w:fill="auto"/>
                </w:rPr>
                <w:t>54</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a82a8f17ddb54c689c2513ce0d8c99e1" w:history="1">
              <w:r>
                <w:rPr>
                  <w:rFonts w:ascii="Calibri" w:eastAsia="Calibri" w:hAnsi="Calibri" w:cs="Calibri"/>
                  <w:b w:val="0"/>
                  <w:i w:val="0"/>
                  <w:color w:val="000000"/>
                  <w:sz w:val="20"/>
                  <w:u w:val="none"/>
                  <w:shd w:val="clear" w:color="auto" w:fill="auto"/>
                </w:rPr>
                <w:t>8.3.-</w:t>
                <w:tab/>
                <w:t>Resumen de estratificación de la cartera deudores comerciales.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a82a8f17ddb54c689c2513ce0d8c99e1" w:history="1">
              <w:r>
                <w:rPr>
                  <w:rFonts w:ascii="Calibri" w:eastAsia="Calibri" w:hAnsi="Calibri" w:cs="Calibri"/>
                  <w:b w:val="0"/>
                  <w:i w:val="0"/>
                  <w:color w:val="000000"/>
                  <w:sz w:val="20"/>
                  <w:u w:val="none"/>
                  <w:shd w:val="clear" w:color="auto" w:fill="auto"/>
                </w:rPr>
                <w:t>55</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d261dd71a67543389207bf3e77cd018e" w:history="1">
              <w:r>
                <w:rPr>
                  <w:rFonts w:ascii="Calibri" w:eastAsia="Calibri" w:hAnsi="Calibri" w:cs="Calibri"/>
                  <w:b w:val="0"/>
                  <w:i w:val="0"/>
                  <w:color w:val="000000"/>
                  <w:sz w:val="20"/>
                  <w:u w:val="none"/>
                  <w:shd w:val="clear" w:color="auto" w:fill="auto"/>
                </w:rPr>
                <w:t>8.4.-</w:t>
                <w:tab/>
                <w:t>Cartera protestada y en cobranza judicial.</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d261dd71a67543389207bf3e77cd018e" w:history="1">
              <w:r>
                <w:rPr>
                  <w:rFonts w:ascii="Calibri" w:eastAsia="Calibri" w:hAnsi="Calibri" w:cs="Calibri"/>
                  <w:b w:val="0"/>
                  <w:i w:val="0"/>
                  <w:color w:val="000000"/>
                  <w:sz w:val="20"/>
                  <w:u w:val="none"/>
                  <w:shd w:val="clear" w:color="auto" w:fill="auto"/>
                </w:rPr>
                <w:t>58</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074a0312431f4ee78ee8de0443aa37e6" w:history="1">
              <w:r>
                <w:rPr>
                  <w:rFonts w:ascii="Calibri" w:eastAsia="Calibri" w:hAnsi="Calibri" w:cs="Calibri"/>
                  <w:b w:val="0"/>
                  <w:i w:val="0"/>
                  <w:color w:val="000000"/>
                  <w:sz w:val="20"/>
                  <w:u w:val="none"/>
                  <w:shd w:val="clear" w:color="auto" w:fill="auto"/>
                </w:rPr>
                <w:t>8.5.-</w:t>
                <w:tab/>
                <w:t>Provisión y castigos.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074a0312431f4ee78ee8de0443aa37e6" w:history="1">
              <w:r>
                <w:rPr>
                  <w:rFonts w:ascii="Calibri" w:eastAsia="Calibri" w:hAnsi="Calibri" w:cs="Calibri"/>
                  <w:b w:val="0"/>
                  <w:i w:val="0"/>
                  <w:color w:val="000000"/>
                  <w:sz w:val="20"/>
                  <w:u w:val="none"/>
                  <w:shd w:val="clear" w:color="auto" w:fill="auto"/>
                </w:rPr>
                <w:t>58</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f75972f71c3346b3a04f00fa0729d5a0" w:history="1">
              <w:r>
                <w:rPr>
                  <w:rFonts w:ascii="Calibri" w:eastAsia="Calibri" w:hAnsi="Calibri" w:cs="Calibri"/>
                  <w:b w:val="0"/>
                  <w:i w:val="0"/>
                  <w:color w:val="000000"/>
                  <w:sz w:val="20"/>
                  <w:u w:val="none"/>
                  <w:shd w:val="clear" w:color="auto" w:fill="auto"/>
                </w:rPr>
                <w:t xml:space="preserve">8.6.- </w:t>
                <w:tab/>
                <w:t>Número y monto de operaciones.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f75972f71c3346b3a04f00fa0729d5a0" w:history="1">
              <w:r>
                <w:rPr>
                  <w:rFonts w:ascii="Calibri" w:eastAsia="Calibri" w:hAnsi="Calibri" w:cs="Calibri"/>
                  <w:b w:val="0"/>
                  <w:i w:val="0"/>
                  <w:color w:val="000000"/>
                  <w:sz w:val="20"/>
                  <w:u w:val="none"/>
                  <w:shd w:val="clear" w:color="auto" w:fill="auto"/>
                </w:rPr>
                <w:t>58</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f262f8c949954ff3b91db4f2af223b9d" w:history="1">
              <w:r>
                <w:rPr>
                  <w:rFonts w:ascii="Calibri" w:eastAsia="Calibri" w:hAnsi="Calibri" w:cs="Calibri"/>
                  <w:b w:val="0"/>
                  <w:i w:val="0"/>
                  <w:color w:val="000000"/>
                  <w:sz w:val="20"/>
                  <w:u w:val="none"/>
                  <w:shd w:val="clear" w:color="auto" w:fill="auto"/>
                </w:rPr>
                <w:t>9.-</w:t>
                <w:tab/>
                <w:t>CUENTAS POR COBRAR Y PAGAR A ENTIDADES RELACIONADAS.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f262f8c949954ff3b91db4f2af223b9d" w:history="1">
              <w:r>
                <w:rPr>
                  <w:rFonts w:ascii="Calibri" w:eastAsia="Calibri" w:hAnsi="Calibri" w:cs="Calibri"/>
                  <w:b w:val="0"/>
                  <w:i w:val="0"/>
                  <w:color w:val="000000"/>
                  <w:sz w:val="20"/>
                  <w:u w:val="none"/>
                  <w:shd w:val="clear" w:color="auto" w:fill="auto"/>
                </w:rPr>
                <w:t>59</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cf795a9dd25d456f98b5f62460ef64aa" w:history="1">
              <w:r>
                <w:rPr>
                  <w:rFonts w:ascii="Calibri" w:eastAsia="Calibri" w:hAnsi="Calibri" w:cs="Calibri"/>
                  <w:b w:val="0"/>
                  <w:i w:val="0"/>
                  <w:color w:val="000000"/>
                  <w:sz w:val="20"/>
                  <w:u w:val="none"/>
                  <w:shd w:val="clear" w:color="auto" w:fill="auto"/>
                </w:rPr>
                <w:t>9.1.-</w:t>
                <w:tab/>
                <w:t>Saldos y transacciones con entidades relacionadas.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cf795a9dd25d456f98b5f62460ef64aa" w:history="1">
              <w:r>
                <w:rPr>
                  <w:rFonts w:ascii="Calibri" w:eastAsia="Calibri" w:hAnsi="Calibri" w:cs="Calibri"/>
                  <w:b w:val="0"/>
                  <w:i w:val="0"/>
                  <w:color w:val="000000"/>
                  <w:sz w:val="20"/>
                  <w:u w:val="none"/>
                  <w:shd w:val="clear" w:color="auto" w:fill="auto"/>
                </w:rPr>
                <w:t>60</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7a8c93bcbebc4be39d356c268ea05961" w:history="1">
              <w:r>
                <w:rPr>
                  <w:rFonts w:ascii="Calibri" w:eastAsia="Calibri" w:hAnsi="Calibri" w:cs="Calibri"/>
                  <w:b w:val="0"/>
                  <w:i w:val="0"/>
                  <w:color w:val="000000"/>
                  <w:sz w:val="20"/>
                  <w:u w:val="none"/>
                  <w:shd w:val="clear" w:color="auto" w:fill="auto"/>
                </w:rPr>
                <w:t>9.2.-</w:t>
                <w:tab/>
                <w:t>Directorio y gerencia de la sociedad.</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7a8c93bcbebc4be39d356c268ea05961" w:history="1">
              <w:r>
                <w:rPr>
                  <w:rFonts w:ascii="Calibri" w:eastAsia="Calibri" w:hAnsi="Calibri" w:cs="Calibri"/>
                  <w:b w:val="0"/>
                  <w:i w:val="0"/>
                  <w:color w:val="000000"/>
                  <w:sz w:val="20"/>
                  <w:u w:val="none"/>
                  <w:shd w:val="clear" w:color="auto" w:fill="auto"/>
                </w:rPr>
                <w:t>65</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fed7216370d54f25a2dc52746b1977b7" w:history="1">
              <w:r>
                <w:rPr>
                  <w:rFonts w:ascii="Calibri" w:eastAsia="Calibri" w:hAnsi="Calibri" w:cs="Calibri"/>
                  <w:b w:val="0"/>
                  <w:i w:val="0"/>
                  <w:color w:val="000000"/>
                  <w:sz w:val="20"/>
                  <w:u w:val="none"/>
                  <w:shd w:val="clear" w:color="auto" w:fill="auto"/>
                </w:rPr>
                <w:t>10.-</w:t>
                <w:tab/>
                <w:t>INVENTARIOS.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fed7216370d54f25a2dc52746b1977b7" w:history="1">
              <w:r>
                <w:rPr>
                  <w:rFonts w:ascii="Calibri" w:eastAsia="Calibri" w:hAnsi="Calibri" w:cs="Calibri"/>
                  <w:b w:val="0"/>
                  <w:i w:val="0"/>
                  <w:color w:val="000000"/>
                  <w:sz w:val="20"/>
                  <w:u w:val="none"/>
                  <w:shd w:val="clear" w:color="auto" w:fill="auto"/>
                </w:rPr>
                <w:t>66</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14125d8a0f9843bbb1cb6d952a1dabaf" w:history="1">
              <w:r>
                <w:rPr>
                  <w:rFonts w:ascii="Calibri" w:eastAsia="Calibri" w:hAnsi="Calibri" w:cs="Calibri"/>
                  <w:b w:val="0"/>
                  <w:i w:val="0"/>
                  <w:color w:val="000000"/>
                  <w:sz w:val="20"/>
                  <w:u w:val="none"/>
                  <w:shd w:val="clear" w:color="auto" w:fill="auto"/>
                </w:rPr>
                <w:t xml:space="preserve"> 10.1.-</w:t>
                <w:tab/>
                <w:t>Información adicional de inventarios.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14125d8a0f9843bbb1cb6d952a1dabaf" w:history="1">
              <w:r>
                <w:rPr>
                  <w:rFonts w:ascii="Calibri" w:eastAsia="Calibri" w:hAnsi="Calibri" w:cs="Calibri"/>
                  <w:b w:val="0"/>
                  <w:i w:val="0"/>
                  <w:color w:val="000000"/>
                  <w:sz w:val="20"/>
                  <w:u w:val="none"/>
                  <w:shd w:val="clear" w:color="auto" w:fill="auto"/>
                </w:rPr>
                <w:t>66</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886d675eadda4d08a0d40676ae3c553b" w:history="1">
              <w:r>
                <w:rPr>
                  <w:rFonts w:ascii="Calibri" w:eastAsia="Calibri" w:hAnsi="Calibri" w:cs="Calibri"/>
                  <w:b w:val="0"/>
                  <w:i w:val="0"/>
                  <w:color w:val="000000"/>
                  <w:sz w:val="20"/>
                  <w:u w:val="none"/>
                  <w:shd w:val="clear" w:color="auto" w:fill="auto"/>
                </w:rPr>
                <w:t>11.-</w:t>
                <w:tab/>
                <w:t>ACTIVOS, PASIVOS POR IMPUESTOS.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886d675eadda4d08a0d40676ae3c553b" w:history="1">
              <w:r>
                <w:rPr>
                  <w:rFonts w:ascii="Calibri" w:eastAsia="Calibri" w:hAnsi="Calibri" w:cs="Calibri"/>
                  <w:b w:val="0"/>
                  <w:i w:val="0"/>
                  <w:color w:val="000000"/>
                  <w:sz w:val="20"/>
                  <w:u w:val="none"/>
                  <w:shd w:val="clear" w:color="auto" w:fill="auto"/>
                </w:rPr>
                <w:t>67</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837d9131da8141c5939adeb314f42d40" w:history="1">
              <w:r>
                <w:rPr>
                  <w:rFonts w:ascii="Calibri" w:eastAsia="Calibri" w:hAnsi="Calibri" w:cs="Calibri"/>
                  <w:b w:val="0"/>
                  <w:i w:val="0"/>
                  <w:color w:val="000000"/>
                  <w:sz w:val="20"/>
                  <w:u w:val="none"/>
                  <w:shd w:val="clear" w:color="auto" w:fill="auto"/>
                </w:rPr>
                <w:t>12.-</w:t>
                <w:tab/>
                <w:t>OTROS ACTIVOS NO FINANCIEROS.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837d9131da8141c5939adeb314f42d40" w:history="1">
              <w:r>
                <w:rPr>
                  <w:rFonts w:ascii="Calibri" w:eastAsia="Calibri" w:hAnsi="Calibri" w:cs="Calibri"/>
                  <w:b w:val="0"/>
                  <w:i w:val="0"/>
                  <w:color w:val="000000"/>
                  <w:sz w:val="20"/>
                  <w:u w:val="none"/>
                  <w:shd w:val="clear" w:color="auto" w:fill="auto"/>
                </w:rPr>
                <w:t>67</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325788ffb94e41f19151e6075618a851" w:history="1">
              <w:r>
                <w:rPr>
                  <w:rFonts w:ascii="Calibri" w:eastAsia="Calibri" w:hAnsi="Calibri" w:cs="Calibri"/>
                  <w:b w:val="0"/>
                  <w:i w:val="0"/>
                  <w:color w:val="000000"/>
                  <w:sz w:val="20"/>
                  <w:u w:val="none"/>
                  <w:shd w:val="clear" w:color="auto" w:fill="auto"/>
                </w:rPr>
                <w:t>13.-</w:t>
                <w:tab/>
                <w:t>INVERSIONES CONTABILIZADAS UTILIZANDO EL MÉTODO DE LA PARTICIPACIÓN.</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325788ffb94e41f19151e6075618a851" w:history="1">
              <w:r>
                <w:rPr>
                  <w:rFonts w:ascii="Calibri" w:eastAsia="Calibri" w:hAnsi="Calibri" w:cs="Calibri"/>
                  <w:b w:val="0"/>
                  <w:i w:val="0"/>
                  <w:color w:val="000000"/>
                  <w:sz w:val="20"/>
                  <w:u w:val="none"/>
                  <w:shd w:val="clear" w:color="auto" w:fill="auto"/>
                </w:rPr>
                <w:t>68</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fd9cbe2e21d5445298a373cebbb7ee8f" w:history="1">
              <w:r>
                <w:rPr>
                  <w:rFonts w:ascii="Calibri" w:eastAsia="Calibri" w:hAnsi="Calibri" w:cs="Calibri"/>
                  <w:b w:val="0"/>
                  <w:i w:val="0"/>
                  <w:color w:val="000000"/>
                  <w:sz w:val="20"/>
                  <w:u w:val="none"/>
                  <w:shd w:val="clear" w:color="auto" w:fill="auto"/>
                </w:rPr>
                <w:t xml:space="preserve">13.1.- </w:t>
                <w:tab/>
                <w:t>Inversiones en subsidiarias.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fd9cbe2e21d5445298a373cebbb7ee8f" w:history="1">
              <w:r>
                <w:rPr>
                  <w:rFonts w:ascii="Calibri" w:eastAsia="Calibri" w:hAnsi="Calibri" w:cs="Calibri"/>
                  <w:b w:val="0"/>
                  <w:i w:val="0"/>
                  <w:color w:val="000000"/>
                  <w:sz w:val="20"/>
                  <w:u w:val="none"/>
                  <w:shd w:val="clear" w:color="auto" w:fill="auto"/>
                </w:rPr>
                <w:t>68</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9c07353ff00848e6957f1560ac06850e" w:history="1">
              <w:r>
                <w:rPr>
                  <w:rFonts w:ascii="Calibri" w:eastAsia="Calibri" w:hAnsi="Calibri" w:cs="Calibri"/>
                  <w:b w:val="0"/>
                  <w:i w:val="0"/>
                  <w:color w:val="000000"/>
                  <w:sz w:val="20"/>
                  <w:u w:val="none"/>
                  <w:shd w:val="clear" w:color="auto" w:fill="auto"/>
                </w:rPr>
                <w:t>14.-</w:t>
                <w:tab/>
                <w:t>ACTIVOS INTANGIBLES DISTINTO DE LA PLUSVALÍA.</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9c07353ff00848e6957f1560ac06850e" w:history="1">
              <w:r>
                <w:rPr>
                  <w:rFonts w:ascii="Calibri" w:eastAsia="Calibri" w:hAnsi="Calibri" w:cs="Calibri"/>
                  <w:b w:val="0"/>
                  <w:i w:val="0"/>
                  <w:color w:val="000000"/>
                  <w:sz w:val="20"/>
                  <w:u w:val="none"/>
                  <w:shd w:val="clear" w:color="auto" w:fill="auto"/>
                </w:rPr>
                <w:t>70</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962284ba174543bfbeade20537be819e" w:history="1">
              <w:r>
                <w:rPr>
                  <w:rFonts w:ascii="Calibri" w:eastAsia="Calibri" w:hAnsi="Calibri" w:cs="Calibri"/>
                  <w:b w:val="0"/>
                  <w:i w:val="0"/>
                  <w:color w:val="000000"/>
                  <w:sz w:val="20"/>
                  <w:u w:val="none"/>
                  <w:shd w:val="clear" w:color="auto" w:fill="auto"/>
                </w:rPr>
                <w:t>14.1.-</w:t>
                <w:tab/>
                <w:t>Composición y movimientos de los activos intangibles.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962284ba174543bfbeade20537be819e" w:history="1">
              <w:r>
                <w:rPr>
                  <w:rFonts w:ascii="Calibri" w:eastAsia="Calibri" w:hAnsi="Calibri" w:cs="Calibri"/>
                  <w:b w:val="0"/>
                  <w:i w:val="0"/>
                  <w:color w:val="000000"/>
                  <w:sz w:val="20"/>
                  <w:u w:val="none"/>
                  <w:shd w:val="clear" w:color="auto" w:fill="auto"/>
                </w:rPr>
                <w:t>70</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7d69adbdd76b4f71a7ba26ac5c66d52f" w:history="1">
              <w:r>
                <w:rPr>
                  <w:rFonts w:ascii="Calibri" w:eastAsia="Calibri" w:hAnsi="Calibri" w:cs="Calibri"/>
                  <w:b w:val="0"/>
                  <w:i w:val="0"/>
                  <w:color w:val="000000"/>
                  <w:sz w:val="20"/>
                  <w:u w:val="none"/>
                  <w:shd w:val="clear" w:color="auto" w:fill="auto"/>
                </w:rPr>
                <w:t>14.2.-</w:t>
                <w:tab/>
                <w:t>Activos intangibles con vida útil indefinida.</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7d69adbdd76b4f71a7ba26ac5c66d52f" w:history="1">
              <w:r>
                <w:rPr>
                  <w:rFonts w:ascii="Calibri" w:eastAsia="Calibri" w:hAnsi="Calibri" w:cs="Calibri"/>
                  <w:b w:val="0"/>
                  <w:i w:val="0"/>
                  <w:color w:val="000000"/>
                  <w:sz w:val="20"/>
                  <w:u w:val="none"/>
                  <w:shd w:val="clear" w:color="auto" w:fill="auto"/>
                </w:rPr>
                <w:t>72</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2742f2c20e3a4d089cd3239ffbea77f9" w:history="1">
              <w:r>
                <w:rPr>
                  <w:rFonts w:ascii="Calibri" w:eastAsia="Calibri" w:hAnsi="Calibri" w:cs="Calibri"/>
                  <w:b w:val="0"/>
                  <w:i w:val="0"/>
                  <w:color w:val="000000"/>
                  <w:sz w:val="20"/>
                  <w:u w:val="none"/>
                  <w:shd w:val="clear" w:color="auto" w:fill="auto"/>
                </w:rPr>
                <w:t>15.-</w:t>
                <w:tab/>
                <w:t>PLUSVALÍA.</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2742f2c20e3a4d089cd3239ffbea77f9" w:history="1">
              <w:r>
                <w:rPr>
                  <w:rFonts w:ascii="Calibri" w:eastAsia="Calibri" w:hAnsi="Calibri" w:cs="Calibri"/>
                  <w:b w:val="0"/>
                  <w:i w:val="0"/>
                  <w:color w:val="000000"/>
                  <w:sz w:val="20"/>
                  <w:u w:val="none"/>
                  <w:shd w:val="clear" w:color="auto" w:fill="auto"/>
                </w:rPr>
                <w:t>72</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055531b08edd4ae1a1f19d2a39230213" w:history="1">
              <w:r>
                <w:rPr>
                  <w:rFonts w:ascii="Calibri" w:eastAsia="Calibri" w:hAnsi="Calibri" w:cs="Calibri"/>
                  <w:b w:val="0"/>
                  <w:i w:val="0"/>
                  <w:color w:val="000000"/>
                  <w:sz w:val="20"/>
                  <w:u w:val="none"/>
                  <w:shd w:val="clear" w:color="auto" w:fill="auto"/>
                </w:rPr>
                <w:t>16.-</w:t>
                <w:tab/>
                <w:t>PROPIEDADES DE INVERSIÓN.</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055531b08edd4ae1a1f19d2a39230213" w:history="1">
              <w:r>
                <w:rPr>
                  <w:rFonts w:ascii="Calibri" w:eastAsia="Calibri" w:hAnsi="Calibri" w:cs="Calibri"/>
                  <w:b w:val="0"/>
                  <w:i w:val="0"/>
                  <w:color w:val="000000"/>
                  <w:sz w:val="20"/>
                  <w:u w:val="none"/>
                  <w:shd w:val="clear" w:color="auto" w:fill="auto"/>
                </w:rPr>
                <w:t>72</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e790deda3c7b400da3a7cf8bf7d3d326" w:history="1">
              <w:r>
                <w:rPr>
                  <w:rFonts w:ascii="Calibri" w:eastAsia="Calibri" w:hAnsi="Calibri" w:cs="Calibri"/>
                  <w:b w:val="0"/>
                  <w:i w:val="0"/>
                  <w:color w:val="000000"/>
                  <w:sz w:val="20"/>
                  <w:u w:val="none"/>
                  <w:shd w:val="clear" w:color="auto" w:fill="auto"/>
                </w:rPr>
                <w:t>16.1.-</w:t>
                <w:tab/>
                <w:t>Composición y movimientos de las propiedades de inversión.</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e790deda3c7b400da3a7cf8bf7d3d326" w:history="1">
              <w:r>
                <w:rPr>
                  <w:rFonts w:ascii="Calibri" w:eastAsia="Calibri" w:hAnsi="Calibri" w:cs="Calibri"/>
                  <w:b w:val="0"/>
                  <w:i w:val="0"/>
                  <w:color w:val="000000"/>
                  <w:sz w:val="20"/>
                  <w:u w:val="none"/>
                  <w:shd w:val="clear" w:color="auto" w:fill="auto"/>
                </w:rPr>
                <w:t>72</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8997e2acdee04ee59fd8e93874dea1b1" w:history="1">
              <w:r>
                <w:rPr>
                  <w:rFonts w:ascii="Calibri" w:eastAsia="Calibri" w:hAnsi="Calibri" w:cs="Calibri"/>
                  <w:b w:val="0"/>
                  <w:i w:val="0"/>
                  <w:color w:val="000000"/>
                  <w:sz w:val="20"/>
                  <w:u w:val="none"/>
                  <w:shd w:val="clear" w:color="auto" w:fill="auto"/>
                </w:rPr>
                <w:t>16.2.-</w:t>
                <w:tab/>
                <w:t>Ingresos y gastos de propiedades de inversión.</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8997e2acdee04ee59fd8e93874dea1b1" w:history="1">
              <w:r>
                <w:rPr>
                  <w:rFonts w:ascii="Calibri" w:eastAsia="Calibri" w:hAnsi="Calibri" w:cs="Calibri"/>
                  <w:b w:val="0"/>
                  <w:i w:val="0"/>
                  <w:color w:val="000000"/>
                  <w:sz w:val="20"/>
                  <w:u w:val="none"/>
                  <w:shd w:val="clear" w:color="auto" w:fill="auto"/>
                </w:rPr>
                <w:t>73</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c55cb80350c948cea1cd4fc9c98edec6" w:history="1">
              <w:r>
                <w:rPr>
                  <w:rFonts w:ascii="Calibri" w:eastAsia="Calibri" w:hAnsi="Calibri" w:cs="Calibri"/>
                  <w:b w:val="0"/>
                  <w:i w:val="0"/>
                  <w:color w:val="000000"/>
                  <w:sz w:val="20"/>
                  <w:u w:val="none"/>
                  <w:shd w:val="clear" w:color="auto" w:fill="auto"/>
                </w:rPr>
                <w:t>17.-</w:t>
                <w:tab/>
                <w:t>PROPIEDADES, PLANTA Y EQUIPO.</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c55cb80350c948cea1cd4fc9c98edec6" w:history="1">
              <w:r>
                <w:rPr>
                  <w:rFonts w:ascii="Calibri" w:eastAsia="Calibri" w:hAnsi="Calibri" w:cs="Calibri"/>
                  <w:b w:val="0"/>
                  <w:i w:val="0"/>
                  <w:color w:val="000000"/>
                  <w:sz w:val="20"/>
                  <w:u w:val="none"/>
                  <w:shd w:val="clear" w:color="auto" w:fill="auto"/>
                </w:rPr>
                <w:t>73</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db3fa260955f4820aa33b2dfa9582cc8" w:history="1">
              <w:r>
                <w:rPr>
                  <w:rFonts w:ascii="Calibri" w:eastAsia="Calibri" w:hAnsi="Calibri" w:cs="Calibri"/>
                  <w:b w:val="0"/>
                  <w:i w:val="0"/>
                  <w:color w:val="000000"/>
                  <w:sz w:val="20"/>
                  <w:u w:val="none"/>
                  <w:shd w:val="clear" w:color="auto" w:fill="auto"/>
                </w:rPr>
                <w:t>17.1.-</w:t>
                <w:tab/>
                <w:t>Vidas útiles.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db3fa260955f4820aa33b2dfa9582cc8" w:history="1">
              <w:r>
                <w:rPr>
                  <w:rFonts w:ascii="Calibri" w:eastAsia="Calibri" w:hAnsi="Calibri" w:cs="Calibri"/>
                  <w:b w:val="0"/>
                  <w:i w:val="0"/>
                  <w:color w:val="000000"/>
                  <w:sz w:val="20"/>
                  <w:u w:val="none"/>
                  <w:shd w:val="clear" w:color="auto" w:fill="auto"/>
                </w:rPr>
                <w:t>73</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752e6d8ce9024e6b80753f4f4e35e41f" w:history="1">
              <w:r>
                <w:rPr>
                  <w:rFonts w:ascii="Calibri" w:eastAsia="Calibri" w:hAnsi="Calibri" w:cs="Calibri"/>
                  <w:b w:val="0"/>
                  <w:i w:val="0"/>
                  <w:color w:val="000000"/>
                  <w:sz w:val="20"/>
                  <w:u w:val="none"/>
                  <w:shd w:val="clear" w:color="auto" w:fill="auto"/>
                </w:rPr>
                <w:t>17.2.-</w:t>
                <w:tab/>
                <w:t>Detalle de los rubros.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752e6d8ce9024e6b80753f4f4e35e41f" w:history="1">
              <w:r>
                <w:rPr>
                  <w:rFonts w:ascii="Calibri" w:eastAsia="Calibri" w:hAnsi="Calibri" w:cs="Calibri"/>
                  <w:b w:val="0"/>
                  <w:i w:val="0"/>
                  <w:color w:val="000000"/>
                  <w:sz w:val="20"/>
                  <w:u w:val="none"/>
                  <w:shd w:val="clear" w:color="auto" w:fill="auto"/>
                </w:rPr>
                <w:t>74</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ad6bc8d467b741cf9292fcb8b2ba73cb" w:history="1">
              <w:r>
                <w:rPr>
                  <w:rFonts w:ascii="Calibri" w:eastAsia="Calibri" w:hAnsi="Calibri" w:cs="Calibri"/>
                  <w:b w:val="0"/>
                  <w:i w:val="0"/>
                  <w:color w:val="000000"/>
                  <w:sz w:val="20"/>
                  <w:u w:val="none"/>
                  <w:shd w:val="clear" w:color="auto" w:fill="auto"/>
                </w:rPr>
                <w:t>17.3.-</w:t>
                <w:tab/>
                <w:t>Reconciliación de cambios en propiedades, planta y equipo.</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ad6bc8d467b741cf9292fcb8b2ba73cb" w:history="1">
              <w:r>
                <w:rPr>
                  <w:rFonts w:ascii="Calibri" w:eastAsia="Calibri" w:hAnsi="Calibri" w:cs="Calibri"/>
                  <w:b w:val="0"/>
                  <w:i w:val="0"/>
                  <w:color w:val="000000"/>
                  <w:sz w:val="20"/>
                  <w:u w:val="none"/>
                  <w:shd w:val="clear" w:color="auto" w:fill="auto"/>
                </w:rPr>
                <w:t>76</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7892850cc5444b9bbd628bf49684efaa" w:history="1">
              <w:r>
                <w:rPr>
                  <w:rFonts w:ascii="Calibri" w:eastAsia="Calibri" w:hAnsi="Calibri" w:cs="Calibri"/>
                  <w:b w:val="0"/>
                  <w:i w:val="0"/>
                  <w:color w:val="000000"/>
                  <w:sz w:val="20"/>
                  <w:u w:val="none"/>
                  <w:shd w:val="clear" w:color="auto" w:fill="auto"/>
                </w:rPr>
                <w:t>17.4.-</w:t>
                <w:tab/>
                <w:t>Política de inversiones en propiedades, planta y equipo.</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7892850cc5444b9bbd628bf49684efaa" w:history="1">
              <w:r>
                <w:rPr>
                  <w:rFonts w:ascii="Calibri" w:eastAsia="Calibri" w:hAnsi="Calibri" w:cs="Calibri"/>
                  <w:b w:val="0"/>
                  <w:i w:val="0"/>
                  <w:color w:val="000000"/>
                  <w:sz w:val="20"/>
                  <w:u w:val="none"/>
                  <w:shd w:val="clear" w:color="auto" w:fill="auto"/>
                </w:rPr>
                <w:t>77</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2625a7ae66e041afac9a4bd30ba2b2b9" w:history="1">
              <w:r>
                <w:rPr>
                  <w:rFonts w:ascii="Calibri" w:eastAsia="Calibri" w:hAnsi="Calibri" w:cs="Calibri"/>
                  <w:b w:val="0"/>
                  <w:i w:val="0"/>
                  <w:color w:val="000000"/>
                  <w:sz w:val="20"/>
                  <w:u w:val="none"/>
                  <w:shd w:val="clear" w:color="auto" w:fill="auto"/>
                </w:rPr>
                <w:t>17.5.-</w:t>
                <w:tab/>
                <w:t>Costo por intereses.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2625a7ae66e041afac9a4bd30ba2b2b9" w:history="1">
              <w:r>
                <w:rPr>
                  <w:rFonts w:ascii="Calibri" w:eastAsia="Calibri" w:hAnsi="Calibri" w:cs="Calibri"/>
                  <w:b w:val="0"/>
                  <w:i w:val="0"/>
                  <w:color w:val="000000"/>
                  <w:sz w:val="20"/>
                  <w:u w:val="none"/>
                  <w:shd w:val="clear" w:color="auto" w:fill="auto"/>
                </w:rPr>
                <w:t>77</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93ef6d2629a1432f8e3444111c1eeaa4" w:history="1">
              <w:r>
                <w:rPr>
                  <w:rFonts w:ascii="Calibri" w:eastAsia="Calibri" w:hAnsi="Calibri" w:cs="Calibri"/>
                  <w:b w:val="0"/>
                  <w:i w:val="0"/>
                  <w:color w:val="000000"/>
                  <w:sz w:val="20"/>
                  <w:u w:val="none"/>
                  <w:shd w:val="clear" w:color="auto" w:fill="auto"/>
                </w:rPr>
                <w:t>18.-</w:t>
                <w:tab/>
                <w:t>DETERIORO DE ACTIVOS.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93ef6d2629a1432f8e3444111c1eeaa4" w:history="1">
              <w:r>
                <w:rPr>
                  <w:rFonts w:ascii="Calibri" w:eastAsia="Calibri" w:hAnsi="Calibri" w:cs="Calibri"/>
                  <w:b w:val="0"/>
                  <w:i w:val="0"/>
                  <w:color w:val="000000"/>
                  <w:sz w:val="20"/>
                  <w:u w:val="none"/>
                  <w:shd w:val="clear" w:color="auto" w:fill="auto"/>
                </w:rPr>
                <w:t>77</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fc09e57e0ecf4893aa354c7f3a445615" w:history="1">
              <w:r>
                <w:rPr>
                  <w:rFonts w:ascii="Calibri" w:eastAsia="Calibri" w:hAnsi="Calibri" w:cs="Calibri"/>
                  <w:b w:val="0"/>
                  <w:i w:val="0"/>
                  <w:color w:val="000000"/>
                  <w:sz w:val="20"/>
                  <w:u w:val="none"/>
                  <w:shd w:val="clear" w:color="auto" w:fill="auto"/>
                </w:rPr>
                <w:t>18.1.-</w:t>
                <w:tab/>
                <w:t>Prueba de deterioro de propiedad, planta y equipos, plusvalía y otros activos intangibles de vida útil indefinida.</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fc09e57e0ecf4893aa354c7f3a445615" w:history="1">
              <w:r>
                <w:rPr>
                  <w:rFonts w:ascii="Calibri" w:eastAsia="Calibri" w:hAnsi="Calibri" w:cs="Calibri"/>
                  <w:b w:val="0"/>
                  <w:i w:val="0"/>
                  <w:color w:val="000000"/>
                  <w:sz w:val="20"/>
                  <w:u w:val="none"/>
                  <w:shd w:val="clear" w:color="auto" w:fill="auto"/>
                </w:rPr>
                <w:t>77</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f472d109b8c641eab6c55545f5b24a5d" w:history="1">
              <w:r>
                <w:rPr>
                  <w:rFonts w:ascii="Calibri" w:eastAsia="Calibri" w:hAnsi="Calibri" w:cs="Calibri"/>
                  <w:b w:val="0"/>
                  <w:i w:val="0"/>
                  <w:color w:val="000000"/>
                  <w:sz w:val="20"/>
                  <w:u w:val="none"/>
                  <w:shd w:val="clear" w:color="auto" w:fill="auto"/>
                </w:rPr>
                <w:t>18.2.-</w:t>
                <w:tab/>
                <w:t>Pérdidas por deterioro del valor y reversión de las pérdidas por deterioro del valor.</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f472d109b8c641eab6c55545f5b24a5d" w:history="1">
              <w:r>
                <w:rPr>
                  <w:rFonts w:ascii="Calibri" w:eastAsia="Calibri" w:hAnsi="Calibri" w:cs="Calibri"/>
                  <w:b w:val="0"/>
                  <w:i w:val="0"/>
                  <w:color w:val="000000"/>
                  <w:sz w:val="20"/>
                  <w:u w:val="none"/>
                  <w:shd w:val="clear" w:color="auto" w:fill="auto"/>
                </w:rPr>
                <w:t>78</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c4fabd3d98ad44ce99aebf6104deeecc" w:history="1">
              <w:r>
                <w:rPr>
                  <w:rFonts w:ascii="Calibri" w:eastAsia="Calibri" w:hAnsi="Calibri" w:cs="Calibri"/>
                  <w:b w:val="0"/>
                  <w:i w:val="0"/>
                  <w:color w:val="000000"/>
                  <w:sz w:val="20"/>
                  <w:u w:val="none"/>
                  <w:shd w:val="clear" w:color="auto" w:fill="auto"/>
                </w:rPr>
                <w:t>19.-</w:t>
                <w:tab/>
                <w:t>IMPUESTOS DIFERIDOS.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c4fabd3d98ad44ce99aebf6104deeecc" w:history="1">
              <w:r>
                <w:rPr>
                  <w:rFonts w:ascii="Calibri" w:eastAsia="Calibri" w:hAnsi="Calibri" w:cs="Calibri"/>
                  <w:b w:val="0"/>
                  <w:i w:val="0"/>
                  <w:color w:val="000000"/>
                  <w:sz w:val="20"/>
                  <w:u w:val="none"/>
                  <w:shd w:val="clear" w:color="auto" w:fill="auto"/>
                </w:rPr>
                <w:t>79</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c3667c9a48734b4d8183be0f8ac7c4ac" w:history="1">
              <w:r>
                <w:rPr>
                  <w:rFonts w:ascii="Calibri" w:eastAsia="Calibri" w:hAnsi="Calibri" w:cs="Calibri"/>
                  <w:b w:val="0"/>
                  <w:i w:val="0"/>
                  <w:color w:val="000000"/>
                  <w:sz w:val="20"/>
                  <w:u w:val="none"/>
                  <w:shd w:val="clear" w:color="auto" w:fill="auto"/>
                </w:rPr>
                <w:t>19.1.-</w:t>
                <w:tab/>
                <w:t>Activos por impuestos diferidos.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c3667c9a48734b4d8183be0f8ac7c4ac" w:history="1">
              <w:r>
                <w:rPr>
                  <w:rFonts w:ascii="Calibri" w:eastAsia="Calibri" w:hAnsi="Calibri" w:cs="Calibri"/>
                  <w:b w:val="0"/>
                  <w:i w:val="0"/>
                  <w:color w:val="000000"/>
                  <w:sz w:val="20"/>
                  <w:u w:val="none"/>
                  <w:shd w:val="clear" w:color="auto" w:fill="auto"/>
                </w:rPr>
                <w:t>79</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bf17bf4124124cdbbbbcb6b80f8bb173" w:history="1">
              <w:r>
                <w:rPr>
                  <w:rFonts w:ascii="Calibri" w:eastAsia="Calibri" w:hAnsi="Calibri" w:cs="Calibri"/>
                  <w:b w:val="0"/>
                  <w:i w:val="0"/>
                  <w:color w:val="000000"/>
                  <w:sz w:val="20"/>
                  <w:u w:val="none"/>
                  <w:shd w:val="clear" w:color="auto" w:fill="auto"/>
                </w:rPr>
                <w:t>19.2.-</w:t>
                <w:tab/>
                <w:t>Pasivos por impuestos diferidos.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bf17bf4124124cdbbbbcb6b80f8bb173" w:history="1">
              <w:r>
                <w:rPr>
                  <w:rFonts w:ascii="Calibri" w:eastAsia="Calibri" w:hAnsi="Calibri" w:cs="Calibri"/>
                  <w:b w:val="0"/>
                  <w:i w:val="0"/>
                  <w:color w:val="000000"/>
                  <w:sz w:val="20"/>
                  <w:u w:val="none"/>
                  <w:shd w:val="clear" w:color="auto" w:fill="auto"/>
                </w:rPr>
                <w:t>79</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25a5795ab09e47a49e701dbe6ba70b3f" w:history="1">
              <w:r>
                <w:rPr>
                  <w:rFonts w:ascii="Calibri" w:eastAsia="Calibri" w:hAnsi="Calibri" w:cs="Calibri"/>
                  <w:b w:val="0"/>
                  <w:i w:val="0"/>
                  <w:color w:val="000000"/>
                  <w:sz w:val="20"/>
                  <w:u w:val="none"/>
                  <w:shd w:val="clear" w:color="auto" w:fill="auto"/>
                </w:rPr>
                <w:t>19.3.-</w:t>
                <w:tab/>
                <w:t>Movimientos de impuesto diferido del estado de situación financiera.</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25a5795ab09e47a49e701dbe6ba70b3f" w:history="1">
              <w:r>
                <w:rPr>
                  <w:rFonts w:ascii="Calibri" w:eastAsia="Calibri" w:hAnsi="Calibri" w:cs="Calibri"/>
                  <w:b w:val="0"/>
                  <w:i w:val="0"/>
                  <w:color w:val="000000"/>
                  <w:sz w:val="20"/>
                  <w:u w:val="none"/>
                  <w:shd w:val="clear" w:color="auto" w:fill="auto"/>
                </w:rPr>
                <w:t>80</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8684c9e327114218b5b3bd60615d07b8" w:history="1">
              <w:r>
                <w:rPr>
                  <w:rFonts w:ascii="Calibri" w:eastAsia="Calibri" w:hAnsi="Calibri" w:cs="Calibri"/>
                  <w:b w:val="0"/>
                  <w:i w:val="0"/>
                  <w:color w:val="000000"/>
                  <w:sz w:val="20"/>
                  <w:u w:val="none"/>
                  <w:shd w:val="clear" w:color="auto" w:fill="auto"/>
                </w:rPr>
                <w:t>19.4.-</w:t>
                <w:tab/>
                <w:t>Compensación de partidas.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8684c9e327114218b5b3bd60615d07b8" w:history="1">
              <w:r>
                <w:rPr>
                  <w:rFonts w:ascii="Calibri" w:eastAsia="Calibri" w:hAnsi="Calibri" w:cs="Calibri"/>
                  <w:b w:val="0"/>
                  <w:i w:val="0"/>
                  <w:color w:val="000000"/>
                  <w:sz w:val="20"/>
                  <w:u w:val="none"/>
                  <w:shd w:val="clear" w:color="auto" w:fill="auto"/>
                </w:rPr>
                <w:t>80</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f7be72f23d6a4b0b83f6b528edd537eb" w:history="1">
              <w:r>
                <w:rPr>
                  <w:rFonts w:ascii="Calibri" w:eastAsia="Calibri" w:hAnsi="Calibri" w:cs="Calibri"/>
                  <w:b w:val="0"/>
                  <w:i w:val="0"/>
                  <w:color w:val="000000"/>
                  <w:sz w:val="20"/>
                  <w:u w:val="none"/>
                  <w:shd w:val="clear" w:color="auto" w:fill="auto"/>
                </w:rPr>
                <w:t>20.-</w:t>
                <w:tab/>
                <w:t>OTROS PASIVOS FINANCIEROS.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f7be72f23d6a4b0b83f6b528edd537eb" w:history="1">
              <w:r>
                <w:rPr>
                  <w:rFonts w:ascii="Calibri" w:eastAsia="Calibri" w:hAnsi="Calibri" w:cs="Calibri"/>
                  <w:b w:val="0"/>
                  <w:i w:val="0"/>
                  <w:color w:val="000000"/>
                  <w:sz w:val="20"/>
                  <w:u w:val="none"/>
                  <w:shd w:val="clear" w:color="auto" w:fill="auto"/>
                </w:rPr>
                <w:t>81</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40887df3229f4beb889d37c4a249072b" w:history="1">
              <w:r>
                <w:rPr>
                  <w:rFonts w:ascii="Calibri" w:eastAsia="Calibri" w:hAnsi="Calibri" w:cs="Calibri"/>
                  <w:b w:val="0"/>
                  <w:i w:val="0"/>
                  <w:color w:val="000000"/>
                  <w:sz w:val="20"/>
                  <w:u w:val="none"/>
                  <w:shd w:val="clear" w:color="auto" w:fill="auto"/>
                </w:rPr>
                <w:t>20.1.-</w:t>
                <w:tab/>
                <w:t>Clases de otros pasivos financieros.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40887df3229f4beb889d37c4a249072b" w:history="1">
              <w:r>
                <w:rPr>
                  <w:rFonts w:ascii="Calibri" w:eastAsia="Calibri" w:hAnsi="Calibri" w:cs="Calibri"/>
                  <w:b w:val="0"/>
                  <w:i w:val="0"/>
                  <w:color w:val="000000"/>
                  <w:sz w:val="20"/>
                  <w:u w:val="none"/>
                  <w:shd w:val="clear" w:color="auto" w:fill="auto"/>
                </w:rPr>
                <w:t>81</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7f79aba47668404a9b98dcb29ffb187a" w:history="1">
              <w:r>
                <w:rPr>
                  <w:rFonts w:ascii="Calibri" w:eastAsia="Calibri" w:hAnsi="Calibri" w:cs="Calibri"/>
                  <w:b w:val="0"/>
                  <w:i w:val="0"/>
                  <w:color w:val="000000"/>
                  <w:sz w:val="20"/>
                  <w:u w:val="none"/>
                  <w:shd w:val="clear" w:color="auto" w:fill="auto"/>
                </w:rPr>
                <w:t>20.2.-</w:t>
                <w:tab/>
                <w:t>Préstamos bancarios - desglose de monedas y vencimientos.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7f79aba47668404a9b98dcb29ffb187a" w:history="1">
              <w:r>
                <w:rPr>
                  <w:rFonts w:ascii="Calibri" w:eastAsia="Calibri" w:hAnsi="Calibri" w:cs="Calibri"/>
                  <w:b w:val="0"/>
                  <w:i w:val="0"/>
                  <w:color w:val="000000"/>
                  <w:sz w:val="20"/>
                  <w:u w:val="none"/>
                  <w:shd w:val="clear" w:color="auto" w:fill="auto"/>
                </w:rPr>
                <w:t>82</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bb88b62a3b58440b8ca7fa1f9027824c" w:history="1">
              <w:r>
                <w:rPr>
                  <w:rFonts w:ascii="Calibri" w:eastAsia="Calibri" w:hAnsi="Calibri" w:cs="Calibri"/>
                  <w:b w:val="0"/>
                  <w:i w:val="0"/>
                  <w:color w:val="000000"/>
                  <w:sz w:val="20"/>
                  <w:u w:val="none"/>
                  <w:shd w:val="clear" w:color="auto" w:fill="auto"/>
                </w:rPr>
                <w:t>20.3.-</w:t>
                <w:tab/>
                <w:t>Obligaciones con el público. (Bonos).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bb88b62a3b58440b8ca7fa1f9027824c" w:history="1">
              <w:r>
                <w:rPr>
                  <w:rFonts w:ascii="Calibri" w:eastAsia="Calibri" w:hAnsi="Calibri" w:cs="Calibri"/>
                  <w:b w:val="0"/>
                  <w:i w:val="0"/>
                  <w:color w:val="000000"/>
                  <w:sz w:val="20"/>
                  <w:u w:val="none"/>
                  <w:shd w:val="clear" w:color="auto" w:fill="auto"/>
                </w:rPr>
                <w:t>84</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ff03295504ec49a8ab18f47869764179" w:history="1">
              <w:r>
                <w:rPr>
                  <w:rFonts w:ascii="Calibri" w:eastAsia="Calibri" w:hAnsi="Calibri" w:cs="Calibri"/>
                  <w:b w:val="0"/>
                  <w:i w:val="0"/>
                  <w:color w:val="000000"/>
                  <w:sz w:val="20"/>
                  <w:u w:val="none"/>
                  <w:shd w:val="clear" w:color="auto" w:fill="auto"/>
                </w:rPr>
                <w:t>21.-</w:t>
                <w:tab/>
                <w:t>CUENTAS POR PAGAR COMERCIALES Y OTRAS CUENTAS POR PAGAR.</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ff03295504ec49a8ab18f47869764179" w:history="1">
              <w:r>
                <w:rPr>
                  <w:rFonts w:ascii="Calibri" w:eastAsia="Calibri" w:hAnsi="Calibri" w:cs="Calibri"/>
                  <w:b w:val="0"/>
                  <w:i w:val="0"/>
                  <w:color w:val="000000"/>
                  <w:sz w:val="20"/>
                  <w:u w:val="none"/>
                  <w:shd w:val="clear" w:color="auto" w:fill="auto"/>
                </w:rPr>
                <w:t>85</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9a105d0a1d2f4d0e8ad99f338c3fdae3" w:history="1">
              <w:r>
                <w:rPr>
                  <w:rFonts w:ascii="Calibri" w:eastAsia="Calibri" w:hAnsi="Calibri" w:cs="Calibri"/>
                  <w:b w:val="0"/>
                  <w:i w:val="0"/>
                  <w:color w:val="000000"/>
                  <w:sz w:val="20"/>
                  <w:u w:val="none"/>
                  <w:shd w:val="clear" w:color="auto" w:fill="auto"/>
                </w:rPr>
                <w:t>21.1.-</w:t>
                <w:tab/>
                <w:t>Pasivos acumulados (o devengados).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9a105d0a1d2f4d0e8ad99f338c3fdae3" w:history="1">
              <w:r>
                <w:rPr>
                  <w:rFonts w:ascii="Calibri" w:eastAsia="Calibri" w:hAnsi="Calibri" w:cs="Calibri"/>
                  <w:b w:val="0"/>
                  <w:i w:val="0"/>
                  <w:color w:val="000000"/>
                  <w:sz w:val="20"/>
                  <w:u w:val="none"/>
                  <w:shd w:val="clear" w:color="auto" w:fill="auto"/>
                </w:rPr>
                <w:t>85</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5ebac6c22208428ca55054b7dc9214cf" w:history="1">
              <w:r>
                <w:rPr>
                  <w:rFonts w:ascii="Calibri" w:eastAsia="Calibri" w:hAnsi="Calibri" w:cs="Calibri"/>
                  <w:b w:val="0"/>
                  <w:i w:val="0"/>
                  <w:color w:val="000000"/>
                  <w:sz w:val="20"/>
                  <w:u w:val="none"/>
                  <w:shd w:val="clear" w:color="auto" w:fill="auto"/>
                </w:rPr>
                <w:t>21.2.-</w:t>
                <w:tab/>
                <w:t>Información cuentas comerciales y otras cuentas por pagar con pagos al día y con plazos vencidos.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5ebac6c22208428ca55054b7dc9214cf" w:history="1">
              <w:r>
                <w:rPr>
                  <w:rFonts w:ascii="Calibri" w:eastAsia="Calibri" w:hAnsi="Calibri" w:cs="Calibri"/>
                  <w:b w:val="0"/>
                  <w:i w:val="0"/>
                  <w:color w:val="000000"/>
                  <w:sz w:val="20"/>
                  <w:u w:val="none"/>
                  <w:shd w:val="clear" w:color="auto" w:fill="auto"/>
                </w:rPr>
                <w:t>85</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26375c29ed904f22b0dc01a4f9966df8" w:history="1">
              <w:r>
                <w:rPr>
                  <w:rFonts w:ascii="Calibri" w:eastAsia="Calibri" w:hAnsi="Calibri" w:cs="Calibri"/>
                  <w:b w:val="0"/>
                  <w:i w:val="0"/>
                  <w:color w:val="000000"/>
                  <w:sz w:val="20"/>
                  <w:u w:val="none"/>
                  <w:shd w:val="clear" w:color="auto" w:fill="auto"/>
                </w:rPr>
                <w:t>22.-</w:t>
                <w:tab/>
                <w:t>OTRAS PROVISIONES.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26375c29ed904f22b0dc01a4f9966df8" w:history="1">
              <w:r>
                <w:rPr>
                  <w:rFonts w:ascii="Calibri" w:eastAsia="Calibri" w:hAnsi="Calibri" w:cs="Calibri"/>
                  <w:b w:val="0"/>
                  <w:i w:val="0"/>
                  <w:color w:val="000000"/>
                  <w:sz w:val="20"/>
                  <w:u w:val="none"/>
                  <w:shd w:val="clear" w:color="auto" w:fill="auto"/>
                </w:rPr>
                <w:t>86</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1a4d9b9f268249af94d97934ed84fe52" w:history="1">
              <w:r>
                <w:rPr>
                  <w:rFonts w:ascii="Calibri" w:eastAsia="Calibri" w:hAnsi="Calibri" w:cs="Calibri"/>
                  <w:b w:val="0"/>
                  <w:i w:val="0"/>
                  <w:color w:val="000000"/>
                  <w:sz w:val="20"/>
                  <w:u w:val="none"/>
                  <w:shd w:val="clear" w:color="auto" w:fill="auto"/>
                </w:rPr>
                <w:t>22.1.-</w:t>
                <w:tab/>
                <w:t>Provisiones – saldos.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1a4d9b9f268249af94d97934ed84fe52" w:history="1">
              <w:r>
                <w:rPr>
                  <w:rFonts w:ascii="Calibri" w:eastAsia="Calibri" w:hAnsi="Calibri" w:cs="Calibri"/>
                  <w:b w:val="0"/>
                  <w:i w:val="0"/>
                  <w:color w:val="000000"/>
                  <w:sz w:val="20"/>
                  <w:u w:val="none"/>
                  <w:shd w:val="clear" w:color="auto" w:fill="auto"/>
                </w:rPr>
                <w:t>86</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219251eb655d4d26884af19aa78f0ee1" w:history="1">
              <w:r>
                <w:rPr>
                  <w:rFonts w:ascii="Calibri" w:eastAsia="Calibri" w:hAnsi="Calibri" w:cs="Calibri"/>
                  <w:b w:val="0"/>
                  <w:i w:val="0"/>
                  <w:color w:val="000000"/>
                  <w:sz w:val="20"/>
                  <w:u w:val="none"/>
                  <w:shd w:val="clear" w:color="auto" w:fill="auto"/>
                </w:rPr>
                <w:t>22.2.-</w:t>
                <w:tab/>
                <w:t>Movimiento de las provisiones.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219251eb655d4d26884af19aa78f0ee1" w:history="1">
              <w:r>
                <w:rPr>
                  <w:rFonts w:ascii="Calibri" w:eastAsia="Calibri" w:hAnsi="Calibri" w:cs="Calibri"/>
                  <w:b w:val="0"/>
                  <w:i w:val="0"/>
                  <w:color w:val="000000"/>
                  <w:sz w:val="20"/>
                  <w:u w:val="none"/>
                  <w:shd w:val="clear" w:color="auto" w:fill="auto"/>
                </w:rPr>
                <w:t>86</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eebb4ca704f946a39d8f390001d2ba93" w:history="1">
              <w:r>
                <w:rPr>
                  <w:rFonts w:ascii="Calibri" w:eastAsia="Calibri" w:hAnsi="Calibri" w:cs="Calibri"/>
                  <w:b w:val="0"/>
                  <w:i w:val="0"/>
                  <w:color w:val="000000"/>
                  <w:sz w:val="20"/>
                  <w:u w:val="none"/>
                  <w:shd w:val="clear" w:color="auto" w:fill="auto"/>
                </w:rPr>
                <w:t>23.-</w:t>
                <w:tab/>
                <w:t>PROVISIONES POR BENEFICIOS A LOS EMPLEADOS.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eebb4ca704f946a39d8f390001d2ba93" w:history="1">
              <w:r>
                <w:rPr>
                  <w:rFonts w:ascii="Calibri" w:eastAsia="Calibri" w:hAnsi="Calibri" w:cs="Calibri"/>
                  <w:b w:val="0"/>
                  <w:i w:val="0"/>
                  <w:color w:val="000000"/>
                  <w:sz w:val="20"/>
                  <w:u w:val="none"/>
                  <w:shd w:val="clear" w:color="auto" w:fill="auto"/>
                </w:rPr>
                <w:t>87</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2cadb41631fd4d5b91944f11f66eca0e" w:history="1">
              <w:r>
                <w:rPr>
                  <w:rFonts w:ascii="Calibri" w:eastAsia="Calibri" w:hAnsi="Calibri" w:cs="Calibri"/>
                  <w:b w:val="0"/>
                  <w:i w:val="0"/>
                  <w:color w:val="000000"/>
                  <w:sz w:val="20"/>
                  <w:u w:val="none"/>
                  <w:shd w:val="clear" w:color="auto" w:fill="auto"/>
                </w:rPr>
                <w:t>23.1.-</w:t>
                <w:tab/>
                <w:t>Detalle del rubro.</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2cadb41631fd4d5b91944f11f66eca0e" w:history="1">
              <w:r>
                <w:rPr>
                  <w:rFonts w:ascii="Calibri" w:eastAsia="Calibri" w:hAnsi="Calibri" w:cs="Calibri"/>
                  <w:b w:val="0"/>
                  <w:i w:val="0"/>
                  <w:color w:val="000000"/>
                  <w:sz w:val="20"/>
                  <w:u w:val="none"/>
                  <w:shd w:val="clear" w:color="auto" w:fill="auto"/>
                </w:rPr>
                <w:t>87</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79e6d36fd0ea42489687f495e906240d" w:history="1">
              <w:r>
                <w:rPr>
                  <w:rFonts w:ascii="Calibri" w:eastAsia="Calibri" w:hAnsi="Calibri" w:cs="Calibri"/>
                  <w:b w:val="0"/>
                  <w:i w:val="0"/>
                  <w:color w:val="000000"/>
                  <w:sz w:val="20"/>
                  <w:u w:val="none"/>
                  <w:shd w:val="clear" w:color="auto" w:fill="auto"/>
                </w:rPr>
                <w:t>23.2.-</w:t>
                <w:tab/>
                <w:t>Detalle de las obligaciones post empleo y similares.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79e6d36fd0ea42489687f495e906240d" w:history="1">
              <w:r>
                <w:rPr>
                  <w:rFonts w:ascii="Calibri" w:eastAsia="Calibri" w:hAnsi="Calibri" w:cs="Calibri"/>
                  <w:b w:val="0"/>
                  <w:i w:val="0"/>
                  <w:color w:val="000000"/>
                  <w:sz w:val="20"/>
                  <w:u w:val="none"/>
                  <w:shd w:val="clear" w:color="auto" w:fill="auto"/>
                </w:rPr>
                <w:t>87</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c5fb9be180c64b96b7eada244a28d5b5" w:history="1">
              <w:r>
                <w:rPr>
                  <w:rFonts w:ascii="Calibri" w:eastAsia="Calibri" w:hAnsi="Calibri" w:cs="Calibri"/>
                  <w:b w:val="0"/>
                  <w:i w:val="0"/>
                  <w:color w:val="000000"/>
                  <w:sz w:val="20"/>
                  <w:u w:val="none"/>
                  <w:shd w:val="clear" w:color="auto" w:fill="auto"/>
                </w:rPr>
                <w:t>23.3.-</w:t>
                <w:tab/>
                <w:t>Balance de las obligaciones post empleo y similares.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c5fb9be180c64b96b7eada244a28d5b5" w:history="1">
              <w:r>
                <w:rPr>
                  <w:rFonts w:ascii="Calibri" w:eastAsia="Calibri" w:hAnsi="Calibri" w:cs="Calibri"/>
                  <w:b w:val="0"/>
                  <w:i w:val="0"/>
                  <w:color w:val="000000"/>
                  <w:sz w:val="20"/>
                  <w:u w:val="none"/>
                  <w:shd w:val="clear" w:color="auto" w:fill="auto"/>
                </w:rPr>
                <w:t>88</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65aefc05d2194fc3be3b7d7c704b9ec0" w:history="1">
              <w:r>
                <w:rPr>
                  <w:rFonts w:ascii="Calibri" w:eastAsia="Calibri" w:hAnsi="Calibri" w:cs="Calibri"/>
                  <w:b w:val="0"/>
                  <w:i w:val="0"/>
                  <w:color w:val="000000"/>
                  <w:sz w:val="20"/>
                  <w:u w:val="none"/>
                  <w:shd w:val="clear" w:color="auto" w:fill="auto"/>
                </w:rPr>
                <w:t>23.4.-</w:t>
                <w:tab/>
                <w:t>Gastos reconocidos en el estado de resultados.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65aefc05d2194fc3be3b7d7c704b9ec0" w:history="1">
              <w:r>
                <w:rPr>
                  <w:rFonts w:ascii="Calibri" w:eastAsia="Calibri" w:hAnsi="Calibri" w:cs="Calibri"/>
                  <w:b w:val="0"/>
                  <w:i w:val="0"/>
                  <w:color w:val="000000"/>
                  <w:sz w:val="20"/>
                  <w:u w:val="none"/>
                  <w:shd w:val="clear" w:color="auto" w:fill="auto"/>
                </w:rPr>
                <w:t>88</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ba8294bda7164a9786692b840ec8ec19" w:history="1">
              <w:r>
                <w:rPr>
                  <w:rFonts w:ascii="Calibri" w:eastAsia="Calibri" w:hAnsi="Calibri" w:cs="Calibri"/>
                  <w:b w:val="0"/>
                  <w:i w:val="0"/>
                  <w:color w:val="000000"/>
                  <w:sz w:val="20"/>
                  <w:u w:val="none"/>
                  <w:shd w:val="clear" w:color="auto" w:fill="auto"/>
                </w:rPr>
                <w:t>23.5.-</w:t>
                <w:tab/>
                <w:t>Hipótesis actuariales.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ba8294bda7164a9786692b840ec8ec19" w:history="1">
              <w:r>
                <w:rPr>
                  <w:rFonts w:ascii="Calibri" w:eastAsia="Calibri" w:hAnsi="Calibri" w:cs="Calibri"/>
                  <w:b w:val="0"/>
                  <w:i w:val="0"/>
                  <w:color w:val="000000"/>
                  <w:sz w:val="20"/>
                  <w:u w:val="none"/>
                  <w:shd w:val="clear" w:color="auto" w:fill="auto"/>
                </w:rPr>
                <w:t>88</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547d5f75079b407b865fc92cc0308897" w:history="1">
              <w:r>
                <w:rPr>
                  <w:rFonts w:ascii="Calibri" w:eastAsia="Calibri" w:hAnsi="Calibri" w:cs="Calibri"/>
                  <w:b w:val="0"/>
                  <w:i w:val="0"/>
                  <w:color w:val="000000"/>
                  <w:sz w:val="20"/>
                  <w:u w:val="none"/>
                  <w:shd w:val="clear" w:color="auto" w:fill="auto"/>
                </w:rPr>
                <w:t>23.6.-</w:t>
                <w:tab/>
                <w:t>Flujo y plazo de los compromisos.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547d5f75079b407b865fc92cc0308897" w:history="1">
              <w:r>
                <w:rPr>
                  <w:rFonts w:ascii="Calibri" w:eastAsia="Calibri" w:hAnsi="Calibri" w:cs="Calibri"/>
                  <w:b w:val="0"/>
                  <w:i w:val="0"/>
                  <w:color w:val="000000"/>
                  <w:sz w:val="20"/>
                  <w:u w:val="none"/>
                  <w:shd w:val="clear" w:color="auto" w:fill="auto"/>
                </w:rPr>
                <w:t>89</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7d48745353ec4367a1b5c5fb71cb878d" w:history="1">
              <w:r>
                <w:rPr>
                  <w:rFonts w:ascii="Calibri" w:eastAsia="Calibri" w:hAnsi="Calibri" w:cs="Calibri"/>
                  <w:b w:val="0"/>
                  <w:i w:val="0"/>
                  <w:color w:val="000000"/>
                  <w:sz w:val="20"/>
                  <w:u w:val="none"/>
                  <w:shd w:val="clear" w:color="auto" w:fill="auto"/>
                </w:rPr>
                <w:t>24.-</w:t>
                <w:tab/>
                <w:t>OTROS PASIVOS NO FINANCIEROS.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7d48745353ec4367a1b5c5fb71cb878d" w:history="1">
              <w:r>
                <w:rPr>
                  <w:rFonts w:ascii="Calibri" w:eastAsia="Calibri" w:hAnsi="Calibri" w:cs="Calibri"/>
                  <w:b w:val="0"/>
                  <w:i w:val="0"/>
                  <w:color w:val="000000"/>
                  <w:sz w:val="20"/>
                  <w:u w:val="none"/>
                  <w:shd w:val="clear" w:color="auto" w:fill="auto"/>
                </w:rPr>
                <w:t>89</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35ff81b1630d4830bb94f965bcad2b7f" w:history="1">
              <w:r>
                <w:rPr>
                  <w:rFonts w:ascii="Calibri" w:eastAsia="Calibri" w:hAnsi="Calibri" w:cs="Calibri"/>
                  <w:b w:val="0"/>
                  <w:i w:val="0"/>
                  <w:color w:val="000000"/>
                  <w:sz w:val="20"/>
                  <w:u w:val="none"/>
                  <w:shd w:val="clear" w:color="auto" w:fill="auto"/>
                </w:rPr>
                <w:t>24.1.-</w:t>
                <w:tab/>
                <w:t>Ingresos diferidos.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35ff81b1630d4830bb94f965bcad2b7f" w:history="1">
              <w:r>
                <w:rPr>
                  <w:rFonts w:ascii="Calibri" w:eastAsia="Calibri" w:hAnsi="Calibri" w:cs="Calibri"/>
                  <w:b w:val="0"/>
                  <w:i w:val="0"/>
                  <w:color w:val="000000"/>
                  <w:sz w:val="20"/>
                  <w:u w:val="none"/>
                  <w:shd w:val="clear" w:color="auto" w:fill="auto"/>
                </w:rPr>
                <w:t>90</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b1030a975d6649d3a97d0d69bac2552a" w:history="1">
              <w:r>
                <w:rPr>
                  <w:rFonts w:ascii="Calibri" w:eastAsia="Calibri" w:hAnsi="Calibri" w:cs="Calibri"/>
                  <w:b w:val="0"/>
                  <w:i w:val="0"/>
                  <w:color w:val="000000"/>
                  <w:sz w:val="20"/>
                  <w:u w:val="none"/>
                  <w:shd w:val="clear" w:color="auto" w:fill="auto"/>
                </w:rPr>
                <w:t>25.-</w:t>
                <w:tab/>
                <w:t>PASIVOS POR ARRENDAMIENTOS.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b1030a975d6649d3a97d0d69bac2552a" w:history="1">
              <w:r>
                <w:rPr>
                  <w:rFonts w:ascii="Calibri" w:eastAsia="Calibri" w:hAnsi="Calibri" w:cs="Calibri"/>
                  <w:b w:val="0"/>
                  <w:i w:val="0"/>
                  <w:color w:val="000000"/>
                  <w:sz w:val="20"/>
                  <w:u w:val="none"/>
                  <w:shd w:val="clear" w:color="auto" w:fill="auto"/>
                </w:rPr>
                <w:t>90</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c5b158f470974cbb818a812df9cb73ff" w:history="1">
              <w:r>
                <w:rPr>
                  <w:rFonts w:ascii="Calibri" w:eastAsia="Calibri" w:hAnsi="Calibri" w:cs="Calibri"/>
                  <w:b w:val="0"/>
                  <w:i w:val="0"/>
                  <w:color w:val="000000"/>
                  <w:sz w:val="20"/>
                  <w:u w:val="none"/>
                  <w:shd w:val="clear" w:color="auto" w:fill="auto"/>
                </w:rPr>
                <w:t>25.1.-</w:t>
                <w:tab/>
                <w:t xml:space="preserve">Obligaciones por arrendamientos. </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c5b158f470974cbb818a812df9cb73ff" w:history="1">
              <w:r>
                <w:rPr>
                  <w:rFonts w:ascii="Calibri" w:eastAsia="Calibri" w:hAnsi="Calibri" w:cs="Calibri"/>
                  <w:b w:val="0"/>
                  <w:i w:val="0"/>
                  <w:color w:val="000000"/>
                  <w:sz w:val="20"/>
                  <w:u w:val="none"/>
                  <w:shd w:val="clear" w:color="auto" w:fill="auto"/>
                </w:rPr>
                <w:t>90</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2e16784c27164081b61d759a082f5821" w:history="1">
              <w:r>
                <w:rPr>
                  <w:rFonts w:ascii="Calibri" w:eastAsia="Calibri" w:hAnsi="Calibri" w:cs="Calibri"/>
                  <w:b w:val="0"/>
                  <w:i w:val="0"/>
                  <w:color w:val="000000"/>
                  <w:sz w:val="20"/>
                  <w:u w:val="none"/>
                  <w:shd w:val="clear" w:color="auto" w:fill="auto"/>
                </w:rPr>
                <w:t>25.2.-</w:t>
                <w:tab/>
                <w:t xml:space="preserve">Activos por derecho de uso. </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2e16784c27164081b61d759a082f5821" w:history="1">
              <w:r>
                <w:rPr>
                  <w:rFonts w:ascii="Calibri" w:eastAsia="Calibri" w:hAnsi="Calibri" w:cs="Calibri"/>
                  <w:b w:val="0"/>
                  <w:i w:val="0"/>
                  <w:color w:val="000000"/>
                  <w:sz w:val="20"/>
                  <w:u w:val="none"/>
                  <w:shd w:val="clear" w:color="auto" w:fill="auto"/>
                </w:rPr>
                <w:t>91</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7f24d633b88643c79ec5f3e2a0545273" w:history="1">
              <w:r>
                <w:rPr>
                  <w:rFonts w:ascii="Calibri" w:eastAsia="Calibri" w:hAnsi="Calibri" w:cs="Calibri"/>
                  <w:b w:val="0"/>
                  <w:i w:val="0"/>
                  <w:color w:val="000000"/>
                  <w:sz w:val="20"/>
                  <w:u w:val="none"/>
                  <w:shd w:val="clear" w:color="auto" w:fill="auto"/>
                </w:rPr>
                <w:t>26.-</w:t>
                <w:tab/>
                <w:t>PATRIMONIO NETO.</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7f24d633b88643c79ec5f3e2a0545273" w:history="1">
              <w:r>
                <w:rPr>
                  <w:rFonts w:ascii="Calibri" w:eastAsia="Calibri" w:hAnsi="Calibri" w:cs="Calibri"/>
                  <w:b w:val="0"/>
                  <w:i w:val="0"/>
                  <w:color w:val="000000"/>
                  <w:sz w:val="20"/>
                  <w:u w:val="none"/>
                  <w:shd w:val="clear" w:color="auto" w:fill="auto"/>
                </w:rPr>
                <w:t>92</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ac1e8dc06dce4aeaa35b0beed41454bd" w:history="1">
              <w:r>
                <w:rPr>
                  <w:rFonts w:ascii="Calibri" w:eastAsia="Calibri" w:hAnsi="Calibri" w:cs="Calibri"/>
                  <w:b w:val="0"/>
                  <w:i w:val="0"/>
                  <w:color w:val="000000"/>
                  <w:sz w:val="20"/>
                  <w:u w:val="none"/>
                  <w:shd w:val="clear" w:color="auto" w:fill="auto"/>
                </w:rPr>
                <w:t>26.1.-</w:t>
                <w:tab/>
                <w:t>Gestión de capital.</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ac1e8dc06dce4aeaa35b0beed41454bd" w:history="1">
              <w:r>
                <w:rPr>
                  <w:rFonts w:ascii="Calibri" w:eastAsia="Calibri" w:hAnsi="Calibri" w:cs="Calibri"/>
                  <w:b w:val="0"/>
                  <w:i w:val="0"/>
                  <w:color w:val="000000"/>
                  <w:sz w:val="20"/>
                  <w:u w:val="none"/>
                  <w:shd w:val="clear" w:color="auto" w:fill="auto"/>
                </w:rPr>
                <w:t>92</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e35939348691405389223a19322f0a6f" w:history="1">
              <w:r>
                <w:rPr>
                  <w:rFonts w:ascii="Calibri" w:eastAsia="Calibri" w:hAnsi="Calibri" w:cs="Calibri"/>
                  <w:b w:val="0"/>
                  <w:i w:val="0"/>
                  <w:color w:val="000000"/>
                  <w:sz w:val="20"/>
                  <w:u w:val="none"/>
                  <w:shd w:val="clear" w:color="auto" w:fill="auto"/>
                </w:rPr>
                <w:t>26.2.-</w:t>
                <w:tab/>
                <w:t>Capital suscrito y pagado.</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e35939348691405389223a19322f0a6f" w:history="1">
              <w:r>
                <w:rPr>
                  <w:rFonts w:ascii="Calibri" w:eastAsia="Calibri" w:hAnsi="Calibri" w:cs="Calibri"/>
                  <w:b w:val="0"/>
                  <w:i w:val="0"/>
                  <w:color w:val="000000"/>
                  <w:sz w:val="20"/>
                  <w:u w:val="none"/>
                  <w:shd w:val="clear" w:color="auto" w:fill="auto"/>
                </w:rPr>
                <w:t>92</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e2d7d4081a8446aca61f4797ae47055b" w:history="1">
              <w:r>
                <w:rPr>
                  <w:rFonts w:ascii="Calibri" w:eastAsia="Calibri" w:hAnsi="Calibri" w:cs="Calibri"/>
                  <w:b w:val="0"/>
                  <w:i w:val="0"/>
                  <w:color w:val="000000"/>
                  <w:sz w:val="20"/>
                  <w:u w:val="none"/>
                  <w:shd w:val="clear" w:color="auto" w:fill="auto"/>
                </w:rPr>
                <w:t>26.3.-</w:t>
                <w:tab/>
                <w:t>Número de acciones suscritas y pagadas.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e2d7d4081a8446aca61f4797ae47055b" w:history="1">
              <w:r>
                <w:rPr>
                  <w:rFonts w:ascii="Calibri" w:eastAsia="Calibri" w:hAnsi="Calibri" w:cs="Calibri"/>
                  <w:b w:val="0"/>
                  <w:i w:val="0"/>
                  <w:color w:val="000000"/>
                  <w:sz w:val="20"/>
                  <w:u w:val="none"/>
                  <w:shd w:val="clear" w:color="auto" w:fill="auto"/>
                </w:rPr>
                <w:t>92</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cff6fe8fa6e44313b8312461039be342" w:history="1">
              <w:r>
                <w:rPr>
                  <w:rFonts w:ascii="Calibri" w:eastAsia="Calibri" w:hAnsi="Calibri" w:cs="Calibri"/>
                  <w:b w:val="0"/>
                  <w:i w:val="0"/>
                  <w:color w:val="000000"/>
                  <w:sz w:val="20"/>
                  <w:u w:val="none"/>
                  <w:shd w:val="clear" w:color="auto" w:fill="auto"/>
                </w:rPr>
                <w:t>26.4.-</w:t>
                <w:tab/>
                <w:t>Dividendos.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cff6fe8fa6e44313b8312461039be342" w:history="1">
              <w:r>
                <w:rPr>
                  <w:rFonts w:ascii="Calibri" w:eastAsia="Calibri" w:hAnsi="Calibri" w:cs="Calibri"/>
                  <w:b w:val="0"/>
                  <w:i w:val="0"/>
                  <w:color w:val="000000"/>
                  <w:sz w:val="20"/>
                  <w:u w:val="none"/>
                  <w:shd w:val="clear" w:color="auto" w:fill="auto"/>
                </w:rPr>
                <w:t>92</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dd9b686dfcd040c5acc9aa2718968430" w:history="1">
              <w:r>
                <w:rPr>
                  <w:rFonts w:ascii="Calibri" w:eastAsia="Calibri" w:hAnsi="Calibri" w:cs="Calibri"/>
                  <w:b w:val="0"/>
                  <w:i w:val="0"/>
                  <w:color w:val="000000"/>
                  <w:sz w:val="20"/>
                  <w:u w:val="none"/>
                  <w:shd w:val="clear" w:color="auto" w:fill="auto"/>
                </w:rPr>
                <w:t>26.5.-</w:t>
                <w:tab/>
                <w:t>Reservas.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dd9b686dfcd040c5acc9aa2718968430" w:history="1">
              <w:r>
                <w:rPr>
                  <w:rFonts w:ascii="Calibri" w:eastAsia="Calibri" w:hAnsi="Calibri" w:cs="Calibri"/>
                  <w:b w:val="0"/>
                  <w:i w:val="0"/>
                  <w:color w:val="000000"/>
                  <w:sz w:val="20"/>
                  <w:u w:val="none"/>
                  <w:shd w:val="clear" w:color="auto" w:fill="auto"/>
                </w:rPr>
                <w:t>92</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ddd6b308f3ba4f6ebd23ac38d0d98600" w:history="1">
              <w:r>
                <w:rPr>
                  <w:rFonts w:ascii="Calibri" w:eastAsia="Calibri" w:hAnsi="Calibri" w:cs="Calibri"/>
                  <w:b w:val="0"/>
                  <w:i w:val="0"/>
                  <w:color w:val="000000"/>
                  <w:sz w:val="20"/>
                  <w:u w:val="none"/>
                  <w:shd w:val="clear" w:color="auto" w:fill="auto"/>
                </w:rPr>
                <w:t>26.6.-</w:t>
                <w:tab/>
                <w:t>Participaciones no controladoras.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ddd6b308f3ba4f6ebd23ac38d0d98600" w:history="1">
              <w:r>
                <w:rPr>
                  <w:rFonts w:ascii="Calibri" w:eastAsia="Calibri" w:hAnsi="Calibri" w:cs="Calibri"/>
                  <w:b w:val="0"/>
                  <w:i w:val="0"/>
                  <w:color w:val="000000"/>
                  <w:sz w:val="20"/>
                  <w:u w:val="none"/>
                  <w:shd w:val="clear" w:color="auto" w:fill="auto"/>
                </w:rPr>
                <w:t>94</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6e65f98b342545dea8d15af79fee3636" w:history="1">
              <w:r>
                <w:rPr>
                  <w:rFonts w:ascii="Calibri" w:eastAsia="Calibri" w:hAnsi="Calibri" w:cs="Calibri"/>
                  <w:b w:val="0"/>
                  <w:i w:val="0"/>
                  <w:color w:val="000000"/>
                  <w:sz w:val="20"/>
                  <w:u w:val="none"/>
                  <w:shd w:val="clear" w:color="auto" w:fill="auto"/>
                </w:rPr>
                <w:t>26.7.-</w:t>
                <w:tab/>
                <w:t>Transacciones con participaciones no controladoras.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6e65f98b342545dea8d15af79fee3636" w:history="1">
              <w:r>
                <w:rPr>
                  <w:rFonts w:ascii="Calibri" w:eastAsia="Calibri" w:hAnsi="Calibri" w:cs="Calibri"/>
                  <w:b w:val="0"/>
                  <w:i w:val="0"/>
                  <w:color w:val="000000"/>
                  <w:sz w:val="20"/>
                  <w:u w:val="none"/>
                  <w:shd w:val="clear" w:color="auto" w:fill="auto"/>
                </w:rPr>
                <w:t>95</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4f3c5076911649378cdcbc2fb84dd6a5" w:history="1">
              <w:r>
                <w:rPr>
                  <w:rFonts w:ascii="Calibri" w:eastAsia="Calibri" w:hAnsi="Calibri" w:cs="Calibri"/>
                  <w:b w:val="0"/>
                  <w:i w:val="0"/>
                  <w:color w:val="000000"/>
                  <w:sz w:val="20"/>
                  <w:u w:val="none"/>
                  <w:shd w:val="clear" w:color="auto" w:fill="auto"/>
                </w:rPr>
                <w:t>26.8.-</w:t>
                <w:tab/>
                <w:t>Reconciliación del movimiento en reservas de los otros resultados integrales.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4f3c5076911649378cdcbc2fb84dd6a5" w:history="1">
              <w:r>
                <w:rPr>
                  <w:rFonts w:ascii="Calibri" w:eastAsia="Calibri" w:hAnsi="Calibri" w:cs="Calibri"/>
                  <w:b w:val="0"/>
                  <w:i w:val="0"/>
                  <w:color w:val="000000"/>
                  <w:sz w:val="20"/>
                  <w:u w:val="none"/>
                  <w:shd w:val="clear" w:color="auto" w:fill="auto"/>
                </w:rPr>
                <w:t>95</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49d770f6a0b54c45a371e064fd2fd181" w:history="1">
              <w:r>
                <w:rPr>
                  <w:rFonts w:ascii="Calibri" w:eastAsia="Calibri" w:hAnsi="Calibri" w:cs="Calibri"/>
                  <w:b w:val="0"/>
                  <w:i w:val="0"/>
                  <w:color w:val="000000"/>
                  <w:sz w:val="20"/>
                  <w:u w:val="none"/>
                  <w:shd w:val="clear" w:color="auto" w:fill="auto"/>
                </w:rPr>
                <w:t>27.-</w:t>
                <w:tab/>
                <w:t>INGRESOS DE ACTIVIDADES ORDINARIAS.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49d770f6a0b54c45a371e064fd2fd181" w:history="1">
              <w:r>
                <w:rPr>
                  <w:rFonts w:ascii="Calibri" w:eastAsia="Calibri" w:hAnsi="Calibri" w:cs="Calibri"/>
                  <w:b w:val="0"/>
                  <w:i w:val="0"/>
                  <w:color w:val="000000"/>
                  <w:sz w:val="20"/>
                  <w:u w:val="none"/>
                  <w:shd w:val="clear" w:color="auto" w:fill="auto"/>
                </w:rPr>
                <w:t>96</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19812660e4204ae697c7fbe4df2bff10" w:history="1">
              <w:r>
                <w:rPr>
                  <w:rFonts w:ascii="Calibri" w:eastAsia="Calibri" w:hAnsi="Calibri" w:cs="Calibri"/>
                  <w:b w:val="0"/>
                  <w:i w:val="0"/>
                  <w:color w:val="000000"/>
                  <w:sz w:val="20"/>
                  <w:u w:val="none"/>
                  <w:shd w:val="clear" w:color="auto" w:fill="auto"/>
                </w:rPr>
                <w:t>27.1.-</w:t>
                <w:tab/>
                <w:t>Ingresos ordinarios.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19812660e4204ae697c7fbe4df2bff10" w:history="1">
              <w:r>
                <w:rPr>
                  <w:rFonts w:ascii="Calibri" w:eastAsia="Calibri" w:hAnsi="Calibri" w:cs="Calibri"/>
                  <w:b w:val="0"/>
                  <w:i w:val="0"/>
                  <w:color w:val="000000"/>
                  <w:sz w:val="20"/>
                  <w:u w:val="none"/>
                  <w:shd w:val="clear" w:color="auto" w:fill="auto"/>
                </w:rPr>
                <w:t>96</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abca84efc9d649a492123f07a748c698" w:history="1">
              <w:r>
                <w:rPr>
                  <w:rFonts w:ascii="Calibri" w:eastAsia="Calibri" w:hAnsi="Calibri" w:cs="Calibri"/>
                  <w:b w:val="0"/>
                  <w:i w:val="0"/>
                  <w:color w:val="000000"/>
                  <w:sz w:val="20"/>
                  <w:u w:val="none"/>
                  <w:shd w:val="clear" w:color="auto" w:fill="auto"/>
                </w:rPr>
                <w:t>27.2.-</w:t>
                <w:tab/>
                <w:t>Otros ingresos, por función.</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abca84efc9d649a492123f07a748c698" w:history="1">
              <w:r>
                <w:rPr>
                  <w:rFonts w:ascii="Calibri" w:eastAsia="Calibri" w:hAnsi="Calibri" w:cs="Calibri"/>
                  <w:b w:val="0"/>
                  <w:i w:val="0"/>
                  <w:color w:val="000000"/>
                  <w:sz w:val="20"/>
                  <w:u w:val="none"/>
                  <w:shd w:val="clear" w:color="auto" w:fill="auto"/>
                </w:rPr>
                <w:t>96</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45eae414982641128e5a19104436dbe4" w:history="1">
              <w:r>
                <w:rPr>
                  <w:rFonts w:ascii="Calibri" w:eastAsia="Calibri" w:hAnsi="Calibri" w:cs="Calibri"/>
                  <w:b w:val="0"/>
                  <w:i w:val="0"/>
                  <w:color w:val="000000"/>
                  <w:sz w:val="20"/>
                  <w:u w:val="none"/>
                  <w:shd w:val="clear" w:color="auto" w:fill="auto"/>
                </w:rPr>
                <w:t>28.-</w:t>
                <w:tab/>
                <w:t>COMPOSICIÓN DE RESULTADOS RELEVANTES.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45eae414982641128e5a19104436dbe4" w:history="1">
              <w:r>
                <w:rPr>
                  <w:rFonts w:ascii="Calibri" w:eastAsia="Calibri" w:hAnsi="Calibri" w:cs="Calibri"/>
                  <w:b w:val="0"/>
                  <w:i w:val="0"/>
                  <w:color w:val="000000"/>
                  <w:sz w:val="20"/>
                  <w:u w:val="none"/>
                  <w:shd w:val="clear" w:color="auto" w:fill="auto"/>
                </w:rPr>
                <w:t>97</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f0557dc4a6e445439c4d34e402c71822" w:history="1">
              <w:r>
                <w:rPr>
                  <w:rFonts w:ascii="Calibri" w:eastAsia="Calibri" w:hAnsi="Calibri" w:cs="Calibri"/>
                  <w:b w:val="0"/>
                  <w:i w:val="0"/>
                  <w:color w:val="000000"/>
                  <w:sz w:val="20"/>
                  <w:u w:val="none"/>
                  <w:shd w:val="clear" w:color="auto" w:fill="auto"/>
                </w:rPr>
                <w:t>28.1.-</w:t>
                <w:tab/>
                <w:t>Gastos por naturaleza.</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f0557dc4a6e445439c4d34e402c71822" w:history="1">
              <w:r>
                <w:rPr>
                  <w:rFonts w:ascii="Calibri" w:eastAsia="Calibri" w:hAnsi="Calibri" w:cs="Calibri"/>
                  <w:b w:val="0"/>
                  <w:i w:val="0"/>
                  <w:color w:val="000000"/>
                  <w:sz w:val="20"/>
                  <w:u w:val="none"/>
                  <w:shd w:val="clear" w:color="auto" w:fill="auto"/>
                </w:rPr>
                <w:t>97</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35860200f7a94ee4ba7d2f840e333775" w:history="1">
              <w:r>
                <w:rPr>
                  <w:rFonts w:ascii="Calibri" w:eastAsia="Calibri" w:hAnsi="Calibri" w:cs="Calibri"/>
                  <w:b w:val="0"/>
                  <w:i w:val="0"/>
                  <w:color w:val="000000"/>
                  <w:sz w:val="20"/>
                  <w:u w:val="none"/>
                  <w:shd w:val="clear" w:color="auto" w:fill="auto"/>
                </w:rPr>
                <w:t>28.2.-</w:t>
                <w:tab/>
                <w:t>Gastos de personal.</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35860200f7a94ee4ba7d2f840e333775" w:history="1">
              <w:r>
                <w:rPr>
                  <w:rFonts w:ascii="Calibri" w:eastAsia="Calibri" w:hAnsi="Calibri" w:cs="Calibri"/>
                  <w:b w:val="0"/>
                  <w:i w:val="0"/>
                  <w:color w:val="000000"/>
                  <w:sz w:val="20"/>
                  <w:u w:val="none"/>
                  <w:shd w:val="clear" w:color="auto" w:fill="auto"/>
                </w:rPr>
                <w:t>97</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e2b36de53ff34483915638943b3cfa93" w:history="1">
              <w:r>
                <w:rPr>
                  <w:rFonts w:ascii="Calibri" w:eastAsia="Calibri" w:hAnsi="Calibri" w:cs="Calibri"/>
                  <w:b w:val="0"/>
                  <w:i w:val="0"/>
                  <w:color w:val="000000"/>
                  <w:sz w:val="20"/>
                  <w:u w:val="none"/>
                  <w:shd w:val="clear" w:color="auto" w:fill="auto"/>
                </w:rPr>
                <w:t>28.3.-</w:t>
                <w:tab/>
                <w:t>Depreciación y amortización.</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e2b36de53ff34483915638943b3cfa93" w:history="1">
              <w:r>
                <w:rPr>
                  <w:rFonts w:ascii="Calibri" w:eastAsia="Calibri" w:hAnsi="Calibri" w:cs="Calibri"/>
                  <w:b w:val="0"/>
                  <w:i w:val="0"/>
                  <w:color w:val="000000"/>
                  <w:sz w:val="20"/>
                  <w:u w:val="none"/>
                  <w:shd w:val="clear" w:color="auto" w:fill="auto"/>
                </w:rPr>
                <w:t>97</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323a87694aa24bffbeb5d0653f4f8ddb" w:history="1">
              <w:r>
                <w:rPr>
                  <w:rFonts w:ascii="Calibri" w:eastAsia="Calibri" w:hAnsi="Calibri" w:cs="Calibri"/>
                  <w:b w:val="0"/>
                  <w:i w:val="0"/>
                  <w:color w:val="000000"/>
                  <w:sz w:val="20"/>
                  <w:u w:val="none"/>
                  <w:shd w:val="clear" w:color="auto" w:fill="auto"/>
                </w:rPr>
                <w:t>28.4.-</w:t>
                <w:tab/>
                <w:t>Otras ganancias (pérdidas).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323a87694aa24bffbeb5d0653f4f8ddb" w:history="1">
              <w:r>
                <w:rPr>
                  <w:rFonts w:ascii="Calibri" w:eastAsia="Calibri" w:hAnsi="Calibri" w:cs="Calibri"/>
                  <w:b w:val="0"/>
                  <w:i w:val="0"/>
                  <w:color w:val="000000"/>
                  <w:sz w:val="20"/>
                  <w:u w:val="none"/>
                  <w:shd w:val="clear" w:color="auto" w:fill="auto"/>
                </w:rPr>
                <w:t>98</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a347f926ff604156bac76e3b5010c5a6" w:history="1">
              <w:r>
                <w:rPr>
                  <w:rFonts w:ascii="Calibri" w:eastAsia="Calibri" w:hAnsi="Calibri" w:cs="Calibri"/>
                  <w:b w:val="0"/>
                  <w:i w:val="0"/>
                  <w:color w:val="000000"/>
                  <w:sz w:val="20"/>
                  <w:u w:val="none"/>
                  <w:shd w:val="clear" w:color="auto" w:fill="auto"/>
                </w:rPr>
                <w:t>29.-</w:t>
                <w:tab/>
                <w:t>RESULTADO FINANCIERO.</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a347f926ff604156bac76e3b5010c5a6" w:history="1">
              <w:r>
                <w:rPr>
                  <w:rFonts w:ascii="Calibri" w:eastAsia="Calibri" w:hAnsi="Calibri" w:cs="Calibri"/>
                  <w:b w:val="0"/>
                  <w:i w:val="0"/>
                  <w:color w:val="000000"/>
                  <w:sz w:val="20"/>
                  <w:u w:val="none"/>
                  <w:shd w:val="clear" w:color="auto" w:fill="auto"/>
                </w:rPr>
                <w:t>98</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fcf6e6960763492e848101d4162bb2c5" w:history="1">
              <w:r>
                <w:rPr>
                  <w:rFonts w:ascii="Calibri" w:eastAsia="Calibri" w:hAnsi="Calibri" w:cs="Calibri"/>
                  <w:b w:val="0"/>
                  <w:i w:val="0"/>
                  <w:color w:val="000000"/>
                  <w:sz w:val="20"/>
                  <w:u w:val="none"/>
                  <w:shd w:val="clear" w:color="auto" w:fill="auto"/>
                </w:rPr>
                <w:t>29.1.-</w:t>
                <w:tab/>
                <w:t xml:space="preserve">Composición ganancias (pérdidas) de cambio en moneda extranjera. </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fcf6e6960763492e848101d4162bb2c5" w:history="1">
              <w:r>
                <w:rPr>
                  <w:rFonts w:ascii="Calibri" w:eastAsia="Calibri" w:hAnsi="Calibri" w:cs="Calibri"/>
                  <w:b w:val="0"/>
                  <w:i w:val="0"/>
                  <w:color w:val="000000"/>
                  <w:sz w:val="20"/>
                  <w:u w:val="none"/>
                  <w:shd w:val="clear" w:color="auto" w:fill="auto"/>
                </w:rPr>
                <w:t>99</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04d31db55b314e14baf790b987c06e31" w:history="1">
              <w:r>
                <w:rPr>
                  <w:rFonts w:ascii="Calibri" w:eastAsia="Calibri" w:hAnsi="Calibri" w:cs="Calibri"/>
                  <w:b w:val="0"/>
                  <w:i w:val="0"/>
                  <w:color w:val="000000"/>
                  <w:sz w:val="20"/>
                  <w:u w:val="none"/>
                  <w:shd w:val="clear" w:color="auto" w:fill="auto"/>
                </w:rPr>
                <w:t>29.2.-</w:t>
                <w:tab/>
                <w:t xml:space="preserve">Composición unidades de reajuste. </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04d31db55b314e14baf790b987c06e31" w:history="1">
              <w:r>
                <w:rPr>
                  <w:rFonts w:ascii="Calibri" w:eastAsia="Calibri" w:hAnsi="Calibri" w:cs="Calibri"/>
                  <w:b w:val="0"/>
                  <w:i w:val="0"/>
                  <w:color w:val="000000"/>
                  <w:sz w:val="20"/>
                  <w:u w:val="none"/>
                  <w:shd w:val="clear" w:color="auto" w:fill="auto"/>
                </w:rPr>
                <w:t>99</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2305565a5208487eb051a99a6b651b73" w:history="1">
              <w:r>
                <w:rPr>
                  <w:rFonts w:ascii="Calibri" w:eastAsia="Calibri" w:hAnsi="Calibri" w:cs="Calibri"/>
                  <w:b w:val="0"/>
                  <w:i w:val="0"/>
                  <w:color w:val="000000"/>
                  <w:sz w:val="20"/>
                  <w:u w:val="none"/>
                  <w:shd w:val="clear" w:color="auto" w:fill="auto"/>
                </w:rPr>
                <w:t>30.-</w:t>
                <w:tab/>
                <w:t>GASTO POR IMPUESTOS A LAS GANANCIAS.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2305565a5208487eb051a99a6b651b73" w:history="1">
              <w:r>
                <w:rPr>
                  <w:rFonts w:ascii="Calibri" w:eastAsia="Calibri" w:hAnsi="Calibri" w:cs="Calibri"/>
                  <w:b w:val="0"/>
                  <w:i w:val="0"/>
                  <w:color w:val="000000"/>
                  <w:sz w:val="20"/>
                  <w:u w:val="none"/>
                  <w:shd w:val="clear" w:color="auto" w:fill="auto"/>
                </w:rPr>
                <w:t>100</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a39093157ed34ee58b9916b0dcaac004" w:history="1">
              <w:r>
                <w:rPr>
                  <w:rFonts w:ascii="Calibri" w:eastAsia="Calibri" w:hAnsi="Calibri" w:cs="Calibri"/>
                  <w:b w:val="0"/>
                  <w:i w:val="0"/>
                  <w:color w:val="000000"/>
                  <w:sz w:val="20"/>
                  <w:u w:val="none"/>
                  <w:shd w:val="clear" w:color="auto" w:fill="auto"/>
                </w:rPr>
                <w:t>30.1.-</w:t>
                <w:tab/>
                <w:t>Efecto en resultados por impuestos a las ganancias.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a39093157ed34ee58b9916b0dcaac004" w:history="1">
              <w:r>
                <w:rPr>
                  <w:rFonts w:ascii="Calibri" w:eastAsia="Calibri" w:hAnsi="Calibri" w:cs="Calibri"/>
                  <w:b w:val="0"/>
                  <w:i w:val="0"/>
                  <w:color w:val="000000"/>
                  <w:sz w:val="20"/>
                  <w:u w:val="none"/>
                  <w:shd w:val="clear" w:color="auto" w:fill="auto"/>
                </w:rPr>
                <w:t>100</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73b9450bd1174a20b2350e859a400b2d" w:history="1">
              <w:r>
                <w:rPr>
                  <w:rFonts w:ascii="Calibri" w:eastAsia="Calibri" w:hAnsi="Calibri" w:cs="Calibri"/>
                  <w:b w:val="0"/>
                  <w:i w:val="0"/>
                  <w:color w:val="000000"/>
                  <w:sz w:val="20"/>
                  <w:u w:val="none"/>
                  <w:shd w:val="clear" w:color="auto" w:fill="auto"/>
                </w:rPr>
                <w:t>30.2.-</w:t>
                <w:tab/>
                <w:t>Conciliación entre el resultado por impuestos a las ganancias contabilizado y la tasa efectiva.</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73b9450bd1174a20b2350e859a400b2d" w:history="1">
              <w:r>
                <w:rPr>
                  <w:rFonts w:ascii="Calibri" w:eastAsia="Calibri" w:hAnsi="Calibri" w:cs="Calibri"/>
                  <w:b w:val="0"/>
                  <w:i w:val="0"/>
                  <w:color w:val="000000"/>
                  <w:sz w:val="20"/>
                  <w:u w:val="none"/>
                  <w:shd w:val="clear" w:color="auto" w:fill="auto"/>
                </w:rPr>
                <w:t>100</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cbab1f3b2ece4544b08007fc5ae73c25" w:history="1">
              <w:r>
                <w:rPr>
                  <w:rFonts w:ascii="Calibri" w:eastAsia="Calibri" w:hAnsi="Calibri" w:cs="Calibri"/>
                  <w:b w:val="0"/>
                  <w:i w:val="0"/>
                  <w:color w:val="000000"/>
                  <w:sz w:val="20"/>
                  <w:u w:val="none"/>
                  <w:shd w:val="clear" w:color="auto" w:fill="auto"/>
                </w:rPr>
                <w:t>30.3.-</w:t>
                <w:tab/>
                <w:t>Efecto en los resultados integrales por impuestos a las ganancias.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cbab1f3b2ece4544b08007fc5ae73c25" w:history="1">
              <w:r>
                <w:rPr>
                  <w:rFonts w:ascii="Calibri" w:eastAsia="Calibri" w:hAnsi="Calibri" w:cs="Calibri"/>
                  <w:b w:val="0"/>
                  <w:i w:val="0"/>
                  <w:color w:val="000000"/>
                  <w:sz w:val="20"/>
                  <w:u w:val="none"/>
                  <w:shd w:val="clear" w:color="auto" w:fill="auto"/>
                </w:rPr>
                <w:t>101</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d7d4cc21b04a41c18217e32639ec0613" w:history="1">
              <w:r>
                <w:rPr>
                  <w:rFonts w:ascii="Calibri" w:eastAsia="Calibri" w:hAnsi="Calibri" w:cs="Calibri"/>
                  <w:b w:val="0"/>
                  <w:i w:val="0"/>
                  <w:color w:val="000000"/>
                  <w:sz w:val="20"/>
                  <w:u w:val="none"/>
                  <w:shd w:val="clear" w:color="auto" w:fill="auto"/>
                </w:rPr>
                <w:t>31.-</w:t>
                <w:tab/>
                <w:t>GANANCIAS POR ACCIÓN.</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d7d4cc21b04a41c18217e32639ec0613" w:history="1">
              <w:r>
                <w:rPr>
                  <w:rFonts w:ascii="Calibri" w:eastAsia="Calibri" w:hAnsi="Calibri" w:cs="Calibri"/>
                  <w:b w:val="0"/>
                  <w:i w:val="0"/>
                  <w:color w:val="000000"/>
                  <w:sz w:val="20"/>
                  <w:u w:val="none"/>
                  <w:shd w:val="clear" w:color="auto" w:fill="auto"/>
                </w:rPr>
                <w:t>101</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60e5b9f50eb74ee0aec0a65de284cb74" w:history="1">
              <w:r>
                <w:rPr>
                  <w:rFonts w:ascii="Calibri" w:eastAsia="Calibri" w:hAnsi="Calibri" w:cs="Calibri"/>
                  <w:b w:val="0"/>
                  <w:i w:val="0"/>
                  <w:color w:val="000000"/>
                  <w:sz w:val="20"/>
                  <w:u w:val="none"/>
                  <w:shd w:val="clear" w:color="auto" w:fill="auto"/>
                </w:rPr>
                <w:t>32.-</w:t>
                <w:tab/>
                <w:t>INFORMACIÓN POR SEGMENTO.</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60e5b9f50eb74ee0aec0a65de284cb74" w:history="1">
              <w:r>
                <w:rPr>
                  <w:rFonts w:ascii="Calibri" w:eastAsia="Calibri" w:hAnsi="Calibri" w:cs="Calibri"/>
                  <w:b w:val="0"/>
                  <w:i w:val="0"/>
                  <w:color w:val="000000"/>
                  <w:sz w:val="20"/>
                  <w:u w:val="none"/>
                  <w:shd w:val="clear" w:color="auto" w:fill="auto"/>
                </w:rPr>
                <w:t>101</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0863f457f5724488a5151d24f01fc3e3" w:history="1">
              <w:r>
                <w:rPr>
                  <w:rFonts w:ascii="Calibri" w:eastAsia="Calibri" w:hAnsi="Calibri" w:cs="Calibri"/>
                  <w:b w:val="0"/>
                  <w:i w:val="0"/>
                  <w:color w:val="000000"/>
                  <w:sz w:val="20"/>
                  <w:u w:val="none"/>
                  <w:shd w:val="clear" w:color="auto" w:fill="auto"/>
                </w:rPr>
                <w:t>32.1.-</w:t>
                <w:tab/>
                <w:t>Criterios de segmentación.</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0863f457f5724488a5151d24f01fc3e3" w:history="1">
              <w:r>
                <w:rPr>
                  <w:rFonts w:ascii="Calibri" w:eastAsia="Calibri" w:hAnsi="Calibri" w:cs="Calibri"/>
                  <w:b w:val="0"/>
                  <w:i w:val="0"/>
                  <w:color w:val="000000"/>
                  <w:sz w:val="20"/>
                  <w:u w:val="none"/>
                  <w:shd w:val="clear" w:color="auto" w:fill="auto"/>
                </w:rPr>
                <w:t>101</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6717221ddc1449b59c45bf21e5241b06" w:history="1">
              <w:r>
                <w:rPr>
                  <w:rFonts w:ascii="Calibri" w:eastAsia="Calibri" w:hAnsi="Calibri" w:cs="Calibri"/>
                  <w:b w:val="0"/>
                  <w:i w:val="0"/>
                  <w:color w:val="000000"/>
                  <w:sz w:val="20"/>
                  <w:u w:val="none"/>
                  <w:shd w:val="clear" w:color="auto" w:fill="auto"/>
                </w:rPr>
                <w:t>32.2.-</w:t>
                <w:tab/>
                <w:t>Cuadros patrimoniales.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6717221ddc1449b59c45bf21e5241b06" w:history="1">
              <w:r>
                <w:rPr>
                  <w:rFonts w:ascii="Calibri" w:eastAsia="Calibri" w:hAnsi="Calibri" w:cs="Calibri"/>
                  <w:b w:val="0"/>
                  <w:i w:val="0"/>
                  <w:color w:val="000000"/>
                  <w:sz w:val="20"/>
                  <w:u w:val="none"/>
                  <w:shd w:val="clear" w:color="auto" w:fill="auto"/>
                </w:rPr>
                <w:t>102</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b234dde8dc3d44f1b9e045b55769629f" w:history="1">
              <w:r>
                <w:rPr>
                  <w:rFonts w:ascii="Calibri" w:eastAsia="Calibri" w:hAnsi="Calibri" w:cs="Calibri"/>
                  <w:b w:val="0"/>
                  <w:i w:val="0"/>
                  <w:color w:val="000000"/>
                  <w:sz w:val="20"/>
                  <w:u w:val="none"/>
                  <w:shd w:val="clear" w:color="auto" w:fill="auto"/>
                </w:rPr>
                <w:t>32.3.-</w:t>
                <w:tab/>
                <w:t>Cuadros de resultados por segmentos.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b234dde8dc3d44f1b9e045b55769629f" w:history="1">
              <w:r>
                <w:rPr>
                  <w:rFonts w:ascii="Calibri" w:eastAsia="Calibri" w:hAnsi="Calibri" w:cs="Calibri"/>
                  <w:b w:val="0"/>
                  <w:i w:val="0"/>
                  <w:color w:val="000000"/>
                  <w:sz w:val="20"/>
                  <w:u w:val="none"/>
                  <w:shd w:val="clear" w:color="auto" w:fill="auto"/>
                </w:rPr>
                <w:t>104</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3b823ca6bf724cc7a25ab09ec2c55e79" w:history="1">
              <w:r>
                <w:rPr>
                  <w:rFonts w:ascii="Calibri" w:eastAsia="Calibri" w:hAnsi="Calibri" w:cs="Calibri"/>
                  <w:b w:val="0"/>
                  <w:i w:val="0"/>
                  <w:color w:val="000000"/>
                  <w:sz w:val="20"/>
                  <w:u w:val="none"/>
                  <w:shd w:val="clear" w:color="auto" w:fill="auto"/>
                </w:rPr>
                <w:t>32.4.-</w:t>
                <w:tab/>
                <w:t>Flujos de efectivo por segmento por método directo.</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3b823ca6bf724cc7a25ab09ec2c55e79" w:history="1">
              <w:r>
                <w:rPr>
                  <w:rFonts w:ascii="Calibri" w:eastAsia="Calibri" w:hAnsi="Calibri" w:cs="Calibri"/>
                  <w:b w:val="0"/>
                  <w:i w:val="0"/>
                  <w:color w:val="000000"/>
                  <w:sz w:val="20"/>
                  <w:u w:val="none"/>
                  <w:shd w:val="clear" w:color="auto" w:fill="auto"/>
                </w:rPr>
                <w:t>105</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667cd21d58c347cf994a0ba9fa4625f1" w:history="1">
              <w:r>
                <w:rPr>
                  <w:rFonts w:ascii="Calibri" w:eastAsia="Calibri" w:hAnsi="Calibri" w:cs="Calibri"/>
                  <w:b w:val="0"/>
                  <w:i w:val="0"/>
                  <w:color w:val="000000"/>
                  <w:sz w:val="20"/>
                  <w:u w:val="none"/>
                  <w:shd w:val="clear" w:color="auto" w:fill="auto"/>
                </w:rPr>
                <w:t>33.-</w:t>
                <w:tab/>
                <w:t>SALDOS EN MONEDA EXTRANJERA.</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667cd21d58c347cf994a0ba9fa4625f1" w:history="1">
              <w:r>
                <w:rPr>
                  <w:rFonts w:ascii="Calibri" w:eastAsia="Calibri" w:hAnsi="Calibri" w:cs="Calibri"/>
                  <w:b w:val="0"/>
                  <w:i w:val="0"/>
                  <w:color w:val="000000"/>
                  <w:sz w:val="20"/>
                  <w:u w:val="none"/>
                  <w:shd w:val="clear" w:color="auto" w:fill="auto"/>
                </w:rPr>
                <w:t>106</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71475316b03c40ac924a133f5c755a21" w:history="1">
              <w:r>
                <w:rPr>
                  <w:rFonts w:ascii="Calibri" w:eastAsia="Calibri" w:hAnsi="Calibri" w:cs="Calibri"/>
                  <w:b w:val="0"/>
                  <w:i w:val="0"/>
                  <w:color w:val="000000"/>
                  <w:sz w:val="20"/>
                  <w:u w:val="none"/>
                  <w:shd w:val="clear" w:color="auto" w:fill="auto"/>
                </w:rPr>
                <w:t>33.1.-</w:t>
                <w:tab/>
                <w:t>Resumen de saldos en moneda extranjera.</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71475316b03c40ac924a133f5c755a21" w:history="1">
              <w:r>
                <w:rPr>
                  <w:rFonts w:ascii="Calibri" w:eastAsia="Calibri" w:hAnsi="Calibri" w:cs="Calibri"/>
                  <w:b w:val="0"/>
                  <w:i w:val="0"/>
                  <w:color w:val="000000"/>
                  <w:sz w:val="20"/>
                  <w:u w:val="none"/>
                  <w:shd w:val="clear" w:color="auto" w:fill="auto"/>
                </w:rPr>
                <w:t>106</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3d65a65240c74043ad085a6aa00d6007" w:history="1">
              <w:r>
                <w:rPr>
                  <w:rFonts w:ascii="Calibri" w:eastAsia="Calibri" w:hAnsi="Calibri" w:cs="Calibri"/>
                  <w:b w:val="0"/>
                  <w:i w:val="0"/>
                  <w:color w:val="000000"/>
                  <w:sz w:val="20"/>
                  <w:u w:val="none"/>
                  <w:shd w:val="clear" w:color="auto" w:fill="auto"/>
                </w:rPr>
                <w:t>33.2.-</w:t>
                <w:tab/>
                <w:t>Saldos en moneda extranjera, activos.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3d65a65240c74043ad085a6aa00d6007" w:history="1">
              <w:r>
                <w:rPr>
                  <w:rFonts w:ascii="Calibri" w:eastAsia="Calibri" w:hAnsi="Calibri" w:cs="Calibri"/>
                  <w:b w:val="0"/>
                  <w:i w:val="0"/>
                  <w:color w:val="000000"/>
                  <w:sz w:val="20"/>
                  <w:u w:val="none"/>
                  <w:shd w:val="clear" w:color="auto" w:fill="auto"/>
                </w:rPr>
                <w:t>107</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14ad52c6ed3540cc9f22017a170424e6" w:history="1">
              <w:r>
                <w:rPr>
                  <w:rFonts w:ascii="Calibri" w:eastAsia="Calibri" w:hAnsi="Calibri" w:cs="Calibri"/>
                  <w:b w:val="0"/>
                  <w:i w:val="0"/>
                  <w:color w:val="000000"/>
                  <w:sz w:val="20"/>
                  <w:u w:val="none"/>
                  <w:shd w:val="clear" w:color="auto" w:fill="auto"/>
                </w:rPr>
                <w:t>33.3.-</w:t>
                <w:tab/>
                <w:t>Saldos en moneda extranjera, pasivos.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14ad52c6ed3540cc9f22017a170424e6" w:history="1">
              <w:r>
                <w:rPr>
                  <w:rFonts w:ascii="Calibri" w:eastAsia="Calibri" w:hAnsi="Calibri" w:cs="Calibri"/>
                  <w:b w:val="0"/>
                  <w:i w:val="0"/>
                  <w:color w:val="000000"/>
                  <w:sz w:val="20"/>
                  <w:u w:val="none"/>
                  <w:shd w:val="clear" w:color="auto" w:fill="auto"/>
                </w:rPr>
                <w:t>108</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3499450e45c04ddfb91b420acec2be65" w:history="1">
              <w:r>
                <w:rPr>
                  <w:rFonts w:ascii="Calibri" w:eastAsia="Calibri" w:hAnsi="Calibri" w:cs="Calibri"/>
                  <w:b w:val="0"/>
                  <w:i w:val="0"/>
                  <w:color w:val="000000"/>
                  <w:sz w:val="20"/>
                  <w:u w:val="none"/>
                  <w:shd w:val="clear" w:color="auto" w:fill="auto"/>
                </w:rPr>
                <w:t>34.-</w:t>
                <w:tab/>
                <w:t>CONTINGENCIAS, JUICIOS Y OTROS.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3499450e45c04ddfb91b420acec2be65" w:history="1">
              <w:r>
                <w:rPr>
                  <w:rFonts w:ascii="Calibri" w:eastAsia="Calibri" w:hAnsi="Calibri" w:cs="Calibri"/>
                  <w:b w:val="0"/>
                  <w:i w:val="0"/>
                  <w:color w:val="000000"/>
                  <w:sz w:val="20"/>
                  <w:u w:val="none"/>
                  <w:shd w:val="clear" w:color="auto" w:fill="auto"/>
                </w:rPr>
                <w:t>109</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6d760d8858624331999cfb2031a4c1b2" w:history="1">
              <w:r>
                <w:rPr>
                  <w:rFonts w:ascii="Calibri" w:eastAsia="Calibri" w:hAnsi="Calibri" w:cs="Calibri"/>
                  <w:b w:val="0"/>
                  <w:i w:val="0"/>
                  <w:color w:val="000000"/>
                  <w:sz w:val="20"/>
                  <w:u w:val="none"/>
                  <w:shd w:val="clear" w:color="auto" w:fill="auto"/>
                </w:rPr>
                <w:t>34.1.-</w:t>
                <w:tab/>
                <w:t>Juicios y otras acciones legales.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6d760d8858624331999cfb2031a4c1b2" w:history="1">
              <w:r>
                <w:rPr>
                  <w:rFonts w:ascii="Calibri" w:eastAsia="Calibri" w:hAnsi="Calibri" w:cs="Calibri"/>
                  <w:b w:val="0"/>
                  <w:i w:val="0"/>
                  <w:color w:val="000000"/>
                  <w:sz w:val="20"/>
                  <w:u w:val="none"/>
                  <w:shd w:val="clear" w:color="auto" w:fill="auto"/>
                </w:rPr>
                <w:t>109</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428f025a3a9349748020dbe2f1825303" w:history="1">
              <w:r>
                <w:rPr>
                  <w:rFonts w:ascii="Calibri" w:eastAsia="Calibri" w:hAnsi="Calibri" w:cs="Calibri"/>
                  <w:b w:val="0"/>
                  <w:i w:val="0"/>
                  <w:color w:val="000000"/>
                  <w:sz w:val="20"/>
                  <w:u w:val="none"/>
                  <w:shd w:val="clear" w:color="auto" w:fill="auto"/>
                </w:rPr>
                <w:t>34.2.-</w:t>
                <w:tab/>
                <w:t>Sanciones administrativas.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428f025a3a9349748020dbe2f1825303" w:history="1">
              <w:r>
                <w:rPr>
                  <w:rFonts w:ascii="Calibri" w:eastAsia="Calibri" w:hAnsi="Calibri" w:cs="Calibri"/>
                  <w:b w:val="0"/>
                  <w:i w:val="0"/>
                  <w:color w:val="000000"/>
                  <w:sz w:val="20"/>
                  <w:u w:val="none"/>
                  <w:shd w:val="clear" w:color="auto" w:fill="auto"/>
                </w:rPr>
                <w:t>112</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7e222f15fc2547d0bc69686e606f7cdb" w:history="1">
              <w:r>
                <w:rPr>
                  <w:rFonts w:ascii="Calibri" w:eastAsia="Calibri" w:hAnsi="Calibri" w:cs="Calibri"/>
                  <w:b w:val="0"/>
                  <w:i w:val="0"/>
                  <w:color w:val="000000"/>
                  <w:sz w:val="20"/>
                  <w:u w:val="none"/>
                  <w:shd w:val="clear" w:color="auto" w:fill="auto"/>
                </w:rPr>
                <w:t>34.3.-</w:t>
                <w:tab/>
                <w:t xml:space="preserve">Sanciones. </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7e222f15fc2547d0bc69686e606f7cdb" w:history="1">
              <w:r>
                <w:rPr>
                  <w:rFonts w:ascii="Calibri" w:eastAsia="Calibri" w:hAnsi="Calibri" w:cs="Calibri"/>
                  <w:b w:val="0"/>
                  <w:i w:val="0"/>
                  <w:color w:val="000000"/>
                  <w:sz w:val="20"/>
                  <w:u w:val="none"/>
                  <w:shd w:val="clear" w:color="auto" w:fill="auto"/>
                </w:rPr>
                <w:t>113</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3f125f9685204a8b8312af0eaa0728f8" w:history="1">
              <w:r>
                <w:rPr>
                  <w:rFonts w:ascii="Calibri" w:eastAsia="Calibri" w:hAnsi="Calibri" w:cs="Calibri"/>
                  <w:b w:val="0"/>
                  <w:i w:val="0"/>
                  <w:color w:val="000000"/>
                  <w:sz w:val="20"/>
                  <w:u w:val="none"/>
                  <w:shd w:val="clear" w:color="auto" w:fill="auto"/>
                </w:rPr>
                <w:t>34.4.-</w:t>
                <w:tab/>
                <w:t>Restricciones.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3f125f9685204a8b8312af0eaa0728f8" w:history="1">
              <w:r>
                <w:rPr>
                  <w:rFonts w:ascii="Calibri" w:eastAsia="Calibri" w:hAnsi="Calibri" w:cs="Calibri"/>
                  <w:b w:val="0"/>
                  <w:i w:val="0"/>
                  <w:color w:val="000000"/>
                  <w:sz w:val="20"/>
                  <w:u w:val="none"/>
                  <w:shd w:val="clear" w:color="auto" w:fill="auto"/>
                </w:rPr>
                <w:t>113</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7aec82103e0f43e2ac44340c3ebbe8f7" w:history="1">
              <w:r>
                <w:rPr>
                  <w:rFonts w:ascii="Calibri" w:eastAsia="Calibri" w:hAnsi="Calibri" w:cs="Calibri"/>
                  <w:b w:val="0"/>
                  <w:i w:val="0"/>
                  <w:color w:val="000000"/>
                  <w:sz w:val="20"/>
                  <w:u w:val="none"/>
                  <w:shd w:val="clear" w:color="auto" w:fill="auto"/>
                </w:rPr>
                <w:t>35.-</w:t>
                <w:tab/>
                <w:t xml:space="preserve">GARANTÍAS COMPROMETIDAS CON TERCEROS, OTROS ACTIVOS Y PASIVOS CONTINGENTES Y OTROS COMPROMISOS. </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7aec82103e0f43e2ac44340c3ebbe8f7" w:history="1">
              <w:r>
                <w:rPr>
                  <w:rFonts w:ascii="Calibri" w:eastAsia="Calibri" w:hAnsi="Calibri" w:cs="Calibri"/>
                  <w:b w:val="0"/>
                  <w:i w:val="0"/>
                  <w:color w:val="000000"/>
                  <w:sz w:val="20"/>
                  <w:u w:val="none"/>
                  <w:shd w:val="clear" w:color="auto" w:fill="auto"/>
                </w:rPr>
                <w:t>115</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9a3b1e82ff1a4288bd3ffca501ffc0b9" w:history="1">
              <w:r>
                <w:rPr>
                  <w:rFonts w:ascii="Calibri" w:eastAsia="Calibri" w:hAnsi="Calibri" w:cs="Calibri"/>
                  <w:b w:val="0"/>
                  <w:i w:val="0"/>
                  <w:color w:val="000000"/>
                  <w:sz w:val="20"/>
                  <w:u w:val="none"/>
                  <w:shd w:val="clear" w:color="auto" w:fill="auto"/>
                </w:rPr>
                <w:t>36.-</w:t>
                <w:tab/>
                <w:t>DISTRIBUCIÓN DEL PERSONAL.</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9a3b1e82ff1a4288bd3ffca501ffc0b9" w:history="1">
              <w:r>
                <w:rPr>
                  <w:rFonts w:ascii="Calibri" w:eastAsia="Calibri" w:hAnsi="Calibri" w:cs="Calibri"/>
                  <w:b w:val="0"/>
                  <w:i w:val="0"/>
                  <w:color w:val="000000"/>
                  <w:sz w:val="20"/>
                  <w:u w:val="none"/>
                  <w:shd w:val="clear" w:color="auto" w:fill="auto"/>
                </w:rPr>
                <w:t>116</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9bd6d5d412374cdbbded833f530fb099" w:history="1">
              <w:r>
                <w:rPr>
                  <w:rFonts w:ascii="Calibri" w:eastAsia="Calibri" w:hAnsi="Calibri" w:cs="Calibri"/>
                  <w:b w:val="0"/>
                  <w:i w:val="0"/>
                  <w:color w:val="000000"/>
                  <w:sz w:val="20"/>
                  <w:u w:val="none"/>
                  <w:shd w:val="clear" w:color="auto" w:fill="auto"/>
                </w:rPr>
                <w:t>37.-</w:t>
                <w:tab/>
                <w:t>MEDIO AMBIENTE.</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9bd6d5d412374cdbbded833f530fb099" w:history="1">
              <w:r>
                <w:rPr>
                  <w:rFonts w:ascii="Calibri" w:eastAsia="Calibri" w:hAnsi="Calibri" w:cs="Calibri"/>
                  <w:b w:val="0"/>
                  <w:i w:val="0"/>
                  <w:color w:val="000000"/>
                  <w:sz w:val="20"/>
                  <w:u w:val="none"/>
                  <w:shd w:val="clear" w:color="auto" w:fill="auto"/>
                </w:rPr>
                <w:t>116</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079ebd62672a48bb85be00ce368b3486" w:history="1">
              <w:r>
                <w:rPr>
                  <w:rFonts w:ascii="Calibri" w:eastAsia="Calibri" w:hAnsi="Calibri" w:cs="Calibri"/>
                  <w:b w:val="0"/>
                  <w:i w:val="0"/>
                  <w:color w:val="000000"/>
                  <w:sz w:val="20"/>
                  <w:u w:val="none"/>
                  <w:shd w:val="clear" w:color="auto" w:fill="auto"/>
                </w:rPr>
                <w:t>38.-</w:t>
                <w:tab/>
                <w:t>HECHOS POSTERIORES.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079ebd62672a48bb85be00ce368b3486" w:history="1">
              <w:r>
                <w:rPr>
                  <w:rFonts w:ascii="Calibri" w:eastAsia="Calibri" w:hAnsi="Calibri" w:cs="Calibri"/>
                  <w:b w:val="0"/>
                  <w:i w:val="0"/>
                  <w:color w:val="000000"/>
                  <w:sz w:val="20"/>
                  <w:u w:val="none"/>
                  <w:shd w:val="clear" w:color="auto" w:fill="auto"/>
                </w:rPr>
                <w:t>118</w:t>
              </w:r>
            </w:hyperlink>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pStyle w:val="Normal-wk"/>
        <w:keepNext w:val="0"/>
        <w:keepLines/>
        <w:pageBreakBefore/>
        <w:widowControl w:val="0"/>
        <w:numPr>
          <w:ilvl w:val="0"/>
          <w:numId w:val="0"/>
        </w:numPr>
        <w:spacing w:before="0" w:after="0" w:line="240" w:lineRule="exact"/>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CGE TRANSMISIÓN S.A. Y SUBSIDIARIAS</w:t>
      </w:r>
    </w:p>
    <w:p>
      <w:pPr>
        <w:pStyle w:val="Normal-wk"/>
        <w:keepNext w:val="0"/>
        <w:keepLines/>
        <w:pageBreakBefore w:val="0"/>
        <w:widowControl w:val="0"/>
        <w:numPr>
          <w:ilvl w:val="0"/>
          <w:numId w:val="0"/>
        </w:numPr>
        <w:spacing w:before="0" w:after="0" w:line="259"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NOTAS A LOS ESTADOS FINANCIEROS CONSOLIDADOS INTERMEDIOS</w:t>
      </w:r>
    </w:p>
    <w:p>
      <w:pPr>
        <w:pStyle w:val="Normal-wk"/>
        <w:keepNext w:val="0"/>
        <w:keepLines/>
        <w:pageBreakBefore w:val="0"/>
        <w:widowControl w:val="0"/>
        <w:numPr>
          <w:ilvl w:val="0"/>
          <w:numId w:val="0"/>
        </w:numPr>
        <w:spacing w:before="0" w:after="0" w:line="259"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 xml:space="preserve">Correspondientes al  </w:t>
      </w:r>
      <w:r>
        <w:rPr>
          <w:rFonts w:ascii="Calibri" w:eastAsia="Calibri" w:hAnsi="Calibri" w:cs="Calibri"/>
          <w:b/>
          <w:i w:val="0"/>
          <w:color w:val="000000"/>
          <w:sz w:val="20"/>
          <w:u w:val="none"/>
        </w:rPr>
        <w:t>30 de junio de 2026 y 2025</w:t>
      </w:r>
    </w:p>
    <w:p>
      <w:pPr>
        <w:keepNext w:val="0"/>
        <w:keepLines/>
        <w:pageBreakBefore w:val="0"/>
        <w:widowControl w:val="0"/>
        <w:numPr>
          <w:ilvl w:val="0"/>
          <w:numId w:val="0"/>
        </w:numPr>
        <w:tabs>
          <w:tab w:val="left" w:pos="700"/>
        </w:tabs>
        <w:spacing w:before="0" w:after="0" w:line="259" w:lineRule="auto"/>
        <w:ind w:left="0" w:right="0" w:firstLine="0"/>
        <w:jc w:val="right"/>
        <w:outlineLvl w:val="9"/>
        <w:rPr>
          <w:rFonts w:ascii="Calibri" w:eastAsia="Calibri" w:hAnsi="Calibri" w:cs="Calibri"/>
          <w:b w:val="0"/>
          <w:i w:val="0"/>
          <w:color w:val="000000"/>
          <w:sz w:val="18"/>
          <w:u w:val="none"/>
        </w:rPr>
      </w:pPr>
      <w:r>
        <w:pict>
          <v:shape id="_x0000_i1033" type="#_x0000_t75" style="width:498.9pt;height:1.98pt">
            <v:imagedata r:id="rId11" o:title=""/>
            <o:lock v:ext="edit" aspectratio="t"/>
          </v:shape>
        </w:pic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18"/>
          <w:u w:val="none"/>
        </w:rPr>
        <w:sectPr>
          <w:footerReference w:type="default" r:id="rId18"/>
          <w:pgSz w:w="12240" w:h="15840"/>
          <w:pgMar w:top="1134" w:right="1134" w:bottom="1134" w:left="1134" w:header="0" w:footer="420"/>
          <w:cols w:space="708"/>
        </w:sectPr>
      </w:pPr>
    </w:p>
    <w:p>
      <w:pPr>
        <w:pStyle w:val="Heading1-wk"/>
        <w:keepNext/>
        <w:keepLines/>
        <w:pageBreakBefore w:val="0"/>
        <w:widowControl w:val="0"/>
        <w:numPr>
          <w:ilvl w:val="0"/>
          <w:numId w:val="0"/>
        </w:numPr>
        <w:tabs>
          <w:tab w:val="left" w:pos="700"/>
        </w:tabs>
        <w:spacing w:before="0" w:after="0" w:line="240" w:lineRule="exact"/>
        <w:ind w:left="0" w:right="0" w:firstLine="0"/>
        <w:jc w:val="left"/>
        <w:outlineLvl w:val="0"/>
        <w:rPr>
          <w:rFonts w:ascii="Cambria" w:eastAsia="Cambria" w:hAnsi="Cambria" w:cs="Cambria"/>
          <w:b/>
          <w:i w:val="0"/>
          <w:color w:val="365F91"/>
          <w:sz w:val="28"/>
          <w:u w:val="none"/>
        </w:rPr>
      </w:pPr>
      <w:bookmarkStart w:id="6" w:name="Section7"/>
      <w:bookmarkEnd w:id="6"/>
      <w:bookmarkStart w:id="7" w:name="faf440b73c1f4f48b61b7d227a2960d8"/>
      <w:r>
        <w:rPr>
          <w:rFonts w:ascii="Calibri" w:eastAsia="Calibri" w:hAnsi="Calibri" w:cs="Calibri"/>
          <w:b/>
          <w:i w:val="0"/>
          <w:color w:val="000000"/>
          <w:sz w:val="20"/>
          <w:u w:val="none"/>
        </w:rPr>
        <w:t>1.-</w:t>
      </w:r>
      <w:r>
        <w:rPr>
          <w:rFonts w:ascii="Calibri" w:eastAsia="Calibri" w:hAnsi="Calibri" w:cs="Calibri"/>
          <w:b/>
          <w:i w:val="0"/>
          <w:color w:val="000000"/>
          <w:sz w:val="20"/>
          <w:u w:val="none"/>
        </w:rPr>
        <w:tab/>
      </w:r>
      <w:r>
        <w:rPr>
          <w:rFonts w:ascii="Calibri" w:eastAsia="Calibri" w:hAnsi="Calibri" w:cs="Calibri"/>
          <w:b/>
          <w:i w:val="0"/>
          <w:color w:val="000000"/>
          <w:sz w:val="20"/>
          <w:u w:val="none"/>
        </w:rPr>
        <w:t>INFORMACIÓN GENERAL.</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18"/>
          <w:u w:val="none"/>
        </w:rPr>
      </w:pPr>
      <w:bookmarkEnd w:id="7"/>
    </w:p>
    <w:p>
      <w:pPr>
        <w:pStyle w:val="Normal-wk"/>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CGE Transmisión S.A., Rut 77.465.741-K, es una sociedad anónima abierta, tiene su domicilio social en Avda. Presidente Riesco N° 5561 piso 17 en la comuna de Las Condes de la ciudad de Santiago, en la República de Chile. La Sociedad se encuentra inscrita en el Registro de Valores de la Comisión para el Mercado Financiero bajo el       N°1.204.</w:t>
      </w: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Al cierre de los estados financieros consolidados intermedios CGE Transmisión S.A. integra en su giro las actividades de transmisión y transformación de energía eléctrica.</w:t>
      </w: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el accionista propietario del 97,145% de las acciones de CGE Transmisión S.A. es State Grid Chile Electricity SpA., miembro del Grupo State Grid Corporation of China, cuya matriz final es dicha sociedad.</w:t>
      </w: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70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emisión de estos estados financieros consolidados intermedios correspondientes al período terminado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ha sido aprobada en Sesión de Directorio de fecha 2</w:t>
      </w:r>
      <w:r>
        <w:rPr>
          <w:rFonts w:ascii="Calibri" w:eastAsia="Calibri" w:hAnsi="Calibri" w:cs="Calibri"/>
          <w:b w:val="0"/>
          <w:i w:val="0"/>
          <w:color w:val="000000"/>
          <w:sz w:val="20"/>
          <w:u w:val="none"/>
        </w:rPr>
        <w:t>7</w:t>
      </w:r>
      <w:r>
        <w:rPr>
          <w:rFonts w:ascii="Calibri" w:eastAsia="Calibri" w:hAnsi="Calibri" w:cs="Calibri"/>
          <w:b w:val="0"/>
          <w:i w:val="0"/>
          <w:color w:val="000000"/>
          <w:sz w:val="20"/>
          <w:highlight w:val="white"/>
          <w:u w:val="none"/>
        </w:rPr>
        <w:t xml:space="preserve"> de </w:t>
      </w:r>
      <w:r>
        <w:rPr>
          <w:rFonts w:ascii="Calibri" w:eastAsia="Calibri" w:hAnsi="Calibri" w:cs="Calibri"/>
          <w:b w:val="0"/>
          <w:i w:val="0"/>
          <w:color w:val="000000"/>
          <w:sz w:val="20"/>
          <w:highlight w:val="white"/>
          <w:u w:val="none"/>
        </w:rPr>
        <w:t>agosto</w:t>
      </w:r>
      <w:r>
        <w:rPr>
          <w:rFonts w:ascii="Calibri" w:eastAsia="Calibri" w:hAnsi="Calibri" w:cs="Calibri"/>
          <w:b w:val="0"/>
          <w:i w:val="0"/>
          <w:color w:val="000000"/>
          <w:sz w:val="20"/>
          <w:highlight w:val="white"/>
          <w:u w:val="none"/>
        </w:rPr>
        <w:t xml:space="preserve"> de 2026</w:t>
      </w:r>
      <w:r>
        <w:rPr>
          <w:rFonts w:ascii="Calibri" w:eastAsia="Calibri" w:hAnsi="Calibri" w:cs="Calibri"/>
          <w:b w:val="0"/>
          <w:i w:val="0"/>
          <w:color w:val="000000"/>
          <w:sz w:val="20"/>
          <w:u w:val="none"/>
        </w:rPr>
        <w:t>, quien con dicha fecha autorizó además su publicación.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0"/>
          <w:cols w:space="708"/>
        </w:sectPr>
      </w:pPr>
    </w:p>
    <w:p>
      <w:pPr>
        <w:pStyle w:val="Heading1-wk"/>
        <w:keepNext w:val="0"/>
        <w:keepLines/>
        <w:pageBreakBefore w:val="0"/>
        <w:widowControl w:val="0"/>
        <w:numPr>
          <w:ilvl w:val="0"/>
          <w:numId w:val="0"/>
        </w:numPr>
        <w:spacing w:before="0" w:after="0" w:line="240" w:lineRule="exact"/>
        <w:ind w:left="0" w:right="0" w:firstLine="0"/>
        <w:jc w:val="left"/>
        <w:outlineLvl w:val="0"/>
        <w:rPr>
          <w:rFonts w:ascii="Calibri" w:eastAsia="Calibri" w:hAnsi="Calibri" w:cs="Calibri"/>
          <w:b/>
          <w:i w:val="0"/>
          <w:color w:val="000000"/>
          <w:sz w:val="20"/>
          <w:u w:val="none"/>
        </w:rPr>
      </w:pPr>
      <w:bookmarkStart w:id="8" w:name="Section8"/>
      <w:bookmarkEnd w:id="8"/>
      <w:bookmarkStart w:id="9" w:name="a641fb53eefd4a608ccb831ac2e4dcc5"/>
      <w:r>
        <w:rPr>
          <w:rFonts w:ascii="Calibri" w:eastAsia="Calibri" w:hAnsi="Calibri" w:cs="Calibri"/>
          <w:b/>
          <w:i w:val="0"/>
          <w:color w:val="000000"/>
          <w:sz w:val="20"/>
          <w:u w:val="none"/>
        </w:rPr>
        <w:t>2.-</w:t>
      </w:r>
      <w:r>
        <w:rPr>
          <w:rFonts w:ascii="Calibri" w:eastAsia="Calibri" w:hAnsi="Calibri" w:cs="Calibri"/>
          <w:b/>
          <w:i w:val="0"/>
          <w:color w:val="000000"/>
          <w:sz w:val="20"/>
          <w:u w:val="none"/>
        </w:rPr>
        <w:tab/>
      </w:r>
      <w:r>
        <w:rPr>
          <w:rFonts w:ascii="Calibri" w:eastAsia="Calibri" w:hAnsi="Calibri" w:cs="Calibri"/>
          <w:b/>
          <w:i w:val="0"/>
          <w:color w:val="000000"/>
          <w:sz w:val="20"/>
          <w:u w:val="none"/>
        </w:rPr>
        <w:t>DESCRIPCIÓN DEL SECTOR DONDE PARTICIPA LA SOCIEDAD Y SUBSIDIARIAS.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bookmarkEnd w:id="9"/>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0"/>
          <w:cols w:space="708"/>
        </w:sectPr>
      </w:pPr>
    </w:p>
    <w:p>
      <w:pPr>
        <w:pStyle w:val="Heading1-wk"/>
        <w:keepNext w:val="0"/>
        <w:keepLines/>
        <w:pageBreakBefore w:val="0"/>
        <w:widowControl w:val="0"/>
        <w:numPr>
          <w:ilvl w:val="0"/>
          <w:numId w:val="0"/>
        </w:numPr>
        <w:spacing w:before="0" w:after="0" w:line="240" w:lineRule="exact"/>
        <w:ind w:left="709" w:right="0" w:firstLine="0"/>
        <w:jc w:val="left"/>
        <w:outlineLvl w:val="1"/>
        <w:rPr>
          <w:rFonts w:ascii="Calibri" w:eastAsia="Calibri" w:hAnsi="Calibri" w:cs="Calibri"/>
          <w:b/>
          <w:i w:val="0"/>
          <w:color w:val="000000"/>
          <w:sz w:val="20"/>
          <w:u w:val="none"/>
        </w:rPr>
      </w:pPr>
      <w:bookmarkStart w:id="10" w:name="Section9"/>
      <w:bookmarkEnd w:id="10"/>
      <w:bookmarkStart w:id="11" w:name="7e8a19c1bc434ccebe7b74f839c210d1"/>
      <w:r>
        <w:rPr>
          <w:rFonts w:ascii="Calibri" w:eastAsia="Calibri" w:hAnsi="Calibri" w:cs="Calibri"/>
          <w:b/>
          <w:i w:val="0"/>
          <w:color w:val="000000"/>
          <w:sz w:val="20"/>
          <w:u w:val="none"/>
        </w:rPr>
        <w:t>2.1.-</w:t>
      </w:r>
      <w:r>
        <w:rPr>
          <w:rFonts w:ascii="Calibri" w:eastAsia="Calibri" w:hAnsi="Calibri" w:cs="Calibri"/>
          <w:b/>
          <w:i w:val="0"/>
          <w:color w:val="000000"/>
          <w:sz w:val="20"/>
          <w:u w:val="none"/>
        </w:rPr>
        <w:tab/>
      </w:r>
      <w:r>
        <w:rPr>
          <w:rFonts w:ascii="Calibri" w:eastAsia="Calibri" w:hAnsi="Calibri" w:cs="Calibri"/>
          <w:b/>
          <w:i w:val="0"/>
          <w:color w:val="000000"/>
          <w:sz w:val="20"/>
          <w:u w:val="none"/>
        </w:rPr>
        <w:t>Transmisión y transformación de energía eléctrica.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bookmarkEnd w:id="11"/>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CGE Transmisión S.A. está presente en las regiones de Arica y Parinacota, Tarapacá, Antofagasta, Atacama, Coquimbo, Valparaíso, Metropolitana, O’Higgins, Maule, Ñuble, Biobío, Araucanía y de Los Ríos, principalmente con instalaciones de Transmisión Zonal.</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Ley N° 20.936, publicada el 20 de julio de 2016, modificó la Ley General de Servicios Eléctricos particularmente en lo relacionado con el marco regulatorio de los sistemas de transmisión, bajo el cual dichos sistemas se clasifican en: Transmisión Nacional, Transmisión Zonal, Transmisión Dedicada, Transmisión Asociada a Polos de Desarrollo y Transmisión de Interconexión Internacional.</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sistemas de Transmisión Nacional están conformados por las líneas y subestaciones eléctricas que permiten el desarrollo de un mercado eléctrico común y posibilitan el abastecimiento de la totalidad de la demanda del sistema eléctrico, mientras que los sistemas de Transmisión Zonal corresponden a las líneas y subestaciones eléctricas dispuestas esencialmente para el abastecimiento actual o futuro de clientes regulados, territorialmente identificables, sin perjuicio del uso por parte de clientes libres o medios de generación. Por su parte, los sistemas de Transmisión Dedicada corresponden a las líneas y subestaciones eléctricas radiales, que encontrándose interconectadas al sistema eléctrico, están dispuestas esencialmente para el suministro de energía eléctrica a usuarios no sometidos a regulación de precios o para inyectar la producción de las centrales generadoras al sistema eléctrico.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Demanda:</w:t>
      </w:r>
    </w:p>
    <w:p>
      <w:pPr>
        <w:keepNext w:val="0"/>
        <w:keepLines/>
        <w:pageBreakBefore w:val="0"/>
        <w:widowControl w:val="0"/>
        <w:numPr>
          <w:ilvl w:val="0"/>
          <w:numId w:val="0"/>
        </w:numPr>
        <w:spacing w:before="0" w:after="0" w:line="288" w:lineRule="auto"/>
        <w:ind w:left="1418" w:right="48"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mayor parte de las líneas y subestaciones de CGE Transmisión S.A. están dispuestas para el abastecimiento de grupos de consumidores finales, libres o regulados, territorialmente identificables, que se encuentran en zonas de concesión de empresas distribuidoras.</w:t>
      </w:r>
    </w:p>
    <w:p>
      <w:pPr>
        <w:keepNext w:val="0"/>
        <w:keepLines/>
        <w:pageBreakBefore w:val="0"/>
        <w:widowControl w:val="0"/>
        <w:numPr>
          <w:ilvl w:val="0"/>
          <w:numId w:val="0"/>
        </w:numPr>
        <w:spacing w:before="0" w:after="0" w:line="288" w:lineRule="auto"/>
        <w:ind w:left="1418" w:right="48"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En este sentido, el comportamiento de la demanda se encuentra muy correlacionado con el crecimiento del consumo per cápita, el desarrollo urbano y el crecimiento económico en las zonas atendidas por CGE Transmisión S.A. Desde este punto de vista, el riesgo relacionado a la volatilidad y evolución de la demanda es más bien limitado en el mediano y largo plazo, sin perjuicio de situaciones puntuales que puedan afectar el consumo eléctrico en el corto plazo.</w:t>
      </w:r>
    </w:p>
    <w:p>
      <w:pPr>
        <w:pStyle w:val="Normal-wk"/>
        <w:keepNext w:val="0"/>
        <w:keepLines/>
        <w:pageBreakBefore w:val="0"/>
        <w:widowControl w:val="0"/>
        <w:numPr>
          <w:ilvl w:val="0"/>
          <w:numId w:val="0"/>
        </w:numPr>
        <w:spacing w:before="0" w:after="0" w:line="288" w:lineRule="auto"/>
        <w:ind w:left="1418" w:right="48"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Precios:</w:t>
      </w:r>
    </w:p>
    <w:p>
      <w:pPr>
        <w:pStyle w:val="Normal-wk"/>
        <w:keepNext w:val="0"/>
        <w:keepLines/>
        <w:pageBreakBefore w:val="0"/>
        <w:widowControl w:val="0"/>
        <w:numPr>
          <w:ilvl w:val="0"/>
          <w:numId w:val="0"/>
        </w:numPr>
        <w:spacing w:before="0" w:after="0" w:line="240" w:lineRule="exact"/>
        <w:ind w:left="1418" w:right="48"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definición de los segmentos que conforman el sistema de transmisión eléctrica y la metodología de tarifación de cada uno de ellos están contenidas en la Ley General de Servicios Eléctricos.</w:t>
      </w:r>
    </w:p>
    <w:p>
      <w:pPr>
        <w:keepNext w:val="0"/>
        <w:keepLines/>
        <w:pageBreakBefore w:val="0"/>
        <w:widowControl w:val="0"/>
        <w:numPr>
          <w:ilvl w:val="0"/>
          <w:numId w:val="0"/>
        </w:numPr>
        <w:spacing w:before="0" w:after="0" w:line="288" w:lineRule="auto"/>
        <w:ind w:left="1418" w:right="48"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8" w:right="0" w:firstLine="0"/>
        <w:jc w:val="both"/>
        <w:outlineLvl w:val="9"/>
      </w:pPr>
      <w:r>
        <w:rPr>
          <w:rFonts w:ascii="Calibri" w:eastAsia="Calibri" w:hAnsi="Calibri" w:cs="Calibri"/>
          <w:b w:val="0"/>
          <w:i w:val="0"/>
          <w:color w:val="000000"/>
          <w:sz w:val="20"/>
          <w:u w:val="none"/>
        </w:rPr>
        <w:t>Las instalaciones existentes de transmisión son remuneradas por medio de una tarifa regulada, que se determina cada cuatro años a través de un estudio tarifario, considerando una tasa de descuento que se determina en cada proceso, con un piso del 7% y un techo del 10% real anual después de impuestos</w:t>
      </w:r>
      <w:r>
        <w:rPr>
          <w:rStyle w:val="FootnoteReference"/>
          <w:rFonts w:ascii="Calibri" w:eastAsia="Calibri" w:hAnsi="Calibri" w:cs="Calibri"/>
          <w:b w:val="0"/>
          <w:i w:val="0"/>
          <w:color w:val="000000"/>
          <w:sz w:val="20"/>
          <w:u w:val="none"/>
          <w:vertAlign w:val="superscript"/>
        </w:rPr>
        <w:footnoteReference w:id="2"/>
      </w:r>
      <w:r>
        <w:rPr>
          <w:rFonts w:ascii="Calibri" w:eastAsia="Calibri" w:hAnsi="Calibri" w:cs="Calibri"/>
          <w:b w:val="0"/>
          <w:i w:val="0"/>
          <w:color w:val="000000"/>
          <w:sz w:val="20"/>
          <w:u w:val="none"/>
        </w:rPr>
        <w:t>, conforme Artículo 118  Ley General de Servicios Eléctricos.</w:t>
      </w:r>
    </w:p>
    <w:p>
      <w:pPr>
        <w:keepNext w:val="0"/>
        <w:keepLines/>
        <w:pageBreakBefore w:val="0"/>
        <w:widowControl w:val="0"/>
        <w:numPr>
          <w:ilvl w:val="0"/>
          <w:numId w:val="0"/>
        </w:numPr>
        <w:spacing w:before="0" w:after="0" w:line="288" w:lineRule="auto"/>
        <w:ind w:left="1418" w:right="48"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En Transmisión Nacional y Transmisión Zonal, las obras nuevas se adjudican mediante procesos de licitación, cuyo valor resultante se paga por 20 años, conforme Artículo 99  Ley General de Servicios Eléctricos. Transcurrido dicho periodo, su valorización queda sometida al régimen de las obras existentes.</w:t>
      </w:r>
    </w:p>
    <w:p>
      <w:pPr>
        <w:keepNext w:val="0"/>
        <w:keepLines/>
        <w:pageBreakBefore w:val="0"/>
        <w:widowControl w:val="0"/>
        <w:numPr>
          <w:ilvl w:val="0"/>
          <w:numId w:val="0"/>
        </w:numPr>
        <w:spacing w:before="0" w:after="0" w:line="288" w:lineRule="auto"/>
        <w:ind w:left="1418" w:right="48"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En el caso de ampliaciones en dichos segmentos, el Valor Anual de Inversión se remunera por 20 años (Valor de Inversión resultante de una licitación y tasa vigente al momento de la adjudicación).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La remuneración vigente de las instalaciones existentes de transmisión nacional, zonal y dedicado utilizadas por usuarios sujetos a regulación de precios para el cuadrienio 2020-2023 fue fijada mediante Decreto N° 7T-2022 del Ministerio de Energía, publicado el 16 de febrero de 2023, cuyos valores tienen vigencia desde el 1 de enero de 2020. Actualmente se encuentra en desarrollo el Estudio de Valorización de las Instalaciones de Transmisión, mediante el cual se determinará la remuneración de las instalaciones de transmisión para el cuadrienio 2024-2027.</w:t>
      </w:r>
    </w:p>
    <w:p>
      <w:pPr>
        <w:keepNext w:val="0"/>
        <w:keepLines/>
        <w:pageBreakBefore w:val="0"/>
        <w:widowControl w:val="0"/>
        <w:numPr>
          <w:ilvl w:val="0"/>
          <w:numId w:val="0"/>
        </w:numPr>
        <w:spacing w:before="0" w:after="0" w:line="288" w:lineRule="auto"/>
        <w:ind w:left="1418" w:right="48"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cargos de transmisión aplicables a los clientes finales, considerando los diferentes modelos de remuneración señalados precedentemente, son fijados semestralmente por la Comisión Nacional de Energía.</w:t>
      </w: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Particularmente, en los informes que determinan los cargos de transmisión con vigencia a contar del 1 de enero de 2020 y en los siguientes, la Comisión Nacional de Energía incorporó un mecanismo de ajuste de los cargos de transmisión que permite evitar excesivas variaciones de estos y, por tanto, reducir en la medida de lo posible la afectación a los clientes finales sujetos a fijación de precios.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8" w:right="48" w:firstLine="0"/>
        <w:jc w:val="both"/>
        <w:outlineLvl w:val="9"/>
        <w:rPr>
          <w:rFonts w:ascii="Calibri" w:eastAsia="Calibri" w:hAnsi="Calibri" w:cs="Calibri"/>
          <w:b w:val="0"/>
          <w:i w:val="0"/>
          <w:strike/>
          <w:color w:val="000000"/>
          <w:sz w:val="20"/>
          <w:highlight w:val="yellow"/>
          <w:u w:val="none"/>
        </w:rPr>
      </w:pPr>
      <w:r>
        <w:rPr>
          <w:rFonts w:ascii="Calibri" w:eastAsia="Calibri" w:hAnsi="Calibri" w:cs="Calibri"/>
          <w:b w:val="0"/>
          <w:i w:val="0"/>
          <w:color w:val="000000"/>
          <w:sz w:val="20"/>
          <w:u w:val="none"/>
        </w:rPr>
        <w:t>Por otro lado, la comercialización de las instalaciones de Transmisión Dedicada se efectúa directamente con los usuarios de tales instalaciones, mediante contratos en los que se establece el pago por los servicios de transmisión.</w:t>
      </w:r>
    </w:p>
    <w:p>
      <w:pPr>
        <w:keepNext w:val="0"/>
        <w:keepLines/>
        <w:pageBreakBefore w:val="0"/>
        <w:widowControl w:val="0"/>
        <w:numPr>
          <w:ilvl w:val="0"/>
          <w:numId w:val="0"/>
        </w:numPr>
        <w:spacing w:before="0" w:after="0" w:line="288" w:lineRule="auto"/>
        <w:ind w:left="1418" w:right="48"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De esta forma, se puede concluir que el negocio de la transmisión posee un nivel de riesgo acotado desde el punto de vista regulatorio y tarifario, al contar con un marco regulatorio estable donde los precios deben ser determinados con mecanismos de carácter técnico, diseñados para obtener una rentabilidad justa para los activos invertidos en este sector.</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0"/>
          <w:cols w:space="708"/>
        </w:sectPr>
      </w:pPr>
    </w:p>
    <w:p>
      <w:pPr>
        <w:pStyle w:val="Heading1-wk"/>
        <w:keepNext w:val="0"/>
        <w:keepLines/>
        <w:pageBreakBefore w:val="0"/>
        <w:widowControl w:val="0"/>
        <w:numPr>
          <w:ilvl w:val="0"/>
          <w:numId w:val="0"/>
        </w:numPr>
        <w:spacing w:before="0" w:after="0" w:line="288" w:lineRule="auto"/>
        <w:ind w:left="709" w:right="0" w:firstLine="0"/>
        <w:jc w:val="left"/>
        <w:outlineLvl w:val="1"/>
        <w:rPr>
          <w:rFonts w:ascii="Calibri" w:eastAsia="Calibri" w:hAnsi="Calibri" w:cs="Calibri"/>
          <w:b/>
          <w:i w:val="0"/>
          <w:color w:val="000000"/>
          <w:sz w:val="20"/>
          <w:u w:val="none"/>
        </w:rPr>
      </w:pPr>
      <w:bookmarkStart w:id="12" w:name="Section10"/>
      <w:bookmarkEnd w:id="12"/>
      <w:bookmarkStart w:id="13" w:name="79f26c6107104ebca2d8796ed5798d97"/>
      <w:r>
        <w:rPr>
          <w:rFonts w:ascii="Calibri" w:eastAsia="Calibri" w:hAnsi="Calibri" w:cs="Calibri"/>
          <w:b/>
          <w:i w:val="0"/>
          <w:color w:val="000000"/>
          <w:sz w:val="20"/>
          <w:u w:val="none"/>
        </w:rPr>
        <w:t>2.2.-</w:t>
      </w:r>
      <w:r>
        <w:rPr>
          <w:rFonts w:ascii="Calibri" w:eastAsia="Calibri" w:hAnsi="Calibri" w:cs="Calibri"/>
          <w:b/>
          <w:i w:val="0"/>
          <w:color w:val="000000"/>
          <w:sz w:val="20"/>
          <w:u w:val="none"/>
        </w:rPr>
        <w:tab/>
      </w:r>
      <w:r>
        <w:rPr>
          <w:rFonts w:ascii="Calibri" w:eastAsia="Calibri" w:hAnsi="Calibri" w:cs="Calibri"/>
          <w:b/>
          <w:i w:val="0"/>
          <w:color w:val="000000"/>
          <w:sz w:val="20"/>
          <w:u w:val="none"/>
        </w:rPr>
        <w:t>Otros Servicios.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bookmarkEnd w:id="13"/>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subsidiarias Transformadores Tusan S.A. y Energy Sur Ingeniería S.A. operan en el mercado de la fabricación y venta de transformadores, equipos eléctricos, servicios de mantención, diagnóstico y ensayo de transformadores respectivamente.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Adicionalmente, Transformadores Tusan S.A. presta servicios de verificación, calibración, sellado, certificación, mantenimiento, reparación, lectura y registro de toda clase de equipos de medición, especialmente de la electricidad, el gas, el agua y toda clase de fluidos; la prestación de servicios de medición y registro de variables eléctricas, para determinar la calidad del suministro eléctrico en las instalaciones de suministradores, transportistas, distribuidores y usuarios, actuando como organismo de medición autorizado -OMA- u organismo o laboratorio de certificación autorizado -OLCA. Además, ha innovado en nuevas líneas de negocios como la comercialización de productos desde China y la reparación de transformadores de distribución.</w:t>
      </w: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Entre los clientes a los cuales la Sociedad realizó suministro de productos y/o servicios durante el ejercicio podemos mencionar a: Compañía General de Electricidad S.A., Sociedad Austral de Electricidad S.A., Cooperativas Eléctricas (Charrua, Los Ángeles, Río Bueno), Comercial Aragón Ltda., SQM S.A., Eaton Industries Chile SpA. y Empresa Eléctrica de Magallanes S.A.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La Subsidiaria CGE Comercializadora SpA. es una sociedad cuyos negocios principales comprenden la comercialización de energía eléctrica a clientes libres, mediante la negociación de condiciones de suministro con distintos generadores del sistema eléctrico chileno, con el objeto de abastecer requerimientos de clientes libres, como también desarrollar su actividad en el negocio de construcción de obras eléctricas a terceros y arrendamientos de equipos.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both"/>
        <w:outlineLvl w:val="9"/>
        <w:sectPr>
          <w:pgSz w:w="12240" w:h="15840"/>
          <w:pgMar w:top="1134" w:right="1134" w:bottom="1134" w:left="1134" w:header="0" w:footer="420"/>
          <w:cols w:space="708"/>
        </w:sectPr>
      </w:pPr>
    </w:p>
    <w:p>
      <w:pPr>
        <w:pStyle w:val="Heading1-wk"/>
        <w:keepNext w:val="0"/>
        <w:keepLines/>
        <w:pageBreakBefore w:val="0"/>
        <w:widowControl w:val="0"/>
        <w:numPr>
          <w:ilvl w:val="0"/>
          <w:numId w:val="0"/>
        </w:numPr>
        <w:spacing w:before="0" w:after="0" w:line="240" w:lineRule="exact"/>
        <w:ind w:left="0" w:right="0" w:firstLine="0"/>
        <w:jc w:val="left"/>
        <w:outlineLvl w:val="0"/>
        <w:rPr>
          <w:rFonts w:ascii="Calibri" w:eastAsia="Calibri" w:hAnsi="Calibri" w:cs="Calibri"/>
          <w:b/>
          <w:i w:val="0"/>
          <w:color w:val="000000"/>
          <w:sz w:val="20"/>
          <w:u w:val="none"/>
        </w:rPr>
      </w:pPr>
      <w:bookmarkStart w:id="14" w:name="Section11"/>
      <w:bookmarkEnd w:id="14"/>
      <w:bookmarkStart w:id="15" w:name="f2c7f68b782d4a56b9d53fffaf1b9a7a"/>
      <w:r>
        <w:rPr>
          <w:rFonts w:ascii="Calibri" w:eastAsia="Calibri" w:hAnsi="Calibri" w:cs="Calibri"/>
          <w:b/>
          <w:i w:val="0"/>
          <w:color w:val="000000"/>
          <w:sz w:val="20"/>
          <w:u w:val="none"/>
        </w:rPr>
        <w:t>3.-</w:t>
      </w:r>
      <w:r>
        <w:rPr>
          <w:rFonts w:ascii="Calibri" w:eastAsia="Calibri" w:hAnsi="Calibri" w:cs="Calibri"/>
          <w:b/>
          <w:i w:val="0"/>
          <w:color w:val="000000"/>
          <w:sz w:val="20"/>
          <w:u w:val="none"/>
        </w:rPr>
        <w:tab/>
      </w:r>
      <w:r>
        <w:rPr>
          <w:rFonts w:ascii="Calibri" w:eastAsia="Calibri" w:hAnsi="Calibri" w:cs="Calibri"/>
          <w:b/>
          <w:i w:val="0"/>
          <w:color w:val="000000"/>
          <w:sz w:val="20"/>
          <w:u w:val="none"/>
        </w:rPr>
        <w:t>RESUMEN DE LAS PRINCIPALES POLÍTICAS CONTABLES.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5"/>
    </w:p>
    <w:p>
      <w:pPr>
        <w:pStyle w:val="Normal-wk"/>
        <w:keepNext w:val="0"/>
        <w:keepLines/>
        <w:pageBreakBefore w:val="0"/>
        <w:widowControl w:val="0"/>
        <w:numPr>
          <w:ilvl w:val="0"/>
          <w:numId w:val="0"/>
        </w:numPr>
        <w:spacing w:before="0" w:after="0" w:line="240" w:lineRule="exact"/>
        <w:ind w:left="70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principales políticas contables aplicadas en la preparación de los estados financieros consolidados intermedios se detallan a continuación. Estas políticas han sido aplicadas uniformemente en todos los períodos y ejercicios presentados, a menos que se indique lo contrario.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0"/>
          <w:cols w:space="708"/>
        </w:sectPr>
      </w:pPr>
    </w:p>
    <w:p>
      <w:pPr>
        <w:pStyle w:val="Heading1-wk"/>
        <w:keepNext w:val="0"/>
        <w:keepLines/>
        <w:pageBreakBefore w:val="0"/>
        <w:widowControl w:val="0"/>
        <w:numPr>
          <w:ilvl w:val="0"/>
          <w:numId w:val="0"/>
        </w:numPr>
        <w:spacing w:before="0" w:after="0" w:line="240" w:lineRule="exact"/>
        <w:ind w:left="709" w:right="0" w:firstLine="0"/>
        <w:jc w:val="left"/>
        <w:outlineLvl w:val="1"/>
        <w:rPr>
          <w:rFonts w:ascii="Calibri" w:eastAsia="Calibri" w:hAnsi="Calibri" w:cs="Calibri"/>
          <w:b/>
          <w:i w:val="0"/>
          <w:color w:val="000000"/>
          <w:sz w:val="20"/>
          <w:u w:val="none"/>
        </w:rPr>
      </w:pPr>
      <w:bookmarkStart w:id="16" w:name="Section12"/>
      <w:bookmarkEnd w:id="16"/>
      <w:bookmarkStart w:id="17" w:name="3cff3e2291574a8cab246cdc745eeae2"/>
      <w:r>
        <w:rPr>
          <w:rFonts w:ascii="Calibri" w:eastAsia="Calibri" w:hAnsi="Calibri" w:cs="Calibri"/>
          <w:b/>
          <w:i w:val="0"/>
          <w:color w:val="000000"/>
          <w:sz w:val="20"/>
          <w:u w:val="none"/>
        </w:rPr>
        <w:t>3.1.-</w:t>
      </w:r>
      <w:r>
        <w:rPr>
          <w:rFonts w:ascii="Calibri" w:eastAsia="Calibri" w:hAnsi="Calibri" w:cs="Calibri"/>
          <w:b/>
          <w:i w:val="0"/>
          <w:color w:val="000000"/>
          <w:sz w:val="20"/>
          <w:u w:val="none"/>
        </w:rPr>
        <w:tab/>
      </w:r>
      <w:r>
        <w:rPr>
          <w:rFonts w:ascii="Calibri" w:eastAsia="Calibri" w:hAnsi="Calibri" w:cs="Calibri"/>
          <w:b/>
          <w:i w:val="0"/>
          <w:color w:val="000000"/>
          <w:sz w:val="20"/>
          <w:u w:val="none"/>
        </w:rPr>
        <w:t xml:space="preserve">Bases de preparación de los estados financieros consolidados intermedios. </w:t>
      </w:r>
    </w:p>
    <w:p>
      <w:pPr>
        <w:keepNext w:val="0"/>
        <w:keepLines/>
        <w:pageBreakBefore w:val="0"/>
        <w:widowControl w:val="0"/>
        <w:numPr>
          <w:ilvl w:val="0"/>
          <w:numId w:val="0"/>
        </w:numPr>
        <w:spacing w:before="0" w:after="0" w:line="288" w:lineRule="auto"/>
        <w:ind w:left="708" w:right="0" w:firstLine="0"/>
        <w:jc w:val="both"/>
        <w:outlineLvl w:val="9"/>
        <w:rPr>
          <w:rFonts w:ascii="Calibri" w:eastAsia="Calibri" w:hAnsi="Calibri" w:cs="Calibri"/>
          <w:b w:val="0"/>
          <w:i w:val="0"/>
          <w:color w:val="000000"/>
          <w:sz w:val="20"/>
          <w:u w:val="none"/>
        </w:rPr>
      </w:pPr>
      <w:bookmarkEnd w:id="17"/>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Los presentes estados financieros consolidados intermedios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han sido preparados de acuerdo con Norma Internacional de Contabilidad N° 34 (NIC 34) incorporada a las Normas Internacionales de Información Financiera (NIIF), emitidas por el International Accounting Standards Board (“IASB”).</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estados financieros consolidados intermedios han sido preparados de acuerdo con el principio de costo, modificado por la revaluación de propiedades de inversión, y ciertos activos y pasivos financieros (incluyendo instrumentos financieros derivados) a valor razonable con cambios en resultados o en patrimonio.</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En la preparación de los estados financieros consolidados intermedios se han utilizado las políticas emanadas desde State Grid Chile Electricity SpA. para todas las subsidiarias incluidas en la consolidación.</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En la preparación de los estados financieros consolidados intermedios se han utilizado estimaciones contables críticas para cuantificar algunos activos, pasivos, ingresos y gastos. Las áreas que involucran un mayor grado de juicio o complejidad o áreas en las que los supuestos y estimaciones son significativos para los estados financieros consolidados intermedios se describen en Nota 4.</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Para el período terminado al 31 de marzo de 2025 y el ejercicio terminado al 31 de diciembre de 2025,  se han efectuado reclasificaciones para facilitar su comparación con el período terminado al 31 de marzo de 2026. Estas reclasificaciones no modifican el resultado ni el patrimonio del período anterior.</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0"/>
          <w:cols w:space="708"/>
        </w:sectPr>
      </w:pPr>
    </w:p>
    <w:p>
      <w:pPr>
        <w:pStyle w:val="Heading1-wk"/>
        <w:keepNext w:val="0"/>
        <w:keepLines/>
        <w:pageBreakBefore w:val="0"/>
        <w:widowControl w:val="0"/>
        <w:numPr>
          <w:ilvl w:val="0"/>
          <w:numId w:val="0"/>
        </w:numPr>
        <w:spacing w:before="0" w:after="0" w:line="240" w:lineRule="exact"/>
        <w:ind w:left="709" w:right="0" w:firstLine="0"/>
        <w:jc w:val="left"/>
        <w:outlineLvl w:val="1"/>
        <w:rPr>
          <w:rFonts w:ascii="Cambria" w:eastAsia="Cambria" w:hAnsi="Cambria" w:cs="Cambria"/>
          <w:b/>
          <w:i w:val="0"/>
          <w:color w:val="365F91"/>
          <w:sz w:val="28"/>
          <w:u w:val="none"/>
        </w:rPr>
      </w:pPr>
      <w:bookmarkStart w:id="18" w:name="Section13"/>
      <w:bookmarkEnd w:id="18"/>
      <w:bookmarkStart w:id="19" w:name="3fa9d880e8464b4d89c08a3f7273629c"/>
      <w:r>
        <w:rPr>
          <w:rFonts w:ascii="Calibri" w:eastAsia="Calibri" w:hAnsi="Calibri" w:cs="Calibri"/>
          <w:b/>
          <w:i w:val="0"/>
          <w:color w:val="000000"/>
          <w:sz w:val="20"/>
          <w:u w:val="none"/>
        </w:rPr>
        <w:t>3.2.-</w:t>
      </w:r>
      <w:r>
        <w:rPr>
          <w:rFonts w:ascii="Calibri" w:eastAsia="Calibri" w:hAnsi="Calibri" w:cs="Calibri"/>
          <w:b/>
          <w:i w:val="0"/>
          <w:color w:val="000000"/>
          <w:sz w:val="20"/>
          <w:u w:val="none"/>
        </w:rPr>
        <w:tab/>
      </w:r>
      <w:r>
        <w:rPr>
          <w:rFonts w:ascii="Calibri" w:eastAsia="Calibri" w:hAnsi="Calibri" w:cs="Calibri"/>
          <w:b/>
          <w:i w:val="0"/>
          <w:color w:val="000000"/>
          <w:sz w:val="20"/>
          <w:u w:val="none"/>
        </w:rPr>
        <w:t>Nuevos estándares, interpretaciones y enmiendas adoptadas por la Sociedad.</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9"/>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Los siguientes estándares, interpretaciones y enmiendas son obligatorios por primera vez para el ejercicio 2026.</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tabs>
          <w:tab w:val="left" w:pos="700"/>
        </w:tabs>
        <w:spacing w:before="0" w:after="0" w:line="230" w:lineRule="exact"/>
        <w:ind w:left="2124" w:right="0" w:hanging="708"/>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3.2.1.-</w:t>
      </w:r>
      <w:r>
        <w:rPr>
          <w:rFonts w:ascii="Calibri" w:eastAsia="Calibri" w:hAnsi="Calibri" w:cs="Calibri"/>
          <w:b w:val="0"/>
          <w:i w:val="0"/>
          <w:color w:val="000000"/>
          <w:sz w:val="20"/>
          <w:u w:val="none"/>
        </w:rPr>
        <w:tab/>
      </w:r>
      <w:r>
        <w:rPr>
          <w:rFonts w:ascii="Calibri" w:eastAsia="Calibri" w:hAnsi="Calibri" w:cs="Calibri"/>
          <w:b w:val="0"/>
          <w:i w:val="0"/>
          <w:sz w:val="20"/>
        </w:rPr>
        <w:t>En mayo de 2024, el IASB emitió enmiendas a la NIIF 9 y NIIF 7 “Clasificación y Medición de los Instrumentos Financieros“, enmiendas que:</w:t>
      </w:r>
    </w:p>
    <w:p>
      <w:pPr>
        <w:keepNext w:val="0"/>
        <w:keepLines/>
        <w:pageBreakBefore w:val="0"/>
        <w:widowControl w:val="0"/>
        <w:numPr>
          <w:ilvl w:val="0"/>
          <w:numId w:val="0"/>
        </w:numPr>
        <w:tabs>
          <w:tab w:val="left" w:pos="700"/>
        </w:tabs>
        <w:spacing w:before="0" w:after="0" w:line="276" w:lineRule="auto"/>
        <w:ind w:left="2124" w:right="0" w:hanging="708"/>
        <w:jc w:val="left"/>
        <w:outlineLvl w:val="9"/>
        <w:rPr>
          <w:rFonts w:ascii="Calibri" w:eastAsia="Calibri" w:hAnsi="Calibri" w:cs="Calibri"/>
          <w:b w:val="0"/>
          <w:i w:val="0"/>
          <w:sz w:val="20"/>
        </w:rPr>
      </w:pPr>
    </w:p>
    <w:p>
      <w:pPr>
        <w:keepNext w:val="0"/>
        <w:keepLines/>
        <w:pageBreakBefore w:val="0"/>
        <w:widowControl w:val="0"/>
        <w:numPr>
          <w:ilvl w:val="0"/>
          <w:numId w:val="14"/>
        </w:numPr>
        <w:tabs>
          <w:tab w:val="left" w:pos="700"/>
        </w:tabs>
        <w:spacing w:before="0" w:after="0" w:line="230" w:lineRule="exact"/>
        <w:ind w:left="2551" w:right="0" w:hanging="425"/>
        <w:jc w:val="both"/>
        <w:outlineLvl w:val="9"/>
        <w:rPr>
          <w:rFonts w:ascii="Calibri" w:eastAsia="Calibri" w:hAnsi="Calibri" w:cs="Calibri"/>
          <w:b w:val="0"/>
          <w:i w:val="0"/>
          <w:sz w:val="20"/>
        </w:rPr>
      </w:pPr>
      <w:r>
        <w:rPr>
          <w:rFonts w:ascii="Calibri" w:eastAsia="Calibri" w:hAnsi="Calibri" w:cs="Calibri"/>
          <w:b w:val="0"/>
          <w:i w:val="0"/>
          <w:sz w:val="20"/>
        </w:rPr>
        <w:t>Clarifican que un pasivo financiero se da de baja en cuentas en la “fecha de liquidación”, es decir, cuando la obligación vinculada se cumple, se cancela, expira o el pasivo de otro modo califica para su baja en cuentas. También introduce una opción de política contable para dar de baja en cuentas los pasivos financieros que se liquidan a través de un sistema de pago electrónico antes de la fecha de liquidación si se cumplen ciertas condiciones.</w:t>
      </w:r>
    </w:p>
    <w:p>
      <w:pPr>
        <w:keepNext w:val="0"/>
        <w:keepLines/>
        <w:pageBreakBefore w:val="0"/>
        <w:widowControl w:val="0"/>
        <w:numPr>
          <w:ilvl w:val="0"/>
          <w:numId w:val="0"/>
        </w:numPr>
        <w:tabs>
          <w:tab w:val="left" w:pos="700"/>
        </w:tabs>
        <w:spacing w:before="0" w:after="0" w:line="276" w:lineRule="auto"/>
        <w:ind w:left="1831" w:right="0" w:hanging="65"/>
        <w:jc w:val="both"/>
        <w:outlineLvl w:val="9"/>
        <w:rPr>
          <w:rFonts w:ascii="Calibri" w:eastAsia="Calibri" w:hAnsi="Calibri" w:cs="Calibri"/>
          <w:b w:val="0"/>
          <w:i w:val="0"/>
          <w:sz w:val="20"/>
        </w:rPr>
      </w:pPr>
    </w:p>
    <w:p>
      <w:pPr>
        <w:keepNext w:val="0"/>
        <w:keepLines/>
        <w:pageBreakBefore w:val="0"/>
        <w:widowControl w:val="0"/>
        <w:numPr>
          <w:ilvl w:val="0"/>
          <w:numId w:val="14"/>
        </w:numPr>
        <w:tabs>
          <w:tab w:val="left" w:pos="700"/>
        </w:tabs>
        <w:spacing w:before="0" w:after="0" w:line="230" w:lineRule="exact"/>
        <w:ind w:left="2551" w:right="0" w:hanging="425"/>
        <w:jc w:val="both"/>
        <w:outlineLvl w:val="9"/>
        <w:rPr>
          <w:rFonts w:ascii="Calibri" w:eastAsia="Calibri" w:hAnsi="Calibri" w:cs="Calibri"/>
          <w:b w:val="0"/>
          <w:i w:val="0"/>
          <w:sz w:val="20"/>
        </w:rPr>
      </w:pPr>
      <w:r>
        <w:rPr>
          <w:rFonts w:ascii="Calibri" w:eastAsia="Calibri" w:hAnsi="Calibri" w:cs="Calibri"/>
          <w:b w:val="0"/>
          <w:i w:val="0"/>
          <w:sz w:val="20"/>
        </w:rPr>
        <w:t>Clarifican cómo evaluar las características del flujo de efectivo contractual de los activos financieros que incluyen características ambientales, sociales y de gobernanza (ASG) y otras características contingentes similares.</w:t>
      </w:r>
    </w:p>
    <w:p>
      <w:pPr>
        <w:keepNext w:val="0"/>
        <w:keepLines/>
        <w:pageBreakBefore w:val="0"/>
        <w:widowControl w:val="0"/>
        <w:numPr>
          <w:ilvl w:val="0"/>
          <w:numId w:val="0"/>
        </w:numPr>
        <w:tabs>
          <w:tab w:val="left" w:pos="700"/>
        </w:tabs>
        <w:spacing w:before="0" w:after="0" w:line="276" w:lineRule="auto"/>
        <w:ind w:left="1831" w:right="0" w:hanging="65"/>
        <w:jc w:val="both"/>
        <w:outlineLvl w:val="9"/>
        <w:rPr>
          <w:rFonts w:ascii="Calibri" w:eastAsia="Calibri" w:hAnsi="Calibri" w:cs="Calibri"/>
          <w:b w:val="0"/>
          <w:i w:val="0"/>
          <w:sz w:val="20"/>
        </w:rPr>
      </w:pPr>
    </w:p>
    <w:p>
      <w:pPr>
        <w:keepNext w:val="0"/>
        <w:keepLines/>
        <w:pageBreakBefore w:val="0"/>
        <w:widowControl w:val="0"/>
        <w:numPr>
          <w:ilvl w:val="0"/>
          <w:numId w:val="14"/>
        </w:numPr>
        <w:tabs>
          <w:tab w:val="left" w:pos="700"/>
        </w:tabs>
        <w:spacing w:before="0" w:after="0" w:line="276" w:lineRule="auto"/>
        <w:ind w:left="2551" w:right="0" w:hanging="425"/>
        <w:jc w:val="both"/>
        <w:outlineLvl w:val="9"/>
        <w:rPr>
          <w:rFonts w:ascii="Calibri" w:eastAsia="Calibri" w:hAnsi="Calibri" w:cs="Calibri"/>
          <w:b w:val="0"/>
          <w:i w:val="0"/>
          <w:sz w:val="20"/>
        </w:rPr>
      </w:pPr>
      <w:r>
        <w:rPr>
          <w:rFonts w:ascii="Calibri" w:eastAsia="Calibri" w:hAnsi="Calibri" w:cs="Calibri"/>
          <w:b w:val="0"/>
          <w:i w:val="0"/>
          <w:sz w:val="20"/>
        </w:rPr>
        <w:t>Clarifican el tratamiento de los activos sin recurso y los instrumentos vinculados contractualmente.</w:t>
      </w:r>
    </w:p>
    <w:p>
      <w:pPr>
        <w:keepNext w:val="0"/>
        <w:keepLines/>
        <w:pageBreakBefore w:val="0"/>
        <w:widowControl w:val="0"/>
        <w:numPr>
          <w:ilvl w:val="0"/>
          <w:numId w:val="0"/>
        </w:numPr>
        <w:tabs>
          <w:tab w:val="left" w:pos="700"/>
        </w:tabs>
        <w:spacing w:before="0" w:after="0" w:line="276" w:lineRule="auto"/>
        <w:ind w:left="1831" w:right="0" w:hanging="65"/>
        <w:jc w:val="both"/>
        <w:outlineLvl w:val="9"/>
        <w:rPr>
          <w:rFonts w:ascii="Calibri" w:eastAsia="Calibri" w:hAnsi="Calibri" w:cs="Calibri"/>
          <w:b w:val="0"/>
          <w:i w:val="0"/>
          <w:sz w:val="20"/>
        </w:rPr>
      </w:pPr>
    </w:p>
    <w:p>
      <w:pPr>
        <w:keepNext w:val="0"/>
        <w:keepLines/>
        <w:pageBreakBefore w:val="0"/>
        <w:widowControl w:val="0"/>
        <w:numPr>
          <w:ilvl w:val="0"/>
          <w:numId w:val="14"/>
        </w:numPr>
        <w:tabs>
          <w:tab w:val="left" w:pos="700"/>
        </w:tabs>
        <w:spacing w:before="0" w:after="0" w:line="230" w:lineRule="exact"/>
        <w:ind w:left="2551" w:right="0" w:hanging="425"/>
        <w:jc w:val="both"/>
        <w:outlineLvl w:val="9"/>
        <w:rPr>
          <w:rFonts w:ascii="Calibri" w:eastAsia="Calibri" w:hAnsi="Calibri" w:cs="Calibri"/>
          <w:b w:val="0"/>
          <w:i w:val="0"/>
          <w:sz w:val="20"/>
        </w:rPr>
      </w:pPr>
      <w:r>
        <w:rPr>
          <w:rFonts w:ascii="Calibri" w:eastAsia="Calibri" w:hAnsi="Calibri" w:cs="Calibri"/>
          <w:b w:val="0"/>
          <w:i w:val="0"/>
          <w:sz w:val="20"/>
        </w:rPr>
        <w:t>Requieren revelaciones adicionales en la NIIF 7 para activos y pasivos financieros con términos contractuales que hacen referencia a un evento contingente (incluidos aquellos que están vinculados a ASG) e instrumentos de patrimonio clasificados a valor razonable con cambios en otro resultado integral.</w:t>
      </w:r>
    </w:p>
    <w:p>
      <w:pPr>
        <w:keepNext w:val="0"/>
        <w:keepLines/>
        <w:pageBreakBefore w:val="0"/>
        <w:widowControl w:val="0"/>
        <w:numPr>
          <w:ilvl w:val="0"/>
          <w:numId w:val="0"/>
        </w:numPr>
        <w:tabs>
          <w:tab w:val="left" w:pos="700"/>
        </w:tabs>
        <w:spacing w:before="0" w:after="0" w:line="276" w:lineRule="auto"/>
        <w:ind w:left="1831" w:right="0" w:hanging="65"/>
        <w:jc w:val="left"/>
        <w:outlineLvl w:val="9"/>
        <w:rPr>
          <w:rFonts w:ascii="Calibri" w:eastAsia="Calibri" w:hAnsi="Calibri" w:cs="Calibri"/>
          <w:b w:val="0"/>
          <w:i w:val="0"/>
          <w:sz w:val="20"/>
        </w:rPr>
      </w:pPr>
    </w:p>
    <w:p>
      <w:pPr>
        <w:pStyle w:val="Normal-wk"/>
        <w:keepNext w:val="0"/>
        <w:keepLines/>
        <w:pageBreakBefore w:val="0"/>
        <w:widowControl w:val="0"/>
        <w:numPr>
          <w:ilvl w:val="0"/>
          <w:numId w:val="0"/>
        </w:numPr>
        <w:tabs>
          <w:tab w:val="left" w:pos="700"/>
        </w:tabs>
        <w:spacing w:before="0" w:after="0" w:line="230" w:lineRule="exact"/>
        <w:ind w:left="2124" w:right="0" w:hanging="708"/>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3.2.2.-</w:t>
      </w:r>
      <w:r>
        <w:rPr>
          <w:rFonts w:ascii="Calibri" w:eastAsia="Calibri" w:hAnsi="Calibri" w:cs="Calibri"/>
          <w:b w:val="0"/>
          <w:i w:val="0"/>
          <w:color w:val="000000"/>
          <w:sz w:val="20"/>
          <w:u w:val="none"/>
        </w:rPr>
        <w:tab/>
      </w:r>
      <w:r>
        <w:rPr>
          <w:rFonts w:ascii="Calibri" w:eastAsia="Calibri" w:hAnsi="Calibri" w:cs="Calibri"/>
          <w:b w:val="0"/>
          <w:i w:val="0"/>
          <w:sz w:val="20"/>
        </w:rPr>
        <w:t>En julio de 2024 el IASB emitió las mejoras anuales a las NIIF que afectan NIIF 1, NIIF 7, NIIF 9, NIIF 10 y NIC 7. Las mejoras anuales se limitan a cambios que aclaran la redacción de una norma o corrigen consecuencias no deseadas relativamente menores, equivocaciones o conflictos entre los requisitos de las normas NIIF que pueden ser causados por descripciones imprecisas.</w:t>
      </w:r>
    </w:p>
    <w:p>
      <w:pPr>
        <w:keepNext w:val="0"/>
        <w:keepLines/>
        <w:pageBreakBefore w:val="0"/>
        <w:widowControl w:val="0"/>
        <w:numPr>
          <w:ilvl w:val="0"/>
          <w:numId w:val="0"/>
        </w:numPr>
        <w:tabs>
          <w:tab w:val="left" w:pos="700"/>
        </w:tabs>
        <w:spacing w:before="0" w:after="0" w:line="276" w:lineRule="auto"/>
        <w:ind w:left="2124" w:right="0" w:hanging="708"/>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tabs>
          <w:tab w:val="left" w:pos="700"/>
        </w:tabs>
        <w:spacing w:before="0" w:after="0" w:line="230" w:lineRule="exact"/>
        <w:ind w:left="2124" w:right="0" w:hanging="708"/>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3.2.3.-</w:t>
      </w:r>
      <w:r>
        <w:rPr>
          <w:rFonts w:ascii="Calibri" w:eastAsia="Calibri" w:hAnsi="Calibri" w:cs="Calibri"/>
          <w:b w:val="0"/>
          <w:i w:val="0"/>
          <w:color w:val="000000"/>
          <w:sz w:val="20"/>
          <w:u w:val="none"/>
        </w:rPr>
        <w:tab/>
      </w:r>
      <w:r>
        <w:rPr>
          <w:rFonts w:ascii="Calibri" w:eastAsia="Calibri" w:hAnsi="Calibri" w:cs="Calibri"/>
          <w:b w:val="0"/>
          <w:i w:val="0"/>
          <w:sz w:val="20"/>
        </w:rPr>
        <w:t>En diciembre de 2024 el IASB emitió las enmiendas a NIIF 9 “Instrumentos Financieros” y a la NIIF 7 “Instrumentos Financieros: Información a Revelar”, relativos a los contratos referidos a la electricidad dependiente de la naturaleza que:</w:t>
      </w:r>
    </w:p>
    <w:p>
      <w:pPr>
        <w:keepNext w:val="0"/>
        <w:keepLines/>
        <w:pageBreakBefore w:val="0"/>
        <w:widowControl w:val="0"/>
        <w:numPr>
          <w:ilvl w:val="0"/>
          <w:numId w:val="0"/>
        </w:numPr>
        <w:tabs>
          <w:tab w:val="left" w:pos="700"/>
        </w:tabs>
        <w:spacing w:before="0" w:after="0" w:line="276" w:lineRule="auto"/>
        <w:ind w:left="2124" w:right="0" w:hanging="708"/>
        <w:jc w:val="both"/>
        <w:outlineLvl w:val="9"/>
        <w:rPr>
          <w:rFonts w:ascii="Calibri" w:eastAsia="Calibri" w:hAnsi="Calibri" w:cs="Calibri"/>
          <w:b w:val="0"/>
          <w:i w:val="0"/>
          <w:sz w:val="20"/>
        </w:rPr>
      </w:pPr>
    </w:p>
    <w:p>
      <w:pPr>
        <w:keepNext w:val="0"/>
        <w:keepLines/>
        <w:pageBreakBefore w:val="0"/>
        <w:widowControl w:val="0"/>
        <w:numPr>
          <w:ilvl w:val="0"/>
          <w:numId w:val="14"/>
        </w:numPr>
        <w:tabs>
          <w:tab w:val="left" w:pos="700"/>
        </w:tabs>
        <w:spacing w:before="0" w:after="0" w:line="230" w:lineRule="exact"/>
        <w:ind w:left="2551" w:right="0" w:hanging="425"/>
        <w:jc w:val="left"/>
        <w:outlineLvl w:val="9"/>
        <w:rPr>
          <w:rFonts w:ascii="Calibri" w:eastAsia="Calibri" w:hAnsi="Calibri" w:cs="Calibri"/>
          <w:b w:val="0"/>
          <w:i w:val="0"/>
          <w:sz w:val="20"/>
        </w:rPr>
      </w:pPr>
      <w:r>
        <w:rPr>
          <w:rFonts w:ascii="Calibri" w:eastAsia="Calibri" w:hAnsi="Calibri" w:cs="Calibri"/>
          <w:b w:val="0"/>
          <w:i w:val="0"/>
          <w:sz w:val="20"/>
        </w:rPr>
        <w:t>Aclaran la aplicación de los requisitos del concepto de “uso propio”.</w:t>
      </w:r>
    </w:p>
    <w:p>
      <w:pPr>
        <w:keepNext w:val="0"/>
        <w:keepLines/>
        <w:pageBreakBefore w:val="0"/>
        <w:widowControl w:val="0"/>
        <w:numPr>
          <w:ilvl w:val="0"/>
          <w:numId w:val="0"/>
        </w:numPr>
        <w:tabs>
          <w:tab w:val="left" w:pos="700"/>
        </w:tabs>
        <w:spacing w:before="0" w:after="0" w:line="276" w:lineRule="auto"/>
        <w:ind w:left="1831" w:right="0" w:hanging="65"/>
        <w:jc w:val="left"/>
        <w:outlineLvl w:val="9"/>
        <w:rPr>
          <w:rFonts w:ascii="Calibri" w:eastAsia="Calibri" w:hAnsi="Calibri" w:cs="Calibri"/>
          <w:b w:val="0"/>
          <w:i w:val="0"/>
          <w:sz w:val="20"/>
        </w:rPr>
      </w:pPr>
    </w:p>
    <w:p>
      <w:pPr>
        <w:keepNext w:val="0"/>
        <w:keepLines/>
        <w:pageBreakBefore w:val="0"/>
        <w:widowControl w:val="0"/>
        <w:numPr>
          <w:ilvl w:val="0"/>
          <w:numId w:val="14"/>
        </w:numPr>
        <w:tabs>
          <w:tab w:val="left" w:pos="700"/>
        </w:tabs>
        <w:spacing w:before="0" w:after="0" w:line="276" w:lineRule="auto"/>
        <w:ind w:left="2551" w:right="0" w:hanging="425"/>
        <w:jc w:val="both"/>
        <w:outlineLvl w:val="9"/>
        <w:rPr>
          <w:rFonts w:ascii="Calibri" w:eastAsia="Calibri" w:hAnsi="Calibri" w:cs="Calibri"/>
          <w:b w:val="0"/>
          <w:i w:val="0"/>
          <w:sz w:val="20"/>
        </w:rPr>
      </w:pPr>
      <w:r>
        <w:rPr>
          <w:rFonts w:ascii="Calibri" w:eastAsia="Calibri" w:hAnsi="Calibri" w:cs="Calibri"/>
          <w:b w:val="0"/>
          <w:i w:val="0"/>
          <w:sz w:val="20"/>
        </w:rPr>
        <w:t>Permiten la contabilidad de cobertura si estos contratos se utilizan como instrumentos de cobertura.</w:t>
      </w:r>
    </w:p>
    <w:p>
      <w:pPr>
        <w:keepNext w:val="0"/>
        <w:keepLines/>
        <w:pageBreakBefore w:val="0"/>
        <w:widowControl w:val="0"/>
        <w:numPr>
          <w:ilvl w:val="0"/>
          <w:numId w:val="0"/>
        </w:numPr>
        <w:tabs>
          <w:tab w:val="left" w:pos="700"/>
        </w:tabs>
        <w:spacing w:before="0" w:after="0" w:line="276" w:lineRule="auto"/>
        <w:ind w:left="1831" w:right="0" w:hanging="65"/>
        <w:jc w:val="left"/>
        <w:outlineLvl w:val="9"/>
        <w:rPr>
          <w:rFonts w:ascii="Calibri" w:eastAsia="Calibri" w:hAnsi="Calibri" w:cs="Calibri"/>
          <w:b w:val="0"/>
          <w:i w:val="0"/>
          <w:sz w:val="20"/>
        </w:rPr>
      </w:pPr>
    </w:p>
    <w:p>
      <w:pPr>
        <w:keepNext w:val="0"/>
        <w:keepLines/>
        <w:pageBreakBefore w:val="0"/>
        <w:widowControl w:val="0"/>
        <w:numPr>
          <w:ilvl w:val="0"/>
          <w:numId w:val="14"/>
        </w:numPr>
        <w:tabs>
          <w:tab w:val="left" w:pos="700"/>
        </w:tabs>
        <w:spacing w:before="0" w:after="0" w:line="230" w:lineRule="exact"/>
        <w:ind w:left="2551" w:right="0" w:hanging="425"/>
        <w:jc w:val="both"/>
        <w:outlineLvl w:val="9"/>
        <w:rPr>
          <w:rFonts w:ascii="Calibri" w:eastAsia="Calibri" w:hAnsi="Calibri" w:cs="Calibri"/>
          <w:b w:val="0"/>
          <w:i w:val="0"/>
          <w:sz w:val="20"/>
        </w:rPr>
      </w:pPr>
      <w:r>
        <w:rPr>
          <w:rFonts w:ascii="Calibri" w:eastAsia="Calibri" w:hAnsi="Calibri" w:cs="Calibri"/>
          <w:b w:val="0"/>
          <w:i w:val="0"/>
          <w:sz w:val="20"/>
        </w:rPr>
        <w:t>Agregan nuevos requisitos de revelaciones para permitir a los inversores entender el efecto de estos contratos en el desempeño financiero y los flujos de efectivo de una entidad.</w:t>
      </w:r>
    </w:p>
    <w:p>
      <w:pPr>
        <w:keepNext w:val="0"/>
        <w:keepLines/>
        <w:pageBreakBefore w:val="0"/>
        <w:widowControl w:val="0"/>
        <w:numPr>
          <w:ilvl w:val="0"/>
          <w:numId w:val="0"/>
        </w:numPr>
        <w:tabs>
          <w:tab w:val="left" w:pos="700"/>
        </w:tabs>
        <w:spacing w:before="0" w:after="0" w:line="276" w:lineRule="auto"/>
        <w:ind w:left="1831" w:right="0" w:hanging="65"/>
        <w:jc w:val="left"/>
        <w:outlineLvl w:val="9"/>
        <w:rPr>
          <w:rFonts w:ascii="Calibri" w:eastAsia="Calibri" w:hAnsi="Calibri" w:cs="Calibri"/>
          <w:b w:val="0"/>
          <w:i w:val="0"/>
          <w:sz w:val="20"/>
        </w:rPr>
      </w:pPr>
    </w:p>
    <w:p>
      <w:pPr>
        <w:keepNext w:val="0"/>
        <w:keepLines/>
        <w:pageBreakBefore w:val="0"/>
        <w:widowControl w:val="0"/>
        <w:numPr>
          <w:ilvl w:val="0"/>
          <w:numId w:val="0"/>
        </w:numPr>
        <w:tabs>
          <w:tab w:val="left" w:pos="700"/>
        </w:tabs>
        <w:spacing w:before="0" w:after="0" w:line="230" w:lineRule="exact"/>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Las aclaraciones sobre los requisitos de “uso propio” deben aplicarse retrospectivamente, pero las directrices que permiten la contabilidad de cobertura deben aplicarse prospectivamente a las nuevas relaciones de cobertura designadas en o después de la fecha de aplicación inicial.</w:t>
      </w:r>
    </w:p>
    <w:p>
      <w:pPr>
        <w:keepNext w:val="0"/>
        <w:keepLines/>
        <w:pageBreakBefore w:val="0"/>
        <w:widowControl w:val="0"/>
        <w:numPr>
          <w:ilvl w:val="0"/>
          <w:numId w:val="0"/>
        </w:numPr>
        <w:tabs>
          <w:tab w:val="left" w:pos="700"/>
        </w:tabs>
        <w:spacing w:before="0" w:after="0" w:line="276" w:lineRule="auto"/>
        <w:ind w:left="2126"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tabs>
          <w:tab w:val="left" w:pos="700"/>
        </w:tabs>
        <w:spacing w:before="0" w:after="0" w:line="23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La adopción de estas normas, interpretaciones y enmiendas no generaron impactos en los estados financieros consolidados intermedios del Grupo en la fecha de aplicación inicial.</w:t>
      </w:r>
    </w:p>
    <w:p>
      <w:pPr>
        <w:keepNext w:val="0"/>
        <w:keepLines/>
        <w:pageBreakBefore w:val="0"/>
        <w:widowControl w:val="0"/>
        <w:numPr>
          <w:ilvl w:val="0"/>
          <w:numId w:val="0"/>
        </w:numPr>
        <w:tabs>
          <w:tab w:val="left" w:pos="700"/>
        </w:tabs>
        <w:spacing w:before="0" w:after="0" w:line="276" w:lineRule="auto"/>
        <w:ind w:left="2126"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tabs>
          <w:tab w:val="left" w:pos="700"/>
        </w:tabs>
        <w:spacing w:before="0" w:after="0" w:line="276" w:lineRule="auto"/>
        <w:ind w:left="2126"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tabs>
          <w:tab w:val="left" w:pos="700"/>
        </w:tabs>
        <w:spacing w:before="0" w:after="0" w:line="276" w:lineRule="auto"/>
        <w:ind w:left="2126"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tabs>
          <w:tab w:val="left" w:pos="700"/>
        </w:tabs>
        <w:spacing w:before="0" w:after="0" w:line="276" w:lineRule="auto"/>
        <w:ind w:left="2126"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0"/>
          <w:cols w:space="708"/>
        </w:sectPr>
      </w:pPr>
    </w:p>
    <w:p>
      <w:pPr>
        <w:pStyle w:val="Heading1-wk"/>
        <w:keepNext w:val="0"/>
        <w:keepLines/>
        <w:pageBreakBefore w:val="0"/>
        <w:widowControl w:val="0"/>
        <w:numPr>
          <w:ilvl w:val="0"/>
          <w:numId w:val="0"/>
        </w:numPr>
        <w:spacing w:before="0" w:after="0" w:line="240" w:lineRule="exact"/>
        <w:ind w:left="1417" w:right="0" w:hanging="709"/>
        <w:jc w:val="left"/>
        <w:outlineLvl w:val="1"/>
        <w:rPr>
          <w:rFonts w:ascii="Calibri" w:eastAsia="Calibri" w:hAnsi="Calibri" w:cs="Calibri"/>
          <w:b/>
          <w:i w:val="0"/>
          <w:color w:val="000000"/>
          <w:sz w:val="20"/>
          <w:u w:val="none"/>
        </w:rPr>
      </w:pPr>
      <w:bookmarkStart w:id="20" w:name="Section14"/>
      <w:bookmarkEnd w:id="20"/>
      <w:bookmarkStart w:id="21" w:name="2f407dd1d4584eab800031551eefaf71"/>
      <w:r>
        <w:rPr>
          <w:rFonts w:ascii="Calibri" w:eastAsia="Calibri" w:hAnsi="Calibri" w:cs="Calibri"/>
          <w:b/>
          <w:i w:val="0"/>
          <w:color w:val="000000"/>
          <w:sz w:val="20"/>
          <w:u w:val="none"/>
        </w:rPr>
        <w:t>3.3.-</w:t>
      </w:r>
      <w:r>
        <w:rPr>
          <w:rFonts w:ascii="Calibri" w:eastAsia="Calibri" w:hAnsi="Calibri" w:cs="Calibri"/>
          <w:b/>
          <w:i w:val="0"/>
          <w:color w:val="000000"/>
          <w:sz w:val="20"/>
          <w:u w:val="none"/>
        </w:rPr>
        <w:tab/>
      </w:r>
      <w:r>
        <w:rPr>
          <w:rFonts w:ascii="Calibri" w:eastAsia="Calibri" w:hAnsi="Calibri" w:cs="Calibri"/>
          <w:b/>
          <w:i w:val="0"/>
          <w:color w:val="000000"/>
          <w:sz w:val="20"/>
          <w:u w:val="none"/>
        </w:rPr>
        <w:t>Nuevas normas, interpretaciones y enmiendas emitidas, no vigentes para el ejercicio 2026, para las cuales no se ha efectuado adopción anticipada de las mismas.</w:t>
      </w:r>
    </w:p>
    <w:p>
      <w:pPr>
        <w:keepNext w:val="0"/>
        <w:keepLines/>
        <w:pageBreakBefore w:val="0"/>
        <w:widowControl w:val="0"/>
        <w:numPr>
          <w:ilvl w:val="0"/>
          <w:numId w:val="0"/>
        </w:numPr>
        <w:tabs>
          <w:tab w:val="left" w:pos="700"/>
        </w:tabs>
        <w:spacing w:before="0" w:after="0" w:line="288" w:lineRule="auto"/>
        <w:ind w:left="2124" w:right="0" w:hanging="708"/>
        <w:jc w:val="both"/>
        <w:outlineLvl w:val="9"/>
        <w:rPr>
          <w:rFonts w:ascii="Calibri" w:eastAsia="Calibri" w:hAnsi="Calibri" w:cs="Calibri"/>
          <w:b w:val="0"/>
          <w:i w:val="0"/>
          <w:color w:val="000000"/>
          <w:sz w:val="20"/>
          <w:highlight w:val="yellow"/>
          <w:u w:val="none"/>
        </w:rPr>
      </w:pPr>
      <w:bookmarkEnd w:id="21"/>
    </w:p>
    <w:p>
      <w:pPr>
        <w:keepNext w:val="0"/>
        <w:keepLines/>
        <w:pageBreakBefore w:val="0"/>
        <w:widowControl w:val="0"/>
        <w:numPr>
          <w:ilvl w:val="0"/>
          <w:numId w:val="0"/>
        </w:numPr>
        <w:tabs>
          <w:tab w:val="left" w:pos="700"/>
        </w:tabs>
        <w:spacing w:before="0" w:after="0" w:line="230" w:lineRule="exact"/>
        <w:ind w:left="2124" w:right="0" w:hanging="708"/>
        <w:jc w:val="both"/>
        <w:outlineLvl w:val="9"/>
        <w:rPr>
          <w:rFonts w:ascii="Calibri" w:eastAsia="Calibri" w:hAnsi="Calibri" w:cs="Calibri"/>
          <w:b w:val="0"/>
          <w:i w:val="0"/>
          <w:sz w:val="20"/>
        </w:rPr>
      </w:pPr>
      <w:r>
        <w:rPr>
          <w:rFonts w:ascii="Calibri" w:eastAsia="Calibri" w:hAnsi="Calibri" w:cs="Calibri"/>
          <w:b w:val="0"/>
          <w:i w:val="0"/>
          <w:sz w:val="20"/>
        </w:rPr>
        <w:t>3.3.1.-</w:t>
      </w:r>
      <w:r>
        <w:rPr>
          <w:rFonts w:ascii="Calibri" w:eastAsia="Calibri" w:hAnsi="Calibri" w:cs="Calibri"/>
          <w:b w:val="0"/>
          <w:i w:val="0"/>
          <w:sz w:val="20"/>
        </w:rPr>
        <w:tab/>
      </w:r>
      <w:r>
        <w:rPr>
          <w:rFonts w:ascii="Calibri" w:eastAsia="Calibri" w:hAnsi="Calibri" w:cs="Calibri"/>
          <w:b w:val="0"/>
          <w:i w:val="0"/>
          <w:sz w:val="20"/>
        </w:rPr>
        <w:t>En abril de 2024, el IASB emitió la NIIF 18 “Presentación e Información a Revelar en los Estados Financieros”, que sustituye a la NIC 1. Si bien se han incorporado la mayoría de las secciones de la NIC 1 con cambios limitados, la NIIF 18 introduce nuevos requisitos de presentación en el estado de resultados, incluyendo totales y subtotales específicos. También exige la revelación de las medidas de rendimiento definidas por la administración e incluye nuevos requisitos para la agregación y desagregación de la información financiera con base en las funciones identificadas de los estados financieros principales y las notas.</w:t>
      </w:r>
    </w:p>
    <w:p>
      <w:pPr>
        <w:keepNext w:val="0"/>
        <w:keepLines/>
        <w:pageBreakBefore w:val="0"/>
        <w:widowControl w:val="0"/>
        <w:numPr>
          <w:ilvl w:val="0"/>
          <w:numId w:val="0"/>
        </w:numPr>
        <w:tabs>
          <w:tab w:val="left" w:pos="700"/>
        </w:tabs>
        <w:spacing w:before="0" w:after="0" w:line="276" w:lineRule="auto"/>
        <w:ind w:left="2124" w:right="0" w:hanging="708"/>
        <w:jc w:val="both"/>
        <w:outlineLvl w:val="9"/>
        <w:rPr>
          <w:rFonts w:ascii="Calibri" w:eastAsia="Calibri" w:hAnsi="Calibri" w:cs="Calibri"/>
          <w:b w:val="0"/>
          <w:i w:val="0"/>
          <w:sz w:val="20"/>
        </w:rPr>
      </w:pPr>
    </w:p>
    <w:p>
      <w:pPr>
        <w:keepNext w:val="0"/>
        <w:keepLines/>
        <w:pageBreakBefore w:val="0"/>
        <w:widowControl w:val="0"/>
        <w:numPr>
          <w:ilvl w:val="0"/>
          <w:numId w:val="0"/>
        </w:numPr>
        <w:tabs>
          <w:tab w:val="left" w:pos="700"/>
        </w:tabs>
        <w:spacing w:before="0" w:after="0" w:line="230" w:lineRule="exact"/>
        <w:ind w:left="2124" w:right="0" w:firstLine="0"/>
        <w:jc w:val="both"/>
        <w:outlineLvl w:val="9"/>
        <w:rPr>
          <w:rFonts w:ascii="Calibri" w:eastAsia="Calibri" w:hAnsi="Calibri" w:cs="Calibri"/>
          <w:b w:val="0"/>
          <w:i w:val="0"/>
          <w:sz w:val="20"/>
        </w:rPr>
      </w:pPr>
      <w:r>
        <w:rPr>
          <w:rFonts w:ascii="Calibri" w:eastAsia="Calibri" w:hAnsi="Calibri" w:cs="Calibri"/>
          <w:b w:val="0"/>
          <w:i w:val="0"/>
          <w:sz w:val="20"/>
        </w:rPr>
        <w:t xml:space="preserve">Además, se han realizado modificaciones de alcance limitado a la NIC 7 “Estado de Flujos de Efectivo”, y algunos requisitos previamente incluidos en la NIC 1 se han trasladado a la NIC 8, que ahora se denomina NIC 8 “Bases de Preparación de los Estados Financieros”. </w:t>
      </w:r>
    </w:p>
    <w:p>
      <w:pPr>
        <w:keepNext w:val="0"/>
        <w:keepLines/>
        <w:pageBreakBefore w:val="0"/>
        <w:widowControl w:val="0"/>
        <w:numPr>
          <w:ilvl w:val="0"/>
          <w:numId w:val="0"/>
        </w:numPr>
        <w:spacing w:before="0" w:after="0" w:line="276" w:lineRule="auto"/>
        <w:ind w:left="0" w:right="0" w:firstLine="0"/>
        <w:jc w:val="left"/>
        <w:outlineLvl w:val="9"/>
        <w:rPr>
          <w:rFonts w:ascii="Arial" w:eastAsia="Arial" w:hAnsi="Arial" w:cs="Arial"/>
          <w:b w:val="0"/>
          <w:i w:val="0"/>
          <w:sz w:val="24"/>
        </w:rPr>
      </w:pPr>
    </w:p>
    <w:p>
      <w:pPr>
        <w:keepNext w:val="0"/>
        <w:keepLines/>
        <w:pageBreakBefore w:val="0"/>
        <w:widowControl w:val="0"/>
        <w:numPr>
          <w:ilvl w:val="0"/>
          <w:numId w:val="0"/>
        </w:numPr>
        <w:spacing w:before="0" w:after="0" w:line="230" w:lineRule="exact"/>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La NIIF 18 y todas las modificaciones consiguientes entran en vigor para los ejercicios que comiencen a partir del 1 de enero de 2027, permitiéndose su aplicación anticipada. Se requiere su aplicación retroactiva.</w:t>
      </w:r>
    </w:p>
    <w:p>
      <w:pPr>
        <w:keepNext w:val="0"/>
        <w:keepLines/>
        <w:pageBreakBefore w:val="0"/>
        <w:widowControl w:val="0"/>
        <w:numPr>
          <w:ilvl w:val="0"/>
          <w:numId w:val="0"/>
        </w:numPr>
        <w:spacing w:before="0" w:after="0" w:line="276" w:lineRule="auto"/>
        <w:ind w:left="2126"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30" w:lineRule="exact"/>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Entre los principales impactos se contempla la modificación del estado de resultados correspondiente al ejercicio 2026, junto con sus notas asociadas, los cuales serán objeto de reformulación en los estados financieros del ejercicio 2027. Esta reformulación implicará la incorporación de nuevos totales y subtotales en conformidad con los requerimientos establecidos por la NIIF 18. Adicionalmente, se anticipan cambios en la presentación de las notas explicativas, derivados de la aplicación de nuevos criterios de agregación y desagregación de la información financiera. Asimismo, se incorporará una nota específica destinada a la revelación de las medidas de desempeño definidas por la Administración.</w:t>
      </w:r>
    </w:p>
    <w:p>
      <w:pPr>
        <w:keepNext w:val="0"/>
        <w:keepLines/>
        <w:pageBreakBefore w:val="0"/>
        <w:widowControl w:val="0"/>
        <w:numPr>
          <w:ilvl w:val="0"/>
          <w:numId w:val="0"/>
        </w:numPr>
        <w:spacing w:before="0" w:after="0" w:line="276" w:lineRule="auto"/>
        <w:ind w:left="2126"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tabs>
          <w:tab w:val="left" w:pos="700"/>
        </w:tabs>
        <w:spacing w:before="0" w:after="0" w:line="230" w:lineRule="exact"/>
        <w:ind w:left="2124" w:right="0" w:hanging="708"/>
        <w:jc w:val="both"/>
        <w:outlineLvl w:val="9"/>
        <w:rPr>
          <w:rFonts w:ascii="Calibri" w:eastAsia="Calibri" w:hAnsi="Calibri" w:cs="Calibri"/>
          <w:b w:val="0"/>
          <w:i w:val="0"/>
          <w:sz w:val="20"/>
        </w:rPr>
      </w:pPr>
      <w:r>
        <w:rPr>
          <w:rFonts w:ascii="Calibri" w:eastAsia="Calibri" w:hAnsi="Calibri" w:cs="Calibri"/>
          <w:b w:val="0"/>
          <w:i w:val="0"/>
          <w:sz w:val="20"/>
        </w:rPr>
        <w:t>3.3.2.-</w:t>
      </w:r>
      <w:r>
        <w:rPr>
          <w:rFonts w:ascii="Calibri" w:eastAsia="Calibri" w:hAnsi="Calibri" w:cs="Calibri"/>
          <w:b w:val="0"/>
          <w:i w:val="0"/>
          <w:sz w:val="20"/>
        </w:rPr>
        <w:tab/>
      </w:r>
      <w:r>
        <w:rPr>
          <w:rFonts w:ascii="Calibri" w:eastAsia="Calibri" w:hAnsi="Calibri" w:cs="Calibri"/>
          <w:b w:val="0"/>
          <w:i w:val="0"/>
          <w:sz w:val="20"/>
        </w:rPr>
        <w:t>En mayo de 2024, el IASB emitió la NIIF 19 “Subsidiarias sin Obligación Pública de Rendir Cuentas: Información a Revelar” que permite a las entidades elegibles optar por aplicar sus requisitos de revelación reducidos, a la vez que aplican los requisitos de reconocimiento, medición y presentación de otras Normas de Contabilidad de las NIIF. Para ser elegible, al final del período sobre el que se informa, una entidad debe ser una subsidiaria según se define en la NIIF 10, no puede rendir cuentas públicamente y debe tener una matriz (última o intermedia) que prepare estados financieros consolidados, disponibles para uso público, que cumplan con las Normas de Contabilidad de las NIIF.</w:t>
      </w:r>
    </w:p>
    <w:p>
      <w:pPr>
        <w:keepNext w:val="0"/>
        <w:keepLines/>
        <w:pageBreakBefore w:val="0"/>
        <w:widowControl w:val="0"/>
        <w:numPr>
          <w:ilvl w:val="0"/>
          <w:numId w:val="0"/>
        </w:numPr>
        <w:tabs>
          <w:tab w:val="left" w:pos="700"/>
        </w:tabs>
        <w:spacing w:before="0" w:after="0" w:line="276" w:lineRule="auto"/>
        <w:ind w:left="2124" w:right="0" w:hanging="708"/>
        <w:jc w:val="left"/>
        <w:outlineLvl w:val="9"/>
        <w:rPr>
          <w:rFonts w:ascii="Calibri" w:eastAsia="Calibri" w:hAnsi="Calibri" w:cs="Calibri"/>
          <w:b w:val="0"/>
          <w:i w:val="0"/>
          <w:sz w:val="20"/>
        </w:rPr>
      </w:pPr>
    </w:p>
    <w:p>
      <w:pPr>
        <w:keepNext w:val="0"/>
        <w:keepLines/>
        <w:pageBreakBefore w:val="0"/>
        <w:widowControl w:val="0"/>
        <w:numPr>
          <w:ilvl w:val="0"/>
          <w:numId w:val="0"/>
        </w:numPr>
        <w:tabs>
          <w:tab w:val="left" w:pos="700"/>
        </w:tabs>
        <w:spacing w:before="0" w:after="0" w:line="230" w:lineRule="exact"/>
        <w:ind w:left="2124" w:right="0" w:firstLine="0"/>
        <w:jc w:val="both"/>
        <w:outlineLvl w:val="9"/>
        <w:rPr>
          <w:rFonts w:ascii="Calibri" w:eastAsia="Calibri" w:hAnsi="Calibri" w:cs="Calibri"/>
          <w:b w:val="0"/>
          <w:i w:val="0"/>
          <w:sz w:val="20"/>
        </w:rPr>
      </w:pPr>
      <w:r>
        <w:rPr>
          <w:rFonts w:ascii="Calibri" w:eastAsia="Calibri" w:hAnsi="Calibri" w:cs="Calibri"/>
          <w:b w:val="0"/>
          <w:i w:val="0"/>
          <w:sz w:val="20"/>
        </w:rPr>
        <w:t>La NIIF 19 entrará en vigor para los períodos sobre los que se informa que comiencen a partir del 1 de enero de 2027, permitiéndose su aplicación anticipada.</w:t>
      </w:r>
    </w:p>
    <w:p>
      <w:pPr>
        <w:keepNext w:val="0"/>
        <w:keepLines/>
        <w:pageBreakBefore w:val="0"/>
        <w:widowControl w:val="0"/>
        <w:numPr>
          <w:ilvl w:val="0"/>
          <w:numId w:val="0"/>
        </w:numPr>
        <w:tabs>
          <w:tab w:val="left" w:pos="700"/>
        </w:tabs>
        <w:spacing w:before="0" w:after="0" w:line="276" w:lineRule="auto"/>
        <w:ind w:left="1831" w:right="0" w:hanging="65"/>
        <w:jc w:val="both"/>
        <w:outlineLvl w:val="9"/>
        <w:rPr>
          <w:rFonts w:ascii="Calibri" w:eastAsia="Calibri" w:hAnsi="Calibri" w:cs="Calibri"/>
          <w:b w:val="0"/>
          <w:i w:val="0"/>
          <w:sz w:val="20"/>
        </w:rPr>
      </w:pPr>
    </w:p>
    <w:p>
      <w:pPr>
        <w:keepNext w:val="0"/>
        <w:keepLines/>
        <w:pageBreakBefore w:val="0"/>
        <w:widowControl w:val="0"/>
        <w:numPr>
          <w:ilvl w:val="0"/>
          <w:numId w:val="0"/>
        </w:numPr>
        <w:tabs>
          <w:tab w:val="left" w:pos="700"/>
        </w:tabs>
        <w:spacing w:before="0" w:after="0" w:line="230" w:lineRule="exact"/>
        <w:ind w:left="2124" w:right="0" w:hanging="708"/>
        <w:jc w:val="both"/>
        <w:outlineLvl w:val="9"/>
        <w:rPr>
          <w:rFonts w:ascii="Calibri" w:eastAsia="Calibri" w:hAnsi="Calibri" w:cs="Calibri"/>
          <w:b w:val="0"/>
          <w:i w:val="0"/>
          <w:sz w:val="20"/>
        </w:rPr>
      </w:pPr>
      <w:r>
        <w:rPr>
          <w:rFonts w:ascii="Calibri" w:eastAsia="Calibri" w:hAnsi="Calibri" w:cs="Calibri"/>
          <w:b w:val="0"/>
          <w:i w:val="0"/>
          <w:sz w:val="20"/>
        </w:rPr>
        <w:t>3.3.3.-</w:t>
      </w:r>
      <w:r>
        <w:rPr>
          <w:rFonts w:ascii="Calibri" w:eastAsia="Calibri" w:hAnsi="Calibri" w:cs="Calibri"/>
          <w:b w:val="0"/>
          <w:i w:val="0"/>
          <w:sz w:val="20"/>
        </w:rPr>
        <w:tab/>
      </w:r>
      <w:r>
        <w:rPr>
          <w:rFonts w:ascii="Calibri" w:eastAsia="Calibri" w:hAnsi="Calibri" w:cs="Calibri"/>
          <w:b w:val="0"/>
          <w:i w:val="0"/>
          <w:sz w:val="20"/>
        </w:rPr>
        <w:t>En noviembre de 2025, el IASB emitió “Conversión a una Moneda de Presentación Hiperinflacionaria - Enmiendas a la NIC 21”. Las enmiendas requieren la conversión desde una moneda funcional no hiperinflacionaria a una moneda de presentación hiperinflacionaria utilizando el tipo de cambio de cierre.</w:t>
      </w:r>
    </w:p>
    <w:p>
      <w:pPr>
        <w:keepNext w:val="0"/>
        <w:keepLines/>
        <w:pageBreakBefore w:val="0"/>
        <w:widowControl w:val="0"/>
        <w:numPr>
          <w:ilvl w:val="0"/>
          <w:numId w:val="0"/>
        </w:numPr>
        <w:tabs>
          <w:tab w:val="left" w:pos="700"/>
        </w:tabs>
        <w:spacing w:before="0" w:after="0" w:line="276" w:lineRule="auto"/>
        <w:ind w:left="2124" w:right="0" w:hanging="708"/>
        <w:jc w:val="both"/>
        <w:outlineLvl w:val="9"/>
        <w:rPr>
          <w:rFonts w:ascii="Calibri" w:eastAsia="Calibri" w:hAnsi="Calibri" w:cs="Calibri"/>
          <w:b w:val="0"/>
          <w:i w:val="0"/>
          <w:sz w:val="20"/>
        </w:rPr>
      </w:pPr>
    </w:p>
    <w:p>
      <w:pPr>
        <w:keepNext w:val="0"/>
        <w:keepLines/>
        <w:pageBreakBefore w:val="0"/>
        <w:widowControl w:val="0"/>
        <w:numPr>
          <w:ilvl w:val="0"/>
          <w:numId w:val="0"/>
        </w:numPr>
        <w:tabs>
          <w:tab w:val="left" w:pos="700"/>
        </w:tabs>
        <w:spacing w:before="0" w:after="0" w:line="230" w:lineRule="exact"/>
        <w:ind w:left="2124" w:right="0" w:firstLine="0"/>
        <w:jc w:val="both"/>
        <w:outlineLvl w:val="9"/>
        <w:rPr>
          <w:rFonts w:ascii="Calibri" w:eastAsia="Calibri" w:hAnsi="Calibri" w:cs="Calibri"/>
          <w:b w:val="0"/>
          <w:i w:val="0"/>
          <w:sz w:val="20"/>
        </w:rPr>
      </w:pPr>
      <w:r>
        <w:rPr>
          <w:rFonts w:ascii="Calibri" w:eastAsia="Calibri" w:hAnsi="Calibri" w:cs="Calibri"/>
          <w:b w:val="0"/>
          <w:i w:val="0"/>
          <w:sz w:val="20"/>
        </w:rPr>
        <w:t>Si la moneda funcional de una entidad es la moneda de una economía no hiperinflacionaria, pero su moneda de presentación es la moneda de una economía hiperinflacionaria, sus resultados y su situación financiera se traducen a la moneda de presentación convirtiendo todos los importes (es decir, activos, pasivos, partidas del patrimonio, ingresos y gastos) y todas las cifras comparativas al tipo de cambio de cierre de la fecha del estado de situación financiera más reciente. Una entidad cuya moneda funcional y moneda de presentación sea la moneda de una economía hiperinflacionaria, reexpresa los importes comparativos de una operación en el extranjero, cuya moneda funcional es la de una economía no hiperinflacionaria, aplicando el índice general de precios, de acuerdo con el párrafo 34 de la NIC 29, a las cifras comparativas de dicha operación extranjera.</w:t>
      </w:r>
    </w:p>
    <w:p>
      <w:pPr>
        <w:keepNext w:val="0"/>
        <w:keepLines/>
        <w:pageBreakBefore w:val="0"/>
        <w:widowControl w:val="0"/>
        <w:numPr>
          <w:ilvl w:val="0"/>
          <w:numId w:val="0"/>
        </w:numPr>
        <w:tabs>
          <w:tab w:val="left" w:pos="700"/>
        </w:tabs>
        <w:spacing w:before="0" w:after="0" w:line="276" w:lineRule="auto"/>
        <w:ind w:left="2124"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tabs>
          <w:tab w:val="left" w:pos="700"/>
        </w:tabs>
        <w:spacing w:before="0" w:after="0" w:line="230" w:lineRule="exact"/>
        <w:ind w:left="2124" w:right="0" w:firstLine="0"/>
        <w:jc w:val="both"/>
        <w:outlineLvl w:val="9"/>
        <w:rPr>
          <w:rFonts w:ascii="Calibri" w:eastAsia="Calibri" w:hAnsi="Calibri" w:cs="Calibri"/>
          <w:b w:val="0"/>
          <w:i w:val="0"/>
          <w:sz w:val="20"/>
        </w:rPr>
      </w:pPr>
      <w:r>
        <w:rPr>
          <w:rFonts w:ascii="Calibri" w:eastAsia="Calibri" w:hAnsi="Calibri" w:cs="Calibri"/>
          <w:b w:val="0"/>
          <w:i w:val="0"/>
          <w:sz w:val="20"/>
        </w:rPr>
        <w:t>Las enmiendas aplican para los períodos anuales que comiencen el o después del 1 de enero de 2027, y se permite su aplicación anticipada.</w:t>
      </w:r>
    </w:p>
    <w:p>
      <w:pPr>
        <w:pStyle w:val="Normal-wk"/>
        <w:keepNext w:val="0"/>
        <w:keepLines/>
        <w:pageBreakBefore w:val="0"/>
        <w:widowControl w:val="0"/>
        <w:numPr>
          <w:ilvl w:val="0"/>
          <w:numId w:val="0"/>
        </w:numPr>
        <w:tabs>
          <w:tab w:val="left" w:pos="700"/>
        </w:tabs>
        <w:spacing w:before="0" w:after="0" w:line="230" w:lineRule="exact"/>
        <w:ind w:left="2124" w:right="0" w:hanging="708"/>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3.3.4.-</w:t>
      </w:r>
      <w:r>
        <w:rPr>
          <w:rFonts w:ascii="Calibri" w:eastAsia="Calibri" w:hAnsi="Calibri" w:cs="Calibri"/>
          <w:b w:val="0"/>
          <w:i w:val="0"/>
          <w:color w:val="000000"/>
          <w:sz w:val="20"/>
          <w:u w:val="none"/>
        </w:rPr>
        <w:tab/>
      </w:r>
      <w:r>
        <w:rPr>
          <w:rFonts w:ascii="Calibri" w:eastAsia="Calibri" w:hAnsi="Calibri" w:cs="Calibri"/>
          <w:b w:val="0"/>
          <w:i w:val="0"/>
          <w:sz w:val="20"/>
        </w:rPr>
        <w:t>En noviembre de 2025, el IASB emitió las Enmiendas a los Ejemplos Ilustrativos de las NIIF 7, NIIF 18, NIC 1, NIC 8, NIC 36 y NIC 37 – Revelaciones sobre Incertidumbres en los Estados Financieros (“los ejemplos”), que agregaron ejemplos ilustrativos a varias Normas de Contabilidad de las NIIF.</w:t>
      </w:r>
    </w:p>
    <w:p>
      <w:pPr>
        <w:keepNext w:val="0"/>
        <w:keepLines/>
        <w:pageBreakBefore w:val="0"/>
        <w:widowControl w:val="0"/>
        <w:numPr>
          <w:ilvl w:val="0"/>
          <w:numId w:val="0"/>
        </w:numPr>
        <w:tabs>
          <w:tab w:val="left" w:pos="700"/>
        </w:tabs>
        <w:spacing w:before="0" w:after="0" w:line="276" w:lineRule="auto"/>
        <w:ind w:left="2124" w:right="0" w:hanging="708"/>
        <w:jc w:val="both"/>
        <w:outlineLvl w:val="9"/>
        <w:rPr>
          <w:rFonts w:ascii="Calibri" w:eastAsia="Calibri" w:hAnsi="Calibri" w:cs="Calibri"/>
          <w:b w:val="0"/>
          <w:i w:val="0"/>
          <w:sz w:val="20"/>
        </w:rPr>
      </w:pPr>
    </w:p>
    <w:p>
      <w:pPr>
        <w:keepNext w:val="0"/>
        <w:keepLines/>
        <w:pageBreakBefore w:val="0"/>
        <w:widowControl w:val="0"/>
        <w:numPr>
          <w:ilvl w:val="0"/>
          <w:numId w:val="0"/>
        </w:numPr>
        <w:tabs>
          <w:tab w:val="left" w:pos="700"/>
        </w:tabs>
        <w:spacing w:before="0" w:after="0" w:line="230" w:lineRule="exact"/>
        <w:ind w:left="2124" w:right="0" w:firstLine="0"/>
        <w:jc w:val="both"/>
        <w:outlineLvl w:val="9"/>
        <w:rPr>
          <w:rFonts w:ascii="Calibri" w:eastAsia="Calibri" w:hAnsi="Calibri" w:cs="Calibri"/>
          <w:b w:val="0"/>
          <w:i w:val="0"/>
          <w:sz w:val="20"/>
        </w:rPr>
      </w:pPr>
      <w:r>
        <w:rPr>
          <w:rFonts w:ascii="Calibri" w:eastAsia="Calibri" w:hAnsi="Calibri" w:cs="Calibri"/>
          <w:b w:val="0"/>
          <w:i w:val="0"/>
          <w:sz w:val="20"/>
        </w:rPr>
        <w:t>Los ejemplos tienen como objetivo mejorar la información sobre riesgos climáticos y otras incertidumbres presentadas en los estados financieros, particularmente para atender las preocupaciones de las partes interesadas respecto a la consistencia de la información dentro de los informes financieros de propósito general, y la suficiencia de la información sobre riesgos relacionados con el clima y otras incertidumbres dentro de los estados financieros.</w:t>
      </w:r>
    </w:p>
    <w:p>
      <w:pPr>
        <w:keepNext w:val="0"/>
        <w:keepLines/>
        <w:pageBreakBefore w:val="0"/>
        <w:widowControl w:val="0"/>
        <w:numPr>
          <w:ilvl w:val="0"/>
          <w:numId w:val="0"/>
        </w:numPr>
        <w:tabs>
          <w:tab w:val="left" w:pos="700"/>
        </w:tabs>
        <w:spacing w:before="0" w:after="0" w:line="276" w:lineRule="auto"/>
        <w:ind w:left="2124"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tabs>
          <w:tab w:val="left" w:pos="700"/>
        </w:tabs>
        <w:spacing w:before="0" w:after="0" w:line="276" w:lineRule="auto"/>
        <w:ind w:left="2124" w:right="0" w:firstLine="0"/>
        <w:jc w:val="both"/>
        <w:outlineLvl w:val="9"/>
        <w:rPr>
          <w:rFonts w:ascii="Calibri" w:eastAsia="Calibri" w:hAnsi="Calibri" w:cs="Calibri"/>
          <w:b w:val="0"/>
          <w:i w:val="0"/>
          <w:sz w:val="20"/>
        </w:rPr>
      </w:pPr>
      <w:r>
        <w:rPr>
          <w:rFonts w:ascii="Calibri" w:eastAsia="Calibri" w:hAnsi="Calibri" w:cs="Calibri"/>
          <w:b w:val="0"/>
          <w:i w:val="0"/>
          <w:sz w:val="20"/>
        </w:rPr>
        <w:t>Estos ejemplos ilustran requerimientos existentes en las Normas de Contabilidad de las NIIF. No agregan ni modifican los requerimientos vigentes.</w:t>
      </w:r>
    </w:p>
    <w:p>
      <w:pPr>
        <w:keepNext w:val="0"/>
        <w:keepLines/>
        <w:pageBreakBefore w:val="0"/>
        <w:widowControl w:val="0"/>
        <w:numPr>
          <w:ilvl w:val="0"/>
          <w:numId w:val="0"/>
        </w:numPr>
        <w:tabs>
          <w:tab w:val="left" w:pos="700"/>
        </w:tabs>
        <w:spacing w:before="0" w:after="0" w:line="276" w:lineRule="auto"/>
        <w:ind w:left="2124"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tabs>
          <w:tab w:val="left" w:pos="700"/>
        </w:tabs>
        <w:spacing w:before="0" w:after="0" w:line="276" w:lineRule="auto"/>
        <w:ind w:left="2124" w:right="0" w:firstLine="0"/>
        <w:jc w:val="left"/>
        <w:outlineLvl w:val="9"/>
        <w:rPr>
          <w:rFonts w:ascii="Calibri" w:eastAsia="Calibri" w:hAnsi="Calibri" w:cs="Calibri"/>
          <w:b w:val="0"/>
          <w:i w:val="0"/>
          <w:sz w:val="20"/>
        </w:rPr>
      </w:pPr>
      <w:r>
        <w:rPr>
          <w:rFonts w:ascii="Calibri" w:eastAsia="Calibri" w:hAnsi="Calibri" w:cs="Calibri"/>
          <w:b w:val="0"/>
          <w:i w:val="0"/>
          <w:sz w:val="20"/>
        </w:rPr>
        <w:t>Los temas tratados en los ejemplos comprenden los siguientes aspectos:</w:t>
      </w:r>
    </w:p>
    <w:p>
      <w:pPr>
        <w:keepNext w:val="0"/>
        <w:keepLines/>
        <w:pageBreakBefore w:val="0"/>
        <w:widowControl w:val="0"/>
        <w:numPr>
          <w:ilvl w:val="0"/>
          <w:numId w:val="0"/>
        </w:numPr>
        <w:tabs>
          <w:tab w:val="left" w:pos="700"/>
        </w:tabs>
        <w:spacing w:before="0" w:after="0" w:line="288" w:lineRule="auto"/>
        <w:ind w:left="2124" w:right="0" w:hanging="708"/>
        <w:jc w:val="both"/>
        <w:outlineLvl w:val="9"/>
        <w:rPr>
          <w:rFonts w:ascii="Calibri" w:eastAsia="Calibri" w:hAnsi="Calibri" w:cs="Calibri"/>
          <w:b w:val="0"/>
          <w:i w:val="0"/>
          <w:sz w:val="20"/>
        </w:rPr>
      </w:pPr>
    </w:p>
    <w:p>
      <w:pPr>
        <w:keepNext w:val="0"/>
        <w:keepLines/>
        <w:pageBreakBefore w:val="0"/>
        <w:widowControl w:val="0"/>
        <w:numPr>
          <w:ilvl w:val="0"/>
          <w:numId w:val="14"/>
        </w:numPr>
        <w:tabs>
          <w:tab w:val="left" w:pos="700"/>
        </w:tabs>
        <w:spacing w:before="0" w:after="0" w:line="276" w:lineRule="auto"/>
        <w:ind w:left="2551" w:right="0" w:hanging="425"/>
        <w:jc w:val="left"/>
        <w:outlineLvl w:val="9"/>
        <w:rPr>
          <w:rFonts w:ascii="Calibri" w:eastAsia="Calibri" w:hAnsi="Calibri" w:cs="Calibri"/>
          <w:b w:val="0"/>
          <w:i w:val="0"/>
          <w:sz w:val="20"/>
        </w:rPr>
      </w:pPr>
      <w:r>
        <w:rPr>
          <w:rFonts w:ascii="Calibri" w:eastAsia="Calibri" w:hAnsi="Calibri" w:cs="Calibri"/>
          <w:b w:val="0"/>
          <w:i w:val="0"/>
          <w:sz w:val="20"/>
        </w:rPr>
        <w:t>Juicios relacionados con la materialidad.</w:t>
      </w:r>
    </w:p>
    <w:p>
      <w:pPr>
        <w:keepNext w:val="0"/>
        <w:keepLines/>
        <w:pageBreakBefore w:val="0"/>
        <w:widowControl w:val="0"/>
        <w:numPr>
          <w:ilvl w:val="0"/>
          <w:numId w:val="14"/>
        </w:numPr>
        <w:tabs>
          <w:tab w:val="left" w:pos="700"/>
        </w:tabs>
        <w:spacing w:before="0" w:after="0" w:line="230" w:lineRule="exact"/>
        <w:ind w:left="2551" w:right="0" w:hanging="425"/>
        <w:jc w:val="left"/>
        <w:outlineLvl w:val="9"/>
        <w:rPr>
          <w:rFonts w:ascii="Calibri" w:eastAsia="Calibri" w:hAnsi="Calibri" w:cs="Calibri"/>
          <w:b w:val="0"/>
          <w:i w:val="0"/>
          <w:sz w:val="20"/>
        </w:rPr>
      </w:pPr>
      <w:r>
        <w:rPr>
          <w:rFonts w:ascii="Calibri" w:eastAsia="Calibri" w:hAnsi="Calibri" w:cs="Calibri"/>
          <w:b w:val="0"/>
          <w:i w:val="0"/>
          <w:sz w:val="20"/>
        </w:rPr>
        <w:t>Supuestos: requisitos específicos aplicables a las pruebas de deterioro.</w:t>
      </w:r>
    </w:p>
    <w:p>
      <w:pPr>
        <w:keepNext w:val="0"/>
        <w:keepLines/>
        <w:pageBreakBefore w:val="0"/>
        <w:widowControl w:val="0"/>
        <w:numPr>
          <w:ilvl w:val="0"/>
          <w:numId w:val="14"/>
        </w:numPr>
        <w:tabs>
          <w:tab w:val="left" w:pos="700"/>
        </w:tabs>
        <w:spacing w:before="0" w:after="0" w:line="276" w:lineRule="auto"/>
        <w:ind w:left="2551" w:right="0" w:hanging="425"/>
        <w:jc w:val="left"/>
        <w:outlineLvl w:val="9"/>
        <w:rPr>
          <w:rFonts w:ascii="Calibri" w:eastAsia="Calibri" w:hAnsi="Calibri" w:cs="Calibri"/>
          <w:b w:val="0"/>
          <w:i w:val="0"/>
          <w:sz w:val="20"/>
        </w:rPr>
      </w:pPr>
      <w:r>
        <w:rPr>
          <w:rFonts w:ascii="Calibri" w:eastAsia="Calibri" w:hAnsi="Calibri" w:cs="Calibri"/>
          <w:b w:val="0"/>
          <w:i w:val="0"/>
          <w:sz w:val="20"/>
        </w:rPr>
        <w:t>Supuestos: requisitos generales.</w:t>
      </w:r>
    </w:p>
    <w:p>
      <w:pPr>
        <w:keepNext w:val="0"/>
        <w:keepLines/>
        <w:pageBreakBefore w:val="0"/>
        <w:widowControl w:val="0"/>
        <w:numPr>
          <w:ilvl w:val="0"/>
          <w:numId w:val="14"/>
        </w:numPr>
        <w:tabs>
          <w:tab w:val="left" w:pos="700"/>
        </w:tabs>
        <w:spacing w:before="0" w:after="0" w:line="230" w:lineRule="exact"/>
        <w:ind w:left="2551" w:right="0" w:hanging="425"/>
        <w:jc w:val="left"/>
        <w:outlineLvl w:val="9"/>
        <w:rPr>
          <w:rFonts w:ascii="Calibri" w:eastAsia="Calibri" w:hAnsi="Calibri" w:cs="Calibri"/>
          <w:b w:val="0"/>
          <w:i w:val="0"/>
          <w:sz w:val="20"/>
        </w:rPr>
      </w:pPr>
      <w:r>
        <w:rPr>
          <w:rFonts w:ascii="Calibri" w:eastAsia="Calibri" w:hAnsi="Calibri" w:cs="Calibri"/>
          <w:b w:val="0"/>
          <w:i w:val="0"/>
          <w:sz w:val="20"/>
        </w:rPr>
        <w:t>Riesgo de crédito.</w:t>
      </w:r>
    </w:p>
    <w:p>
      <w:pPr>
        <w:keepNext w:val="0"/>
        <w:keepLines/>
        <w:pageBreakBefore w:val="0"/>
        <w:widowControl w:val="0"/>
        <w:numPr>
          <w:ilvl w:val="0"/>
          <w:numId w:val="14"/>
        </w:numPr>
        <w:tabs>
          <w:tab w:val="left" w:pos="700"/>
        </w:tabs>
        <w:spacing w:before="0" w:after="0" w:line="230" w:lineRule="exact"/>
        <w:ind w:left="2551" w:right="0" w:hanging="425"/>
        <w:jc w:val="left"/>
        <w:outlineLvl w:val="9"/>
        <w:rPr>
          <w:rFonts w:ascii="Calibri" w:eastAsia="Calibri" w:hAnsi="Calibri" w:cs="Calibri"/>
          <w:b w:val="0"/>
          <w:i w:val="0"/>
          <w:sz w:val="20"/>
        </w:rPr>
      </w:pPr>
      <w:r>
        <w:rPr>
          <w:rFonts w:ascii="Calibri" w:eastAsia="Calibri" w:hAnsi="Calibri" w:cs="Calibri"/>
          <w:b w:val="0"/>
          <w:i w:val="0"/>
          <w:sz w:val="20"/>
        </w:rPr>
        <w:t>Provisiones para desmantelamiento y restauración de sitios.</w:t>
      </w:r>
    </w:p>
    <w:p>
      <w:pPr>
        <w:keepNext w:val="0"/>
        <w:keepLines/>
        <w:pageBreakBefore w:val="0"/>
        <w:widowControl w:val="0"/>
        <w:numPr>
          <w:ilvl w:val="0"/>
          <w:numId w:val="14"/>
        </w:numPr>
        <w:tabs>
          <w:tab w:val="left" w:pos="700"/>
        </w:tabs>
        <w:spacing w:before="0" w:after="0" w:line="230" w:lineRule="exact"/>
        <w:ind w:left="2551" w:right="0" w:hanging="425"/>
        <w:jc w:val="left"/>
        <w:outlineLvl w:val="9"/>
        <w:rPr>
          <w:rFonts w:ascii="Calibri" w:eastAsia="Calibri" w:hAnsi="Calibri" w:cs="Calibri"/>
          <w:b w:val="0"/>
          <w:i w:val="0"/>
          <w:sz w:val="20"/>
        </w:rPr>
      </w:pPr>
      <w:r>
        <w:rPr>
          <w:rFonts w:ascii="Calibri" w:eastAsia="Calibri" w:hAnsi="Calibri" w:cs="Calibri"/>
          <w:b w:val="0"/>
          <w:i w:val="0"/>
          <w:sz w:val="20"/>
        </w:rPr>
        <w:t>Revelación de información desagregada en las notas a los estados financieros.</w:t>
      </w:r>
    </w:p>
    <w:p>
      <w:pPr>
        <w:keepNext w:val="0"/>
        <w:keepLines/>
        <w:pageBreakBefore w:val="0"/>
        <w:widowControl w:val="0"/>
        <w:numPr>
          <w:ilvl w:val="0"/>
          <w:numId w:val="0"/>
        </w:numPr>
        <w:tabs>
          <w:tab w:val="left" w:pos="700"/>
        </w:tabs>
        <w:spacing w:before="0" w:after="0" w:line="276" w:lineRule="auto"/>
        <w:ind w:left="1831" w:right="0" w:hanging="65"/>
        <w:jc w:val="both"/>
        <w:outlineLvl w:val="9"/>
        <w:rPr>
          <w:rFonts w:ascii="Calibri" w:eastAsia="Calibri" w:hAnsi="Calibri" w:cs="Calibri"/>
          <w:b w:val="0"/>
          <w:i w:val="0"/>
          <w:sz w:val="20"/>
        </w:rPr>
      </w:pPr>
    </w:p>
    <w:p>
      <w:pPr>
        <w:keepNext w:val="0"/>
        <w:keepLines/>
        <w:pageBreakBefore w:val="0"/>
        <w:widowControl w:val="0"/>
        <w:numPr>
          <w:ilvl w:val="0"/>
          <w:numId w:val="0"/>
        </w:numPr>
        <w:tabs>
          <w:tab w:val="left" w:pos="700"/>
        </w:tabs>
        <w:spacing w:before="0" w:after="0" w:line="230" w:lineRule="exact"/>
        <w:ind w:left="2126" w:right="0" w:firstLine="0"/>
        <w:jc w:val="left"/>
        <w:outlineLvl w:val="9"/>
        <w:rPr>
          <w:rFonts w:ascii="Calibri" w:eastAsia="Calibri" w:hAnsi="Calibri" w:cs="Calibri"/>
          <w:b w:val="0"/>
          <w:i w:val="0"/>
          <w:sz w:val="20"/>
        </w:rPr>
      </w:pPr>
      <w:r>
        <w:rPr>
          <w:rFonts w:ascii="Calibri" w:eastAsia="Calibri" w:hAnsi="Calibri" w:cs="Calibri"/>
          <w:b w:val="0"/>
          <w:i w:val="0"/>
          <w:sz w:val="20"/>
        </w:rPr>
        <w:t>Los ejemplos no tienen una fecha de vigencia ni requerimientos de transición.</w:t>
      </w:r>
    </w:p>
    <w:p>
      <w:pPr>
        <w:keepNext w:val="0"/>
        <w:keepLines/>
        <w:pageBreakBefore w:val="0"/>
        <w:widowControl w:val="0"/>
        <w:numPr>
          <w:ilvl w:val="0"/>
          <w:numId w:val="0"/>
        </w:numPr>
        <w:tabs>
          <w:tab w:val="left" w:pos="700"/>
        </w:tabs>
        <w:spacing w:before="0" w:after="0" w:line="276" w:lineRule="auto"/>
        <w:ind w:left="2124"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tabs>
          <w:tab w:val="left" w:pos="700"/>
        </w:tabs>
        <w:spacing w:before="0" w:after="0" w:line="230" w:lineRule="exact"/>
        <w:ind w:left="2124" w:right="0" w:hanging="708"/>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3.3.5.-</w:t>
      </w:r>
      <w:r>
        <w:rPr>
          <w:rFonts w:ascii="Calibri" w:eastAsia="Calibri" w:hAnsi="Calibri" w:cs="Calibri"/>
          <w:b w:val="0"/>
          <w:i w:val="0"/>
          <w:color w:val="000000"/>
          <w:sz w:val="20"/>
          <w:u w:val="none"/>
        </w:rPr>
        <w:tab/>
      </w:r>
      <w:r>
        <w:rPr>
          <w:rFonts w:ascii="Calibri" w:eastAsia="Calibri" w:hAnsi="Calibri" w:cs="Calibri"/>
          <w:b w:val="0"/>
          <w:i w:val="0"/>
          <w:sz w:val="20"/>
        </w:rPr>
        <w:t xml:space="preserve">Las enmiendas a NIIF 10 “Estados Financieros Consolidados” y NIC 28 “Inversiones en Asociadas y Negocios Conjuntos (2011)” abordan una inconsistencia reconocida entre los requerimientos de NIIF 10 y los de NIC 28 (2011) en el tratamiento de la venta o la aportación de activos entre un inversor y su asociada o negocio conjunto. </w:t>
      </w:r>
    </w:p>
    <w:p>
      <w:pPr>
        <w:keepNext w:val="0"/>
        <w:keepLines/>
        <w:pageBreakBefore w:val="0"/>
        <w:widowControl w:val="0"/>
        <w:numPr>
          <w:ilvl w:val="0"/>
          <w:numId w:val="0"/>
        </w:numPr>
        <w:tabs>
          <w:tab w:val="left" w:pos="700"/>
        </w:tabs>
        <w:spacing w:before="0" w:after="0" w:line="276" w:lineRule="auto"/>
        <w:ind w:left="2124" w:right="0" w:hanging="708"/>
        <w:jc w:val="both"/>
        <w:outlineLvl w:val="9"/>
        <w:rPr>
          <w:rFonts w:ascii="Calibri" w:eastAsia="Calibri" w:hAnsi="Calibri" w:cs="Calibri"/>
          <w:b w:val="0"/>
          <w:i w:val="0"/>
          <w:sz w:val="20"/>
        </w:rPr>
      </w:pPr>
    </w:p>
    <w:p>
      <w:pPr>
        <w:keepNext w:val="0"/>
        <w:keepLines/>
        <w:pageBreakBefore w:val="0"/>
        <w:widowControl w:val="0"/>
        <w:numPr>
          <w:ilvl w:val="0"/>
          <w:numId w:val="0"/>
        </w:numPr>
        <w:tabs>
          <w:tab w:val="left" w:pos="700"/>
        </w:tabs>
        <w:spacing w:before="0" w:after="0" w:line="23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 xml:space="preserve">Las enmiendas, emitidas en septiembre de 2014, establecen que cuando la transacción involucra un negocio (tanto cuando se encuentra en una filial o no) se reconoce toda la ganancia o pérdida generada. Se reconoce una ganancia o pérdida parcial cuando la transacción involucra activos que no constituyen un negocio, incluso cuando los activos se encuentran en una filial. </w:t>
      </w:r>
    </w:p>
    <w:p>
      <w:pPr>
        <w:keepNext w:val="0"/>
        <w:keepLines/>
        <w:pageBreakBefore w:val="0"/>
        <w:widowControl w:val="0"/>
        <w:numPr>
          <w:ilvl w:val="0"/>
          <w:numId w:val="0"/>
        </w:numPr>
        <w:tabs>
          <w:tab w:val="left" w:pos="700"/>
        </w:tabs>
        <w:spacing w:before="0" w:after="0" w:line="276" w:lineRule="auto"/>
        <w:ind w:left="2124" w:right="0" w:hanging="708"/>
        <w:jc w:val="both"/>
        <w:outlineLvl w:val="9"/>
        <w:rPr>
          <w:rFonts w:ascii="Calibri" w:eastAsia="Calibri" w:hAnsi="Calibri" w:cs="Calibri"/>
          <w:b w:val="0"/>
          <w:i w:val="0"/>
          <w:sz w:val="20"/>
        </w:rPr>
      </w:pPr>
    </w:p>
    <w:p>
      <w:pPr>
        <w:keepNext w:val="0"/>
        <w:keepLines/>
        <w:pageBreakBefore w:val="0"/>
        <w:widowControl w:val="0"/>
        <w:numPr>
          <w:ilvl w:val="0"/>
          <w:numId w:val="0"/>
        </w:numPr>
        <w:tabs>
          <w:tab w:val="left" w:pos="700"/>
        </w:tabs>
        <w:spacing w:before="0" w:after="0" w:line="23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La fecha de aplicación obligatoria de estas enmiendas está por determinar debido a que el IASB está a la espera de los resultados de su proyecto de investigación sobre la contabilización según el método de participación. Estas enmiendas deben ser aplicadas en forma retrospectiva y se permite la adopción anticipada, lo cual debe ser revelado.</w:t>
      </w:r>
    </w:p>
    <w:p>
      <w:pPr>
        <w:keepNext w:val="0"/>
        <w:keepLines/>
        <w:pageBreakBefore w:val="0"/>
        <w:widowControl w:val="0"/>
        <w:numPr>
          <w:ilvl w:val="0"/>
          <w:numId w:val="0"/>
        </w:numPr>
        <w:tabs>
          <w:tab w:val="left" w:pos="700"/>
        </w:tabs>
        <w:spacing w:before="0" w:after="0" w:line="276" w:lineRule="auto"/>
        <w:ind w:left="2124" w:right="0" w:hanging="708"/>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La Administración de la Sociedad estima que la adopción de las Normas, Enmiendas e Interpretaciones (distintas de la NIIF 18) que pudiesen aplicar al Grupo, no tendrán un impacto significativo en los estados financieros consolidados en el ejercicio de su primera aplicación.</w:t>
      </w:r>
    </w:p>
    <w:p>
      <w:pPr>
        <w:keepNext w:val="0"/>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tabs>
          <w:tab w:val="left" w:pos="700"/>
        </w:tabs>
        <w:spacing w:before="0" w:after="0" w:line="288" w:lineRule="auto"/>
        <w:ind w:left="1417" w:right="0" w:firstLine="0"/>
        <w:jc w:val="both"/>
        <w:outlineLvl w:val="9"/>
        <w:sectPr>
          <w:type w:val="continuous"/>
          <w:pgSz w:w="12240" w:h="15840"/>
          <w:pgMar w:top="1134" w:right="1134" w:bottom="1134" w:left="1134" w:header="0" w:footer="420"/>
          <w:cols w:space="708"/>
        </w:sectPr>
      </w:pPr>
    </w:p>
    <w:p>
      <w:pPr>
        <w:pStyle w:val="Heading2-wk"/>
        <w:keepNext w:val="0"/>
        <w:keepLines/>
        <w:pageBreakBefore w:val="0"/>
        <w:widowControl w:val="0"/>
        <w:numPr>
          <w:ilvl w:val="0"/>
          <w:numId w:val="0"/>
        </w:numPr>
        <w:spacing w:before="0" w:after="0" w:line="240" w:lineRule="exact"/>
        <w:ind w:left="709" w:right="0" w:firstLine="0"/>
        <w:jc w:val="both"/>
        <w:outlineLvl w:val="1"/>
        <w:rPr>
          <w:rFonts w:ascii="Calibri" w:eastAsia="Calibri" w:hAnsi="Calibri" w:cs="Calibri"/>
          <w:b/>
          <w:i w:val="0"/>
          <w:color w:val="000000"/>
          <w:sz w:val="20"/>
          <w:u w:val="none"/>
        </w:rPr>
      </w:pPr>
      <w:bookmarkStart w:id="22" w:name="Section15"/>
      <w:bookmarkEnd w:id="22"/>
      <w:bookmarkStart w:id="23" w:name="97087ec0833442e6bcb64acbef982dc3"/>
      <w:r>
        <w:rPr>
          <w:rFonts w:ascii="Calibri" w:eastAsia="Calibri" w:hAnsi="Calibri" w:cs="Calibri"/>
          <w:b/>
          <w:i w:val="0"/>
          <w:color w:val="000000"/>
          <w:sz w:val="20"/>
          <w:u w:val="none"/>
        </w:rPr>
        <w:t>3.4.-</w:t>
      </w:r>
      <w:r>
        <w:rPr>
          <w:rFonts w:ascii="Calibri" w:eastAsia="Calibri" w:hAnsi="Calibri" w:cs="Calibri"/>
          <w:b/>
          <w:i w:val="0"/>
          <w:color w:val="000000"/>
          <w:sz w:val="20"/>
          <w:u w:val="none"/>
        </w:rPr>
        <w:tab/>
      </w:r>
      <w:r>
        <w:rPr>
          <w:rFonts w:ascii="Calibri" w:eastAsia="Calibri" w:hAnsi="Calibri" w:cs="Calibri"/>
          <w:b/>
          <w:i w:val="0"/>
          <w:color w:val="000000"/>
          <w:sz w:val="20"/>
          <w:u w:val="none"/>
        </w:rPr>
        <w:t>Bases de consolidación.</w:t>
      </w:r>
    </w:p>
    <w:p>
      <w:pPr>
        <w:keepNext w:val="0"/>
        <w:keepLines/>
        <w:pageBreakBefore w:val="0"/>
        <w:widowControl w:val="0"/>
        <w:numPr>
          <w:ilvl w:val="0"/>
          <w:numId w:val="0"/>
        </w:numPr>
        <w:spacing w:before="0" w:after="0" w:line="288" w:lineRule="auto"/>
        <w:ind w:left="0" w:right="0" w:firstLine="709"/>
        <w:jc w:val="both"/>
        <w:outlineLvl w:val="9"/>
        <w:rPr>
          <w:rFonts w:ascii="Calibri" w:eastAsia="Calibri" w:hAnsi="Calibri" w:cs="Calibri"/>
          <w:b w:val="0"/>
          <w:i w:val="0"/>
          <w:color w:val="000000"/>
          <w:sz w:val="20"/>
          <w:u w:val="none"/>
        </w:rPr>
      </w:pPr>
      <w:bookmarkEnd w:id="23"/>
    </w:p>
    <w:p>
      <w:pPr>
        <w:pStyle w:val="Normal-wk"/>
        <w:keepNext w:val="0"/>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3.4.1.-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Subsidiarias o filiales.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Subsidiarias o filiales son todas las entidades (incluidas las entidades de cometido especial) sobre las que CGE Transmisión S.A. tiene el control. Se considera que se mantiene control cuando:</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sz w:val="20"/>
        </w:rPr>
      </w:pPr>
    </w:p>
    <w:p>
      <w:pPr>
        <w:keepNext w:val="0"/>
        <w:keepLines/>
        <w:pageBreakBefore w:val="0"/>
        <w:widowControl w:val="0"/>
        <w:numPr>
          <w:ilvl w:val="0"/>
          <w:numId w:val="14"/>
        </w:numPr>
        <w:spacing w:before="0" w:after="0" w:line="288" w:lineRule="auto"/>
        <w:ind w:left="2835" w:right="0" w:hanging="340"/>
        <w:jc w:val="both"/>
        <w:outlineLvl w:val="9"/>
        <w:rPr>
          <w:rFonts w:ascii="Calibri" w:eastAsia="Calibri" w:hAnsi="Calibri" w:cs="Calibri"/>
          <w:b w:val="0"/>
          <w:i w:val="0"/>
          <w:sz w:val="20"/>
        </w:rPr>
      </w:pPr>
      <w:r>
        <w:rPr>
          <w:rFonts w:ascii="Calibri" w:eastAsia="Calibri" w:hAnsi="Calibri" w:cs="Calibri"/>
          <w:b w:val="0"/>
          <w:i w:val="0"/>
          <w:sz w:val="20"/>
        </w:rPr>
        <w:t>Se tiene el poder sobre la entidad;</w:t>
      </w:r>
    </w:p>
    <w:p>
      <w:pPr>
        <w:keepNext w:val="0"/>
        <w:keepLines/>
        <w:pageBreakBefore w:val="0"/>
        <w:widowControl w:val="0"/>
        <w:numPr>
          <w:ilvl w:val="0"/>
          <w:numId w:val="14"/>
        </w:numPr>
        <w:spacing w:before="0" w:after="0" w:line="240" w:lineRule="exact"/>
        <w:ind w:left="2835" w:right="0" w:hanging="340"/>
        <w:jc w:val="both"/>
        <w:outlineLvl w:val="9"/>
        <w:rPr>
          <w:rFonts w:ascii="Calibri" w:eastAsia="Calibri" w:hAnsi="Calibri" w:cs="Calibri"/>
          <w:b w:val="0"/>
          <w:i w:val="0"/>
          <w:sz w:val="20"/>
        </w:rPr>
      </w:pPr>
      <w:r>
        <w:rPr>
          <w:rFonts w:ascii="Calibri" w:eastAsia="Calibri" w:hAnsi="Calibri" w:cs="Calibri"/>
          <w:b w:val="0"/>
          <w:i w:val="0"/>
          <w:sz w:val="20"/>
        </w:rPr>
        <w:t>Se está expuesto, o tiene derecho, a retornos variables procedentes de su implicación en las sociedades.</w:t>
      </w:r>
    </w:p>
    <w:p>
      <w:pPr>
        <w:keepNext w:val="0"/>
        <w:keepLines/>
        <w:pageBreakBefore w:val="0"/>
        <w:widowControl w:val="0"/>
        <w:numPr>
          <w:ilvl w:val="0"/>
          <w:numId w:val="14"/>
        </w:numPr>
        <w:spacing w:before="0" w:after="0" w:line="288" w:lineRule="auto"/>
        <w:ind w:left="2835" w:right="0" w:hanging="340"/>
        <w:jc w:val="both"/>
        <w:outlineLvl w:val="9"/>
        <w:rPr>
          <w:rFonts w:ascii="Calibri" w:eastAsia="Calibri" w:hAnsi="Calibri" w:cs="Calibri"/>
          <w:b w:val="0"/>
          <w:i w:val="0"/>
          <w:sz w:val="20"/>
        </w:rPr>
      </w:pPr>
      <w:r>
        <w:rPr>
          <w:rFonts w:ascii="Calibri" w:eastAsia="Calibri" w:hAnsi="Calibri" w:cs="Calibri"/>
          <w:b w:val="0"/>
          <w:i w:val="0"/>
          <w:sz w:val="20"/>
        </w:rPr>
        <w:t>Se tiene la capacidad de afectar los retornos mediante su poder sobre la entidad.</w:t>
      </w:r>
    </w:p>
    <w:p>
      <w:pPr>
        <w:keepNext w:val="0"/>
        <w:keepLines/>
        <w:pageBreakBefore w:val="0"/>
        <w:widowControl w:val="0"/>
        <w:numPr>
          <w:ilvl w:val="0"/>
          <w:numId w:val="0"/>
        </w:numPr>
        <w:spacing w:before="0" w:after="0" w:line="288" w:lineRule="auto"/>
        <w:ind w:left="-11" w:right="0" w:firstLine="77"/>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Se considera que CGE Transmisión S.A. tiene poder sobre una entidad, cuando tiene derechos existentes que le otorgan la capacidad presente de dirigir las actividades relevantes, eso es, las actividades que afectan de manera significativa los retornos de la entidad. El poder sobre sus subsidiarias se deriva de la posesión de la mayoría de los derechos de voto otorgados por instrumentos de capital de las subsidiarias.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A la hora de evaluar si la Sociedad controla otra entidad, se considera la existencia y el efecto de los derechos potenciales de voto que sean actualmente ejercibles o convertibles. Las subsidiarias se consolidan a partir de la fecha en que se transfiere el control y se excluyen de la consolidación en la fecha en que cesa el mismo.</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Para contabilizar la adquisición de subsidiarias se utiliza el método de adquisición. El costo de adquisición es el valor razonable de los activos entregados, de los instrumentos de patrimonio emitidos y de los pasivos incurridos o asumidos en la fecha de intercambio. El precio pagado determinado incluye el valor justo de activos o pasivos resultantes de cualquier acuerdo contingente de precio. Los costos relacionados con la adquisición son cargados a resultados tan pronto son incurridos. Los activos identificables adquiridos y los pasivos y contingencias identificables asumidos en una combinación de negocios se valoran inicialmente por su valor razonable a la fecha de adquisición, con independencia del alcance de las participaciones no controladoras, el cual incluiría cualquier activo o pasivo contingente a su valor justo. Según cada adquisición, CGE Transmisión S.A. reconoce el interés no controlador a su valor razonable o al valor proporcional del interés no controlante sobre el valor justo de los activos netos adquiridos. El exceso del costo de adquisición sobre el valor razonable de la participación de la Sociedad en los activos netos identificables adquiridos se reconoce como menor valor o plusvalía comprada (goodwill). Si el costo de adquisición es menor que el valor razonable de los activos netos de la subsidiaria adquirida, la diferencia se reconoce directamente en el estado de resultados.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Se eliminan las transacciones intercompañías, los saldos y las ganancias no realizadas por transacciones entre entidades relacionadas. Las pérdidas no realizadas también se eliminan, a menos que la transacción proporcione evidencia de una pérdida por deterioro del activo transferido. Cuando es necesario, para asegurar su uniformidad con las políticas adoptadas por CGE Transmisión S.A., se modifican las políticas contables de las subsidiarias.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3.4.2.-</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Transacciones y participaciones no controladoras.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CGE Transmisión S.A. trata las transacciones con las participaciones no controladoras como si fueran transacciones con accionistas del grupo. En el caso de adquisiciones de participaciones no controladoras, la diferencia entre cualquier retribución pagada y la correspondiente participación en el valor en libros de los activos netos adquiridos de la subsidiaria se reconoce en el patrimonio. Las ganancias y pérdidas por bajas a favor de la participación no controladora, mientras se mantenga el control, también se reconocen en el patrimonio.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Cuando CGE Transmisión S.A. deja de tener control o influencia significativa, cualquier interés retenido en la entidad es remedido a valor razonable con impacto en resultados. El valor razonable es el valor inicial para propósitos de su contabilización posterior como asociada, negocio conjunto o activo financiero. Los importes correspondientes previamente reconocidos en Otros Resultados Integrales son reclasificados a resultados.</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3.4.3.-</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Asociadas o coligadas.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Asociadas o coligadas son todas las entidades sobre las que CGE Transmisión S.A. ejerce influencia significativa pero no tiene control, lo cual generalmente está acompañado por una participación de entre un 20% y un 50% de los derechos de voto. Las inversiones en asociadas o coligadas se contabilizan por el método de participación e inicialmente se reconocen por su costo. La inversión de CGE Transmisión S.A. en asociadas o coligadas incluye el menor valor (goodwill o plusvalía comprada) identificada en la adquisición, neto de cualquier pérdida por deterioro acumulada.</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16"/>
          <w:u w:val="none"/>
        </w:rPr>
      </w:pPr>
      <w:r>
        <w:rPr>
          <w:rFonts w:ascii="Calibri" w:eastAsia="Calibri" w:hAnsi="Calibri" w:cs="Calibri"/>
          <w:b w:val="0"/>
          <w:i w:val="0"/>
          <w:color w:val="000000"/>
          <w:sz w:val="20"/>
          <w:u w:val="none"/>
        </w:rPr>
        <w:t xml:space="preserve">La participación de CGE Transmisión S.A. en las pérdidas o ganancias posteriores a la adquisición de sus coligadas o asociadas se reconoce en resultados, y su participación en los movimientos patrimoniales posteriores a la adquisición que no constituyen resultados, se imputan a las correspondientes reservas de patrimonio (y se reflejan según corresponda en el estado consolidado de resultados integral). </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Cuando la participación de CGE Transmisión S.A. en las pérdidas de una coligada o asociada es igual o superior a su participación en la misma, incluida cualquier otra cuenta a cobrar no asegurada, CGE Transmisión S.A. no reconoce pérdidas adicionales, a no ser que haya incurrido en obligaciones o, realizado pagos en nombre de la coligada o asociada.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ganancias no realizadas por transacciones entre CGE Transmisión S.A. y sus coligadas o asociadas se eliminan en función del porcentaje de participación de la Sociedad en éstas.</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También se eliminan las pérdidas no realizadas, excepto si la transacción proporciona evidencia de pérdida por deterioro del activo que se transfiere. Cuando es necesario para asegurar su uniformidad con las políticas adoptadas por la Sociedad, se modifican las políticas contables de las asociadas.</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Las ganancias o pérdidas de dilución en coligadas o asociadas se reconocen en el estado de resultados consolidado. </w:t>
      </w:r>
    </w:p>
    <w:p>
      <w:pPr>
        <w:pStyle w:val="Normal-wk"/>
        <w:keepNext w:val="0"/>
        <w:keepLines/>
        <w:pageBreakBefore w:val="0"/>
        <w:widowControl w:val="0"/>
        <w:numPr>
          <w:ilvl w:val="0"/>
          <w:numId w:val="0"/>
        </w:numPr>
        <w:spacing w:before="0" w:after="0" w:line="240" w:lineRule="exact"/>
        <w:ind w:left="2126" w:right="0" w:firstLine="0"/>
        <w:jc w:val="both"/>
        <w:outlineLvl w:val="9"/>
        <w:sectPr>
          <w:pgSz w:w="12240" w:h="15840"/>
          <w:pgMar w:top="1134" w:right="1134" w:bottom="1134" w:left="1134" w:header="0" w:footer="420"/>
          <w:cols w:space="708"/>
        </w:sectPr>
      </w:pPr>
    </w:p>
    <w:p>
      <w:pPr>
        <w:pStyle w:val="Heading2-wk"/>
        <w:keepNext/>
        <w:keepLines/>
        <w:pageBreakBefore w:val="0"/>
        <w:widowControl w:val="0"/>
        <w:numPr>
          <w:ilvl w:val="0"/>
          <w:numId w:val="0"/>
        </w:numPr>
        <w:tabs>
          <w:tab w:val="left" w:pos="700"/>
        </w:tabs>
        <w:spacing w:before="0" w:after="0" w:line="288" w:lineRule="auto"/>
        <w:ind w:left="709" w:right="0" w:firstLine="0"/>
        <w:jc w:val="both"/>
        <w:outlineLvl w:val="1"/>
        <w:rPr>
          <w:rFonts w:ascii="Times New Roman" w:eastAsia="Times New Roman" w:hAnsi="Times New Roman" w:cs="Times New Roman"/>
          <w:b/>
          <w:i w:val="0"/>
          <w:color w:val="000000"/>
          <w:sz w:val="24"/>
          <w:u w:val="none"/>
        </w:rPr>
      </w:pPr>
      <w:bookmarkStart w:id="24" w:name="Section16"/>
      <w:bookmarkEnd w:id="24"/>
      <w:bookmarkStart w:id="25" w:name="fb6de10c72234dc2b0bcd6fd7ad47881"/>
      <w:r>
        <w:rPr>
          <w:rFonts w:ascii="Calibri" w:eastAsia="Calibri" w:hAnsi="Calibri" w:cs="Calibri"/>
          <w:b/>
          <w:i w:val="0"/>
          <w:color w:val="000000"/>
          <w:sz w:val="20"/>
          <w:u w:val="none"/>
        </w:rPr>
        <w:t>3.5.-</w:t>
      </w:r>
      <w:r>
        <w:rPr>
          <w:rFonts w:ascii="Calibri" w:eastAsia="Calibri" w:hAnsi="Calibri" w:cs="Calibri"/>
          <w:b/>
          <w:i w:val="0"/>
          <w:color w:val="000000"/>
          <w:sz w:val="20"/>
          <w:u w:val="none"/>
        </w:rPr>
        <w:tab/>
      </w:r>
      <w:r>
        <w:rPr>
          <w:rFonts w:ascii="Calibri" w:eastAsia="Calibri" w:hAnsi="Calibri" w:cs="Calibri"/>
          <w:b/>
          <w:i w:val="0"/>
          <w:color w:val="000000"/>
          <w:sz w:val="20"/>
          <w:u w:val="none"/>
        </w:rPr>
        <w:t>Entidades subsidiarias.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5"/>
    </w:p>
    <w:p>
      <w:pPr>
        <w:pStyle w:val="Normal-wk"/>
        <w:keepNext w:val="0"/>
        <w:keepLines/>
        <w:pageBreakBefore w:val="0"/>
        <w:widowControl w:val="0"/>
        <w:numPr>
          <w:ilvl w:val="0"/>
          <w:numId w:val="0"/>
        </w:numPr>
        <w:tabs>
          <w:tab w:val="left" w:pos="700"/>
        </w:tabs>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3.5.1.-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Entidades de consolidación directa.</w:t>
      </w:r>
    </w:p>
    <w:p>
      <w:pPr>
        <w:keepNext w:val="0"/>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color w:val="000000"/>
          <w:sz w:val="20"/>
          <w:u w:val="none"/>
        </w:rPr>
      </w:pPr>
    </w:p>
    <w:tbl>
      <w:tblPr>
        <w:tblW w:w="11445" w:type="dxa"/>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005"/>
        <w:gridCol w:w="2085"/>
        <w:gridCol w:w="645"/>
        <w:gridCol w:w="3345"/>
        <w:gridCol w:w="765"/>
        <w:gridCol w:w="900"/>
        <w:gridCol w:w="900"/>
        <w:gridCol w:w="900"/>
        <w:gridCol w:w="900"/>
      </w:tblGrid>
      <w:tr>
        <w:tblPrEx>
          <w:tblW w:w="11445" w:type="dxa"/>
          <w:tblInd w:w="2126" w:type="dxa"/>
          <w:tblLayout w:type="fixed"/>
        </w:tblPrEx>
        <w:trPr>
          <w:cantSplit/>
          <w:trHeight w:hRule="auto" w:val="0"/>
        </w:trPr>
        <w:tc>
          <w:tcPr>
            <w:tcW w:w="100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Rut</w:t>
            </w:r>
          </w:p>
        </w:tc>
        <w:tc>
          <w:tcPr>
            <w:tcW w:w="208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Nombre sociedad</w:t>
            </w:r>
          </w:p>
        </w:tc>
        <w:tc>
          <w:tcPr>
            <w:tcW w:w="64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País</w:t>
            </w:r>
          </w:p>
        </w:tc>
        <w:tc>
          <w:tcPr>
            <w:tcW w:w="334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Domicilio subsidiaria</w:t>
            </w:r>
          </w:p>
        </w:tc>
        <w:tc>
          <w:tcPr>
            <w:tcW w:w="765" w:type="dxa"/>
            <w:vMerge w:val="restart"/>
            <w:tcBorders>
              <w:top w:val="single" w:sz="2" w:space="0" w:color="000000"/>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Moneda funcional</w:t>
            </w:r>
          </w:p>
        </w:tc>
        <w:tc>
          <w:tcPr>
            <w:tcW w:w="3600" w:type="dxa"/>
            <w:gridSpan w:val="4"/>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 xml:space="preserve">Porcentaje de participación en el capital </w:t>
            </w:r>
            <w:r>
              <w:br/>
            </w:r>
            <w:r>
              <w:rPr>
                <w:rFonts w:ascii="Calibri" w:eastAsia="Calibri" w:hAnsi="Calibri" w:cs="Calibri"/>
                <w:b/>
                <w:i w:val="0"/>
                <w:color w:val="FFFFFF"/>
                <w:sz w:val="14"/>
                <w:u w:val="none"/>
              </w:rPr>
              <w:t>y en los votos</w:t>
            </w:r>
          </w:p>
        </w:tc>
      </w:tr>
      <w:tr>
        <w:tblPrEx>
          <w:tblW w:w="11445" w:type="dxa"/>
          <w:tblInd w:w="2126" w:type="dxa"/>
          <w:tblLayout w:type="fixed"/>
        </w:tblPrEx>
        <w:trPr>
          <w:cantSplit/>
          <w:trHeight w:hRule="auto" w:val="0"/>
        </w:trPr>
        <w:tc>
          <w:tcPr>
            <w:tcW w:w="1005" w:type="dxa"/>
            <w:vMerge/>
            <w:tcBorders>
              <w:top w:val="nil"/>
              <w:left w:val="single" w:sz="2" w:space="0" w:color="000000"/>
              <w:bottom w:val="nil"/>
              <w:right w:val="nil"/>
            </w:tcBorders>
          </w:tcPr>
          <w:p>
            <w:pPr>
              <w:keepNext/>
              <w:pageBreakBefore w:val="0"/>
            </w:pPr>
          </w:p>
        </w:tc>
        <w:tc>
          <w:tcPr>
            <w:tcW w:w="2085" w:type="dxa"/>
            <w:vMerge/>
            <w:tcBorders>
              <w:top w:val="nil"/>
              <w:left w:val="single" w:sz="4" w:space="0" w:color="FFFFFF"/>
              <w:bottom w:val="nil"/>
              <w:right w:val="nil"/>
            </w:tcBorders>
          </w:tcPr>
          <w:p>
            <w:pPr>
              <w:keepNext/>
              <w:pageBreakBefore w:val="0"/>
            </w:pPr>
          </w:p>
        </w:tc>
        <w:tc>
          <w:tcPr>
            <w:tcW w:w="645" w:type="dxa"/>
            <w:vMerge/>
            <w:tcBorders>
              <w:top w:val="nil"/>
              <w:left w:val="single" w:sz="4" w:space="0" w:color="FFFFFF"/>
              <w:bottom w:val="nil"/>
              <w:right w:val="nil"/>
            </w:tcBorders>
          </w:tcPr>
          <w:p>
            <w:pPr>
              <w:keepNext/>
              <w:pageBreakBefore w:val="0"/>
            </w:pPr>
          </w:p>
        </w:tc>
        <w:tc>
          <w:tcPr>
            <w:tcW w:w="3345" w:type="dxa"/>
            <w:vMerge/>
            <w:tcBorders>
              <w:top w:val="nil"/>
              <w:left w:val="single" w:sz="4" w:space="0" w:color="FFFFFF"/>
              <w:bottom w:val="nil"/>
              <w:right w:val="nil"/>
            </w:tcBorders>
          </w:tcPr>
          <w:p>
            <w:pPr>
              <w:keepNext/>
              <w:pageBreakBefore w:val="0"/>
            </w:pPr>
          </w:p>
        </w:tc>
        <w:tc>
          <w:tcPr>
            <w:tcW w:w="765" w:type="dxa"/>
            <w:vMerge/>
            <w:tcBorders>
              <w:top w:val="nil"/>
              <w:left w:val="single" w:sz="4" w:space="0" w:color="FFFFFF"/>
              <w:bottom w:val="nil"/>
              <w:right w:val="single" w:sz="4" w:space="0" w:color="FFFFFF"/>
            </w:tcBorders>
          </w:tcPr>
          <w:p>
            <w:pPr>
              <w:keepNext/>
              <w:pageBreakBefore w:val="0"/>
            </w:pPr>
          </w:p>
        </w:tc>
        <w:tc>
          <w:tcPr>
            <w:tcW w:w="2700" w:type="dxa"/>
            <w:gridSpan w:val="3"/>
            <w:tcBorders>
              <w:top w:val="nil"/>
              <w:left w:val="nil"/>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9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31-12-2025</w:t>
            </w:r>
          </w:p>
        </w:tc>
      </w:tr>
      <w:tr>
        <w:tblPrEx>
          <w:tblW w:w="11445" w:type="dxa"/>
          <w:tblInd w:w="2126" w:type="dxa"/>
          <w:tblLayout w:type="fixed"/>
        </w:tblPrEx>
        <w:trPr>
          <w:cantSplit/>
          <w:trHeight w:hRule="auto" w:val="0"/>
        </w:trPr>
        <w:tc>
          <w:tcPr>
            <w:tcW w:w="1005" w:type="dxa"/>
            <w:vMerge/>
            <w:tcBorders>
              <w:top w:val="nil"/>
              <w:left w:val="single" w:sz="2" w:space="0" w:color="000000"/>
              <w:bottom w:val="single" w:sz="2" w:space="0" w:color="000000"/>
              <w:right w:val="nil"/>
            </w:tcBorders>
          </w:tcPr>
          <w:p>
            <w:pPr>
              <w:keepNext/>
              <w:pageBreakBefore w:val="0"/>
            </w:pPr>
          </w:p>
        </w:tc>
        <w:tc>
          <w:tcPr>
            <w:tcW w:w="2085" w:type="dxa"/>
            <w:vMerge/>
            <w:tcBorders>
              <w:top w:val="nil"/>
              <w:left w:val="single" w:sz="4" w:space="0" w:color="FFFFFF"/>
              <w:bottom w:val="single" w:sz="2" w:space="0" w:color="000000"/>
              <w:right w:val="nil"/>
            </w:tcBorders>
          </w:tcPr>
          <w:p>
            <w:pPr>
              <w:keepNext/>
              <w:pageBreakBefore w:val="0"/>
            </w:pPr>
          </w:p>
        </w:tc>
        <w:tc>
          <w:tcPr>
            <w:tcW w:w="645" w:type="dxa"/>
            <w:vMerge/>
            <w:tcBorders>
              <w:top w:val="nil"/>
              <w:left w:val="single" w:sz="4" w:space="0" w:color="FFFFFF"/>
              <w:bottom w:val="single" w:sz="2" w:space="0" w:color="000000"/>
              <w:right w:val="nil"/>
            </w:tcBorders>
          </w:tcPr>
          <w:p>
            <w:pPr>
              <w:keepNext/>
              <w:pageBreakBefore w:val="0"/>
            </w:pPr>
          </w:p>
        </w:tc>
        <w:tc>
          <w:tcPr>
            <w:tcW w:w="3345" w:type="dxa"/>
            <w:vMerge/>
            <w:tcBorders>
              <w:top w:val="nil"/>
              <w:left w:val="single" w:sz="4" w:space="0" w:color="FFFFFF"/>
              <w:bottom w:val="single" w:sz="2" w:space="0" w:color="000000"/>
              <w:right w:val="nil"/>
            </w:tcBorders>
          </w:tcPr>
          <w:p>
            <w:pPr>
              <w:keepNext/>
              <w:pageBreakBefore w:val="0"/>
            </w:pPr>
          </w:p>
        </w:tc>
        <w:tc>
          <w:tcPr>
            <w:tcW w:w="765" w:type="dxa"/>
            <w:vMerge/>
            <w:tcBorders>
              <w:top w:val="nil"/>
              <w:left w:val="single" w:sz="4" w:space="0" w:color="FFFFFF"/>
              <w:bottom w:val="single" w:sz="2" w:space="0" w:color="000000"/>
              <w:right w:val="nil"/>
            </w:tcBorders>
          </w:tcPr>
          <w:p>
            <w:pPr>
              <w:keepNext/>
              <w:pageBreakBefore w:val="0"/>
            </w:pP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Directo</w:t>
            </w:r>
          </w:p>
        </w:tc>
        <w:tc>
          <w:tcPr>
            <w:tcW w:w="900" w:type="dxa"/>
            <w:tcBorders>
              <w:top w:val="single" w:sz="4" w:space="0" w:color="FFFFFF"/>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Indirecto</w:t>
            </w:r>
          </w:p>
        </w:tc>
        <w:tc>
          <w:tcPr>
            <w:tcW w:w="900" w:type="dxa"/>
            <w:tcBorders>
              <w:top w:val="single" w:sz="4" w:space="0" w:color="FFFFFF"/>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Total</w:t>
            </w:r>
          </w:p>
        </w:tc>
        <w:tc>
          <w:tcPr>
            <w:tcW w:w="9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Total</w:t>
            </w:r>
          </w:p>
        </w:tc>
      </w:tr>
      <w:tr>
        <w:tblPrEx>
          <w:tblW w:w="11445" w:type="dxa"/>
          <w:tblInd w:w="2126"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 xml:space="preserve">   86.386.700-2   </w:t>
            </w:r>
          </w:p>
        </w:tc>
        <w:tc>
          <w:tcPr>
            <w:tcW w:w="20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Transformadores Tusan S.A.</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 xml:space="preserve">Chile   </w:t>
            </w:r>
          </w:p>
        </w:tc>
        <w:tc>
          <w:tcPr>
            <w:tcW w:w="33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Avda. Gladys Marín 6030, Estación Central, Santiago.</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 xml:space="preserve">   CL $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center"/>
          </w:tcPr>
          <w:p>
            <w:pPr>
              <w:keepNext/>
              <w:pageBreakBefore w:val="0"/>
              <w:tabs>
                <w:tab w:val="left" w:pos="1"/>
                <w:tab w:val="left" w:pos="704"/>
              </w:tabs>
              <w:spacing w:before="0" w:after="0" w:line="240" w:lineRule="auto"/>
              <w:jc w:val="right"/>
            </w:pPr>
            <w:r>
              <w:rPr>
                <w:rFonts w:ascii="Calibri" w:eastAsia="Calibri" w:hAnsi="Calibri" w:cs="Calibri"/>
                <w:b w:val="0"/>
                <w:i w:val="0"/>
                <w:color w:val="000000"/>
                <w:sz w:val="14"/>
                <w:u w:val="none"/>
              </w:rPr>
              <w:tab/>
              <w:t>99,07000 %</w:t>
              <w:tab/>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center"/>
          </w:tcPr>
          <w:p>
            <w:pPr>
              <w:keepNext/>
              <w:pageBreakBefore w:val="0"/>
              <w:tabs>
                <w:tab w:val="left" w:pos="1"/>
                <w:tab w:val="left" w:pos="634"/>
              </w:tabs>
              <w:spacing w:before="0" w:after="0" w:line="240" w:lineRule="auto"/>
              <w:jc w:val="right"/>
            </w:pPr>
            <w:r>
              <w:rPr>
                <w:rFonts w:ascii="Calibri" w:eastAsia="Calibri" w:hAnsi="Calibri" w:cs="Calibri"/>
                <w:b w:val="0"/>
                <w:i w:val="0"/>
                <w:color w:val="000000"/>
                <w:sz w:val="14"/>
                <w:u w:val="none"/>
              </w:rPr>
              <w:tab/>
              <w:t>0,00000 %</w:t>
              <w:tab/>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center"/>
          </w:tcPr>
          <w:p>
            <w:pPr>
              <w:keepNext/>
              <w:pageBreakBefore w:val="0"/>
              <w:tabs>
                <w:tab w:val="left" w:pos="1"/>
                <w:tab w:val="left" w:pos="704"/>
              </w:tabs>
              <w:spacing w:before="0" w:after="0" w:line="240" w:lineRule="auto"/>
              <w:jc w:val="right"/>
            </w:pPr>
            <w:r>
              <w:rPr>
                <w:rFonts w:ascii="Calibri" w:eastAsia="Calibri" w:hAnsi="Calibri" w:cs="Calibri"/>
                <w:b w:val="0"/>
                <w:i w:val="0"/>
                <w:color w:val="000000"/>
                <w:sz w:val="14"/>
                <w:u w:val="none"/>
              </w:rPr>
              <w:tab/>
              <w:t>99,07000 %</w:t>
              <w:tab/>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15" w:type="dxa"/>
            </w:tcMar>
            <w:vAlign w:val="center"/>
          </w:tcPr>
          <w:p>
            <w:pPr>
              <w:keepNext/>
              <w:pageBreakBefore w:val="0"/>
              <w:tabs>
                <w:tab w:val="left" w:pos="1"/>
                <w:tab w:val="left" w:pos="704"/>
              </w:tabs>
              <w:spacing w:before="0" w:after="0" w:line="240" w:lineRule="auto"/>
              <w:jc w:val="right"/>
            </w:pPr>
            <w:r>
              <w:rPr>
                <w:rFonts w:ascii="Calibri" w:eastAsia="Calibri" w:hAnsi="Calibri" w:cs="Calibri"/>
                <w:b w:val="0"/>
                <w:i w:val="0"/>
                <w:color w:val="000000"/>
                <w:sz w:val="14"/>
                <w:u w:val="none"/>
              </w:rPr>
              <w:tab/>
              <w:t>99,07000 %</w:t>
              <w:tab/>
            </w:r>
          </w:p>
        </w:tc>
      </w:tr>
      <w:tr>
        <w:tblPrEx>
          <w:tblW w:w="11445" w:type="dxa"/>
          <w:tblInd w:w="2126" w:type="dxa"/>
          <w:tblLayout w:type="fixed"/>
        </w:tblPrEx>
        <w:trPr>
          <w:cantSplit/>
          <w:trHeight w:hRule="exact" w:val="225"/>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 xml:space="preserve">   77.316.204-2   </w:t>
            </w:r>
          </w:p>
        </w:tc>
        <w:tc>
          <w:tcPr>
            <w:tcW w:w="20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CGE Comercializadora SpA.</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 xml:space="preserve">Chile  </w:t>
            </w:r>
          </w:p>
        </w:tc>
        <w:tc>
          <w:tcPr>
            <w:tcW w:w="33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Pdte. Riesco 5561 Piso 17, Las Condes, Santiago.</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 xml:space="preserve">   CL $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center"/>
          </w:tcPr>
          <w:p>
            <w:pPr>
              <w:pageBreakBefore w:val="0"/>
              <w:tabs>
                <w:tab w:val="left" w:pos="1"/>
                <w:tab w:val="left" w:pos="775"/>
              </w:tabs>
              <w:spacing w:before="0" w:after="0" w:line="240" w:lineRule="auto"/>
              <w:jc w:val="right"/>
            </w:pPr>
            <w:r>
              <w:rPr>
                <w:rFonts w:ascii="Calibri" w:eastAsia="Calibri" w:hAnsi="Calibri" w:cs="Calibri"/>
                <w:b w:val="0"/>
                <w:i w:val="0"/>
                <w:color w:val="000000"/>
                <w:sz w:val="14"/>
                <w:u w:val="none"/>
              </w:rPr>
              <w:tab/>
              <w:t>100,00000 %</w:t>
              <w:tab/>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center"/>
          </w:tcPr>
          <w:p>
            <w:pPr>
              <w:pageBreakBefore w:val="0"/>
              <w:tabs>
                <w:tab w:val="left" w:pos="1"/>
                <w:tab w:val="left" w:pos="634"/>
              </w:tabs>
              <w:spacing w:before="0" w:after="0" w:line="240" w:lineRule="auto"/>
              <w:jc w:val="right"/>
            </w:pPr>
            <w:r>
              <w:rPr>
                <w:rFonts w:ascii="Calibri" w:eastAsia="Calibri" w:hAnsi="Calibri" w:cs="Calibri"/>
                <w:b w:val="0"/>
                <w:i w:val="0"/>
                <w:color w:val="000000"/>
                <w:sz w:val="14"/>
                <w:u w:val="none"/>
              </w:rPr>
              <w:tab/>
              <w:t>0,00000 %</w:t>
              <w:tab/>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center"/>
          </w:tcPr>
          <w:p>
            <w:pPr>
              <w:pageBreakBefore w:val="0"/>
              <w:tabs>
                <w:tab w:val="left" w:pos="1"/>
                <w:tab w:val="left" w:pos="775"/>
              </w:tabs>
              <w:spacing w:before="0" w:after="0" w:line="240" w:lineRule="auto"/>
              <w:jc w:val="right"/>
            </w:pPr>
            <w:r>
              <w:rPr>
                <w:rFonts w:ascii="Calibri" w:eastAsia="Calibri" w:hAnsi="Calibri" w:cs="Calibri"/>
                <w:b w:val="0"/>
                <w:i w:val="0"/>
                <w:color w:val="000000"/>
                <w:sz w:val="14"/>
                <w:u w:val="none"/>
              </w:rPr>
              <w:tab/>
              <w:t>100,00000 %</w:t>
              <w:tab/>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15" w:type="dxa"/>
            </w:tcMar>
            <w:vAlign w:val="center"/>
          </w:tcPr>
          <w:p>
            <w:pPr>
              <w:pageBreakBefore w:val="0"/>
              <w:tabs>
                <w:tab w:val="left" w:pos="1"/>
                <w:tab w:val="left" w:pos="775"/>
              </w:tabs>
              <w:spacing w:before="0" w:after="0" w:line="240" w:lineRule="auto"/>
              <w:jc w:val="right"/>
            </w:pPr>
            <w:r>
              <w:rPr>
                <w:rFonts w:ascii="Calibri" w:eastAsia="Calibri" w:hAnsi="Calibri" w:cs="Calibri"/>
                <w:b w:val="0"/>
                <w:i w:val="0"/>
                <w:color w:val="000000"/>
                <w:sz w:val="14"/>
                <w:u w:val="none"/>
              </w:rPr>
              <w:tab/>
              <w:t>100,00000 %</w:t>
              <w:tab/>
            </w:r>
          </w:p>
        </w:tc>
      </w:tr>
    </w:tbl>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3.5.2.-</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Entidades de consolidación indirecta.</w:t>
      </w:r>
    </w:p>
    <w:p>
      <w:pPr>
        <w:keepNext w:val="0"/>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color w:val="000000"/>
          <w:sz w:val="20"/>
          <w:u w:val="none"/>
        </w:rPr>
      </w:pPr>
    </w:p>
    <w:tbl>
      <w:tblPr>
        <w:tblW w:w="11445" w:type="dxa"/>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960"/>
        <w:gridCol w:w="1695"/>
        <w:gridCol w:w="525"/>
        <w:gridCol w:w="2460"/>
        <w:gridCol w:w="765"/>
        <w:gridCol w:w="1440"/>
        <w:gridCol w:w="900"/>
        <w:gridCol w:w="900"/>
        <w:gridCol w:w="900"/>
        <w:gridCol w:w="900"/>
      </w:tblGrid>
      <w:tr>
        <w:tblPrEx>
          <w:tblW w:w="11445" w:type="dxa"/>
          <w:tblInd w:w="2126" w:type="dxa"/>
          <w:tblLayout w:type="fixed"/>
        </w:tblPrEx>
        <w:trPr>
          <w:cantSplit/>
          <w:trHeight w:hRule="auto" w:val="0"/>
        </w:trPr>
        <w:tc>
          <w:tcPr>
            <w:tcW w:w="96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Rut</w:t>
            </w:r>
          </w:p>
        </w:tc>
        <w:tc>
          <w:tcPr>
            <w:tcW w:w="169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Nombre sociedad</w:t>
            </w:r>
          </w:p>
        </w:tc>
        <w:tc>
          <w:tcPr>
            <w:tcW w:w="52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País</w:t>
            </w:r>
          </w:p>
        </w:tc>
        <w:tc>
          <w:tcPr>
            <w:tcW w:w="2460"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Domicilio sociedad</w:t>
            </w:r>
          </w:p>
        </w:tc>
        <w:tc>
          <w:tcPr>
            <w:tcW w:w="76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Moneda funcional</w:t>
            </w:r>
          </w:p>
        </w:tc>
        <w:tc>
          <w:tcPr>
            <w:tcW w:w="1440" w:type="dxa"/>
            <w:vMerge w:val="restart"/>
            <w:tcBorders>
              <w:top w:val="single" w:sz="2" w:space="0" w:color="000000"/>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Subsidiaria de</w:t>
            </w:r>
          </w:p>
        </w:tc>
        <w:tc>
          <w:tcPr>
            <w:tcW w:w="3600" w:type="dxa"/>
            <w:gridSpan w:val="4"/>
            <w:tcBorders>
              <w:top w:val="single" w:sz="2" w:space="0" w:color="000000"/>
              <w:left w:val="nil"/>
              <w:bottom w:val="single" w:sz="4" w:space="0" w:color="FFFFFF"/>
              <w:right w:val="single" w:sz="2" w:space="0" w:color="000000"/>
            </w:tcBorders>
            <w:tcMar>
              <w:top w:w="0" w:type="dxa"/>
              <w:left w:w="53" w:type="dxa"/>
              <w:bottom w:w="0" w:type="dxa"/>
              <w:right w:w="53" w:type="dxa"/>
            </w:tcMar>
            <w:vAlign w:val="top"/>
          </w:tcPr>
          <w:p>
            <w:pPr>
              <w:keepNext/>
              <w:pageBreakBefore w:val="0"/>
              <w:spacing w:before="38" w:after="20" w:line="240" w:lineRule="auto"/>
              <w:jc w:val="center"/>
            </w:pPr>
            <w:r>
              <w:rPr>
                <w:rFonts w:ascii="Calibri" w:eastAsia="Calibri" w:hAnsi="Calibri" w:cs="Calibri"/>
                <w:b/>
                <w:i w:val="0"/>
                <w:color w:val="FFFFFF"/>
                <w:sz w:val="14"/>
                <w:u w:val="none"/>
              </w:rPr>
              <w:t>Porcentaje de Participación de</w:t>
            </w:r>
          </w:p>
        </w:tc>
      </w:tr>
      <w:tr>
        <w:tblPrEx>
          <w:tblW w:w="11445" w:type="dxa"/>
          <w:tblInd w:w="2126" w:type="dxa"/>
          <w:tblLayout w:type="fixed"/>
        </w:tblPrEx>
        <w:trPr>
          <w:cantSplit/>
          <w:trHeight w:hRule="auto" w:val="0"/>
        </w:trPr>
        <w:tc>
          <w:tcPr>
            <w:tcW w:w="960" w:type="dxa"/>
            <w:vMerge/>
            <w:tcBorders>
              <w:top w:val="nil"/>
              <w:left w:val="single" w:sz="2" w:space="0" w:color="000000"/>
              <w:bottom w:val="nil"/>
              <w:right w:val="nil"/>
            </w:tcBorders>
          </w:tcPr>
          <w:p>
            <w:pPr>
              <w:keepNext/>
              <w:pageBreakBefore w:val="0"/>
            </w:pPr>
          </w:p>
        </w:tc>
        <w:tc>
          <w:tcPr>
            <w:tcW w:w="1695" w:type="dxa"/>
            <w:vMerge/>
            <w:tcBorders>
              <w:top w:val="nil"/>
              <w:left w:val="single" w:sz="4" w:space="0" w:color="FFFFFF"/>
              <w:bottom w:val="nil"/>
              <w:right w:val="nil"/>
            </w:tcBorders>
          </w:tcPr>
          <w:p>
            <w:pPr>
              <w:keepNext/>
              <w:pageBreakBefore w:val="0"/>
            </w:pPr>
          </w:p>
        </w:tc>
        <w:tc>
          <w:tcPr>
            <w:tcW w:w="525" w:type="dxa"/>
            <w:vMerge/>
            <w:tcBorders>
              <w:top w:val="nil"/>
              <w:left w:val="single" w:sz="4" w:space="0" w:color="FFFFFF"/>
              <w:bottom w:val="nil"/>
              <w:right w:val="nil"/>
            </w:tcBorders>
          </w:tcPr>
          <w:p>
            <w:pPr>
              <w:keepNext/>
              <w:pageBreakBefore w:val="0"/>
            </w:pPr>
          </w:p>
        </w:tc>
        <w:tc>
          <w:tcPr>
            <w:tcW w:w="2460" w:type="dxa"/>
            <w:vMerge/>
            <w:tcBorders>
              <w:top w:val="nil"/>
              <w:left w:val="single" w:sz="4" w:space="0" w:color="FFFFFF"/>
              <w:bottom w:val="nil"/>
              <w:right w:val="nil"/>
            </w:tcBorders>
          </w:tcPr>
          <w:p>
            <w:pPr>
              <w:keepNext/>
              <w:pageBreakBefore w:val="0"/>
            </w:pPr>
          </w:p>
        </w:tc>
        <w:tc>
          <w:tcPr>
            <w:tcW w:w="765" w:type="dxa"/>
            <w:vMerge/>
            <w:tcBorders>
              <w:top w:val="nil"/>
              <w:left w:val="single" w:sz="4" w:space="0" w:color="FFFFFF"/>
              <w:bottom w:val="nil"/>
              <w:right w:val="nil"/>
            </w:tcBorders>
          </w:tcPr>
          <w:p>
            <w:pPr>
              <w:keepNext/>
              <w:pageBreakBefore w:val="0"/>
            </w:pPr>
          </w:p>
        </w:tc>
        <w:tc>
          <w:tcPr>
            <w:tcW w:w="1440" w:type="dxa"/>
            <w:vMerge/>
            <w:tcBorders>
              <w:top w:val="nil"/>
              <w:left w:val="single" w:sz="4" w:space="0" w:color="FFFFFF"/>
              <w:bottom w:val="nil"/>
              <w:right w:val="single" w:sz="4" w:space="0" w:color="FFFFFF"/>
            </w:tcBorders>
          </w:tcPr>
          <w:p>
            <w:pPr>
              <w:keepNext/>
              <w:pageBreakBefore w:val="0"/>
            </w:pPr>
          </w:p>
        </w:tc>
        <w:tc>
          <w:tcPr>
            <w:tcW w:w="1800" w:type="dxa"/>
            <w:gridSpan w:val="2"/>
            <w:tcBorders>
              <w:top w:val="nil"/>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1800" w:type="dxa"/>
            <w:gridSpan w:val="2"/>
            <w:tcBorders>
              <w:top w:val="nil"/>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31-12-2025</w:t>
            </w:r>
          </w:p>
        </w:tc>
      </w:tr>
      <w:tr>
        <w:tblPrEx>
          <w:tblW w:w="11445" w:type="dxa"/>
          <w:tblInd w:w="2126" w:type="dxa"/>
          <w:tblLayout w:type="fixed"/>
        </w:tblPrEx>
        <w:trPr>
          <w:cantSplit/>
          <w:trHeight w:hRule="auto" w:val="0"/>
        </w:trPr>
        <w:tc>
          <w:tcPr>
            <w:tcW w:w="960" w:type="dxa"/>
            <w:vMerge/>
            <w:tcBorders>
              <w:top w:val="nil"/>
              <w:left w:val="single" w:sz="2" w:space="0" w:color="000000"/>
              <w:bottom w:val="single" w:sz="2" w:space="0" w:color="000000"/>
              <w:right w:val="nil"/>
            </w:tcBorders>
          </w:tcPr>
          <w:p>
            <w:pPr>
              <w:keepNext/>
              <w:pageBreakBefore w:val="0"/>
            </w:pPr>
          </w:p>
        </w:tc>
        <w:tc>
          <w:tcPr>
            <w:tcW w:w="1695" w:type="dxa"/>
            <w:vMerge/>
            <w:tcBorders>
              <w:top w:val="nil"/>
              <w:left w:val="single" w:sz="4" w:space="0" w:color="FFFFFF"/>
              <w:bottom w:val="single" w:sz="2" w:space="0" w:color="000000"/>
              <w:right w:val="nil"/>
            </w:tcBorders>
          </w:tcPr>
          <w:p>
            <w:pPr>
              <w:keepNext/>
              <w:pageBreakBefore w:val="0"/>
            </w:pPr>
          </w:p>
        </w:tc>
        <w:tc>
          <w:tcPr>
            <w:tcW w:w="525" w:type="dxa"/>
            <w:vMerge/>
            <w:tcBorders>
              <w:top w:val="nil"/>
              <w:left w:val="single" w:sz="4" w:space="0" w:color="FFFFFF"/>
              <w:bottom w:val="single" w:sz="2" w:space="0" w:color="000000"/>
              <w:right w:val="nil"/>
            </w:tcBorders>
          </w:tcPr>
          <w:p>
            <w:pPr>
              <w:keepNext/>
              <w:pageBreakBefore w:val="0"/>
            </w:pPr>
          </w:p>
        </w:tc>
        <w:tc>
          <w:tcPr>
            <w:tcW w:w="2460" w:type="dxa"/>
            <w:vMerge/>
            <w:tcBorders>
              <w:top w:val="nil"/>
              <w:left w:val="single" w:sz="4" w:space="0" w:color="FFFFFF"/>
              <w:bottom w:val="single" w:sz="2" w:space="0" w:color="000000"/>
              <w:right w:val="nil"/>
            </w:tcBorders>
          </w:tcPr>
          <w:p>
            <w:pPr>
              <w:keepNext/>
              <w:pageBreakBefore w:val="0"/>
            </w:pPr>
          </w:p>
        </w:tc>
        <w:tc>
          <w:tcPr>
            <w:tcW w:w="765" w:type="dxa"/>
            <w:vMerge/>
            <w:tcBorders>
              <w:top w:val="nil"/>
              <w:left w:val="single" w:sz="4" w:space="0" w:color="FFFFFF"/>
              <w:bottom w:val="single" w:sz="2" w:space="0" w:color="000000"/>
              <w:right w:val="nil"/>
            </w:tcBorders>
          </w:tcPr>
          <w:p>
            <w:pPr>
              <w:keepNext/>
              <w:pageBreakBefore w:val="0"/>
            </w:pPr>
          </w:p>
        </w:tc>
        <w:tc>
          <w:tcPr>
            <w:tcW w:w="1440" w:type="dxa"/>
            <w:vMerge/>
            <w:tcBorders>
              <w:top w:val="nil"/>
              <w:left w:val="single" w:sz="4" w:space="0" w:color="FFFFFF"/>
              <w:bottom w:val="single" w:sz="2" w:space="0" w:color="000000"/>
              <w:right w:val="nil"/>
            </w:tcBorders>
          </w:tcPr>
          <w:p>
            <w:pPr>
              <w:keepNext/>
              <w:pageBreakBefore w:val="0"/>
            </w:pP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Subsidiaria</w:t>
            </w:r>
          </w:p>
        </w:tc>
        <w:tc>
          <w:tcPr>
            <w:tcW w:w="900" w:type="dxa"/>
            <w:tcBorders>
              <w:top w:val="single" w:sz="4" w:space="0" w:color="FFFFFF"/>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CGET</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Subsidiaria</w:t>
            </w:r>
          </w:p>
        </w:tc>
        <w:tc>
          <w:tcPr>
            <w:tcW w:w="900" w:type="dxa"/>
            <w:tcBorders>
              <w:top w:val="single" w:sz="4" w:space="0" w:color="FFFFFF"/>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CGET</w:t>
            </w:r>
          </w:p>
        </w:tc>
      </w:tr>
      <w:tr>
        <w:tblPrEx>
          <w:tblW w:w="11445" w:type="dxa"/>
          <w:tblInd w:w="2126" w:type="dxa"/>
          <w:tblLayout w:type="fixed"/>
        </w:tblPrEx>
        <w:trPr>
          <w:cantSplit/>
          <w:trHeight w:hRule="exact" w:val="405"/>
        </w:trPr>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 xml:space="preserve">   78.512.190-2   </w:t>
            </w:r>
          </w:p>
        </w:tc>
        <w:tc>
          <w:tcPr>
            <w:tcW w:w="16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Energy Sur Ingeniería S.A.</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 xml:space="preserve">   Chile   </w:t>
            </w:r>
          </w:p>
        </w:tc>
        <w:tc>
          <w:tcPr>
            <w:tcW w:w="24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 xml:space="preserve">Calle Local 55, San Pedro de la Paz, Concepción   </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 xml:space="preserve">   CL $   </w:t>
            </w:r>
          </w:p>
        </w:tc>
        <w:tc>
          <w:tcPr>
            <w:tcW w:w="1440"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left"/>
            </w:pPr>
            <w:r>
              <w:rPr>
                <w:rFonts w:ascii="Calibri" w:eastAsia="Calibri" w:hAnsi="Calibri" w:cs="Calibri"/>
                <w:b w:val="0"/>
                <w:i w:val="0"/>
                <w:color w:val="000000"/>
                <w:sz w:val="14"/>
                <w:u w:val="none"/>
              </w:rPr>
              <w:t>Transformadores Tusan S.A.</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center"/>
          </w:tcPr>
          <w:p>
            <w:pPr>
              <w:pageBreakBefore w:val="0"/>
              <w:tabs>
                <w:tab w:val="left" w:pos="1"/>
                <w:tab w:val="left" w:pos="576"/>
              </w:tabs>
              <w:spacing w:before="0" w:after="0" w:line="240" w:lineRule="auto"/>
              <w:jc w:val="right"/>
            </w:pPr>
            <w:r>
              <w:rPr>
                <w:rFonts w:ascii="Calibri" w:eastAsia="Calibri" w:hAnsi="Calibri" w:cs="Calibri"/>
                <w:b w:val="0"/>
                <w:i w:val="0"/>
                <w:color w:val="000000"/>
                <w:sz w:val="14"/>
                <w:u w:val="none"/>
              </w:rPr>
              <w:tab/>
              <w:t>55,00000</w:t>
              <w:tab/>
              <w:t>%</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center"/>
          </w:tcPr>
          <w:p>
            <w:pPr>
              <w:pageBreakBefore w:val="0"/>
              <w:tabs>
                <w:tab w:val="left" w:pos="1"/>
                <w:tab w:val="left" w:pos="576"/>
              </w:tabs>
              <w:spacing w:before="0" w:after="0" w:line="240" w:lineRule="auto"/>
              <w:jc w:val="right"/>
            </w:pPr>
            <w:r>
              <w:rPr>
                <w:rFonts w:ascii="Calibri" w:eastAsia="Calibri" w:hAnsi="Calibri" w:cs="Calibri"/>
                <w:b w:val="0"/>
                <w:i w:val="0"/>
                <w:color w:val="000000"/>
                <w:sz w:val="14"/>
                <w:u w:val="none"/>
              </w:rPr>
              <w:tab/>
              <w:t>54,48850</w:t>
              <w:tab/>
              <w:t>%</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center"/>
          </w:tcPr>
          <w:p>
            <w:pPr>
              <w:pageBreakBefore w:val="0"/>
              <w:tabs>
                <w:tab w:val="left" w:pos="1"/>
                <w:tab w:val="left" w:pos="576"/>
              </w:tabs>
              <w:spacing w:before="0" w:after="0" w:line="240" w:lineRule="auto"/>
              <w:jc w:val="right"/>
            </w:pPr>
            <w:r>
              <w:rPr>
                <w:rFonts w:ascii="Calibri" w:eastAsia="Calibri" w:hAnsi="Calibri" w:cs="Calibri"/>
                <w:b w:val="0"/>
                <w:i w:val="0"/>
                <w:color w:val="000000"/>
                <w:sz w:val="14"/>
                <w:u w:val="none"/>
              </w:rPr>
              <w:tab/>
              <w:t>55,00000</w:t>
              <w:tab/>
              <w:t>%</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15" w:type="dxa"/>
            </w:tcMar>
            <w:vAlign w:val="center"/>
          </w:tcPr>
          <w:p>
            <w:pPr>
              <w:pageBreakBefore w:val="0"/>
              <w:tabs>
                <w:tab w:val="left" w:pos="1"/>
                <w:tab w:val="left" w:pos="704"/>
              </w:tabs>
              <w:spacing w:before="0" w:after="0" w:line="240" w:lineRule="auto"/>
              <w:jc w:val="right"/>
            </w:pPr>
            <w:r>
              <w:rPr>
                <w:rFonts w:ascii="Calibri" w:eastAsia="Calibri" w:hAnsi="Calibri" w:cs="Calibri"/>
                <w:b w:val="0"/>
                <w:i w:val="0"/>
                <w:color w:val="000000"/>
                <w:sz w:val="14"/>
                <w:u w:val="none"/>
              </w:rPr>
              <w:tab/>
              <w:t>54,48850 %</w:t>
              <w:tab/>
            </w:r>
          </w:p>
        </w:tc>
      </w:tr>
    </w:tbl>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3.5.3.-</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Cambios en el perímetro de consolidación.</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3.5.3.1.- Perímetro de consolidación directo.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835"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No se han producido cambios en el perímetro de consolidación directo de la subsidiaria para el período terminado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y el ejercicio terminado al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3.5.3.2.- Perímetro de consolidación indirecto.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835"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No se han producido cambios en el perímetro de consolidación indirecto de la subsidiaria para el período terminado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y el ejercicio terminado al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headerReference w:type="default" r:id="rId19"/>
          <w:footerReference w:type="default" r:id="rId20"/>
          <w:type w:val="continuous"/>
          <w:pgSz w:w="15840" w:h="12240" w:orient="landscape"/>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709" w:right="0" w:firstLine="0"/>
        <w:jc w:val="both"/>
        <w:outlineLvl w:val="1"/>
        <w:rPr>
          <w:rFonts w:ascii="Times New Roman" w:eastAsia="Times New Roman" w:hAnsi="Times New Roman" w:cs="Times New Roman"/>
          <w:b/>
          <w:i w:val="0"/>
          <w:color w:val="000000"/>
          <w:sz w:val="24"/>
          <w:u w:val="none"/>
        </w:rPr>
      </w:pPr>
      <w:bookmarkStart w:id="26" w:name="Section17"/>
      <w:bookmarkEnd w:id="26"/>
      <w:bookmarkStart w:id="27" w:name="60faaa5cf1fd48a58f46dfa042d8262f"/>
      <w:r>
        <w:rPr>
          <w:rFonts w:ascii="Calibri" w:eastAsia="Calibri" w:hAnsi="Calibri" w:cs="Calibri"/>
          <w:b/>
          <w:i w:val="0"/>
          <w:color w:val="000000"/>
          <w:sz w:val="20"/>
          <w:u w:val="none"/>
        </w:rPr>
        <w:t>3.6.-</w:t>
      </w:r>
      <w:r>
        <w:rPr>
          <w:rFonts w:ascii="Calibri" w:eastAsia="Calibri" w:hAnsi="Calibri" w:cs="Calibri"/>
          <w:b/>
          <w:i w:val="0"/>
          <w:color w:val="000000"/>
          <w:sz w:val="20"/>
          <w:u w:val="none"/>
        </w:rPr>
        <w:tab/>
      </w:r>
      <w:r>
        <w:rPr>
          <w:rFonts w:ascii="Calibri" w:eastAsia="Calibri" w:hAnsi="Calibri" w:cs="Calibri"/>
          <w:b/>
          <w:i w:val="0"/>
          <w:color w:val="000000"/>
          <w:sz w:val="20"/>
          <w:u w:val="none"/>
        </w:rPr>
        <w:t>Transacciones en moneda extranjera y unidades de reajuste.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7"/>
    </w:p>
    <w:p>
      <w:pPr>
        <w:pStyle w:val="Normal-wk"/>
        <w:keepNext w:val="0"/>
        <w:keepLines/>
        <w:pageBreakBefore w:val="0"/>
        <w:widowControl w:val="0"/>
        <w:numPr>
          <w:ilvl w:val="0"/>
          <w:numId w:val="0"/>
        </w:numPr>
        <w:tabs>
          <w:tab w:val="left" w:pos="700"/>
        </w:tabs>
        <w:spacing w:before="0" w:after="0" w:line="240" w:lineRule="exact"/>
        <w:ind w:left="2124" w:right="0" w:hanging="711"/>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3.6.1.-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Moneda funcional y de presentación.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partidas incluidas en los estados financieros de cada una de las entidades de la Sociedad se valoran utilizando la moneda del entorno económico principal en que la entidad opera (“moneda funcional”). La moneda funcional de CGE Transmisión S.A. es el Peso chileno, que constituye además la moneda de presentación de los estados financieros consolidados.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88" w:lineRule="auto"/>
        <w:ind w:left="2124" w:right="0" w:hanging="711"/>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3.6.2.-</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Transacciones y saldos.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transacciones en moneda extranjera se convierten a la moneda funcional utilizando los tipos de cambio vigentes en las fechas de las transacciones. Las pérdidas y ganancias en moneda extranjera que resultan de la liquidación de estas transacciones y de la conversión a los tipos de cambio de cierre de los activos y pasivos monetarios denominados en moneda extranjera, se reconocen en el estado de resultados, excepto que corresponda su diferimiento en el patrimonio neto, a través de otros resultados integrales, como es el caso de las derivadas de estrategias de coberturas de flujos de efectivo y coberturas de inversiones netas.</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40" w:lineRule="exact"/>
        <w:ind w:left="2126" w:right="0" w:hanging="709"/>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3.6.3.-</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Bases de conversión.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activos y pasivos en moneda extranjera y aquellos pactados en unidades de fomento, se presentan a los siguientes tipos de cambios y valores de cierre respectivamente:</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p>
    <w:tbl>
      <w:tblPr>
        <w:tblW w:w="7845" w:type="dxa"/>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605"/>
        <w:gridCol w:w="1560"/>
        <w:gridCol w:w="1560"/>
        <w:gridCol w:w="1560"/>
        <w:gridCol w:w="1560"/>
      </w:tblGrid>
      <w:tr>
        <w:tblPrEx>
          <w:tblW w:w="7845" w:type="dxa"/>
          <w:tblInd w:w="2126" w:type="dxa"/>
          <w:tblLayout w:type="fixed"/>
        </w:tblPrEx>
        <w:trPr>
          <w:cantSplit/>
          <w:trHeight w:hRule="auto" w:val="0"/>
        </w:trPr>
        <w:tc>
          <w:tcPr>
            <w:tcW w:w="16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Fecha</w:t>
            </w:r>
          </w:p>
        </w:tc>
        <w:tc>
          <w:tcPr>
            <w:tcW w:w="1560" w:type="dxa"/>
            <w:tcBorders>
              <w:top w:val="single" w:sz="2" w:space="0" w:color="000000"/>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CL $/ US $</w:t>
            </w:r>
          </w:p>
        </w:tc>
        <w:tc>
          <w:tcPr>
            <w:tcW w:w="1560" w:type="dxa"/>
            <w:tcBorders>
              <w:top w:val="single" w:sz="2" w:space="0" w:color="000000"/>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CL $ / EUR $</w:t>
            </w:r>
          </w:p>
        </w:tc>
        <w:tc>
          <w:tcPr>
            <w:tcW w:w="1560" w:type="dxa"/>
            <w:tcBorders>
              <w:top w:val="single" w:sz="2" w:space="0" w:color="000000"/>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CL $ / UF</w:t>
            </w:r>
          </w:p>
        </w:tc>
        <w:tc>
          <w:tcPr>
            <w:tcW w:w="1560" w:type="dxa"/>
            <w:tcBorders>
              <w:top w:val="single" w:sz="2" w:space="0" w:color="000000"/>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CL $ / CNH $</w:t>
            </w:r>
          </w:p>
        </w:tc>
      </w:tr>
      <w:tr>
        <w:tblPrEx>
          <w:tblW w:w="7845" w:type="dxa"/>
          <w:tblInd w:w="2126" w:type="dxa"/>
          <w:tblLayout w:type="fixed"/>
        </w:tblPrEx>
        <w:trPr>
          <w:cantSplit/>
          <w:trHeight w:hRule="auto" w:val="0"/>
        </w:trPr>
        <w:tc>
          <w:tcPr>
            <w:tcW w:w="16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val="0"/>
                <w:i w:val="0"/>
                <w:color w:val="000000"/>
                <w:sz w:val="16"/>
                <w:u w:val="none"/>
              </w:rPr>
              <w:t>30-06-2026</w:t>
            </w:r>
          </w:p>
        </w:tc>
        <w:tc>
          <w:tcPr>
            <w:tcW w:w="1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0,00</w:t>
            </w:r>
          </w:p>
        </w:tc>
        <w:tc>
          <w:tcPr>
            <w:tcW w:w="1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0,00</w:t>
            </w:r>
          </w:p>
        </w:tc>
        <w:tc>
          <w:tcPr>
            <w:tcW w:w="1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0,00</w:t>
            </w:r>
          </w:p>
        </w:tc>
        <w:tc>
          <w:tcPr>
            <w:tcW w:w="1560"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0,00</w:t>
            </w:r>
          </w:p>
        </w:tc>
      </w:tr>
      <w:tr>
        <w:tblPrEx>
          <w:tblW w:w="7845" w:type="dxa"/>
          <w:tblInd w:w="2126" w:type="dxa"/>
          <w:tblLayout w:type="fixed"/>
        </w:tblPrEx>
        <w:trPr>
          <w:cantSplit/>
          <w:trHeight w:hRule="auto" w:val="0"/>
        </w:trPr>
        <w:tc>
          <w:tcPr>
            <w:tcW w:w="16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val="0"/>
                <w:i w:val="0"/>
                <w:color w:val="000000"/>
                <w:sz w:val="16"/>
                <w:u w:val="none"/>
              </w:rPr>
              <w:t>31-12-2025</w:t>
            </w:r>
          </w:p>
        </w:tc>
        <w:tc>
          <w:tcPr>
            <w:tcW w:w="1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907,13</w:t>
            </w:r>
          </w:p>
        </w:tc>
        <w:tc>
          <w:tcPr>
            <w:tcW w:w="1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1.066,58</w:t>
            </w:r>
          </w:p>
        </w:tc>
        <w:tc>
          <w:tcPr>
            <w:tcW w:w="1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39.727,96</w:t>
            </w:r>
          </w:p>
        </w:tc>
        <w:tc>
          <w:tcPr>
            <w:tcW w:w="1560"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129,76</w:t>
            </w:r>
          </w:p>
        </w:tc>
      </w:tr>
      <w:tr>
        <w:tblPrEx>
          <w:tblW w:w="7845" w:type="dxa"/>
          <w:tblInd w:w="2126" w:type="dxa"/>
          <w:tblLayout w:type="fixed"/>
        </w:tblPrEx>
        <w:trPr>
          <w:cantSplit/>
          <w:trHeight w:hRule="auto" w:val="0"/>
        </w:trPr>
        <w:tc>
          <w:tcPr>
            <w:tcW w:w="16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6"/>
                <w:highlight w:val="yellow"/>
                <w:u w:val="none"/>
              </w:rPr>
              <w:t>31-03-2025</w:t>
            </w:r>
          </w:p>
        </w:tc>
        <w:tc>
          <w:tcPr>
            <w:tcW w:w="1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6"/>
                <w:highlight w:val="yellow"/>
                <w:u w:val="none"/>
              </w:rPr>
              <w:t>953,07</w:t>
            </w:r>
          </w:p>
        </w:tc>
        <w:tc>
          <w:tcPr>
            <w:tcW w:w="1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6"/>
                <w:highlight w:val="yellow"/>
                <w:u w:val="none"/>
              </w:rPr>
              <w:t>1.030,68</w:t>
            </w:r>
          </w:p>
        </w:tc>
        <w:tc>
          <w:tcPr>
            <w:tcW w:w="1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6"/>
                <w:highlight w:val="yellow"/>
                <w:u w:val="none"/>
              </w:rPr>
              <w:t>38.894,11</w:t>
            </w:r>
          </w:p>
        </w:tc>
        <w:tc>
          <w:tcPr>
            <w:tcW w:w="1560"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6"/>
                <w:highlight w:val="yellow"/>
                <w:u w:val="none"/>
              </w:rPr>
              <w:t>131,19</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tbl>
      <w:tblPr>
        <w:tblW w:w="6135" w:type="dxa"/>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720"/>
        <w:gridCol w:w="2415"/>
        <w:gridCol w:w="720"/>
        <w:gridCol w:w="2280"/>
      </w:tblGrid>
      <w:tr>
        <w:tblPrEx>
          <w:tblW w:w="6135" w:type="dxa"/>
          <w:tblInd w:w="2126" w:type="dxa"/>
          <w:tblLayout w:type="fixed"/>
        </w:tblPrEx>
        <w:trPr>
          <w:cantSplit/>
          <w:trHeight w:hRule="auto" w:val="0"/>
        </w:trPr>
        <w:tc>
          <w:tcPr>
            <w:tcW w:w="72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ind w:left="55"/>
              <w:jc w:val="left"/>
            </w:pPr>
            <w:r>
              <w:rPr>
                <w:rFonts w:ascii="Calibri" w:eastAsia="Calibri" w:hAnsi="Calibri" w:cs="Calibri"/>
                <w:b w:val="0"/>
                <w:i w:val="0"/>
                <w:color w:val="000000"/>
                <w:sz w:val="20"/>
                <w:u w:val="none"/>
              </w:rPr>
              <w:t>CL $</w:t>
            </w:r>
          </w:p>
        </w:tc>
        <w:tc>
          <w:tcPr>
            <w:tcW w:w="241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ind w:left="55"/>
              <w:jc w:val="left"/>
            </w:pPr>
            <w:r>
              <w:rPr>
                <w:rFonts w:ascii="Calibri" w:eastAsia="Calibri" w:hAnsi="Calibri" w:cs="Calibri"/>
                <w:b w:val="0"/>
                <w:i w:val="0"/>
                <w:color w:val="000000"/>
                <w:sz w:val="20"/>
                <w:u w:val="none"/>
              </w:rPr>
              <w:t>Peso chileno</w:t>
            </w:r>
          </w:p>
        </w:tc>
        <w:tc>
          <w:tcPr>
            <w:tcW w:w="72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ind w:left="55"/>
              <w:jc w:val="left"/>
            </w:pPr>
            <w:r>
              <w:rPr>
                <w:rFonts w:ascii="Calibri" w:eastAsia="Calibri" w:hAnsi="Calibri" w:cs="Calibri"/>
                <w:b w:val="0"/>
                <w:i w:val="0"/>
                <w:color w:val="000000"/>
                <w:sz w:val="20"/>
                <w:u w:val="none"/>
              </w:rPr>
              <w:t>US $</w:t>
            </w:r>
          </w:p>
        </w:tc>
        <w:tc>
          <w:tcPr>
            <w:tcW w:w="228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ind w:left="55"/>
              <w:jc w:val="left"/>
            </w:pPr>
            <w:r>
              <w:rPr>
                <w:rFonts w:ascii="Calibri" w:eastAsia="Calibri" w:hAnsi="Calibri" w:cs="Calibri"/>
                <w:b w:val="0"/>
                <w:i w:val="0"/>
                <w:color w:val="000000"/>
                <w:sz w:val="20"/>
                <w:u w:val="none"/>
              </w:rPr>
              <w:t>Dólar estadounidense</w:t>
            </w:r>
          </w:p>
        </w:tc>
      </w:tr>
      <w:tr>
        <w:tblPrEx>
          <w:tblW w:w="6135" w:type="dxa"/>
          <w:tblInd w:w="2126" w:type="dxa"/>
          <w:tblLayout w:type="fixed"/>
        </w:tblPrEx>
        <w:trPr>
          <w:cantSplit/>
          <w:trHeight w:hRule="auto" w:val="0"/>
        </w:trPr>
        <w:tc>
          <w:tcPr>
            <w:tcW w:w="72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ind w:left="55"/>
              <w:jc w:val="left"/>
            </w:pPr>
            <w:r>
              <w:rPr>
                <w:rFonts w:ascii="Calibri" w:eastAsia="Calibri" w:hAnsi="Calibri" w:cs="Calibri"/>
                <w:b w:val="0"/>
                <w:i w:val="0"/>
                <w:color w:val="000000"/>
                <w:sz w:val="20"/>
                <w:u w:val="none"/>
              </w:rPr>
              <w:t>U.F.</w:t>
            </w:r>
          </w:p>
        </w:tc>
        <w:tc>
          <w:tcPr>
            <w:tcW w:w="241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ind w:left="55"/>
              <w:jc w:val="left"/>
            </w:pPr>
            <w:r>
              <w:rPr>
                <w:rFonts w:ascii="Calibri" w:eastAsia="Calibri" w:hAnsi="Calibri" w:cs="Calibri"/>
                <w:b w:val="0"/>
                <w:i w:val="0"/>
                <w:color w:val="000000"/>
                <w:sz w:val="20"/>
                <w:u w:val="none"/>
              </w:rPr>
              <w:t>Unidad de fomento</w:t>
            </w:r>
          </w:p>
        </w:tc>
        <w:tc>
          <w:tcPr>
            <w:tcW w:w="72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ind w:left="55"/>
              <w:jc w:val="left"/>
            </w:pPr>
            <w:r>
              <w:rPr>
                <w:rFonts w:ascii="Calibri" w:eastAsia="Calibri" w:hAnsi="Calibri" w:cs="Calibri"/>
                <w:b w:val="0"/>
                <w:i w:val="0"/>
                <w:color w:val="000000"/>
                <w:sz w:val="20"/>
                <w:u w:val="none"/>
              </w:rPr>
              <w:t>EUR $</w:t>
            </w:r>
          </w:p>
        </w:tc>
        <w:tc>
          <w:tcPr>
            <w:tcW w:w="228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ind w:left="55"/>
              <w:jc w:val="left"/>
            </w:pPr>
            <w:r>
              <w:rPr>
                <w:rFonts w:ascii="Calibri" w:eastAsia="Calibri" w:hAnsi="Calibri" w:cs="Calibri"/>
                <w:b w:val="0"/>
                <w:i w:val="0"/>
                <w:color w:val="000000"/>
                <w:sz w:val="20"/>
                <w:u w:val="none"/>
              </w:rPr>
              <w:t>Euro</w:t>
            </w:r>
          </w:p>
        </w:tc>
      </w:tr>
      <w:tr>
        <w:tblPrEx>
          <w:tblW w:w="6135" w:type="dxa"/>
          <w:tblInd w:w="2126" w:type="dxa"/>
          <w:tblLayout w:type="fixed"/>
        </w:tblPrEx>
        <w:trPr>
          <w:cantSplit/>
          <w:trHeight w:hRule="auto" w:val="0"/>
        </w:trPr>
        <w:tc>
          <w:tcPr>
            <w:tcW w:w="72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ind w:left="55"/>
              <w:jc w:val="left"/>
            </w:pPr>
            <w:r>
              <w:rPr>
                <w:rFonts w:ascii="Calibri" w:eastAsia="Calibri" w:hAnsi="Calibri" w:cs="Calibri"/>
                <w:b w:val="0"/>
                <w:i w:val="0"/>
                <w:color w:val="000000"/>
                <w:sz w:val="20"/>
                <w:u w:val="none"/>
              </w:rPr>
              <w:t>CNH $</w:t>
            </w:r>
          </w:p>
        </w:tc>
        <w:tc>
          <w:tcPr>
            <w:tcW w:w="241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ind w:left="55"/>
              <w:jc w:val="left"/>
            </w:pPr>
            <w:r>
              <w:rPr>
                <w:rFonts w:ascii="Calibri" w:eastAsia="Calibri" w:hAnsi="Calibri" w:cs="Calibri"/>
                <w:b w:val="0"/>
                <w:i w:val="0"/>
                <w:color w:val="000000"/>
                <w:sz w:val="20"/>
                <w:u w:val="none"/>
              </w:rPr>
              <w:t>Yuan chino</w:t>
            </w:r>
          </w:p>
        </w:tc>
        <w:tc>
          <w:tcPr>
            <w:tcW w:w="720"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228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3.6.4.-</w:t>
      </w:r>
      <w:r>
        <w:rPr>
          <w:rFonts w:ascii="Calibri" w:eastAsia="Calibri" w:hAnsi="Calibri" w:cs="Calibri"/>
          <w:b w:val="0"/>
          <w:i w:val="0"/>
          <w:sz w:val="20"/>
        </w:rPr>
        <w:tab/>
      </w:r>
      <w:r>
        <w:rPr>
          <w:rFonts w:ascii="Calibri" w:eastAsia="Calibri" w:hAnsi="Calibri" w:cs="Calibri"/>
          <w:b w:val="0"/>
          <w:i w:val="0"/>
          <w:sz w:val="20"/>
        </w:rPr>
        <w:t>Entidades de CGE Transmisión S.A.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Los resultados y la situación financiera de todas las entidades de CGE Transmisión S.A., que tienen una moneda funcional diferente de la moneda de presentación, se convierten a la moneda de presentación como sigue: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14"/>
        </w:numPr>
        <w:spacing w:before="0" w:after="0" w:line="240" w:lineRule="exact"/>
        <w:ind w:left="2835" w:right="0" w:hanging="340"/>
        <w:jc w:val="both"/>
        <w:outlineLvl w:val="9"/>
        <w:rPr>
          <w:rFonts w:ascii="Calibri" w:eastAsia="Calibri" w:hAnsi="Calibri" w:cs="Calibri"/>
          <w:b w:val="0"/>
          <w:i w:val="0"/>
          <w:sz w:val="20"/>
        </w:rPr>
      </w:pPr>
      <w:r>
        <w:rPr>
          <w:rFonts w:ascii="Calibri" w:eastAsia="Calibri" w:hAnsi="Calibri" w:cs="Calibri"/>
          <w:b w:val="0"/>
          <w:i w:val="0"/>
          <w:sz w:val="20"/>
        </w:rPr>
        <w:t xml:space="preserve">Los activos y pasivos de cada estado de situación financiera presentado se convierten al tipo de cambio de cierre de cada periodo o ejercicio; </w:t>
      </w:r>
    </w:p>
    <w:p>
      <w:pPr>
        <w:keepNext w:val="0"/>
        <w:keepLines/>
        <w:pageBreakBefore w:val="0"/>
        <w:widowControl w:val="0"/>
        <w:numPr>
          <w:ilvl w:val="0"/>
          <w:numId w:val="0"/>
        </w:numPr>
        <w:spacing w:before="0" w:after="0" w:line="288" w:lineRule="auto"/>
        <w:ind w:left="2835" w:right="0" w:hanging="340"/>
        <w:jc w:val="both"/>
        <w:outlineLvl w:val="9"/>
        <w:rPr>
          <w:rFonts w:ascii="Calibri" w:eastAsia="Calibri" w:hAnsi="Calibri" w:cs="Calibri"/>
          <w:b w:val="0"/>
          <w:i w:val="0"/>
          <w:sz w:val="20"/>
        </w:rPr>
      </w:pPr>
    </w:p>
    <w:p>
      <w:pPr>
        <w:keepNext w:val="0"/>
        <w:keepLines/>
        <w:pageBreakBefore w:val="0"/>
        <w:widowControl w:val="0"/>
        <w:numPr>
          <w:ilvl w:val="0"/>
          <w:numId w:val="14"/>
        </w:numPr>
        <w:spacing w:before="0" w:after="0" w:line="240" w:lineRule="exact"/>
        <w:ind w:left="2835" w:right="0" w:hanging="340"/>
        <w:jc w:val="both"/>
        <w:outlineLvl w:val="9"/>
        <w:rPr>
          <w:rFonts w:ascii="Calibri" w:eastAsia="Calibri" w:hAnsi="Calibri" w:cs="Calibri"/>
          <w:b w:val="0"/>
          <w:i w:val="0"/>
          <w:sz w:val="20"/>
        </w:rPr>
      </w:pPr>
      <w:r>
        <w:rPr>
          <w:rFonts w:ascii="Calibri" w:eastAsia="Calibri" w:hAnsi="Calibri" w:cs="Calibri"/>
          <w:b w:val="0"/>
          <w:i w:val="0"/>
          <w:sz w:val="20"/>
        </w:rPr>
        <w:t>Los ingresos y gastos de cada cuenta de resultados se convierten a los tipos de cambio promedio (a menos que este promedio no sea una aproximación razonable del efecto acumulativo de los tipos existentes en las fechas de las transacciones, en cuyo caso los ingresos y gastos se convierten en la fecha de las transacciones); y</w:t>
      </w:r>
    </w:p>
    <w:p>
      <w:pPr>
        <w:keepNext w:val="0"/>
        <w:keepLines/>
        <w:pageBreakBefore w:val="0"/>
        <w:widowControl w:val="0"/>
        <w:numPr>
          <w:ilvl w:val="0"/>
          <w:numId w:val="0"/>
        </w:numPr>
        <w:spacing w:before="0" w:after="0" w:line="288" w:lineRule="auto"/>
        <w:ind w:left="2835" w:right="0" w:hanging="340"/>
        <w:jc w:val="both"/>
        <w:outlineLvl w:val="9"/>
        <w:rPr>
          <w:rFonts w:ascii="Calibri" w:eastAsia="Calibri" w:hAnsi="Calibri" w:cs="Calibri"/>
          <w:b w:val="0"/>
          <w:i w:val="0"/>
          <w:sz w:val="20"/>
        </w:rPr>
      </w:pPr>
    </w:p>
    <w:p>
      <w:pPr>
        <w:keepNext w:val="0"/>
        <w:keepLines/>
        <w:pageBreakBefore w:val="0"/>
        <w:widowControl w:val="0"/>
        <w:numPr>
          <w:ilvl w:val="0"/>
          <w:numId w:val="14"/>
        </w:numPr>
        <w:spacing w:before="0" w:after="0" w:line="240" w:lineRule="exact"/>
        <w:ind w:left="2835" w:right="0" w:hanging="340"/>
        <w:jc w:val="both"/>
        <w:outlineLvl w:val="9"/>
        <w:rPr>
          <w:rFonts w:ascii="Calibri" w:eastAsia="Calibri" w:hAnsi="Calibri" w:cs="Calibri"/>
          <w:b w:val="0"/>
          <w:i w:val="0"/>
          <w:sz w:val="20"/>
        </w:rPr>
      </w:pPr>
      <w:r>
        <w:rPr>
          <w:rFonts w:ascii="Calibri" w:eastAsia="Calibri" w:hAnsi="Calibri" w:cs="Calibri"/>
          <w:b w:val="0"/>
          <w:i w:val="0"/>
          <w:sz w:val="20"/>
        </w:rPr>
        <w:t>Todas las diferencias de cambio resultantes se reconocen como un componente separado del patrimonio neto a través de Otros Resultados Integrales.</w:t>
      </w:r>
    </w:p>
    <w:p>
      <w:pPr>
        <w:keepNext w:val="0"/>
        <w:keepLines/>
        <w:pageBreakBefore w:val="0"/>
        <w:widowControl w:val="0"/>
        <w:numPr>
          <w:ilvl w:val="0"/>
          <w:numId w:val="0"/>
        </w:numPr>
        <w:spacing w:before="0" w:after="0" w:line="288" w:lineRule="auto"/>
        <w:ind w:left="2115" w:right="0" w:firstLine="2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En la consolidación, las diferencias de cambio que surgen de la conversión de una inversión neta en entidades extranjeras (o nacionales con moneda funcional diferente de la matriz), y de préstamos y otros instrumentos en moneda extranjera designados como coberturas de esas inversiones, se llevan al patrimonio neto a través del estado de otros resultados integrales. Cuando se vende o dispone la inversión (todo o parte), esas diferencias de cambio se reconocen en el estado de resultados como parte de la pérdida o ganancia en la venta o disposición.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ajustes al menor valor o plusvalía comprada y al valor razonable de activos y pasivos que surgen en la adquisición de una entidad extranjera (o entidad con moneda funcional diferente de la matriz), se tratan como activos y pasivos de la entidad extranjera y se convierten al tipo de cambio de cierre del período o ejercicio, según corresponda.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sectPr>
          <w:headerReference w:type="default" r:id="rId21"/>
          <w:footerReference w:type="default" r:id="rId22"/>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709" w:right="0" w:firstLine="0"/>
        <w:jc w:val="both"/>
        <w:outlineLvl w:val="1"/>
        <w:rPr>
          <w:rFonts w:ascii="Times New Roman" w:eastAsia="Times New Roman" w:hAnsi="Times New Roman" w:cs="Times New Roman"/>
          <w:b/>
          <w:i w:val="0"/>
          <w:color w:val="000000"/>
          <w:sz w:val="24"/>
          <w:u w:val="none"/>
        </w:rPr>
      </w:pPr>
      <w:bookmarkStart w:id="28" w:name="Section18"/>
      <w:bookmarkEnd w:id="28"/>
      <w:bookmarkStart w:id="29" w:name="5e0c25a43c314b8b891c94874793936f"/>
      <w:r>
        <w:rPr>
          <w:rFonts w:ascii="Calibri" w:eastAsia="Calibri" w:hAnsi="Calibri" w:cs="Calibri"/>
          <w:b/>
          <w:i w:val="0"/>
          <w:color w:val="000000"/>
          <w:sz w:val="20"/>
          <w:u w:val="none"/>
        </w:rPr>
        <w:t>3.7.-</w:t>
      </w:r>
      <w:r>
        <w:rPr>
          <w:rFonts w:ascii="Calibri" w:eastAsia="Calibri" w:hAnsi="Calibri" w:cs="Calibri"/>
          <w:b/>
          <w:i w:val="0"/>
          <w:color w:val="000000"/>
          <w:sz w:val="20"/>
          <w:u w:val="none"/>
        </w:rPr>
        <w:tab/>
      </w:r>
      <w:r>
        <w:rPr>
          <w:rFonts w:ascii="Calibri" w:eastAsia="Calibri" w:hAnsi="Calibri" w:cs="Calibri"/>
          <w:b/>
          <w:i w:val="0"/>
          <w:color w:val="000000"/>
          <w:sz w:val="20"/>
          <w:u w:val="none"/>
        </w:rPr>
        <w:t>Información financiera por segmentos operativos.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9"/>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información por segmentos se presenta de manera consistente con los informes internos proporcionados a los responsables de tomar las decisiones operativas relevantes. Dichos ejecutivos son los responsables de asignar los recursos y evaluar el rendimiento de los segmentos operativos, los cuales han sido identificados como: eléctrico Chile y Servicios, para los que se toman las decisiones estratégicas. Esta información se detalla en Nota 32.</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30" w:name="Section19"/>
      <w:bookmarkEnd w:id="30"/>
      <w:bookmarkStart w:id="31" w:name="32e1317bc7c948919452a46f733468c3"/>
      <w:r>
        <w:rPr>
          <w:rFonts w:ascii="Calibri" w:eastAsia="Calibri" w:hAnsi="Calibri" w:cs="Calibri"/>
          <w:b/>
          <w:i w:val="0"/>
          <w:color w:val="000000"/>
          <w:sz w:val="20"/>
          <w:u w:val="none"/>
        </w:rPr>
        <w:t>3.8.-</w:t>
      </w:r>
      <w:r>
        <w:rPr>
          <w:rFonts w:ascii="Calibri" w:eastAsia="Calibri" w:hAnsi="Calibri" w:cs="Calibri"/>
          <w:b/>
          <w:i w:val="0"/>
          <w:color w:val="000000"/>
          <w:sz w:val="20"/>
          <w:u w:val="none"/>
        </w:rPr>
        <w:tab/>
      </w:r>
      <w:r>
        <w:rPr>
          <w:rFonts w:ascii="Calibri" w:eastAsia="Calibri" w:hAnsi="Calibri" w:cs="Calibri"/>
          <w:b/>
          <w:i w:val="0"/>
          <w:color w:val="000000"/>
          <w:sz w:val="20"/>
          <w:u w:val="none"/>
        </w:rPr>
        <w:t>Propiedades, planta y equipo.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31"/>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propiedades, planta y equipo de la Sociedad, tanto en su reconocimiento inicial como en su medición posterior, son valorados a su costo menos la correspondiente depreciación y deterioro acumulado de existir.</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costos posteriores (reemplazo de componentes, mejoras, ampliaciones, crecimientos, etc.) se incluyen en el valor del activo inicial o se reconocen como un activo separado, sólo cuando es probable que los beneficios económicos futuros asociados con los elementos de las propiedades, planta y equipo vayan a fluir a la Sociedad y el costo del elemento pueda determinarse de forma fiable. El valor del componente sustituido se da de baja contablemente. El resto de las reparaciones y mantenciones se cargan en el resultado del período o ejercicio en el que se incurren.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construcciones u obras en curso incluyen los siguientes conceptos devengados únicamente durante el periodo de construcción: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701" w:right="0" w:hanging="284"/>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Gastos financieros relativos a la financiación externa que sean directamente atribuibles a las construcciones, tanto si es de carácter específica como genérica. En relación con la financiación genérica, los gastos financieros activados se obtienen aplicando el costo promedio ponderado de financiación de largo plazo a la inversión promedio acumulada susceptible de activación no financiada específicamente.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701" w:right="0" w:hanging="284"/>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Gastos de personal relacionado en forma directa y otros de naturaleza operativa, atribuibles a la construcción.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construcciones u obras en curso se traspasan a activos en explotación una vez terminado el periodo de prueba, cuando se encuentran disponibles para su uso, a partir de ese momento comienza su depreciación.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La depreciación de las propiedades, planta y equipo se calcula usando el método lineal para asignar sus costos a sus valores residuales sobre sus vidas útiles técnicas estimadas.</w:t>
      </w:r>
      <w:r>
        <w:rPr>
          <w:rFonts w:ascii="Calibri" w:eastAsia="Calibri" w:hAnsi="Calibri" w:cs="Calibri"/>
          <w:b w:val="0"/>
          <w:i w:val="0"/>
          <w:color w:val="000000"/>
          <w:sz w:val="20"/>
          <w:u w:val="none"/>
        </w:rPr>
        <w:t xml:space="preserve"> </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valor residual y la vida útil de los bienes del rubro Propiedades, planta y equipo, se revisan y ajustan si es necesario, en cada cierre de estado de situación financiera, de tal forma de tener una vida útil restante acorde con el valor de dichos bienes.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Cuando el valor de un activo es superior a su importe recuperable estimado, su valor se reduce de forma inmediata hasta su importe recuperable, mediante la aplicación de pruebas de deterioro.</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Las pérdidas y ganancias por la venta de una propiedad, planta y equipo se calculan comparando los ingresos obtenidos con el valor en libros y se incluyen en el estado de resultados. </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6"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32" w:name="Section20"/>
      <w:bookmarkEnd w:id="32"/>
      <w:bookmarkStart w:id="33" w:name="3cb9c22526e145fdbd589eb2bf061675"/>
      <w:r>
        <w:rPr>
          <w:rFonts w:ascii="Calibri" w:eastAsia="Calibri" w:hAnsi="Calibri" w:cs="Calibri"/>
          <w:b/>
          <w:i w:val="0"/>
          <w:color w:val="000000"/>
          <w:sz w:val="20"/>
          <w:u w:val="none"/>
        </w:rPr>
        <w:t>3.9.-</w:t>
      </w:r>
      <w:r>
        <w:rPr>
          <w:rFonts w:ascii="Calibri" w:eastAsia="Calibri" w:hAnsi="Calibri" w:cs="Calibri"/>
          <w:b/>
          <w:i w:val="0"/>
          <w:color w:val="000000"/>
          <w:sz w:val="20"/>
          <w:u w:val="none"/>
        </w:rPr>
        <w:tab/>
      </w:r>
      <w:r>
        <w:rPr>
          <w:rFonts w:ascii="Calibri" w:eastAsia="Calibri" w:hAnsi="Calibri" w:cs="Calibri"/>
          <w:b/>
          <w:i w:val="0"/>
          <w:color w:val="000000"/>
          <w:sz w:val="20"/>
          <w:u w:val="none"/>
        </w:rPr>
        <w:t>Propiedades de inversión.</w:t>
      </w:r>
    </w:p>
    <w:p>
      <w:pPr>
        <w:keepNext w:val="0"/>
        <w:keepLines/>
        <w:pageBreakBefore w:val="0"/>
        <w:widowControl w:val="0"/>
        <w:numPr>
          <w:ilvl w:val="0"/>
          <w:numId w:val="0"/>
        </w:numPr>
        <w:spacing w:before="0" w:after="0" w:line="288" w:lineRule="auto"/>
        <w:ind w:left="0" w:right="0" w:firstLine="0"/>
        <w:jc w:val="both"/>
        <w:outlineLvl w:val="9"/>
        <w:rPr>
          <w:rFonts w:ascii="Arial" w:eastAsia="Arial" w:hAnsi="Arial" w:cs="Arial"/>
          <w:b w:val="0"/>
          <w:i w:val="0"/>
          <w:color w:val="000000"/>
          <w:sz w:val="20"/>
          <w:u w:val="none"/>
        </w:rPr>
      </w:pPr>
      <w:bookmarkEnd w:id="33"/>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Se incluyen principalmente los terrenos y construcciones que se mantienen con el propósito de obtener ganancias en futuras ventas (fuera del curso ordinario de los negocios), plusvalías, o bien explotarlos bajo un régimen de arrendamientos, y no son ocupados por CGE Transmisión S.A. y subsidiarias. El criterio de valorización inicial de las propiedades de inversión es al costo y la medición posterior es a su valor razonable, por medio de retasaciones independientes que reflejan su valor de mercado.</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Las pérdidas o ganancias derivadas de un cambio en el valor razonable de las propiedades de inversión se incluyen en el resultado del ejercicio en que se generan, y se presentan en el rubro otras ganancias (pérdidas) del estado de resultados por función.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 xml:space="preserve">Se da de baja cuando se enajene o disponga de la misma por otra vía, o cuando no se espere obtener beneficios económicos futuros por su utilización, enajenación o disposición por otra vía. </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Las ganancias o pérdidas que surgen en la venta o retiro de propiedades de inversión se reconocen en los resultados del ejercicio y se determina como la diferencia entre el valor de venta y el valor neto contable del activo.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ingresos por alquileres de propiedades de inversión se reconocen como otros ingresos durante el plazo del arrendamiento. Los incentivos de arrendamiento otorgados, en caso de existir, se reconocen como parte integral de los ingresos totales por arrendamiento, durante el plazo del arrendamiento.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34" w:name="Section21"/>
      <w:bookmarkEnd w:id="34"/>
      <w:bookmarkStart w:id="35" w:name="0e9e571daacd4b4aa896b1b335b54022"/>
      <w:r>
        <w:rPr>
          <w:rFonts w:ascii="Calibri" w:eastAsia="Calibri" w:hAnsi="Calibri" w:cs="Calibri"/>
          <w:b/>
          <w:i w:val="0"/>
          <w:color w:val="000000"/>
          <w:sz w:val="20"/>
          <w:u w:val="none"/>
        </w:rPr>
        <w:t>3.10.-</w:t>
      </w:r>
      <w:r>
        <w:rPr>
          <w:rFonts w:ascii="Calibri" w:eastAsia="Calibri" w:hAnsi="Calibri" w:cs="Calibri"/>
          <w:b/>
          <w:i w:val="0"/>
          <w:color w:val="000000"/>
          <w:sz w:val="20"/>
          <w:u w:val="none"/>
        </w:rPr>
        <w:tab/>
      </w:r>
      <w:r>
        <w:rPr>
          <w:rFonts w:ascii="Calibri" w:eastAsia="Calibri" w:hAnsi="Calibri" w:cs="Calibri"/>
          <w:b/>
          <w:i w:val="0"/>
          <w:color w:val="000000"/>
          <w:sz w:val="20"/>
          <w:u w:val="none"/>
        </w:rPr>
        <w:t>Menor valor o plusvalía (Goodwill).</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bookmarkEnd w:id="35"/>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 xml:space="preserve">El menor valor representa el exceso del costo de adquisición sobre el valor razonable de la participación de CGE Transmisión S.A. en los activos netos identificables de subsidiarias o filiales a la fecha de adquisición. El menor valor relacionado con adquisiciones de subsidiarias representa un intangible y se incluye bajo el rubro de plusvalía. </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El menor valor relacionado con adquisiciones de asociadas o coligadas se incluye en inversiones en asociadas contabilizadas por el método de la participación, y se somete a pruebas por deterioro de valor junto con el saldo total de la inversión en una coligada. El menor valor reconocido por separado se somete a pruebas por deterioro de valor anualmente y se valora por su costo menos pérdidas acumuladas por deterioro. Las ganancias y pérdidas por la venta de una entidad incluyen el importe en libros del menor valor relacionado con la entidad vendida. La plusvalía comprada se asigna a unidades generadoras de efectivo para efectos de realizar las pruebas de deterioro. La distribución se efectúa entre aquellas unidades generadoras de efectivo o grupos de unidades generadoras de efectivo que se espera se beneficiarán de la combinación de negocios de la que surgió la plusvalía.</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El mayor valor (Goodwill negativo) proveniente de una combinación de negocios, se abona directamente al estado de resultados consolidado.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36" w:name="Section22"/>
      <w:bookmarkEnd w:id="36"/>
      <w:bookmarkStart w:id="37" w:name="7805bfddc62d47f38106b028737d9d58"/>
      <w:r>
        <w:rPr>
          <w:rFonts w:ascii="Calibri" w:eastAsia="Calibri" w:hAnsi="Calibri" w:cs="Calibri"/>
          <w:b/>
          <w:i w:val="0"/>
          <w:color w:val="000000"/>
          <w:sz w:val="20"/>
          <w:u w:val="none"/>
        </w:rPr>
        <w:t>3.11.-</w:t>
      </w:r>
      <w:r>
        <w:rPr>
          <w:rFonts w:ascii="Calibri" w:eastAsia="Calibri" w:hAnsi="Calibri" w:cs="Calibri"/>
          <w:b/>
          <w:i w:val="0"/>
          <w:color w:val="000000"/>
          <w:sz w:val="20"/>
          <w:u w:val="none"/>
        </w:rPr>
        <w:tab/>
      </w:r>
      <w:r>
        <w:rPr>
          <w:rFonts w:ascii="Calibri" w:eastAsia="Calibri" w:hAnsi="Calibri" w:cs="Calibri"/>
          <w:b/>
          <w:i w:val="0"/>
          <w:color w:val="000000"/>
          <w:sz w:val="20"/>
          <w:u w:val="none"/>
        </w:rPr>
        <w:t>Activos intangibles distintos de la plusvalía.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37"/>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 xml:space="preserve">3.11.1.- </w:t>
      </w:r>
      <w:r>
        <w:rPr>
          <w:rFonts w:ascii="Calibri" w:eastAsia="Calibri" w:hAnsi="Calibri" w:cs="Calibri"/>
          <w:b w:val="0"/>
          <w:i w:val="0"/>
          <w:sz w:val="20"/>
        </w:rPr>
        <w:tab/>
      </w:r>
      <w:r>
        <w:rPr>
          <w:rFonts w:ascii="Calibri" w:eastAsia="Calibri" w:hAnsi="Calibri" w:cs="Calibri"/>
          <w:b w:val="0"/>
          <w:i w:val="0"/>
          <w:sz w:val="20"/>
        </w:rPr>
        <w:t>Servidumbres.</w:t>
      </w:r>
    </w:p>
    <w:p>
      <w:pPr>
        <w:keepNext w:val="0"/>
        <w:keepLines/>
        <w:pageBreakBefore w:val="0"/>
        <w:widowControl w:val="0"/>
        <w:numPr>
          <w:ilvl w:val="0"/>
          <w:numId w:val="0"/>
        </w:numPr>
        <w:spacing w:before="0" w:after="0" w:line="288" w:lineRule="auto"/>
        <w:ind w:left="144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Los derechos de servidumbre se presentan a costo o al valor asignado en una combinación de negocios. La explotación de dichos derechos en general no tiene una vida útil definida, por lo cual no estarán afectos a amortización. Sin embargo, la vida útil indefinida es objeto de revisión en cada ejercicio para el que se presente información, para determinar si la consideración de vida útil indefinida sigue siendo aplicable. Estos activos se someten a pruebas por deterioro de valor anualmente.</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sz w:val="20"/>
        </w:rPr>
      </w:pPr>
    </w:p>
    <w:p>
      <w:pPr>
        <w:keepNext/>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3.11.2.-</w:t>
      </w:r>
      <w:r>
        <w:rPr>
          <w:rFonts w:ascii="Calibri" w:eastAsia="Calibri" w:hAnsi="Calibri" w:cs="Calibri"/>
          <w:b w:val="0"/>
          <w:i w:val="0"/>
          <w:sz w:val="20"/>
        </w:rPr>
        <w:tab/>
      </w:r>
      <w:r>
        <w:rPr>
          <w:rFonts w:ascii="Calibri" w:eastAsia="Calibri" w:hAnsi="Calibri" w:cs="Calibri"/>
          <w:b w:val="0"/>
          <w:i w:val="0"/>
          <w:sz w:val="20"/>
        </w:rPr>
        <w:t>Concesiones de servicios públicos.</w:t>
      </w:r>
    </w:p>
    <w:p>
      <w:pPr>
        <w:keepNext/>
        <w:keepLines/>
        <w:pageBreakBefore w:val="0"/>
        <w:widowControl w:val="0"/>
        <w:numPr>
          <w:ilvl w:val="0"/>
          <w:numId w:val="0"/>
        </w:numPr>
        <w:spacing w:before="0" w:after="0" w:line="288" w:lineRule="auto"/>
        <w:ind w:left="144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Las concesiones de transporte eléctrico en Chile, adquiridas todas ellas básicamente como parte de una combinación de negocios, no tienen límite legal ni de ningún otro tipo. En consecuencia, al tratarse de activos intangibles de vida indefinida, no se amortizan, si bien se analiza su posible deterioro con periodicidad anual.</w:t>
      </w:r>
    </w:p>
    <w:p>
      <w:pPr>
        <w:keepNext w:val="0"/>
        <w:keepLines/>
        <w:pageBreakBefore w:val="0"/>
        <w:widowControl w:val="0"/>
        <w:numPr>
          <w:ilvl w:val="0"/>
          <w:numId w:val="0"/>
        </w:numPr>
        <w:spacing w:before="0" w:after="0" w:line="288" w:lineRule="auto"/>
        <w:ind w:left="144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3.11.3.-</w:t>
      </w:r>
      <w:r>
        <w:rPr>
          <w:rFonts w:ascii="Calibri" w:eastAsia="Calibri" w:hAnsi="Calibri" w:cs="Calibri"/>
          <w:b w:val="0"/>
          <w:i w:val="0"/>
          <w:sz w:val="20"/>
        </w:rPr>
        <w:tab/>
      </w:r>
      <w:r>
        <w:rPr>
          <w:rFonts w:ascii="Calibri" w:eastAsia="Calibri" w:hAnsi="Calibri" w:cs="Calibri"/>
          <w:b w:val="0"/>
          <w:i w:val="0"/>
          <w:sz w:val="20"/>
        </w:rPr>
        <w:t>Programas informáticos.</w:t>
      </w:r>
    </w:p>
    <w:p>
      <w:pPr>
        <w:keepNext w:val="0"/>
        <w:keepLines/>
        <w:pageBreakBefore w:val="0"/>
        <w:widowControl w:val="0"/>
        <w:numPr>
          <w:ilvl w:val="0"/>
          <w:numId w:val="0"/>
        </w:numPr>
        <w:spacing w:before="0" w:after="0" w:line="288" w:lineRule="auto"/>
        <w:ind w:left="144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Las licencias para programas informáticos adquiridas, se capitalizan sobre la base de los costos en que se ha incurrido para adquirirlas y prepararlas para usar el programa específico. Estos costos se amortizan durante sus vidas útiles estimadas.</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Los gastos relacionados con el desarrollo o mantenimiento de programas informáticos se reconocen como gasto cuando se incurre en ellos. Los costos directamente relacionados con la producción de programas informáticos únicos e identificables controlados por CGE Transmisión S.A., y que es probable que vayan a generar beneficios económicos superiores a los costos durante más de un año, se reconocen como activos intangibles. Los costos directos incluyen los gastos del personal que desarrolla los programas informáticos.</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Después del reconocimiento inicial, los gastos de desarrollo se miden al costo menos la amortización acumulada y cualquier pérdida por deterioro acumulada.</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Los programas informáticos reconocidos como activos, se amortizan linealmente durante sus vidas útiles estimadas.</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Los métodos de amortización, las vidas útiles y los valores residuales se revisan en cada fecha de presentación y se ajustan si corresponde.</w:t>
      </w:r>
    </w:p>
    <w:p>
      <w:pPr>
        <w:keepNext w:val="0"/>
        <w:keepLines/>
        <w:pageBreakBefore w:val="0"/>
        <w:widowControl w:val="0"/>
        <w:numPr>
          <w:ilvl w:val="0"/>
          <w:numId w:val="0"/>
        </w:numPr>
        <w:spacing w:before="0" w:after="0" w:line="288" w:lineRule="auto"/>
        <w:ind w:left="144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 xml:space="preserve">3.11.4.- </w:t>
      </w:r>
      <w:r>
        <w:rPr>
          <w:rFonts w:ascii="Calibri" w:eastAsia="Calibri" w:hAnsi="Calibri" w:cs="Calibri"/>
          <w:b w:val="0"/>
          <w:i w:val="0"/>
          <w:sz w:val="20"/>
        </w:rPr>
        <w:tab/>
      </w:r>
      <w:r>
        <w:rPr>
          <w:rFonts w:ascii="Calibri" w:eastAsia="Calibri" w:hAnsi="Calibri" w:cs="Calibri"/>
          <w:b w:val="0"/>
          <w:i w:val="0"/>
          <w:sz w:val="20"/>
        </w:rPr>
        <w:t>Gastos de investigación y desarrollo.</w:t>
      </w:r>
    </w:p>
    <w:p>
      <w:pPr>
        <w:keepNext w:val="0"/>
        <w:keepLines/>
        <w:pageBreakBefore w:val="0"/>
        <w:widowControl w:val="0"/>
        <w:numPr>
          <w:ilvl w:val="0"/>
          <w:numId w:val="0"/>
        </w:numPr>
        <w:spacing w:before="0" w:after="0" w:line="288" w:lineRule="auto"/>
        <w:ind w:left="144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Los gastos de investigación se reconocen como un gasto cuando se incurre en ellos. Los costos incurridos en proyectos de desarrollo se reconocen como activo intangible cuando se cumplen los siguientes requisitos:</w:t>
      </w:r>
    </w:p>
    <w:p>
      <w:pPr>
        <w:keepNext w:val="0"/>
        <w:keepLines/>
        <w:pageBreakBefore w:val="0"/>
        <w:widowControl w:val="0"/>
        <w:numPr>
          <w:ilvl w:val="0"/>
          <w:numId w:val="0"/>
        </w:numPr>
        <w:spacing w:before="0" w:after="0" w:line="288" w:lineRule="auto"/>
        <w:ind w:left="1440" w:right="0" w:firstLine="0"/>
        <w:jc w:val="both"/>
        <w:outlineLvl w:val="9"/>
        <w:rPr>
          <w:rFonts w:ascii="Calibri" w:eastAsia="Calibri" w:hAnsi="Calibri" w:cs="Calibri"/>
          <w:b w:val="0"/>
          <w:i w:val="0"/>
          <w:sz w:val="20"/>
        </w:rPr>
      </w:pPr>
    </w:p>
    <w:p>
      <w:pPr>
        <w:keepNext w:val="0"/>
        <w:keepLines/>
        <w:pageBreakBefore w:val="0"/>
        <w:widowControl w:val="0"/>
        <w:numPr>
          <w:ilvl w:val="0"/>
          <w:numId w:val="14"/>
        </w:numPr>
        <w:spacing w:before="0" w:after="0" w:line="240" w:lineRule="exact"/>
        <w:ind w:left="2551" w:right="0" w:hanging="425"/>
        <w:jc w:val="both"/>
        <w:outlineLvl w:val="9"/>
        <w:rPr>
          <w:rFonts w:ascii="Calibri" w:eastAsia="Calibri" w:hAnsi="Calibri" w:cs="Calibri"/>
          <w:b w:val="0"/>
          <w:i w:val="0"/>
          <w:sz w:val="20"/>
        </w:rPr>
      </w:pPr>
      <w:r>
        <w:rPr>
          <w:rFonts w:ascii="Calibri" w:eastAsia="Calibri" w:hAnsi="Calibri" w:cs="Calibri"/>
          <w:b w:val="0"/>
          <w:i w:val="0"/>
          <w:sz w:val="20"/>
        </w:rPr>
        <w:t>Técnicamente, es posible completar la producción del activo intangible de forma que pueda estar disponible para su utilización o su venta;</w:t>
      </w:r>
    </w:p>
    <w:p>
      <w:pPr>
        <w:keepNext w:val="0"/>
        <w:keepLines/>
        <w:pageBreakBefore w:val="0"/>
        <w:widowControl w:val="0"/>
        <w:numPr>
          <w:ilvl w:val="0"/>
          <w:numId w:val="14"/>
        </w:numPr>
        <w:spacing w:before="0" w:after="0" w:line="240" w:lineRule="exact"/>
        <w:ind w:left="2551" w:right="0" w:hanging="425"/>
        <w:jc w:val="both"/>
        <w:outlineLvl w:val="9"/>
        <w:rPr>
          <w:rFonts w:ascii="Calibri" w:eastAsia="Calibri" w:hAnsi="Calibri" w:cs="Calibri"/>
          <w:b w:val="0"/>
          <w:i w:val="0"/>
          <w:sz w:val="20"/>
        </w:rPr>
      </w:pPr>
      <w:r>
        <w:rPr>
          <w:rFonts w:ascii="Calibri" w:eastAsia="Calibri" w:hAnsi="Calibri" w:cs="Calibri"/>
          <w:b w:val="0"/>
          <w:i w:val="0"/>
          <w:sz w:val="20"/>
        </w:rPr>
        <w:t>La administración tiene intención de completar el activo intangible en cuestión, para usarlo o venderlo;</w:t>
      </w:r>
    </w:p>
    <w:p>
      <w:pPr>
        <w:keepNext w:val="0"/>
        <w:keepLines/>
        <w:pageBreakBefore w:val="0"/>
        <w:widowControl w:val="0"/>
        <w:numPr>
          <w:ilvl w:val="0"/>
          <w:numId w:val="14"/>
        </w:numPr>
        <w:spacing w:before="0" w:after="0" w:line="288" w:lineRule="auto"/>
        <w:ind w:left="2551" w:right="0" w:hanging="425"/>
        <w:jc w:val="both"/>
        <w:outlineLvl w:val="9"/>
        <w:rPr>
          <w:rFonts w:ascii="Calibri" w:eastAsia="Calibri" w:hAnsi="Calibri" w:cs="Calibri"/>
          <w:b w:val="0"/>
          <w:i w:val="0"/>
          <w:sz w:val="20"/>
        </w:rPr>
      </w:pPr>
      <w:r>
        <w:rPr>
          <w:rFonts w:ascii="Calibri" w:eastAsia="Calibri" w:hAnsi="Calibri" w:cs="Calibri"/>
          <w:b w:val="0"/>
          <w:i w:val="0"/>
          <w:sz w:val="20"/>
        </w:rPr>
        <w:t>Existe la capacidad para utilizar o vender el activo intangible;</w:t>
      </w:r>
    </w:p>
    <w:p>
      <w:pPr>
        <w:keepNext w:val="0"/>
        <w:keepLines/>
        <w:pageBreakBefore w:val="0"/>
        <w:widowControl w:val="0"/>
        <w:numPr>
          <w:ilvl w:val="0"/>
          <w:numId w:val="14"/>
        </w:numPr>
        <w:spacing w:before="0" w:after="0" w:line="240" w:lineRule="exact"/>
        <w:ind w:left="2551" w:right="0" w:hanging="425"/>
        <w:jc w:val="both"/>
        <w:outlineLvl w:val="9"/>
        <w:rPr>
          <w:rFonts w:ascii="Calibri" w:eastAsia="Calibri" w:hAnsi="Calibri" w:cs="Calibri"/>
          <w:b w:val="0"/>
          <w:i w:val="0"/>
          <w:sz w:val="20"/>
        </w:rPr>
      </w:pPr>
      <w:r>
        <w:rPr>
          <w:rFonts w:ascii="Calibri" w:eastAsia="Calibri" w:hAnsi="Calibri" w:cs="Calibri"/>
          <w:b w:val="0"/>
          <w:i w:val="0"/>
          <w:sz w:val="20"/>
        </w:rPr>
        <w:t>Es posible demostrar la forma en que el activo intangible vaya a generar probables beneficios económicos en el futuro;</w:t>
      </w:r>
    </w:p>
    <w:p>
      <w:pPr>
        <w:keepNext w:val="0"/>
        <w:keepLines/>
        <w:pageBreakBefore w:val="0"/>
        <w:widowControl w:val="0"/>
        <w:numPr>
          <w:ilvl w:val="0"/>
          <w:numId w:val="14"/>
        </w:numPr>
        <w:spacing w:before="0" w:after="0" w:line="240" w:lineRule="exact"/>
        <w:ind w:left="2551" w:right="0" w:hanging="425"/>
        <w:jc w:val="both"/>
        <w:outlineLvl w:val="9"/>
        <w:rPr>
          <w:rFonts w:ascii="Calibri" w:eastAsia="Calibri" w:hAnsi="Calibri" w:cs="Calibri"/>
          <w:b w:val="0"/>
          <w:i w:val="0"/>
          <w:sz w:val="20"/>
        </w:rPr>
      </w:pPr>
      <w:r>
        <w:rPr>
          <w:rFonts w:ascii="Calibri" w:eastAsia="Calibri" w:hAnsi="Calibri" w:cs="Calibri"/>
          <w:b w:val="0"/>
          <w:i w:val="0"/>
          <w:sz w:val="20"/>
        </w:rPr>
        <w:t>Existe disponibilidad de los adecuados recursos técnicos, financieros o de otro tipo, para completar el desarrollo y para utilizar o vender el activo intangible; y</w:t>
      </w:r>
    </w:p>
    <w:p>
      <w:pPr>
        <w:keepNext w:val="0"/>
        <w:keepLines/>
        <w:pageBreakBefore w:val="0"/>
        <w:widowControl w:val="0"/>
        <w:numPr>
          <w:ilvl w:val="0"/>
          <w:numId w:val="14"/>
        </w:numPr>
        <w:spacing w:before="0" w:after="0" w:line="288" w:lineRule="auto"/>
        <w:ind w:left="2551" w:right="0" w:hanging="425"/>
        <w:jc w:val="both"/>
        <w:outlineLvl w:val="9"/>
        <w:rPr>
          <w:rFonts w:ascii="Calibri" w:eastAsia="Calibri" w:hAnsi="Calibri" w:cs="Calibri"/>
          <w:b w:val="0"/>
          <w:i w:val="0"/>
          <w:sz w:val="20"/>
        </w:rPr>
      </w:pPr>
      <w:r>
        <w:rPr>
          <w:rFonts w:ascii="Calibri" w:eastAsia="Calibri" w:hAnsi="Calibri" w:cs="Calibri"/>
          <w:b w:val="0"/>
          <w:i w:val="0"/>
          <w:sz w:val="20"/>
        </w:rPr>
        <w:t>Es posible valorar, de forma fiable, el desembolso atribuible al activo intangible durante su desarrollo.</w:t>
      </w:r>
    </w:p>
    <w:p>
      <w:pPr>
        <w:keepNext w:val="0"/>
        <w:keepLines/>
        <w:pageBreakBefore w:val="0"/>
        <w:widowControl w:val="0"/>
        <w:numPr>
          <w:ilvl w:val="0"/>
          <w:numId w:val="0"/>
        </w:numPr>
        <w:spacing w:before="0" w:after="0" w:line="288" w:lineRule="auto"/>
        <w:ind w:left="144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Otros gastos de desarrollo se reconocen como gasto cuando se incurre en ellos. Los costos de desarrollo previamente reconocidos como un gasto no se reconocen como un activo en un período o ejercicio posterior. Los costos de desarrollo con una vida útil finita que se capitalizan se amortizan desde su utilización de manera lineal durante el periodo en que se espera que generen beneficios.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both"/>
        <w:outlineLvl w:val="9"/>
        <w:sectPr>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38" w:name="Section23"/>
      <w:bookmarkEnd w:id="38"/>
      <w:bookmarkStart w:id="39" w:name="9db2669a80da419ca9564e7a74731208"/>
      <w:r>
        <w:rPr>
          <w:rFonts w:ascii="Calibri" w:eastAsia="Calibri" w:hAnsi="Calibri" w:cs="Calibri"/>
          <w:b/>
          <w:i w:val="0"/>
          <w:color w:val="000000"/>
          <w:sz w:val="20"/>
          <w:u w:val="none"/>
        </w:rPr>
        <w:t>3.12.-</w:t>
      </w:r>
      <w:r>
        <w:rPr>
          <w:rFonts w:ascii="Calibri" w:eastAsia="Calibri" w:hAnsi="Calibri" w:cs="Calibri"/>
          <w:b/>
          <w:i w:val="0"/>
          <w:color w:val="000000"/>
          <w:sz w:val="20"/>
          <w:u w:val="none"/>
        </w:rPr>
        <w:tab/>
      </w:r>
      <w:r>
        <w:rPr>
          <w:rFonts w:ascii="Calibri" w:eastAsia="Calibri" w:hAnsi="Calibri" w:cs="Calibri"/>
          <w:b/>
          <w:i w:val="0"/>
          <w:color w:val="000000"/>
          <w:sz w:val="20"/>
          <w:u w:val="none"/>
        </w:rPr>
        <w:t>Costos por intereses.</w:t>
      </w:r>
    </w:p>
    <w:p>
      <w:pPr>
        <w:keepNext w:val="0"/>
        <w:keepLines/>
        <w:pageBreakBefore w:val="0"/>
        <w:widowControl w:val="0"/>
        <w:numPr>
          <w:ilvl w:val="0"/>
          <w:numId w:val="0"/>
        </w:numPr>
        <w:tabs>
          <w:tab w:val="left" w:pos="620"/>
        </w:tabs>
        <w:spacing w:before="0" w:after="0" w:line="288" w:lineRule="auto"/>
        <w:ind w:left="0" w:right="0" w:firstLine="0"/>
        <w:jc w:val="both"/>
        <w:outlineLvl w:val="9"/>
        <w:rPr>
          <w:rFonts w:ascii="Calibri" w:eastAsia="Calibri" w:hAnsi="Calibri" w:cs="Calibri"/>
          <w:b w:val="0"/>
          <w:i w:val="0"/>
          <w:color w:val="000000"/>
          <w:sz w:val="20"/>
          <w:u w:val="none"/>
        </w:rPr>
      </w:pPr>
      <w:bookmarkEnd w:id="39"/>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Los costos por intereses incurridos para la construcción de cualquier activo apto se capitalizan durante el periodo de tiempo que es necesario para completar y preparar el activo para el uso que se pretende. Otros costos por intereses se registran en resultados (costos financieros). Se entiende por activo apto aquel que requiere de un periodo sustancial antes de estar listo para el uso a que está destinado o para la venta.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40" w:name="Section24"/>
      <w:bookmarkEnd w:id="40"/>
      <w:bookmarkStart w:id="41" w:name="eb31f08708fd4e31a8ac33656a5ae3d1"/>
      <w:r>
        <w:rPr>
          <w:rFonts w:ascii="Calibri" w:eastAsia="Calibri" w:hAnsi="Calibri" w:cs="Calibri"/>
          <w:b/>
          <w:i w:val="0"/>
          <w:color w:val="000000"/>
          <w:sz w:val="20"/>
          <w:u w:val="none"/>
        </w:rPr>
        <w:t>3.13.-</w:t>
      </w:r>
      <w:r>
        <w:rPr>
          <w:rFonts w:ascii="Calibri" w:eastAsia="Calibri" w:hAnsi="Calibri" w:cs="Calibri"/>
          <w:b/>
          <w:i w:val="0"/>
          <w:color w:val="000000"/>
          <w:sz w:val="20"/>
          <w:u w:val="none"/>
        </w:rPr>
        <w:tab/>
      </w:r>
      <w:r>
        <w:rPr>
          <w:rFonts w:ascii="Calibri" w:eastAsia="Calibri" w:hAnsi="Calibri" w:cs="Calibri"/>
          <w:b/>
          <w:i w:val="0"/>
          <w:color w:val="000000"/>
          <w:sz w:val="20"/>
          <w:u w:val="none"/>
        </w:rPr>
        <w:t>Deterioro de activos no financieros</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bookmarkEnd w:id="41"/>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Los activos que tienen una vida útil indefinida no están sujetos a amortización y se someten anualmente a pruebas de pérdidas por deterioro del valor. Los activos sujetos a depreciación o amortización se someten a pruebas de pérdidas por deterioro siempre que algún suceso o cambio en las circunstancias indique que el importe en libros puede no ser recuperable. Se reconoce una pérdida por deterioro por el exceso del importe en libros del activo sobre su importe recuperable.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importe recuperable es el valor razonable de un activo menos los costos para la venta o el valor de uso, el mayor de los dos. A efectos de evaluar las pérdidas por deterioro del valor, los activos se agrupan al nivel más bajo para el que hay flujos de efectivo identificables por separado (unidades generadoras de efectivo). La plusvalía que surge de una combinación de negocios se asigna a la unidad generadora de efectivo que se espera se beneficien de las sinergias de la combinación.</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activos no financieros, distintos de la plusvalía, que hubieran sufrido una pérdida por deterioro se someten a revisiones a cada fecha de cierre por si se hubieran producido reversiones de la pérdida.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Se reconoce una pérdida por deterioro si el valor en libros de un activo o Unidad generadora de efectivo excede su monto recuperable.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Las pérdidas por deterioro se reconocen en resultados del período o ejercicio. Se asignan primero para reducir el valor en libros de cualquier plusvalía asignada a la Unidad generadora de efectivo y luego para reducir los valores en libros de los otros activos en forma proporcional.</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42" w:name="Section25"/>
      <w:bookmarkEnd w:id="42"/>
      <w:bookmarkStart w:id="43" w:name="363e71d175c84dd59c1ddd1e23a2978d"/>
      <w:r>
        <w:rPr>
          <w:rFonts w:ascii="Calibri" w:eastAsia="Calibri" w:hAnsi="Calibri" w:cs="Calibri"/>
          <w:b/>
          <w:i w:val="0"/>
          <w:color w:val="000000"/>
          <w:sz w:val="20"/>
          <w:u w:val="none"/>
        </w:rPr>
        <w:t>3.14.-</w:t>
      </w:r>
      <w:r>
        <w:rPr>
          <w:rFonts w:ascii="Calibri" w:eastAsia="Calibri" w:hAnsi="Calibri" w:cs="Calibri"/>
          <w:b/>
          <w:i w:val="0"/>
          <w:color w:val="000000"/>
          <w:sz w:val="20"/>
          <w:u w:val="none"/>
        </w:rPr>
        <w:tab/>
      </w:r>
      <w:r>
        <w:rPr>
          <w:rFonts w:ascii="Calibri" w:eastAsia="Calibri" w:hAnsi="Calibri" w:cs="Calibri"/>
          <w:b/>
          <w:i w:val="0"/>
          <w:color w:val="000000"/>
          <w:sz w:val="20"/>
          <w:u w:val="none"/>
        </w:rPr>
        <w:t>Activos no corrientes mantenidos para la venta y grupos en disposición.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43"/>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Los activos no corrientes (y grupos en disposición) son clasificados como disponibles para la venta cuando su valor de libros será recuperado principalmente a través de una transacción de venta y la venta es considerada altamente probable dentro de los siguientes 12 meses. Estos activos se registran al valor de libros o al valor razonable menos costos necesarios para efectuar su venta, el que fuera menor. Se reconoce una pérdida o ganancia por disposición de activos no corrientes mantenidos para la venta en el rubro Otras ganancias (pérdidas) en el período o ejercicio de su realización.</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pérdidas por deterioro en la clasificación inicial como mantenido para la venta o grupo en disposición y las ganancias y pérdidas subsiguientes por la nueva medición se reconocen en resultados del período o ejercicio.</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Una vez clasificados como mantenidos para la venta, los activos intangibles y las propiedades, planta y equipo no se amortizarán o depreciarán, y cualquier inversión contabilizada por el método de la participación no se le aplicará dicho método.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44" w:name="Section26"/>
      <w:bookmarkEnd w:id="44"/>
      <w:bookmarkStart w:id="45" w:name="a12fd6db4b1a4973ae40a7eba6b05ca1"/>
      <w:r>
        <w:rPr>
          <w:rFonts w:ascii="Calibri" w:eastAsia="Calibri" w:hAnsi="Calibri" w:cs="Calibri"/>
          <w:b/>
          <w:i w:val="0"/>
          <w:color w:val="000000"/>
          <w:sz w:val="20"/>
          <w:u w:val="none"/>
        </w:rPr>
        <w:t>3.15.-</w:t>
      </w:r>
      <w:r>
        <w:rPr>
          <w:rFonts w:ascii="Calibri" w:eastAsia="Calibri" w:hAnsi="Calibri" w:cs="Calibri"/>
          <w:b/>
          <w:i w:val="0"/>
          <w:color w:val="000000"/>
          <w:sz w:val="20"/>
          <w:u w:val="none"/>
        </w:rPr>
        <w:tab/>
      </w:r>
      <w:r>
        <w:rPr>
          <w:rFonts w:ascii="Calibri" w:eastAsia="Calibri" w:hAnsi="Calibri" w:cs="Calibri"/>
          <w:b/>
          <w:i w:val="0"/>
          <w:color w:val="000000"/>
          <w:sz w:val="20"/>
          <w:u w:val="none"/>
        </w:rPr>
        <w:t>Activos financieros.</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bookmarkEnd w:id="45"/>
    </w:p>
    <w:p>
      <w:pPr>
        <w:pStyle w:val="CarCar3"/>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NIIF 9 reúne los tres aspectos de la contabilidad de los instrumentos financieros: clasificación y medición; deterioro y contabilidad de cobertura.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3.15.1.-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Clasificación y medición.</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CGE Transmisión S.A. y subsidiarias miden inicialmente un activo financiero a su valor razonable más, en el caso de un activo financiero que no se encuentra al valor razonable con cambios en resultados, los costos de transacción.</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instrumentos financieros de deuda se miden posteriormente al valor razonable con cambios en resultados, el costo amortizado o el valor razonable a través de otro resultado integral. La clasificación se basa en dos criterios: el modelo de negocio de CGE Transmisión S.A. y subsidiarias para administrar los activos; y si los flujos de efectivo contractuales de los instrumentos representan únicamente pagos de capital e intereses sobre el monto principal pendiente (criterio SPPI).</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clasificación y medición de los activos financieros de deuda de CGE Transmisión S.A. y subsidiarias son los siguientes:</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14"/>
        </w:numPr>
        <w:spacing w:before="0" w:after="0" w:line="240" w:lineRule="exact"/>
        <w:ind w:left="2551" w:right="0" w:hanging="425"/>
        <w:jc w:val="both"/>
        <w:outlineLvl w:val="9"/>
        <w:rPr>
          <w:rFonts w:ascii="Calibri" w:eastAsia="Calibri" w:hAnsi="Calibri" w:cs="Calibri"/>
          <w:b w:val="0"/>
          <w:i w:val="0"/>
          <w:sz w:val="20"/>
        </w:rPr>
      </w:pPr>
      <w:r>
        <w:rPr>
          <w:rFonts w:ascii="Calibri" w:eastAsia="Calibri" w:hAnsi="Calibri" w:cs="Calibri"/>
          <w:b w:val="0"/>
          <w:i w:val="0"/>
          <w:sz w:val="20"/>
        </w:rPr>
        <w:t>Instrumentos de deuda a costo amortizado para activos financieros que se mantienen dentro de un modelo de negocio con el objetivo de mantener los activos financieros a fin de recolectar flujos de efectivo contractuales que cumplan con el criterio SPPI. Esta categoría incluye las cuentas por cobrar comerciales y otras cuentas por cobrar y los préstamos incluidos en Otros activos financieros no corrientes.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14"/>
        </w:numPr>
        <w:spacing w:before="0" w:after="0" w:line="240" w:lineRule="exact"/>
        <w:ind w:left="2551" w:right="0" w:hanging="425"/>
        <w:jc w:val="both"/>
        <w:outlineLvl w:val="9"/>
        <w:rPr>
          <w:rFonts w:ascii="Calibri" w:eastAsia="Calibri" w:hAnsi="Calibri" w:cs="Calibri"/>
          <w:b w:val="0"/>
          <w:i w:val="0"/>
          <w:sz w:val="20"/>
        </w:rPr>
      </w:pPr>
      <w:r>
        <w:rPr>
          <w:rFonts w:ascii="Calibri" w:eastAsia="Calibri" w:hAnsi="Calibri" w:cs="Calibri"/>
          <w:b w:val="0"/>
          <w:i w:val="0"/>
          <w:sz w:val="20"/>
        </w:rPr>
        <w:t>Instru</w:t>
      </w:r>
      <w:r>
        <w:rPr>
          <w:rFonts w:ascii="Calibri" w:eastAsia="Calibri" w:hAnsi="Calibri" w:cs="Calibri"/>
          <w:b w:val="0"/>
          <w:i w:val="0"/>
          <w:sz w:val="20"/>
        </w:rPr>
        <w:t xml:space="preserve">mentos de deuda en otro resultado integral, con ganancias o pérdidas recicladas a resultados en el momento de su realización. Los activos financieros en esta categoría son los instrumentos de deuda cotizados del Grupo que cumplen con el criterio SPPI y se mantienen dentro de un modelo comercial tanto para cobrar los flujos de efectivo como para vender.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Otros activos financieros se clasifican y, posteriormente, se miden de la siguiente manera: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14"/>
        </w:numPr>
        <w:spacing w:before="0" w:after="0" w:line="240" w:lineRule="exact"/>
        <w:ind w:left="2551" w:right="0" w:hanging="425"/>
        <w:jc w:val="both"/>
        <w:outlineLvl w:val="9"/>
        <w:rPr>
          <w:rFonts w:ascii="Calibri" w:eastAsia="Calibri" w:hAnsi="Calibri" w:cs="Calibri"/>
          <w:b w:val="0"/>
          <w:i w:val="0"/>
          <w:sz w:val="20"/>
        </w:rPr>
      </w:pPr>
      <w:r>
        <w:rPr>
          <w:rFonts w:ascii="Calibri" w:eastAsia="Calibri" w:hAnsi="Calibri" w:cs="Calibri"/>
          <w:b w:val="0"/>
          <w:i w:val="0"/>
          <w:sz w:val="20"/>
        </w:rPr>
        <w:t>Instrumentos de capital en otro resultado integral, sin reciclaje de ganancias o pérdidas a resu</w:t>
      </w:r>
      <w:r>
        <w:rPr>
          <w:rFonts w:ascii="Calibri" w:eastAsia="Calibri" w:hAnsi="Calibri" w:cs="Calibri"/>
          <w:b w:val="0"/>
          <w:i w:val="0"/>
          <w:sz w:val="20"/>
        </w:rPr>
        <w:t>ltados en el momento de su realización. Esta categoría sólo incluye los instrumentos de capital, que la Sociedad y subsidiarias tienen la intención de mantener en el futuro previsible y que CGE Transmisión S.A. y subsidiarias han elegido irrevocablemente para clasificarlos en el reconocimiento inicial o la transición. CGE Transmisión S.A., en caso de existir, clasificará sus instrumentos de patrimonio no cotizados como instrumentos de patrimonio en otro resultado integral.</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14"/>
        </w:numPr>
        <w:spacing w:before="0" w:after="0" w:line="240" w:lineRule="exact"/>
        <w:ind w:left="2551" w:right="0" w:hanging="425"/>
        <w:jc w:val="both"/>
        <w:outlineLvl w:val="9"/>
        <w:rPr>
          <w:rFonts w:ascii="Calibri" w:eastAsia="Calibri" w:hAnsi="Calibri" w:cs="Calibri"/>
          <w:b w:val="0"/>
          <w:i w:val="0"/>
          <w:sz w:val="20"/>
        </w:rPr>
      </w:pPr>
      <w:r>
        <w:rPr>
          <w:rFonts w:ascii="Calibri" w:eastAsia="Calibri" w:hAnsi="Calibri" w:cs="Calibri"/>
          <w:b w:val="0"/>
          <w:i w:val="0"/>
          <w:sz w:val="20"/>
        </w:rPr>
        <w:t>Los activos financieros a valor razonable con cambios en resultados comprenden instrumentos derivados e instrumentos de capital cotizados que CGE Transmisión S.A. y subsidiarias no han elegido irrevocablemente, en el reconocimiento inicial o transición, para clasifi</w:t>
      </w:r>
      <w:r>
        <w:rPr>
          <w:rFonts w:ascii="Calibri" w:eastAsia="Calibri" w:hAnsi="Calibri" w:cs="Calibri"/>
          <w:b w:val="0"/>
          <w:i w:val="0"/>
          <w:sz w:val="20"/>
        </w:rPr>
        <w:t xml:space="preserve">car en otros resultados integrales. Esta categoría también incluye instrumentos de deuda cuyas características de flujo de caja no cumplan con el criterio SPPI o que no se encuentren dentro de un modelo de negocios cuyo objetivo sea recolectar flujos de efectivo contractuales o acumular flujos de efectivo contractuales y vender.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NIIF 9 requiere que los pasivos con contraprestación contingente se traten como instrumentos financieros medidos a valor razonable, con los cambios en el valor razonable reconocidos en el estado de ganancias o pérdidas.</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Conforme a la NIIF 9, los derivados implícitos ya no están separados de un activo financiero principal. En cambio, los activos financieros se clasifican según sus términos contractuales y el modelo de negocio de CGE Transmisión S.A. y subsidiarias.</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keepLines/>
        <w:pageBreakBefore w:val="0"/>
        <w:widowControl w:val="0"/>
        <w:numPr>
          <w:ilvl w:val="0"/>
          <w:numId w:val="0"/>
        </w:numPr>
        <w:tabs>
          <w:tab w:val="left" w:pos="700"/>
        </w:tabs>
        <w:spacing w:before="0" w:after="0" w:line="288" w:lineRule="auto"/>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3.15.2.-</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Deterioro.</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NIIF 9 requiere que CGE Transmisión S.A. y subsidiarias registren las pérdidas crediticias esperadas de todos sus títulos de deuda, préstamos y deudores comerciales, ya sea sobre una base de 12 meses o de por vida.</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CGE Transmisión S.A. y subsidiarias han establecido una matriz de provisiones que se basa en la experiencia histórica de pérdidas crediticias, ajustada por factores prospectivos específicos para los deudores y el entorno económico.</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Para otros activos financieros, la pérdida esperada se basa en la pérdida esperada de 12 meses. La pérdida crediticia esperada de 12 meses es la porción de pérdida esperada de por vida que resulta de eventos predeterminados en un instrumento financiero que son posibles dentro de los 12 meses posteriores a la fecha de presentación. Sin embargo, cuando ha habido un aumento significativo en el riesgo de crédito desde el origen, la asignación se basará en la pérdida esperada de por vida.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88" w:lineRule="auto"/>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3.15.3.-</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Contabilidad de cobertura.</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Los derivados, en caso de existir, se reconocen inicialmente al valor razonable en la fecha en que se ha efectuado el contrato de derivados y posteriormente se vuelven a valorar a su valor razonable. El método para reconocer la pérdida o ganancia resultante depende de si el derivado se ha designado como un instrumento de cobertura y, si es así, de la naturaleza de la partida que está cubriendo. CGE Transmisión S.A. y subsidiarias, designan determinados derivados como: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14"/>
        </w:numPr>
        <w:spacing w:before="0" w:after="0" w:line="288" w:lineRule="auto"/>
        <w:ind w:left="2551" w:right="0" w:hanging="425"/>
        <w:jc w:val="both"/>
        <w:outlineLvl w:val="9"/>
        <w:rPr>
          <w:rFonts w:ascii="Calibri" w:eastAsia="Calibri" w:hAnsi="Calibri" w:cs="Calibri"/>
          <w:b w:val="0"/>
          <w:i w:val="0"/>
          <w:sz w:val="20"/>
        </w:rPr>
      </w:pPr>
      <w:r>
        <w:rPr>
          <w:rFonts w:ascii="Calibri" w:eastAsia="Calibri" w:hAnsi="Calibri" w:cs="Calibri"/>
          <w:b w:val="0"/>
          <w:i w:val="0"/>
          <w:sz w:val="20"/>
        </w:rPr>
        <w:t>Coberturas del valor razonable de activos o pasivos reconocidos o compromisos a firme (cobertura del valor razonable);</w:t>
      </w:r>
    </w:p>
    <w:p>
      <w:pPr>
        <w:keepNext w:val="0"/>
        <w:keepLines/>
        <w:pageBreakBefore w:val="0"/>
        <w:widowControl w:val="0"/>
        <w:numPr>
          <w:ilvl w:val="0"/>
          <w:numId w:val="14"/>
        </w:numPr>
        <w:spacing w:before="0" w:after="0" w:line="240" w:lineRule="exact"/>
        <w:ind w:left="2551" w:right="0" w:hanging="425"/>
        <w:jc w:val="both"/>
        <w:outlineLvl w:val="9"/>
        <w:rPr>
          <w:rFonts w:ascii="Calibri" w:eastAsia="Calibri" w:hAnsi="Calibri" w:cs="Calibri"/>
          <w:b w:val="0"/>
          <w:i w:val="0"/>
          <w:sz w:val="20"/>
        </w:rPr>
      </w:pPr>
      <w:r>
        <w:rPr>
          <w:rFonts w:ascii="Calibri" w:eastAsia="Calibri" w:hAnsi="Calibri" w:cs="Calibri"/>
          <w:b w:val="0"/>
          <w:i w:val="0"/>
          <w:sz w:val="20"/>
        </w:rPr>
        <w:t xml:space="preserve">Coberturas de un riesgo concreto asociado a un activo o pasivo reconocido o a una transacción prevista altamente probable (cobertura de flujos de efectivo); o </w:t>
      </w:r>
    </w:p>
    <w:p>
      <w:pPr>
        <w:keepNext w:val="0"/>
        <w:keepLines/>
        <w:pageBreakBefore w:val="0"/>
        <w:widowControl w:val="0"/>
        <w:numPr>
          <w:ilvl w:val="0"/>
          <w:numId w:val="14"/>
        </w:numPr>
        <w:spacing w:before="0" w:after="0" w:line="240" w:lineRule="exact"/>
        <w:ind w:left="2551" w:right="0" w:hanging="425"/>
        <w:jc w:val="both"/>
        <w:outlineLvl w:val="9"/>
        <w:rPr>
          <w:rFonts w:ascii="Calibri" w:eastAsia="Calibri" w:hAnsi="Calibri" w:cs="Calibri"/>
          <w:b w:val="0"/>
          <w:i w:val="0"/>
          <w:sz w:val="20"/>
        </w:rPr>
      </w:pPr>
      <w:r>
        <w:rPr>
          <w:rFonts w:ascii="Calibri" w:eastAsia="Calibri" w:hAnsi="Calibri" w:cs="Calibri"/>
          <w:b w:val="0"/>
          <w:i w:val="0"/>
          <w:sz w:val="20"/>
        </w:rPr>
        <w:t>Coberturas de una inversión neta en una entidad del extranjero o cuya moneda funcional es diferente a la de la matriz (cobertura de inversión neta).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CGE Transmisión S.A. y subsidiarias documentan al inicio de la transacción la relación existente entre los instrumentos de cobertura y las partidas cubiertas, así como sus objetivos para la gestión del riesgo y la estrategia para manejar varias transacciones de cobertura. La Sociedad también documenta su evaluación, tanto al inicio como sobre una base continua, de si los derivados que se utilizan en las transacciones de cobertura son altamente efectivos para compensar los cambios en el valor razonable o en los flujos de efectivo de las partidas cubiertas.</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derivados negociables se clasifican como un activo o pasivo corriente.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88" w:lineRule="auto"/>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3.15.4.-</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 xml:space="preserve">Coberturas de valor razonable.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cambios en el valor razonable de los derivados que son designados y califican como coberturas de valor razonable se registran en el estado de resultados, junto con cualquier cambio en el valor razonable del activo o del pasivo cubierto atribuible al riesgo cubierto.</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ganancia o pérdida relacionada con la porción efectiva de permutas de interés (“swaps”) que cubren préstamos a tasas de interés fijas se reconoce en el estado de ganancias y pérdidas como “costos financieros”.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ganancia o pérdida relacionada con la porción inefectiva se reconoce también en el estado de resultados. Los cambios en el valor razonable de los préstamos a tasa de interés fijas cubiertos atribuibles al riesgo de tasa de interés se reconocen en el estado de resultados como “costos financieros”.</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Si la cobertura deja de cumplir con los criterios para ser reconocida a través del tratamiento contable de coberturas, el ajuste en el valor en libros de la partida cubierta, para la cual se utiliza el método de la tasa de interés efectiva, se amortiza en resultados en el periodo remanente hasta su vencimiento.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88" w:lineRule="auto"/>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3.15.5.-</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 xml:space="preserve">Coberturas de flujos de efectivo. </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porción efectiva de los cambios en el valor razonable de los derivados que son designados y que califican como coberturas de flujos de efectivo se reconocen en el patrimonio a través del estado de otros resultados integrales. La ganancia o pérdida relativa a la porción inefectiva se reconoce inmediatamente en el estado de resultados. </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montos acumulados en el patrimonio neto se reciclan al estado de resultados en los periodos o ejercicios en los que la partida cubierta afecta los resultados (por ejemplo, cuando la venta proyectada cubierta ocurre o el flujo cubierto se realiza). Sin embargo, cuando la transacción prevista cubierta da como resultado el reconocimiento de un activo no financiero (por ejemplo, existencias o activos fijos), las ganancias o pérdidas previamente reconocidas en el patrimonio se transfieren del patrimonio y se incluyen como parte del costo inicial del activo. Los montos diferidos son finalmente reconocidos en el costo de los productos vendidos, si se trata de existencias, o en la depreciación, si se trata de propiedades, planta y equipo.</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Cuando un instrumento de cobertura expira o se vende, o cuando deja de cumplir con los criterios para ser reconocido a través del tratamiento contable de coberturas, cualquier ganancia o pérdida acumulada en el patrimonio a esa fecha permanece en el patrimonio y se reconoce cuando la transacción proyectada afecte al estado de resultados. Cuando se espere que ya no se produzca una transacción proyectada la ganancia o pérdida acumulada en el patrimonio se transfiere inmediatamente al estado de resultados.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3.15.6.-</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Cobertura de inversión neta en el exterior.</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Las coberturas de inversiones netas de operaciones en el exterior (o de subsidiarias/asociadas con moneda funcional diferente de la matriz) se contabilizan de manera similar a las coberturas de flujos de efectivo. Cualquier ganancia o pérdida del instrumento de cobertura relacionada con la porción efectiva de la cobertura se reconoce en el patrimonio a través del estado de resultados integral. La ganancia o pérdida relacionada con la porción inefectiva de la cobertura se reconoce inmediatamente en resultados. </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ganancias y pérdidas acumuladas en el patrimonio se transfieren al estado de resultados cuando la operación en el exterior se vende o se le da parcialmente de baja.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tabs>
          <w:tab w:val="left" w:pos="700"/>
        </w:tabs>
        <w:spacing w:before="0" w:after="0" w:line="240" w:lineRule="exact"/>
        <w:ind w:left="1416" w:right="0" w:firstLine="0"/>
        <w:jc w:val="both"/>
        <w:outlineLvl w:val="9"/>
        <w:rPr>
          <w:rFonts w:ascii="Calibri" w:eastAsia="Calibri" w:hAnsi="Calibri" w:cs="Calibri"/>
          <w:b w:val="0"/>
          <w:i w:val="0"/>
          <w:sz w:val="20"/>
        </w:rPr>
      </w:pPr>
      <w:r>
        <w:rPr>
          <w:rFonts w:ascii="Calibri" w:eastAsia="Calibri" w:hAnsi="Calibri" w:cs="Calibri"/>
          <w:b w:val="0"/>
          <w:i w:val="0"/>
          <w:sz w:val="20"/>
        </w:rPr>
        <w:t>3.</w:t>
      </w:r>
      <w:r>
        <w:rPr>
          <w:rFonts w:ascii="Calibri" w:eastAsia="Calibri" w:hAnsi="Calibri" w:cs="Calibri"/>
          <w:b w:val="0"/>
          <w:i w:val="0"/>
          <w:color w:val="000000"/>
          <w:sz w:val="20"/>
          <w:u w:val="none"/>
        </w:rPr>
        <w:t>15</w:t>
      </w:r>
      <w:r>
        <w:rPr>
          <w:rFonts w:ascii="Calibri" w:eastAsia="Calibri" w:hAnsi="Calibri" w:cs="Calibri"/>
          <w:b w:val="0"/>
          <w:i w:val="0"/>
          <w:sz w:val="20"/>
        </w:rPr>
        <w:t>.7.-</w:t>
      </w:r>
      <w:r>
        <w:rPr>
          <w:rFonts w:ascii="Calibri" w:eastAsia="Calibri" w:hAnsi="Calibri" w:cs="Calibri"/>
          <w:b w:val="0"/>
          <w:i w:val="0"/>
          <w:sz w:val="20"/>
        </w:rPr>
        <w:tab/>
      </w:r>
      <w:r>
        <w:rPr>
          <w:rFonts w:ascii="Calibri" w:eastAsia="Calibri" w:hAnsi="Calibri" w:cs="Calibri"/>
          <w:b w:val="0"/>
          <w:i w:val="0"/>
          <w:color w:val="000000"/>
          <w:sz w:val="20"/>
          <w:u w:val="none"/>
        </w:rPr>
        <w:t>Derivados</w:t>
      </w:r>
      <w:r>
        <w:rPr>
          <w:rFonts w:ascii="Calibri" w:eastAsia="Calibri" w:hAnsi="Calibri" w:cs="Calibri"/>
          <w:b w:val="0"/>
          <w:i w:val="0"/>
          <w:sz w:val="20"/>
        </w:rPr>
        <w:t xml:space="preserve"> a valor ra</w:t>
      </w:r>
      <w:r>
        <w:rPr>
          <w:rFonts w:ascii="Calibri" w:eastAsia="Calibri" w:hAnsi="Calibri" w:cs="Calibri"/>
          <w:b w:val="0"/>
          <w:i w:val="0"/>
          <w:color w:val="000000"/>
          <w:sz w:val="20"/>
          <w:u w:val="none"/>
        </w:rPr>
        <w:t>z</w:t>
      </w:r>
      <w:r>
        <w:rPr>
          <w:rFonts w:ascii="Calibri" w:eastAsia="Calibri" w:hAnsi="Calibri" w:cs="Calibri"/>
          <w:b w:val="0"/>
          <w:i w:val="0"/>
          <w:sz w:val="20"/>
        </w:rPr>
        <w:t xml:space="preserve">onable </w:t>
      </w:r>
      <w:r>
        <w:rPr>
          <w:rFonts w:ascii="Calibri" w:eastAsia="Calibri" w:hAnsi="Calibri" w:cs="Calibri"/>
          <w:b w:val="0"/>
          <w:i w:val="0"/>
          <w:color w:val="000000"/>
          <w:sz w:val="20"/>
          <w:u w:val="none"/>
        </w:rPr>
        <w:t>a</w:t>
      </w:r>
      <w:r>
        <w:rPr>
          <w:rFonts w:ascii="Calibri" w:eastAsia="Calibri" w:hAnsi="Calibri" w:cs="Calibri"/>
          <w:b w:val="0"/>
          <w:i w:val="0"/>
          <w:sz w:val="20"/>
        </w:rPr>
        <w:t xml:space="preserve"> través de resultados.</w:t>
      </w:r>
    </w:p>
    <w:p>
      <w:pPr>
        <w:pStyle w:val="Normal-wk"/>
        <w:keepNext w:val="0"/>
        <w:keepLines/>
        <w:pageBreakBefore w:val="0"/>
        <w:widowControl w:val="0"/>
        <w:numPr>
          <w:ilvl w:val="0"/>
          <w:numId w:val="0"/>
        </w:numPr>
        <w:spacing w:before="0" w:after="0" w:line="288" w:lineRule="auto"/>
        <w:ind w:left="708" w:right="0" w:firstLine="708"/>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 </w:t>
      </w: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Ciertos instrumentos financieros derivados no califican para ser reconocidos a través del tratamiento contable de coberturas y se registran a su valor razonable a través de resultados. Cualquier cambio en el valor razonable de estos derivados se reconoce inmediatamente en el estado de resultados.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46" w:name="Section27"/>
      <w:bookmarkEnd w:id="46"/>
      <w:bookmarkStart w:id="47" w:name="ea508a07373f4b49a3ea0917689d0cbc"/>
      <w:r>
        <w:rPr>
          <w:rFonts w:ascii="Calibri" w:eastAsia="Calibri" w:hAnsi="Calibri" w:cs="Calibri"/>
          <w:b/>
          <w:i w:val="0"/>
          <w:color w:val="000000"/>
          <w:sz w:val="20"/>
          <w:u w:val="none"/>
        </w:rPr>
        <w:t>3.16.-</w:t>
      </w:r>
      <w:r>
        <w:rPr>
          <w:rFonts w:ascii="Calibri" w:eastAsia="Calibri" w:hAnsi="Calibri" w:cs="Calibri"/>
          <w:b/>
          <w:i w:val="0"/>
          <w:color w:val="000000"/>
          <w:sz w:val="20"/>
          <w:u w:val="none"/>
        </w:rPr>
        <w:tab/>
      </w:r>
      <w:r>
        <w:rPr>
          <w:rFonts w:ascii="Calibri" w:eastAsia="Calibri" w:hAnsi="Calibri" w:cs="Calibri"/>
          <w:b/>
          <w:i w:val="0"/>
          <w:color w:val="000000"/>
          <w:sz w:val="20"/>
          <w:u w:val="none"/>
        </w:rPr>
        <w:t>Inventarios.</w:t>
      </w:r>
    </w:p>
    <w:p>
      <w:pPr>
        <w:keepNext w:val="0"/>
        <w:keepLines/>
        <w:pageBreakBefore w:val="0"/>
        <w:widowControl w:val="0"/>
        <w:numPr>
          <w:ilvl w:val="0"/>
          <w:numId w:val="0"/>
        </w:numPr>
        <w:spacing w:before="0" w:after="0" w:line="288" w:lineRule="auto"/>
        <w:ind w:left="0" w:right="0" w:firstLine="0"/>
        <w:jc w:val="both"/>
        <w:outlineLvl w:val="9"/>
        <w:rPr>
          <w:rFonts w:ascii="Arial" w:eastAsia="Arial" w:hAnsi="Arial" w:cs="Arial"/>
          <w:b w:val="0"/>
          <w:i w:val="0"/>
          <w:color w:val="000000"/>
          <w:sz w:val="20"/>
          <w:u w:val="none"/>
        </w:rPr>
      </w:pPr>
      <w:bookmarkEnd w:id="47"/>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Las existencias se valorizan a su costo o a su valor neto realizable, el menor de los dos. El costo se determina de acuerdo al método de precio medio ponderado (PMP).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costos de los productos terminados, de los productos en proceso, como los costos de construcción de transformadores y el de construcción de obras eléctricas para terceros, incluyen los costos de diseño, los materiales eléctricos, la mano de obra directa propia y de terceros y otros costos directos e indirectos de existir, los cuales no incluyen costos por intereses.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valor neto realizable es el precio estimado de venta de un activo en el curso normal de la operación menos los costos estimados para terminar su producción y los necesarios para llevar a cabo las ventas.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48" w:name="Section28"/>
      <w:bookmarkEnd w:id="48"/>
      <w:bookmarkStart w:id="49" w:name="fcf41af58a7448bba38c792c6c0d9017"/>
      <w:r>
        <w:rPr>
          <w:rFonts w:ascii="Calibri" w:eastAsia="Calibri" w:hAnsi="Calibri" w:cs="Calibri"/>
          <w:b/>
          <w:i w:val="0"/>
          <w:color w:val="000000"/>
          <w:sz w:val="20"/>
          <w:u w:val="none"/>
        </w:rPr>
        <w:t>3.17.-</w:t>
      </w:r>
      <w:r>
        <w:rPr>
          <w:rFonts w:ascii="Calibri" w:eastAsia="Calibri" w:hAnsi="Calibri" w:cs="Calibri"/>
          <w:b/>
          <w:i w:val="0"/>
          <w:color w:val="000000"/>
          <w:sz w:val="20"/>
          <w:u w:val="none"/>
        </w:rPr>
        <w:tab/>
      </w:r>
      <w:r>
        <w:rPr>
          <w:rFonts w:ascii="Calibri" w:eastAsia="Calibri" w:hAnsi="Calibri" w:cs="Calibri"/>
          <w:b/>
          <w:i w:val="0"/>
          <w:color w:val="000000"/>
          <w:sz w:val="20"/>
          <w:u w:val="none"/>
        </w:rPr>
        <w:t>Deudores comerciales y otras cuentas por cobrar.</w:t>
      </w:r>
    </w:p>
    <w:p>
      <w:pPr>
        <w:keepNext w:val="0"/>
        <w:keepLines/>
        <w:pageBreakBefore w:val="0"/>
        <w:widowControl w:val="0"/>
        <w:numPr>
          <w:ilvl w:val="0"/>
          <w:numId w:val="0"/>
        </w:numPr>
        <w:spacing w:before="0" w:after="0" w:line="288" w:lineRule="auto"/>
        <w:ind w:left="0" w:right="0" w:firstLine="0"/>
        <w:jc w:val="both"/>
        <w:outlineLvl w:val="9"/>
        <w:rPr>
          <w:rFonts w:ascii="Arial" w:eastAsia="Arial" w:hAnsi="Arial" w:cs="Arial"/>
          <w:b w:val="0"/>
          <w:i w:val="0"/>
          <w:color w:val="000000"/>
          <w:sz w:val="20"/>
          <w:u w:val="none"/>
        </w:rPr>
      </w:pPr>
      <w:bookmarkEnd w:id="49"/>
    </w:p>
    <w:p>
      <w:pPr>
        <w:pStyle w:val="Normal-wk"/>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cuentas comerciales a cobrar corrientes se reconocen a su valor nominal, ya que los plazos medios de vencimientos son acotados. Las cuentas comerciales a cobrar no corrientes se reconocen a su costo amortizado.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50" w:name="Section29"/>
      <w:bookmarkEnd w:id="50"/>
      <w:bookmarkStart w:id="51" w:name="51ff977fa3274567b19c39704e1866eb"/>
      <w:r>
        <w:rPr>
          <w:rFonts w:ascii="Calibri" w:eastAsia="Calibri" w:hAnsi="Calibri" w:cs="Calibri"/>
          <w:b/>
          <w:i w:val="0"/>
          <w:color w:val="000000"/>
          <w:sz w:val="20"/>
          <w:u w:val="none"/>
        </w:rPr>
        <w:t>3.18.-</w:t>
      </w:r>
      <w:r>
        <w:rPr>
          <w:rFonts w:ascii="Calibri" w:eastAsia="Calibri" w:hAnsi="Calibri" w:cs="Calibri"/>
          <w:b/>
          <w:i w:val="0"/>
          <w:color w:val="000000"/>
          <w:sz w:val="20"/>
          <w:u w:val="none"/>
        </w:rPr>
        <w:tab/>
      </w:r>
      <w:r>
        <w:rPr>
          <w:rFonts w:ascii="Calibri" w:eastAsia="Calibri" w:hAnsi="Calibri" w:cs="Calibri"/>
          <w:b/>
          <w:i w:val="0"/>
          <w:color w:val="000000"/>
          <w:sz w:val="20"/>
          <w:u w:val="none"/>
        </w:rPr>
        <w:t>Efectivo y equivalentes al efectivo.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51"/>
    </w:p>
    <w:p>
      <w:pPr>
        <w:pStyle w:val="Normal-wk"/>
        <w:keepNext w:val="0"/>
        <w:keepLines/>
        <w:pageBreakBefore w:val="0"/>
        <w:widowControl w:val="0"/>
        <w:numPr>
          <w:ilvl w:val="0"/>
          <w:numId w:val="0"/>
        </w:numPr>
        <w:spacing w:before="0" w:after="0" w:line="240" w:lineRule="exact"/>
        <w:ind w:left="1416" w:right="0" w:firstLine="1"/>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efectivo y equivalentes al efectivo incluyen el efectivo en caja, los depósitos a plazo en entidades de crédito, otras inversiones a corto plazo de gran liquidez con un vencimiento original de tres meses o menos, con un riesgo poco significativo de cambio de valor. En el estado de situación financiera, los sobregiros, de existir, se clasifican como Otros Pasivos Financieros en el Pasivo Corriente.</w:t>
      </w:r>
    </w:p>
    <w:p>
      <w:pPr>
        <w:keepNext w:val="0"/>
        <w:keepLines/>
        <w:pageBreakBefore w:val="0"/>
        <w:widowControl w:val="0"/>
        <w:numPr>
          <w:ilvl w:val="0"/>
          <w:numId w:val="0"/>
        </w:numPr>
        <w:spacing w:before="0" w:after="0" w:line="288" w:lineRule="auto"/>
        <w:ind w:left="1416" w:right="0" w:firstLine="1"/>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6" w:right="0" w:firstLine="1"/>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52" w:name="Section30"/>
      <w:bookmarkEnd w:id="52"/>
      <w:bookmarkStart w:id="53" w:name="2a169b6622d34f2cb6c23178bd37f9e1"/>
      <w:r>
        <w:rPr>
          <w:rFonts w:ascii="Calibri" w:eastAsia="Calibri" w:hAnsi="Calibri" w:cs="Calibri"/>
          <w:b/>
          <w:i w:val="0"/>
          <w:color w:val="000000"/>
          <w:sz w:val="20"/>
          <w:u w:val="none"/>
        </w:rPr>
        <w:t>3.19.-</w:t>
      </w:r>
      <w:r>
        <w:rPr>
          <w:rFonts w:ascii="Calibri" w:eastAsia="Calibri" w:hAnsi="Calibri" w:cs="Calibri"/>
          <w:b/>
          <w:i w:val="0"/>
          <w:color w:val="000000"/>
          <w:sz w:val="20"/>
          <w:u w:val="none"/>
        </w:rPr>
        <w:tab/>
      </w:r>
      <w:r>
        <w:rPr>
          <w:rFonts w:ascii="Calibri" w:eastAsia="Calibri" w:hAnsi="Calibri" w:cs="Calibri"/>
          <w:b/>
          <w:i w:val="0"/>
          <w:color w:val="000000"/>
          <w:sz w:val="20"/>
          <w:u w:val="none"/>
        </w:rPr>
        <w:t>Capital social.</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bookmarkEnd w:id="53"/>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El capital social está representado por acciones ordinarias de una sola clase y un voto por acción.</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 xml:space="preserve">Los costos incrementales directamente atribuibles a la emisión de nuevas acciones se presentan en el patrimonio neto como una deducción, neta de impuestos, de los ingresos obtenidos.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Si la Sociedad adquiere acciones de propia emisión, producto del ejercicio de derecho a retiro de accionistas, el importe de las acciones propias en cartera se deducirá del patrimonio. No se reconocerá ninguna pérdida o ganancia en el resultado del ejercicio derivada de la compra, venta, emisión o amortización de los instrumentos de patrimonio propios de la entidad.</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54" w:name="Section31"/>
      <w:bookmarkEnd w:id="54"/>
      <w:bookmarkStart w:id="55" w:name="25f0fa34aa5c48f78d5c5600ce09b384"/>
      <w:r>
        <w:rPr>
          <w:rFonts w:ascii="Calibri" w:eastAsia="Calibri" w:hAnsi="Calibri" w:cs="Calibri"/>
          <w:b/>
          <w:i w:val="0"/>
          <w:color w:val="000000"/>
          <w:sz w:val="20"/>
          <w:u w:val="none"/>
        </w:rPr>
        <w:t>3.20.-</w:t>
      </w:r>
      <w:r>
        <w:rPr>
          <w:rFonts w:ascii="Calibri" w:eastAsia="Calibri" w:hAnsi="Calibri" w:cs="Calibri"/>
          <w:b/>
          <w:i w:val="0"/>
          <w:color w:val="000000"/>
          <w:sz w:val="20"/>
          <w:u w:val="none"/>
        </w:rPr>
        <w:tab/>
      </w:r>
      <w:r>
        <w:rPr>
          <w:rFonts w:ascii="Calibri" w:eastAsia="Calibri" w:hAnsi="Calibri" w:cs="Calibri"/>
          <w:b/>
          <w:i w:val="0"/>
          <w:color w:val="000000"/>
          <w:sz w:val="20"/>
          <w:u w:val="none"/>
        </w:rPr>
        <w:t>Cuentas por pagar comerciales y otras cuentas por pagar.</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bookmarkEnd w:id="55"/>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cuentas por pagar comerciales y otras cuentas por pagar corrientes y no corrientes se reconocen inicialmente a su valor razonable, posteriormente se valoran a costo amortizado utilizando el método de la tasa de interés efectiva.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56" w:name="Section32"/>
      <w:bookmarkEnd w:id="56"/>
      <w:bookmarkStart w:id="57" w:name="a2de2cc3819841169f92cce868384d52"/>
      <w:r>
        <w:rPr>
          <w:rFonts w:ascii="Calibri" w:eastAsia="Calibri" w:hAnsi="Calibri" w:cs="Calibri"/>
          <w:b/>
          <w:i w:val="0"/>
          <w:color w:val="000000"/>
          <w:sz w:val="20"/>
          <w:u w:val="none"/>
        </w:rPr>
        <w:t>3.21.-</w:t>
      </w:r>
      <w:r>
        <w:rPr>
          <w:rFonts w:ascii="Calibri" w:eastAsia="Calibri" w:hAnsi="Calibri" w:cs="Calibri"/>
          <w:b/>
          <w:i w:val="0"/>
          <w:color w:val="000000"/>
          <w:sz w:val="20"/>
          <w:u w:val="none"/>
        </w:rPr>
        <w:tab/>
      </w:r>
      <w:r>
        <w:rPr>
          <w:rFonts w:ascii="Calibri" w:eastAsia="Calibri" w:hAnsi="Calibri" w:cs="Calibri"/>
          <w:b/>
          <w:i w:val="0"/>
          <w:color w:val="000000"/>
          <w:sz w:val="20"/>
          <w:u w:val="none"/>
        </w:rPr>
        <w:t>Préstamos y otros pasivos financieros.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bookmarkEnd w:id="57"/>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Los préstamos, obligaciones con el público y pasivos financieros de naturaleza similar se reconocen inicialmente a su valor razonable, neto de los costos en que se haya incurrido en la transacción. Posteriormente, se valorizan a su costo amortizado y cualquier diferencia entre los fondos obtenidos (netos de los costos necesarios para su obtención) y el valor de reembolso, se reconoce en el estado de resultados durante el plazo de la deuda de acuerdo con el método de la tasa de interés efectiva.</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 xml:space="preserve">Las obligaciones financieras se clasifican como pasivos corrientes a menos que CGE Transmisión S.A. y subsidiarias tengan un derecho incondicional a diferir su liquidación durante al menos 12 meses después de la fecha de los estados de situación financiera.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58" w:name="Section33"/>
      <w:bookmarkEnd w:id="58"/>
      <w:bookmarkStart w:id="59" w:name="cdbb0aa2558944808d01c69bc2a6503f"/>
      <w:r>
        <w:rPr>
          <w:rFonts w:ascii="Calibri" w:eastAsia="Calibri" w:hAnsi="Calibri" w:cs="Calibri"/>
          <w:b/>
          <w:i w:val="0"/>
          <w:color w:val="000000"/>
          <w:sz w:val="20"/>
          <w:u w:val="none"/>
        </w:rPr>
        <w:t>3.22.-</w:t>
      </w:r>
      <w:r>
        <w:rPr>
          <w:rFonts w:ascii="Calibri" w:eastAsia="Calibri" w:hAnsi="Calibri" w:cs="Calibri"/>
          <w:b/>
          <w:i w:val="0"/>
          <w:color w:val="000000"/>
          <w:sz w:val="20"/>
          <w:u w:val="none"/>
        </w:rPr>
        <w:tab/>
      </w:r>
      <w:r>
        <w:rPr>
          <w:rFonts w:ascii="Calibri" w:eastAsia="Calibri" w:hAnsi="Calibri" w:cs="Calibri"/>
          <w:b/>
          <w:i w:val="0"/>
          <w:color w:val="000000"/>
          <w:sz w:val="20"/>
          <w:u w:val="none"/>
        </w:rPr>
        <w:t>Impuesto a las ganancias e impuestos diferidos.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bookmarkEnd w:id="59"/>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 xml:space="preserve">El gasto por impuesto a las ganancias del período o ejercicio comprende al impuesto a la renta corriente y al impuesto diferido. El impuesto se reconoce en el estado de resultados, excepto cuando se trata de partidas que se reconocen directamente en el patrimonio, en otros resultados integral o provienen de una combinación de negocios. </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El impuesto a la renta corriente comprende el impuesto esperado por pagar o por cobrar sobre la ganancia o pérdida imponible del año y cualquier ajuste al impuesto por pagar o por cobrar con respecto a años anteriores. El monto del impuesto a la renta corriente por pagar o por cobrar es la mejor estimación del monto del impuesto que se espera pagar o recibir. El cargo por impuesto a la renta corriente se calcula sobre la base de las leyes tributarias vigentes a la fecha del estado de situación financiera y las tasas vigentes que establecen dichos cuerpos legales.</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Los impuestos diferidos se calculan a partir de las diferencias que surgen entre las bases tributarias de los activos y pasivos, y sus importes en libros en los estados financieros. Sin embargo, si los impuestos diferidos surgen del reconocimiento inicial de un pasivo o un activo en una transacción distinta de una combinación de negocios que en el momento de la transacción no afecta ni al resultado contable ni a la ganancia o pérdida fiscal, no se contabiliza. El impuesto diferido se determina usando tasas impositivas (y leyes) aprobadas o a punto de aprobarse en la fecha de los estados de situación financiera y que se espera aplicar cuando el correspondiente activo por impuesto diferido se realice o el pasivo por impuesto diferido se liquide.</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Los activos por impuestos diferidos se reconocen por las pérdidas fiscales no utilizadas, los créditos fiscales no utilizados y las diferencias temporarias deducibles en la medida en que sea probable que se disponga de ganancias fiscales futuras contra las cuales puedan utilizarse. Las ganancias fiscales futuras se determinan con base en la reversión de las diferencias temporarias imponibles relevantes. Si el monto de las diferencias temporarias imponibles es insuficiente para reconocer un activo por impuestos diferidos en su totalidad, entonces se consideran las ganancias imponibles futuras, ajustadas por las reversiones de las diferencias temporarias existentes, con base en los planes de negocios de las subsidiarias individuales del Grupo. Los activos por impuestos diferidos se revisan en cada fecha de presentación y se reducen en la medida en que ya no es probable que se realice el beneficio fiscal relacionado; dichas reducciones se revierten cuando mejora la probabilidad de ganancias imponibles futuras.</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El impuesto a la renta diferido se reconoce por las diferencias temporales que surgen de las inversiones en subsidiarias y en asociadas, excepto cuando la oportunidad en que se revertirán las diferencias temporales es controlada por la Sociedad y es probable que la diferencia temporal no se revertirá en un momento previsible en el futuro.</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1417" w:right="0" w:firstLine="0"/>
        <w:jc w:val="both"/>
        <w:outlineLvl w:val="9"/>
        <w:sectPr>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auto"/>
        <w:ind w:left="0" w:right="0" w:firstLine="708"/>
        <w:jc w:val="both"/>
        <w:outlineLvl w:val="1"/>
        <w:rPr>
          <w:rFonts w:ascii="Times New Roman" w:eastAsia="Times New Roman" w:hAnsi="Times New Roman" w:cs="Times New Roman"/>
          <w:b/>
          <w:i w:val="0"/>
          <w:color w:val="000000"/>
          <w:sz w:val="24"/>
          <w:u w:val="none"/>
        </w:rPr>
      </w:pPr>
      <w:bookmarkStart w:id="60" w:name="Section34"/>
      <w:bookmarkEnd w:id="60"/>
      <w:bookmarkStart w:id="61" w:name="ee59d27b415b4ef9a308fc7af717b473"/>
      <w:r>
        <w:rPr>
          <w:rFonts w:ascii="Calibri" w:eastAsia="Calibri" w:hAnsi="Calibri" w:cs="Calibri"/>
          <w:b/>
          <w:i w:val="0"/>
          <w:color w:val="000000"/>
          <w:sz w:val="20"/>
          <w:u w:val="none"/>
        </w:rPr>
        <w:t>3.23.-</w:t>
      </w:r>
      <w:r>
        <w:rPr>
          <w:rFonts w:ascii="Calibri" w:eastAsia="Calibri" w:hAnsi="Calibri" w:cs="Calibri"/>
          <w:b/>
          <w:i w:val="0"/>
          <w:color w:val="000000"/>
          <w:sz w:val="20"/>
          <w:u w:val="none"/>
        </w:rPr>
        <w:tab/>
      </w:r>
      <w:r>
        <w:rPr>
          <w:rFonts w:ascii="Calibri" w:eastAsia="Calibri" w:hAnsi="Calibri" w:cs="Calibri"/>
          <w:b/>
          <w:i w:val="0"/>
          <w:color w:val="000000"/>
          <w:sz w:val="20"/>
          <w:u w:val="none"/>
        </w:rPr>
        <w:t xml:space="preserve">Obligaciones por beneficios post empleo u otros similares.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bookmarkEnd w:id="61"/>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3.23.1.-</w:t>
      </w:r>
      <w:r>
        <w:rPr>
          <w:rFonts w:ascii="Calibri" w:eastAsia="Calibri" w:hAnsi="Calibri" w:cs="Calibri"/>
          <w:b w:val="0"/>
          <w:i w:val="0"/>
          <w:sz w:val="20"/>
        </w:rPr>
        <w:tab/>
      </w:r>
      <w:r>
        <w:rPr>
          <w:rFonts w:ascii="Calibri" w:eastAsia="Calibri" w:hAnsi="Calibri" w:cs="Calibri"/>
          <w:b w:val="0"/>
          <w:i w:val="0"/>
          <w:sz w:val="20"/>
        </w:rPr>
        <w:t>Vacaciones del personal.</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CGE Transmisión S.A. y subsidiarias reconocen el gasto por vacaciones del personal mediante el método del devengo. Este beneficio corresponde a todo el personal y equivale a un importe fijo según los contratos particulares de cada trabajador. Este beneficio es registrado a su valor nominal y presentado bajo el rubro Cuentas por pagar comerciales y otras cuentas por pagar.</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3.23.2.-</w:t>
      </w:r>
      <w:r>
        <w:rPr>
          <w:rFonts w:ascii="Calibri" w:eastAsia="Calibri" w:hAnsi="Calibri" w:cs="Calibri"/>
          <w:b w:val="0"/>
          <w:i w:val="0"/>
          <w:sz w:val="20"/>
        </w:rPr>
        <w:tab/>
      </w:r>
      <w:r>
        <w:rPr>
          <w:rFonts w:ascii="Calibri" w:eastAsia="Calibri" w:hAnsi="Calibri" w:cs="Calibri"/>
          <w:b w:val="0"/>
          <w:i w:val="0"/>
          <w:sz w:val="20"/>
        </w:rPr>
        <w:t>Beneficios post jubilatorios.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CGE Transmisión S.A. y subsidiarias mantienen beneficios post-jubilatorios acordados con el personal conforme a los contratos colectivos e individuales vigentes, para todo el personal contratado con anterioridad al año 1992. Este beneficio se reconoce en base al método de la unidad de crédito proyectada.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3.23.3.-</w:t>
      </w:r>
      <w:r>
        <w:rPr>
          <w:rFonts w:ascii="Calibri" w:eastAsia="Calibri" w:hAnsi="Calibri" w:cs="Calibri"/>
          <w:b w:val="0"/>
          <w:i w:val="0"/>
          <w:sz w:val="20"/>
        </w:rPr>
        <w:tab/>
      </w:r>
      <w:r>
        <w:rPr>
          <w:rFonts w:ascii="Calibri" w:eastAsia="Calibri" w:hAnsi="Calibri" w:cs="Calibri"/>
          <w:b w:val="0"/>
          <w:i w:val="0"/>
          <w:sz w:val="20"/>
        </w:rPr>
        <w:t>Indemnizaciones por años de servicio (PIAS).</w:t>
      </w:r>
    </w:p>
    <w:p>
      <w:pPr>
        <w:keepNext/>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CGE Transmisión S.A. y subsidiarias constituyen pasivos por obligaciones por indemnizaciones por cese de servicios, en base a lo estipulado en los contratos colectivos e individuales del personal. Si este beneficio se encuentra pactado, la obligación se trata de acuerdo con NIC 19, de la misma manera que los planes de beneficios definidos y es registrada mediante el método de la unidad de crédito proyectada. El resto de los beneficios por cese de servicios se tratan según el apartado siguiente.</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planes de beneficios definidos establecen el monto de retribución que recibirá un empleado al momento estimado de goce del beneficio, el que usualmente, depende de uno o más factores, tales como, edad del empleado, rotación, años de servicio y compensación.</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pasivo reconocido en el estado de situación financiera es el valor presente de la obligación del beneficio definido. El valor presente de la obligación de beneficio definido se determina descontando los flujos de salida de efectivo estimados, usando rendimientos de mercado de bonos denominados en la misma moneda en la que los beneficios serán pagados y que tienen términos que se aproximan a los términos de la obligación por PIAS hasta su vencimiento.</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costos de servicios pasados se reconocen inmediatamente en resultados. Las ganancias y pérdidas actuariales se reconocen inmediatamente en el balance, con un cargo o abono a otros resultados integrales en los periodos en los cuales ocurren. No son reciclados posteriormente.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3.23.4.-</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Otros beneficios por cese de la relación laboral.</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Los beneficios por cese que no califican con lo descrito en el punto 3.23.3.- se pagan cuando la relación laboral se interrumpe antes de la fecha normal de retiro o cuando un empleado acepta voluntariamente el cese a cambio de estos beneficios. CGE Transmisión S.A. y subsidiarias reconocen los beneficios por cese cuando está demostrablemente comprometido, ya sea: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14"/>
        </w:numPr>
        <w:spacing w:before="0" w:after="0" w:line="240" w:lineRule="exact"/>
        <w:ind w:left="2551" w:right="0" w:hanging="425"/>
        <w:jc w:val="both"/>
        <w:outlineLvl w:val="9"/>
        <w:rPr>
          <w:rFonts w:ascii="Calibri" w:eastAsia="Calibri" w:hAnsi="Calibri" w:cs="Calibri"/>
          <w:b w:val="0"/>
          <w:i w:val="0"/>
          <w:sz w:val="20"/>
        </w:rPr>
      </w:pPr>
      <w:r>
        <w:rPr>
          <w:rFonts w:ascii="Calibri" w:eastAsia="Calibri" w:hAnsi="Calibri" w:cs="Calibri"/>
          <w:b w:val="0"/>
          <w:i w:val="0"/>
          <w:sz w:val="20"/>
        </w:rPr>
        <w:t>A poner fin a la relación laboral de empleados de acuerdo a un plan formal detallado sin posibilidad de renuncia; 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14"/>
        </w:numPr>
        <w:spacing w:before="0" w:after="0" w:line="240" w:lineRule="exact"/>
        <w:ind w:left="2551" w:right="0" w:hanging="425"/>
        <w:jc w:val="both"/>
        <w:outlineLvl w:val="9"/>
        <w:rPr>
          <w:rFonts w:ascii="Calibri" w:eastAsia="Calibri" w:hAnsi="Calibri" w:cs="Calibri"/>
          <w:b w:val="0"/>
          <w:i w:val="0"/>
          <w:sz w:val="20"/>
        </w:rPr>
      </w:pPr>
      <w:r>
        <w:rPr>
          <w:rFonts w:ascii="Calibri" w:eastAsia="Calibri" w:hAnsi="Calibri" w:cs="Calibri"/>
          <w:b w:val="0"/>
          <w:i w:val="0"/>
          <w:sz w:val="20"/>
        </w:rPr>
        <w:t>De proporcionar beneficios por cese como resultado de una oferta hecha para incentivar el retiro voluntario. Los beneficios que vencen en más de 12 meses después de la fecha del estado de situación financiera, de existir, se descuentan a su valor presente.</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sz w:val="20"/>
        </w:rPr>
      </w:pPr>
      <w:r>
        <w:rPr>
          <w:rFonts w:ascii="Calibri" w:eastAsia="Calibri" w:hAnsi="Calibri" w:cs="Calibri"/>
          <w:b w:val="0"/>
          <w:i w:val="0"/>
          <w:sz w:val="20"/>
        </w:rPr>
        <w:t>3.23.5.-</w:t>
      </w:r>
      <w:r>
        <w:rPr>
          <w:rFonts w:ascii="Calibri" w:eastAsia="Calibri" w:hAnsi="Calibri" w:cs="Calibri"/>
          <w:b w:val="0"/>
          <w:i w:val="0"/>
          <w:sz w:val="20"/>
        </w:rPr>
        <w:tab/>
      </w:r>
      <w:r>
        <w:rPr>
          <w:rFonts w:ascii="Calibri" w:eastAsia="Calibri" w:hAnsi="Calibri" w:cs="Calibri"/>
          <w:b w:val="0"/>
          <w:i w:val="0"/>
          <w:sz w:val="20"/>
        </w:rPr>
        <w:t xml:space="preserve">Premios de </w:t>
      </w:r>
      <w:r>
        <w:rPr>
          <w:rFonts w:ascii="Calibri" w:eastAsia="Calibri" w:hAnsi="Calibri" w:cs="Calibri"/>
          <w:b w:val="0"/>
          <w:i w:val="0"/>
          <w:color w:val="000000"/>
          <w:sz w:val="20"/>
          <w:u w:val="none"/>
        </w:rPr>
        <w:t>antigüedad</w:t>
      </w:r>
      <w:r>
        <w:rPr>
          <w:rFonts w:ascii="Calibri" w:eastAsia="Calibri" w:hAnsi="Calibri" w:cs="Calibri"/>
          <w:b w:val="0"/>
          <w:i w:val="0"/>
          <w:sz w:val="20"/>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CGE Transmisión S.A. y subsidiarias tienen pactado premios pagaderos a los empleados, toda vez que éstos cumplan cierto número de años de servicio en la Sociedad. Este beneficio se reconoce en base a estimaciones actuariales. Los costos de servicio e intereses se reconocen inmediatamente en resultados. Las ganancias y pérdidas actuariales se reconocen inmediatamente en el balance, con un cargo o abono a otros resultados integrales en los períodos o ejercicios en los cuales ocurren. No son reciclados posteriormente.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3.23.6.-</w:t>
      </w:r>
      <w:r>
        <w:rPr>
          <w:rFonts w:ascii="Calibri" w:eastAsia="Calibri" w:hAnsi="Calibri" w:cs="Calibri"/>
          <w:b w:val="0"/>
          <w:i w:val="0"/>
          <w:sz w:val="20"/>
        </w:rPr>
        <w:tab/>
      </w:r>
      <w:r>
        <w:rPr>
          <w:rFonts w:ascii="Calibri" w:eastAsia="Calibri" w:hAnsi="Calibri" w:cs="Calibri"/>
          <w:b w:val="0"/>
          <w:i w:val="0"/>
          <w:sz w:val="20"/>
        </w:rPr>
        <w:t>Participación en las utilidades.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CGE Transmisión S.A. y subsidiarias reconocen un pasivo y un gasto por participación en las utilidades en base a contratos colectivos e individuales de sus trabajadores, sobre la base de una fórmula que toma en cuenta la utilidad atribuible a los accionistas de las Sociedades.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62" w:name="Section35"/>
      <w:bookmarkEnd w:id="62"/>
      <w:bookmarkStart w:id="63" w:name="98b1ad25fa1b495a893e07cf306dc09b"/>
      <w:r>
        <w:rPr>
          <w:rFonts w:ascii="Calibri" w:eastAsia="Calibri" w:hAnsi="Calibri" w:cs="Calibri"/>
          <w:b/>
          <w:i w:val="0"/>
          <w:color w:val="000000"/>
          <w:sz w:val="20"/>
          <w:u w:val="none"/>
        </w:rPr>
        <w:t>3.24.-</w:t>
      </w:r>
      <w:r>
        <w:rPr>
          <w:rFonts w:ascii="Calibri" w:eastAsia="Calibri" w:hAnsi="Calibri" w:cs="Calibri"/>
          <w:b/>
          <w:i w:val="0"/>
          <w:color w:val="000000"/>
          <w:sz w:val="20"/>
          <w:u w:val="none"/>
        </w:rPr>
        <w:tab/>
      </w:r>
      <w:r>
        <w:rPr>
          <w:rFonts w:ascii="Calibri" w:eastAsia="Calibri" w:hAnsi="Calibri" w:cs="Calibri"/>
          <w:b/>
          <w:i w:val="0"/>
          <w:color w:val="000000"/>
          <w:sz w:val="20"/>
          <w:u w:val="none"/>
        </w:rPr>
        <w:t>Provisiones.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63"/>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CGE Transmisión S.A. y subsidiarias reconocen una provisión cuando están obligados contractualmente o cuando existe una práctica del pasado que ha creado una obligación asumida.</w:t>
      </w:r>
    </w:p>
    <w:p>
      <w:pPr>
        <w:pStyle w:val="Normal-wk"/>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provisiones para contratos onerosos, litigios y otras contingencias se reconocen cuando: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15"/>
        </w:numPr>
        <w:spacing w:before="0" w:after="0" w:line="240" w:lineRule="exact"/>
        <w:ind w:left="1842" w:right="0" w:hanging="425"/>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CGE Transmisión S.A. y subsidiarias tienen una obligación presente, ya sea legal o constructiva, como resultado de sucesos pasados;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16"/>
        </w:numPr>
        <w:spacing w:before="0" w:after="0" w:line="240" w:lineRule="exact"/>
        <w:ind w:left="1842" w:right="0" w:hanging="425"/>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Es prob</w:t>
      </w:r>
      <w:r>
        <w:rPr>
          <w:rFonts w:ascii="Calibri" w:eastAsia="Calibri" w:hAnsi="Calibri" w:cs="Calibri"/>
          <w:b w:val="0"/>
          <w:i w:val="0"/>
          <w:color w:val="000000"/>
          <w:sz w:val="20"/>
          <w:u w:val="none"/>
        </w:rPr>
        <w:t>able que vaya a ser necesaria una salida de recursos para liquidar la obligación;</w:t>
      </w:r>
    </w:p>
    <w:p>
      <w:pPr>
        <w:keepNext w:val="0"/>
        <w:keepLines/>
        <w:pageBreakBefore w:val="0"/>
        <w:widowControl w:val="0"/>
        <w:numPr>
          <w:ilvl w:val="0"/>
          <w:numId w:val="0"/>
        </w:numPr>
        <w:spacing w:before="0" w:after="0" w:line="288" w:lineRule="auto"/>
        <w:ind w:left="2126" w:right="0" w:hanging="34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17"/>
        </w:numPr>
        <w:spacing w:before="0" w:after="0" w:line="288" w:lineRule="auto"/>
        <w:ind w:left="1842" w:right="0" w:hanging="425"/>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i</w:t>
      </w:r>
      <w:r>
        <w:rPr>
          <w:rFonts w:ascii="Calibri" w:eastAsia="Calibri" w:hAnsi="Calibri" w:cs="Calibri"/>
          <w:b w:val="0"/>
          <w:i w:val="0"/>
          <w:color w:val="000000"/>
          <w:sz w:val="20"/>
          <w:u w:val="none"/>
        </w:rPr>
        <w:t xml:space="preserve">mporte puede ser estimado de forma fiable.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Las provisiones se valoran por el valor actual de los desembolsos que se espera que sean necesarios para liquidar la obligación usando la mejor estimación de CGE Transmisión S.A. y subsidiarias. La tasa de descuento utilizada para determinar el valor actual refleja las evaluaciones actuales del mercado, en la fecha de cierre de los estados financieros, del valor temporal del dinero, así como el riesgo específico relacionado con el pasivo en particular, de corresponder. El incremento en la provisión por el paso del tiempo se reconoce en el rubro gasto por intereses.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64" w:name="Section36"/>
      <w:bookmarkEnd w:id="64"/>
      <w:bookmarkStart w:id="65" w:name="1e4855ca85ab481aa6ccaca868d26e0c"/>
      <w:r>
        <w:rPr>
          <w:rFonts w:ascii="Calibri" w:eastAsia="Calibri" w:hAnsi="Calibri" w:cs="Calibri"/>
          <w:b/>
          <w:i w:val="0"/>
          <w:color w:val="000000"/>
          <w:sz w:val="20"/>
          <w:u w:val="none"/>
        </w:rPr>
        <w:t>3.25.-</w:t>
      </w:r>
      <w:r>
        <w:rPr>
          <w:rFonts w:ascii="Calibri" w:eastAsia="Calibri" w:hAnsi="Calibri" w:cs="Calibri"/>
          <w:b/>
          <w:i w:val="0"/>
          <w:color w:val="000000"/>
          <w:sz w:val="20"/>
          <w:u w:val="none"/>
        </w:rPr>
        <w:tab/>
      </w:r>
      <w:r>
        <w:rPr>
          <w:rFonts w:ascii="Calibri" w:eastAsia="Calibri" w:hAnsi="Calibri" w:cs="Calibri"/>
          <w:b/>
          <w:i w:val="0"/>
          <w:color w:val="000000"/>
          <w:sz w:val="20"/>
          <w:u w:val="none"/>
        </w:rPr>
        <w:t>Subvenciones estatales.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65"/>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subvenciones estatales se reconocen por su valor razonable, cuando hay una seguridad razonable de que la subvención se cobrará, y CGE Transmisión S.A. y subsidiarias cumplirán con todas las condiciones establecidas.</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subvenciones estatales relacionadas con costos se difieren como pasivo y se reconocen en el estado de resultados durante el periodo necesario para correlacionarlas con los costos que pretenden compensar. Las subvenciones estatales relacionadas con la adquisición de propiedades, planta y equipo se presentan netas del valor del activo correspondiente y se abonan en el estado de resultados sobre una base lineal durante las vidas esperadas de los activos.</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subvenciones estatales relacionadas con bonificación a la mano de obra se abonan directamente a resultados.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66" w:name="Section37"/>
      <w:bookmarkEnd w:id="66"/>
      <w:bookmarkStart w:id="67" w:name="7f83c179c0b44e4b8a72ea5090f8a086"/>
      <w:r>
        <w:rPr>
          <w:rFonts w:ascii="Calibri" w:eastAsia="Calibri" w:hAnsi="Calibri" w:cs="Calibri"/>
          <w:b/>
          <w:i w:val="0"/>
          <w:color w:val="000000"/>
          <w:sz w:val="20"/>
          <w:u w:val="none"/>
        </w:rPr>
        <w:t>3.26.-</w:t>
      </w:r>
      <w:r>
        <w:rPr>
          <w:rFonts w:ascii="Calibri" w:eastAsia="Calibri" w:hAnsi="Calibri" w:cs="Calibri"/>
          <w:b/>
          <w:i w:val="0"/>
          <w:color w:val="000000"/>
          <w:sz w:val="20"/>
          <w:u w:val="none"/>
        </w:rPr>
        <w:tab/>
      </w:r>
      <w:r>
        <w:rPr>
          <w:rFonts w:ascii="Calibri" w:eastAsia="Calibri" w:hAnsi="Calibri" w:cs="Calibri"/>
          <w:b/>
          <w:i w:val="0"/>
          <w:color w:val="000000"/>
          <w:sz w:val="20"/>
          <w:u w:val="none"/>
        </w:rPr>
        <w:t>Clasificación de saldos en corrientes y no corrientes.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67"/>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En el estado de situación financiera, los saldos se clasifican en función de sus vencimientos o plazos estimados de realización, como corrientes los con vencimiento igual o inferior a doce meses contados desde la fecha de corte de los estados financieros y como no corrientes, los mayores a ese periodo. </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En el caso que existan obligaciones cuyo vencimiento es inferior a doce meses, pero cuyo refinanciamiento a largo plazo se encuentre asegurado, se reclasifican como no corrientes.</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7"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68" w:name="Section38"/>
      <w:bookmarkEnd w:id="68"/>
      <w:bookmarkStart w:id="69" w:name="6195e67c134f4c87b150c15fd39aad38"/>
      <w:r>
        <w:rPr>
          <w:rFonts w:ascii="Calibri" w:eastAsia="Calibri" w:hAnsi="Calibri" w:cs="Calibri"/>
          <w:b/>
          <w:i w:val="0"/>
          <w:color w:val="000000"/>
          <w:sz w:val="20"/>
          <w:u w:val="none"/>
        </w:rPr>
        <w:t>3.27.-</w:t>
      </w:r>
      <w:r>
        <w:rPr>
          <w:rFonts w:ascii="Calibri" w:eastAsia="Calibri" w:hAnsi="Calibri" w:cs="Calibri"/>
          <w:b/>
          <w:i w:val="0"/>
          <w:color w:val="000000"/>
          <w:sz w:val="20"/>
          <w:u w:val="none"/>
        </w:rPr>
        <w:tab/>
      </w:r>
      <w:r>
        <w:rPr>
          <w:rFonts w:ascii="Calibri" w:eastAsia="Calibri" w:hAnsi="Calibri" w:cs="Calibri"/>
          <w:b/>
          <w:i w:val="0"/>
          <w:color w:val="000000"/>
          <w:sz w:val="20"/>
          <w:u w:val="none"/>
        </w:rPr>
        <w:t>Reconocimiento de ingresos.</w:t>
      </w:r>
    </w:p>
    <w:p>
      <w:pPr>
        <w:keepNext w:val="0"/>
        <w:keepLines/>
        <w:pageBreakBefore w:val="0"/>
        <w:widowControl w:val="0"/>
        <w:numPr>
          <w:ilvl w:val="0"/>
          <w:numId w:val="0"/>
        </w:numPr>
        <w:spacing w:before="0" w:after="0" w:line="288" w:lineRule="auto"/>
        <w:ind w:left="0" w:right="0" w:firstLine="0"/>
        <w:jc w:val="both"/>
        <w:outlineLvl w:val="9"/>
        <w:rPr>
          <w:rFonts w:ascii="Arial" w:eastAsia="Arial" w:hAnsi="Arial" w:cs="Arial"/>
          <w:b w:val="0"/>
          <w:i w:val="0"/>
          <w:color w:val="000000"/>
          <w:sz w:val="20"/>
          <w:u w:val="none"/>
        </w:rPr>
      </w:pPr>
      <w:bookmarkEnd w:id="69"/>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Los ingresos ordinarios se reconocen por un monto que refleja la contraprestación recibida o a recibir que la entidad tiene derecho a cambio de transferir bienes o servicios a un cliente. La entidad ha analizado y tomado en consideración todos los hechos y circunstancias relevantes al aplicar cada paso del modelo establecido por NIIF 15 a los contratos con sus clientes (identificación del contrato, identificar obligaciones de desempeño, determinar el precio de la transacción, asignar el precio, reconocer el ingreso). También ha evaluado la existencia de costos incrementales de la obtención de un contrato y los costos directamente relacionados con el cumplimiento de un contrato.</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CGE Transmisión S.A. y subsidiarias reconocen los ingresos cuando se han cumplido satisfactoriamente los pasos establecidos en la norma y es probable que los beneficios económicos futuros vayan a fluir a la entidad y se cumplen las condiciones específicas para cada una de las actividades de CGE Transmisión S.A. y subsidiarias, tal y como se describe a continuación: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tabs>
          <w:tab w:val="left" w:pos="700"/>
        </w:tabs>
        <w:spacing w:before="0" w:after="0" w:line="288" w:lineRule="auto"/>
        <w:ind w:left="708" w:right="0" w:firstLine="708"/>
        <w:jc w:val="both"/>
        <w:outlineLvl w:val="9"/>
        <w:rPr>
          <w:rFonts w:ascii="Calibri" w:eastAsia="Calibri" w:hAnsi="Calibri" w:cs="Calibri"/>
          <w:b w:val="0"/>
          <w:i w:val="0"/>
          <w:color w:val="000000"/>
          <w:sz w:val="20"/>
          <w:u w:val="none"/>
        </w:rPr>
      </w:pPr>
    </w:p>
    <w:p>
      <w:pPr>
        <w:pStyle w:val="Normal-wk"/>
        <w:keepNext w:val="0"/>
        <w:keepLines/>
        <w:pageBreakBefore/>
        <w:widowControl w:val="0"/>
        <w:numPr>
          <w:ilvl w:val="0"/>
          <w:numId w:val="0"/>
        </w:numPr>
        <w:tabs>
          <w:tab w:val="left" w:pos="700"/>
        </w:tabs>
        <w:spacing w:before="0" w:after="0" w:line="240" w:lineRule="exact"/>
        <w:ind w:left="708" w:right="0" w:firstLine="708"/>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3.27.1.-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Servicios de transmisión y transformación de energía eléctrica.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 xml:space="preserve">El ingreso por servicios de transmisión y transformación de energía eléctrica se registra en base a la facturación efectiva del periodo de consumo, además de incluir una estimación de los servicios que han sido suministrados hasta la fecha de cierre del periodo o ejercicio, dado que en dichos contratos existe una obligación de desempeño.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3.27.2.-</w:t>
      </w:r>
      <w:r>
        <w:rPr>
          <w:rFonts w:ascii="Calibri" w:eastAsia="Calibri" w:hAnsi="Calibri" w:cs="Calibri"/>
          <w:b w:val="0"/>
          <w:i w:val="0"/>
          <w:sz w:val="20"/>
        </w:rPr>
        <w:tab/>
      </w:r>
      <w:r>
        <w:rPr>
          <w:rFonts w:ascii="Calibri" w:eastAsia="Calibri" w:hAnsi="Calibri" w:cs="Calibri"/>
          <w:b w:val="0"/>
          <w:i w:val="0"/>
          <w:sz w:val="20"/>
        </w:rPr>
        <w:t>Ventas de bienes.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Las ventas de bienes incluyen por lo general una obligación de desempeño, por lo que el ingreso por ventas de bienes se reconoce con la entrega física o efectiva.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3.27.3.-</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Ingresos por intereses.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Los ingresos por intereses se reconocen usando el método de la tasa de interés efectiva.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3.27.4.-</w:t>
      </w:r>
      <w:r>
        <w:rPr>
          <w:rFonts w:ascii="Calibri" w:eastAsia="Calibri" w:hAnsi="Calibri" w:cs="Calibri"/>
          <w:b w:val="0"/>
          <w:i w:val="0"/>
          <w:sz w:val="20"/>
        </w:rPr>
        <w:tab/>
      </w:r>
      <w:r>
        <w:rPr>
          <w:rFonts w:ascii="Calibri" w:eastAsia="Calibri" w:hAnsi="Calibri" w:cs="Calibri"/>
          <w:b w:val="0"/>
          <w:i w:val="0"/>
          <w:sz w:val="20"/>
        </w:rPr>
        <w:t>Ingresos por dividendos de inversiones temporales.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Los ingresos por dividendos se reconocen cuando se establece el derecho de recibirlos o se percibe su pago.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3.27.5.-</w:t>
      </w:r>
      <w:r>
        <w:rPr>
          <w:rFonts w:ascii="Calibri" w:eastAsia="Calibri" w:hAnsi="Calibri" w:cs="Calibri"/>
          <w:b w:val="0"/>
          <w:i w:val="0"/>
          <w:sz w:val="20"/>
        </w:rPr>
        <w:tab/>
      </w:r>
      <w:r>
        <w:rPr>
          <w:rFonts w:ascii="Calibri" w:eastAsia="Calibri" w:hAnsi="Calibri" w:cs="Calibri"/>
          <w:b w:val="0"/>
          <w:i w:val="0"/>
          <w:sz w:val="20"/>
        </w:rPr>
        <w:t>Ingresos por construcción de obras.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Los ingresos y costos del contrato de construcción se reconocen en resultados de acuerdo con el método del producto (grado de avance físico). Cuando el resultado de un contrato de construcción no puede estimarse de forma fiable, los ingresos del contrato se reconocen sólo hasta el límite de los costos del contrato incurridos que sea probable que se recuperarán. Cuando el resultado de un contrato de construcción puede estimarse de forma fiable y es probable que el contrato vaya a ser rentable, los ingresos del contrato se reconocen durante el periodo del contrato.</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3.27.6.-</w:t>
      </w:r>
      <w:r>
        <w:rPr>
          <w:rFonts w:ascii="Calibri" w:eastAsia="Calibri" w:hAnsi="Calibri" w:cs="Calibri"/>
          <w:b w:val="0"/>
          <w:i w:val="0"/>
          <w:sz w:val="20"/>
        </w:rPr>
        <w:tab/>
      </w:r>
      <w:r>
        <w:rPr>
          <w:rFonts w:ascii="Calibri" w:eastAsia="Calibri" w:hAnsi="Calibri" w:cs="Calibri"/>
          <w:b w:val="0"/>
          <w:i w:val="0"/>
          <w:sz w:val="20"/>
        </w:rPr>
        <w:t>Ingresos por servi</w:t>
      </w:r>
      <w:r>
        <w:rPr>
          <w:rFonts w:ascii="Calibri" w:eastAsia="Calibri" w:hAnsi="Calibri" w:cs="Calibri"/>
          <w:b w:val="0"/>
          <w:i w:val="0"/>
          <w:color w:val="000000"/>
          <w:sz w:val="20"/>
          <w:u w:val="none"/>
        </w:rPr>
        <w:t xml:space="preserve">cios de </w:t>
      </w:r>
      <w:r>
        <w:rPr>
          <w:rFonts w:ascii="Calibri" w:eastAsia="Calibri" w:hAnsi="Calibri" w:cs="Calibri"/>
          <w:b w:val="0"/>
          <w:i w:val="0"/>
          <w:sz w:val="20"/>
        </w:rPr>
        <w:t>mantenimiento</w:t>
      </w:r>
      <w:r>
        <w:rPr>
          <w:rFonts w:ascii="Calibri" w:eastAsia="Calibri" w:hAnsi="Calibri" w:cs="Calibri"/>
          <w:b w:val="0"/>
          <w:i w:val="0"/>
          <w:color w:val="000000"/>
          <w:sz w:val="20"/>
          <w:u w:val="none"/>
        </w:rPr>
        <w:t xml:space="preserve"> de equipos a clientes.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tabs>
          <w:tab w:val="left" w:pos="700"/>
        </w:tabs>
        <w:spacing w:before="0" w:after="0" w:line="240" w:lineRule="exact"/>
        <w:ind w:left="2126" w:right="0" w:firstLine="0"/>
        <w:jc w:val="both"/>
        <w:outlineLvl w:val="9"/>
        <w:rPr>
          <w:rFonts w:ascii="Aptos" w:eastAsia="Aptos" w:hAnsi="Aptos" w:cs="Aptos"/>
          <w:b w:val="0"/>
          <w:i w:val="0"/>
          <w:color w:val="000000"/>
          <w:sz w:val="20"/>
          <w:u w:val="none"/>
        </w:rPr>
      </w:pPr>
      <w:r>
        <w:rPr>
          <w:rFonts w:ascii="Calibri" w:eastAsia="Calibri" w:hAnsi="Calibri" w:cs="Calibri"/>
          <w:b w:val="0"/>
          <w:i w:val="0"/>
          <w:color w:val="000000"/>
          <w:sz w:val="20"/>
          <w:u w:val="none"/>
        </w:rPr>
        <w:t>El ingreso por servicios de mantenimiento de equipo a clientes corresponde al efectuado por la subsidiaria Transformadores Tusan S.A. y consiste en la prestación de los servicios</w:t>
      </w:r>
      <w:r>
        <w:rPr>
          <w:rFonts w:ascii="Calibri" w:eastAsia="Calibri" w:hAnsi="Calibri" w:cs="Calibri"/>
          <w:b w:val="0"/>
          <w:i w:val="0"/>
          <w:sz w:val="20"/>
        </w:rPr>
        <w:t xml:space="preserve"> de verificación, calibración, sellado, certificación, mantenimiento, reparación, lectura y registro de toda clase de equipos de medición, especialmente de la electricidad, el gas, el agua y toda clase de fluidos; la prestación de servicios de medición y registro de variables eléctricas, para determinar la calidad del suministro eléctrico en las instalaciones de suministradores, transportistas, distribuidores y usuarios, actuando como organismo de medición autorizado (OMA) u organismo o laboratorio de certificación autorizado (OLCA). </w:t>
      </w:r>
    </w:p>
    <w:p>
      <w:pPr>
        <w:keepNext w:val="0"/>
        <w:keepLines/>
        <w:pageBreakBefore w:val="0"/>
        <w:widowControl w:val="0"/>
        <w:numPr>
          <w:ilvl w:val="0"/>
          <w:numId w:val="0"/>
        </w:numPr>
        <w:tabs>
          <w:tab w:val="left" w:pos="700"/>
        </w:tabs>
        <w:spacing w:before="0" w:after="0" w:line="288" w:lineRule="auto"/>
        <w:ind w:left="2126"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Estos servicios incluyen una obligación de desempeño, por lo que el ingreso por ventas se registra en base a la prestación efectiva.</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 xml:space="preserve">Energy Sur Ingeniería S.A., subsidiaria de Transformadores Tusan S.A., genera sus ingresos mediante la reparación y mantención de transformadores eléctricos, como también proporciona asesoría en el área de la ingeniería eléctrica, realizando mediciones de diversa índole, y montaje de proyectos de ingeniería. Estos servicios </w:t>
      </w:r>
      <w:r>
        <w:rPr>
          <w:rFonts w:ascii="Calibri" w:eastAsia="Calibri" w:hAnsi="Calibri" w:cs="Calibri"/>
          <w:b w:val="0"/>
          <w:i w:val="0"/>
          <w:color w:val="000000"/>
          <w:sz w:val="20"/>
          <w:u w:val="none"/>
        </w:rPr>
        <w:t>incluyen una obligación de desempeño, por lo que el ingreso por ventas de estos servicios se registra en base a la prestación efectiva.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70" w:name="Section39"/>
      <w:bookmarkEnd w:id="70"/>
      <w:bookmarkStart w:id="71" w:name="b5bc78290efb41b592ed94d78156bf77"/>
      <w:r>
        <w:rPr>
          <w:rFonts w:ascii="Calibri" w:eastAsia="Calibri" w:hAnsi="Calibri" w:cs="Calibri"/>
          <w:b/>
          <w:i w:val="0"/>
          <w:color w:val="000000"/>
          <w:sz w:val="20"/>
          <w:u w:val="none"/>
        </w:rPr>
        <w:t>3.28.-</w:t>
      </w:r>
      <w:r>
        <w:rPr>
          <w:rFonts w:ascii="Calibri" w:eastAsia="Calibri" w:hAnsi="Calibri" w:cs="Calibri"/>
          <w:b/>
          <w:i w:val="0"/>
          <w:color w:val="000000"/>
          <w:sz w:val="20"/>
          <w:u w:val="none"/>
        </w:rPr>
        <w:tab/>
      </w:r>
      <w:r>
        <w:rPr>
          <w:rFonts w:ascii="Calibri" w:eastAsia="Calibri" w:hAnsi="Calibri" w:cs="Calibri"/>
          <w:b/>
          <w:i w:val="0"/>
          <w:color w:val="000000"/>
          <w:sz w:val="20"/>
          <w:u w:val="none"/>
        </w:rPr>
        <w:t>Arrendamientos.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bookmarkEnd w:id="71"/>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3.28.1.-</w:t>
      </w:r>
      <w:r>
        <w:rPr>
          <w:rFonts w:ascii="Calibri" w:eastAsia="Calibri" w:hAnsi="Calibri" w:cs="Calibri"/>
          <w:b w:val="0"/>
          <w:i w:val="0"/>
          <w:sz w:val="20"/>
        </w:rPr>
        <w:tab/>
      </w:r>
      <w:r>
        <w:rPr>
          <w:rFonts w:ascii="Calibri" w:eastAsia="Calibri" w:hAnsi="Calibri" w:cs="Calibri"/>
          <w:b w:val="0"/>
          <w:i w:val="0"/>
          <w:sz w:val="20"/>
        </w:rPr>
        <w:t>Cuando una entidad de CGE Transmisión S.A. es el arrendatario.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Para los arrendamientos donde la Sociedad tiene sustancialmente todos los riesgos y beneficios inherentes a la propiedad, la Sociedad reconoce los activos y pasivos derivados del contrato de arrendamiento con duración superior a 12 meses y de valor subyacente significativo en base a NIIF 16. Como arrendatario reconocerá los activos por derecho de uso y un pasivo por arrendamiento que representa la obligación de los pagos mínimos por este concepto.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Cada pago por arrendamiento se distribuye entre el pasivo y las cargas financieras para obtener una tasa de interés constante sobre el saldo pendiente de la deuda. Las correspondientes obligaciones por arrendamiento, netas de cargas financieras, se incluyen como pasivos por arrendamientos. El elemento de interés del costo financiero se carga en el estado de resultados durante el periodo de arrendamiento de forma que se obtenga una tasa periódica constante de interés sobre el saldo restante del pasivo para cada periodo o ejercicio. El activo adquirido se deprecia durante su vida útil o la duración del contrato, el menor de los dos.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3.28.2.-</w:t>
      </w:r>
      <w:r>
        <w:rPr>
          <w:rFonts w:ascii="Calibri" w:eastAsia="Calibri" w:hAnsi="Calibri" w:cs="Calibri"/>
          <w:b w:val="0"/>
          <w:i w:val="0"/>
          <w:sz w:val="20"/>
        </w:rPr>
        <w:tab/>
      </w:r>
      <w:r>
        <w:rPr>
          <w:rFonts w:ascii="Calibri" w:eastAsia="Calibri" w:hAnsi="Calibri" w:cs="Calibri"/>
          <w:b w:val="0"/>
          <w:i w:val="0"/>
          <w:sz w:val="20"/>
        </w:rPr>
        <w:t>Cuando una entidad de CGE Transmisión S.A. es el arrendador.</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Cuando la Sociedad y subsidiarias actúan como arrendador, clasifica al inicio del acuerdo si el arrendamiento es operativo o financiero, en base a la esencia de la transacción. Los arrendamientos en los que se transfieren sustancialmente todos los riesgos y beneficios inherentes a la propiedad del activo subyacente se clasifican como arrendamientos financieros. El resto de los arrendamientos son clasificados como arrendamientos operativos.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En el caso de arrendamientos financieros, en la fecha de comienzo, la compañía reconoce en el estado de situación financiera los activos mantenidos en arrendamiento financiero y los presenta en el rubro de cuentas por cobrar comerciales y otras cuentas por cobrar, por un valor igual al de la inversión neta en el arrendamiento, calculado como la suma del valor actual de las cuotas de arrendamiento descontadas a la tasa de interés implícita en el arrendamiento. Posteriormente, se reconocen los ingresos financieros a lo largo del plazo del arrendamiento, en función de una tasa de rendimiento constante sobre la inversión financiera neta realizada en el arrendamiento.</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En el caso de los arrendamientos operativos, los pagos por arrendamiento se reconocen como ingreso de forma lineal durante el plazo del mismo.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Grupo arrienda ciertos elementos de propiedad, planta y equipo a sus clientes, los cuales se clasifican como operativos, desde la perspectiva del arrendador. Un arrendamiento se clasifica como arrendamiento operativo si no transfiere sustancialmente todos los riesgos y ventajas inherentes a la propiedad del activo. Los ingresos por arrendamiento comprenden montos de arrendamiento fijos y variables.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activos arrendados a terceros bajo contratos de arrendamiento operativo se incluyen dentro del rubro de propiedades, planta y equipos o en propiedades de inversión según corresponda.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ingresos derivados del arrendamiento operativo se reconocen de forma lineal durante el plazo del arrendamiento.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72" w:name="Section40"/>
      <w:bookmarkEnd w:id="72"/>
      <w:bookmarkStart w:id="73" w:name="19fd32398cc348c2a81e6d7fcddbc863"/>
      <w:r>
        <w:rPr>
          <w:rFonts w:ascii="Calibri" w:eastAsia="Calibri" w:hAnsi="Calibri" w:cs="Calibri"/>
          <w:b/>
          <w:i w:val="0"/>
          <w:color w:val="000000"/>
          <w:sz w:val="20"/>
          <w:u w:val="none"/>
        </w:rPr>
        <w:t>3.29.-</w:t>
      </w:r>
      <w:r>
        <w:rPr>
          <w:rFonts w:ascii="Calibri" w:eastAsia="Calibri" w:hAnsi="Calibri" w:cs="Calibri"/>
          <w:b/>
          <w:i w:val="0"/>
          <w:color w:val="000000"/>
          <w:sz w:val="20"/>
          <w:u w:val="none"/>
        </w:rPr>
        <w:tab/>
      </w:r>
      <w:r>
        <w:rPr>
          <w:rFonts w:ascii="Calibri" w:eastAsia="Calibri" w:hAnsi="Calibri" w:cs="Calibri"/>
          <w:b/>
          <w:i w:val="0"/>
          <w:color w:val="000000"/>
          <w:sz w:val="20"/>
          <w:u w:val="none"/>
        </w:rPr>
        <w:t>Distribución de dividendos.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bookmarkEnd w:id="73"/>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Los dividendos a pagar a los accionistas de CGE Transmisión S.A. y subsidiarias se reconocen como un pasivo en los estados financieros en el ejercicio en que son declarados y aprobados por los accionistas o cuando se configura la obligación correspondiente en función de las disposiciones legales vigentes o las políticas de distribución establecidas por la Junta de Accionistas.</w:t>
      </w:r>
    </w:p>
    <w:p>
      <w:pPr>
        <w:keepNext w:val="0"/>
        <w:keepLines/>
        <w:pageBreakBefore w:val="0"/>
        <w:widowControl w:val="0"/>
        <w:numPr>
          <w:ilvl w:val="0"/>
          <w:numId w:val="0"/>
        </w:numPr>
        <w:spacing w:before="0" w:after="0" w:line="240" w:lineRule="exact"/>
        <w:ind w:left="1417"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74" w:name="Section41"/>
      <w:bookmarkEnd w:id="74"/>
      <w:bookmarkStart w:id="75" w:name="79a7a6226abe43f4b92122fd11559057"/>
      <w:r>
        <w:rPr>
          <w:rFonts w:ascii="Calibri" w:eastAsia="Calibri" w:hAnsi="Calibri" w:cs="Calibri"/>
          <w:b/>
          <w:i w:val="0"/>
          <w:color w:val="000000"/>
          <w:sz w:val="20"/>
          <w:u w:val="none"/>
        </w:rPr>
        <w:t>3.30.-</w:t>
      </w:r>
      <w:r>
        <w:rPr>
          <w:rFonts w:ascii="Calibri" w:eastAsia="Calibri" w:hAnsi="Calibri" w:cs="Calibri"/>
          <w:b/>
          <w:i w:val="0"/>
          <w:color w:val="000000"/>
          <w:sz w:val="20"/>
          <w:u w:val="none"/>
        </w:rPr>
        <w:tab/>
      </w:r>
      <w:r>
        <w:rPr>
          <w:rFonts w:ascii="Calibri" w:eastAsia="Calibri" w:hAnsi="Calibri" w:cs="Calibri"/>
          <w:b/>
          <w:i w:val="0"/>
          <w:color w:val="000000"/>
          <w:sz w:val="20"/>
          <w:u w:val="none"/>
        </w:rPr>
        <w:t>Costo de ventas.</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sz w:val="20"/>
        </w:rPr>
      </w:pPr>
      <w:bookmarkEnd w:id="75"/>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Los costos de ventas incluyen el costo de adquisición de las materias primas e insumos necesarios para el desarrollo del negocio de transmisión de energía eléctrica, depreciaciones de instalaciones, mano de obra directa a servicios prestados, fabricación, reparación, mantención de transformadores y servicios de verificación, calibración y lectura de toda clase de equipos de medición. Estos costos incluyen principalmente los costos de adquisición netos de descuentos obtenidos, los gastos e impuestos no recuperables.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76" w:name="Section42"/>
      <w:bookmarkEnd w:id="76"/>
      <w:bookmarkStart w:id="77" w:name="46a3aa1ee82f49bfb3c3993896c4416c"/>
      <w:r>
        <w:rPr>
          <w:rFonts w:ascii="Calibri" w:eastAsia="Calibri" w:hAnsi="Calibri" w:cs="Calibri"/>
          <w:b/>
          <w:i w:val="0"/>
          <w:color w:val="000000"/>
          <w:sz w:val="20"/>
          <w:u w:val="none"/>
        </w:rPr>
        <w:t>3.31.-</w:t>
      </w:r>
      <w:r>
        <w:rPr>
          <w:rFonts w:ascii="Calibri" w:eastAsia="Calibri" w:hAnsi="Calibri" w:cs="Calibri"/>
          <w:b/>
          <w:i w:val="0"/>
          <w:color w:val="000000"/>
          <w:sz w:val="20"/>
          <w:u w:val="none"/>
        </w:rPr>
        <w:tab/>
      </w:r>
      <w:r>
        <w:rPr>
          <w:rFonts w:ascii="Calibri" w:eastAsia="Calibri" w:hAnsi="Calibri" w:cs="Calibri"/>
          <w:b/>
          <w:i w:val="0"/>
          <w:color w:val="000000"/>
          <w:sz w:val="20"/>
          <w:u w:val="none"/>
        </w:rPr>
        <w:t>Estado de flujos de efectivo.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16"/>
          <w:u w:val="none"/>
        </w:rPr>
      </w:pPr>
      <w:bookmarkEnd w:id="77"/>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Estado de Flujos de Efectivo Consolidado ha sido elaborado utilizando el método directo, y en el mismo se utilizan las siguientes expresiones con el significado que a continuación se indica:</w:t>
      </w: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14"/>
        </w:numPr>
        <w:spacing w:before="0" w:after="0" w:line="240" w:lineRule="exact"/>
        <w:ind w:left="2126" w:right="0" w:hanging="340"/>
        <w:jc w:val="both"/>
        <w:outlineLvl w:val="9"/>
        <w:rPr>
          <w:rFonts w:ascii="Calibri" w:eastAsia="Calibri" w:hAnsi="Calibri" w:cs="Calibri"/>
          <w:b w:val="0"/>
          <w:i w:val="0"/>
          <w:sz w:val="20"/>
        </w:rPr>
      </w:pPr>
      <w:r>
        <w:rPr>
          <w:rFonts w:ascii="Calibri" w:eastAsia="Calibri" w:hAnsi="Calibri" w:cs="Calibri"/>
          <w:b w:val="0"/>
          <w:i w:val="0"/>
          <w:sz w:val="20"/>
        </w:rPr>
        <w:t>Actividades de operación: Actividades que constituyen los ingresos ordinarios del grupo, así como otras actividades que no pueden ser calificadas como de inversión o financiación.</w:t>
      </w:r>
    </w:p>
    <w:p>
      <w:pPr>
        <w:keepNext w:val="0"/>
        <w:keepLines/>
        <w:pageBreakBefore w:val="0"/>
        <w:widowControl w:val="0"/>
        <w:numPr>
          <w:ilvl w:val="0"/>
          <w:numId w:val="0"/>
        </w:numPr>
        <w:spacing w:before="0" w:after="0" w:line="288" w:lineRule="auto"/>
        <w:ind w:left="2126" w:right="0" w:hanging="340"/>
        <w:jc w:val="both"/>
        <w:outlineLvl w:val="9"/>
        <w:rPr>
          <w:rFonts w:ascii="Calibri" w:eastAsia="Calibri" w:hAnsi="Calibri" w:cs="Calibri"/>
          <w:b w:val="0"/>
          <w:i w:val="0"/>
          <w:sz w:val="20"/>
        </w:rPr>
      </w:pPr>
    </w:p>
    <w:p>
      <w:pPr>
        <w:keepNext w:val="0"/>
        <w:keepLines/>
        <w:pageBreakBefore w:val="0"/>
        <w:widowControl w:val="0"/>
        <w:numPr>
          <w:ilvl w:val="0"/>
          <w:numId w:val="14"/>
        </w:numPr>
        <w:spacing w:before="0" w:after="0" w:line="240" w:lineRule="exact"/>
        <w:ind w:left="2126" w:right="0" w:hanging="340"/>
        <w:jc w:val="both"/>
        <w:outlineLvl w:val="9"/>
        <w:rPr>
          <w:rFonts w:ascii="Calibri" w:eastAsia="Calibri" w:hAnsi="Calibri" w:cs="Calibri"/>
          <w:b w:val="0"/>
          <w:i w:val="0"/>
          <w:sz w:val="20"/>
        </w:rPr>
      </w:pPr>
      <w:r>
        <w:rPr>
          <w:rFonts w:ascii="Calibri" w:eastAsia="Calibri" w:hAnsi="Calibri" w:cs="Calibri"/>
          <w:b w:val="0"/>
          <w:i w:val="0"/>
          <w:sz w:val="20"/>
        </w:rPr>
        <w:t>Actividades de inversión: Actividades de adquisición, enajenación o disposición por otros medios de activos no corrientes y otras inversiones no incluidas en el efectivo y sus equivalentes.</w:t>
      </w:r>
    </w:p>
    <w:p>
      <w:pPr>
        <w:keepNext w:val="0"/>
        <w:keepLines/>
        <w:pageBreakBefore w:val="0"/>
        <w:widowControl w:val="0"/>
        <w:numPr>
          <w:ilvl w:val="0"/>
          <w:numId w:val="0"/>
        </w:numPr>
        <w:spacing w:before="0" w:after="0" w:line="288" w:lineRule="auto"/>
        <w:ind w:left="2126" w:right="0" w:hanging="340"/>
        <w:jc w:val="both"/>
        <w:outlineLvl w:val="9"/>
        <w:rPr>
          <w:rFonts w:ascii="Calibri" w:eastAsia="Calibri" w:hAnsi="Calibri" w:cs="Calibri"/>
          <w:b w:val="0"/>
          <w:i w:val="0"/>
          <w:sz w:val="20"/>
        </w:rPr>
      </w:pPr>
    </w:p>
    <w:p>
      <w:pPr>
        <w:keepNext w:val="0"/>
        <w:keepLines/>
        <w:pageBreakBefore w:val="0"/>
        <w:widowControl w:val="0"/>
        <w:numPr>
          <w:ilvl w:val="0"/>
          <w:numId w:val="14"/>
        </w:numPr>
        <w:spacing w:before="0" w:after="0" w:line="240" w:lineRule="exact"/>
        <w:ind w:left="2126" w:right="0" w:hanging="340"/>
        <w:jc w:val="both"/>
        <w:outlineLvl w:val="9"/>
        <w:rPr>
          <w:rFonts w:ascii="Calibri" w:eastAsia="Calibri" w:hAnsi="Calibri" w:cs="Calibri"/>
          <w:b w:val="0"/>
          <w:i w:val="0"/>
          <w:sz w:val="20"/>
        </w:rPr>
      </w:pPr>
      <w:r>
        <w:rPr>
          <w:rFonts w:ascii="Calibri" w:eastAsia="Calibri" w:hAnsi="Calibri" w:cs="Calibri"/>
          <w:b w:val="0"/>
          <w:i w:val="0"/>
          <w:sz w:val="20"/>
        </w:rPr>
        <w:t>Actividades de financiación: Actividades que producen cambios en el tamaño y composición del patrimonio neto y de los pasivos que no forman parte de las actividades de operación.</w:t>
      </w:r>
    </w:p>
    <w:p>
      <w:pPr>
        <w:keepNext w:val="0"/>
        <w:keepLines/>
        <w:pageBreakBefore w:val="0"/>
        <w:widowControl w:val="0"/>
        <w:numPr>
          <w:ilvl w:val="0"/>
          <w:numId w:val="0"/>
        </w:numPr>
        <w:spacing w:before="0" w:after="0" w:line="288" w:lineRule="auto"/>
        <w:ind w:left="1406" w:right="0" w:firstLine="2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CGE Transmisión S.A. y subsidiarias no han registrado transacciones que no representan movimientos de efectivo relacionadas con inversión o financiamiento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 A la fecha no existen restricciones sobre el efectivo y equivalentes al efectivo.</w:t>
      </w: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8" w:right="0" w:firstLine="0"/>
        <w:jc w:val="both"/>
        <w:outlineLvl w:val="9"/>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40" w:lineRule="exact"/>
        <w:ind w:left="0" w:right="0" w:firstLine="0"/>
        <w:jc w:val="left"/>
        <w:outlineLvl w:val="0"/>
        <w:rPr>
          <w:rFonts w:ascii="Cambria" w:eastAsia="Cambria" w:hAnsi="Cambria" w:cs="Cambria"/>
          <w:b/>
          <w:i w:val="0"/>
          <w:color w:val="365F91"/>
          <w:sz w:val="28"/>
          <w:u w:val="none"/>
        </w:rPr>
      </w:pPr>
      <w:bookmarkStart w:id="78" w:name="Section43"/>
      <w:bookmarkEnd w:id="78"/>
      <w:bookmarkStart w:id="79" w:name="fcb00dce107148dfa851befe56b2de84"/>
      <w:r>
        <w:rPr>
          <w:rFonts w:ascii="Calibri" w:eastAsia="Calibri" w:hAnsi="Calibri" w:cs="Calibri"/>
          <w:b/>
          <w:i w:val="0"/>
          <w:color w:val="000000"/>
          <w:sz w:val="20"/>
          <w:u w:val="none"/>
        </w:rPr>
        <w:t>4.-</w:t>
      </w:r>
      <w:r>
        <w:rPr>
          <w:rFonts w:ascii="Calibri" w:eastAsia="Calibri" w:hAnsi="Calibri" w:cs="Calibri"/>
          <w:b/>
          <w:i w:val="0"/>
          <w:color w:val="000000"/>
          <w:sz w:val="20"/>
          <w:u w:val="none"/>
        </w:rPr>
        <w:tab/>
      </w:r>
      <w:r>
        <w:rPr>
          <w:rFonts w:ascii="Calibri" w:eastAsia="Calibri" w:hAnsi="Calibri" w:cs="Calibri"/>
          <w:b/>
          <w:i w:val="0"/>
          <w:color w:val="000000"/>
          <w:sz w:val="20"/>
          <w:u w:val="none"/>
        </w:rPr>
        <w:t>ESTIMACIONES Y JUICIOS O CRITERIOS CRÍTICOS DE LA ADMINISTRACIÓN</w:t>
      </w:r>
      <w:r>
        <w:rPr>
          <w:rFonts w:ascii="Calibri" w:eastAsia="Calibri" w:hAnsi="Calibri" w:cs="Calibri"/>
          <w:b w:val="0"/>
          <w:i w:val="0"/>
          <w:color w:val="365F91"/>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79"/>
    </w:p>
    <w:p>
      <w:pPr>
        <w:pStyle w:val="Normal-wk"/>
        <w:keepNext w:val="0"/>
        <w:keepLines/>
        <w:pageBreakBefore w:val="0"/>
        <w:widowControl w:val="0"/>
        <w:numPr>
          <w:ilvl w:val="0"/>
          <w:numId w:val="0"/>
        </w:numPr>
        <w:spacing w:before="0" w:after="0" w:line="240" w:lineRule="exact"/>
        <w:ind w:left="70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estimaciones y criterios usados son continuamente evaluados y se basan en la experiencia histórica y otros factores, incluyendo la expectativa de ocurrencia de eventos futuros que se consideran razonables de acuerdo con las circunstancias.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70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CGE Transmisión S.A. y subsidiarias efectúan estimaciones y supuestos respecto del futuro. Las estimaciones contables resultantes por definición muy pocas veces serán iguales a los resultados reales. Las estimaciones y supuestos que tienen un riesgo significativo de causar un ajuste material a los saldos de los activos y pasivos en el próximo ejercicio se presentan a continuación:</w:t>
      </w:r>
    </w:p>
    <w:p>
      <w:pPr>
        <w:keepNext w:val="0"/>
        <w:keepLines/>
        <w:pageBreakBefore w:val="0"/>
        <w:widowControl w:val="0"/>
        <w:numPr>
          <w:ilvl w:val="0"/>
          <w:numId w:val="0"/>
        </w:numPr>
        <w:spacing w:before="0" w:after="0" w:line="288" w:lineRule="auto"/>
        <w:ind w:left="708"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708" w:right="0" w:firstLine="0"/>
        <w:jc w:val="both"/>
        <w:outlineLvl w:val="9"/>
        <w:sectPr>
          <w:type w:val="continuous"/>
          <w:pgSz w:w="12240" w:h="15840"/>
          <w:pgMar w:top="1134" w:right="1134" w:bottom="1134" w:left="1134" w:header="0" w:footer="425"/>
          <w:cols w:space="708"/>
        </w:sectPr>
      </w:pPr>
    </w:p>
    <w:p>
      <w:pPr>
        <w:pStyle w:val="Heading2-wk"/>
        <w:keepNext w:val="0"/>
        <w:keepLines/>
        <w:pageBreakBefore w:val="0"/>
        <w:widowControl w:val="0"/>
        <w:numPr>
          <w:ilvl w:val="0"/>
          <w:numId w:val="0"/>
        </w:numPr>
        <w:spacing w:before="0" w:after="0" w:line="240" w:lineRule="exact"/>
        <w:ind w:left="0" w:right="0" w:firstLine="709"/>
        <w:jc w:val="both"/>
        <w:outlineLvl w:val="1"/>
        <w:rPr>
          <w:rFonts w:ascii="Calibri" w:eastAsia="Calibri" w:hAnsi="Calibri" w:cs="Calibri"/>
          <w:b/>
          <w:i w:val="0"/>
          <w:color w:val="000000"/>
          <w:sz w:val="20"/>
          <w:u w:val="none"/>
        </w:rPr>
      </w:pPr>
      <w:bookmarkStart w:id="80" w:name="Section44"/>
      <w:bookmarkEnd w:id="80"/>
      <w:bookmarkStart w:id="81" w:name="2d1d6f6b577743bb882fb9b7a27481b8"/>
      <w:r>
        <w:rPr>
          <w:rFonts w:ascii="Calibri" w:eastAsia="Calibri" w:hAnsi="Calibri" w:cs="Calibri"/>
          <w:b/>
          <w:i w:val="0"/>
          <w:color w:val="000000"/>
          <w:sz w:val="20"/>
          <w:u w:val="none"/>
        </w:rPr>
        <w:t>4.1.-</w:t>
      </w:r>
      <w:r>
        <w:rPr>
          <w:rFonts w:ascii="Calibri" w:eastAsia="Calibri" w:hAnsi="Calibri" w:cs="Calibri"/>
          <w:b/>
          <w:i w:val="0"/>
          <w:color w:val="000000"/>
          <w:sz w:val="20"/>
          <w:u w:val="none"/>
        </w:rPr>
        <w:tab/>
      </w:r>
      <w:r>
        <w:rPr>
          <w:rFonts w:ascii="Calibri" w:eastAsia="Calibri" w:hAnsi="Calibri" w:cs="Calibri"/>
          <w:b/>
          <w:i w:val="0"/>
          <w:color w:val="000000"/>
          <w:sz w:val="20"/>
          <w:u w:val="none"/>
        </w:rPr>
        <w:t xml:space="preserve">Estimación del deterioro de la plusvalía comprada y activos no corrientes de vida útil indefinida.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81"/>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CGE Transmisión S.A. y subsidiarias evalúan anualmente si la plusvalía mercantil y activos no corrientes de vida útil indefinida ha sufrido algún deterioro, de acuerdo con la política contable que se describe en la Nota 3.13. Los montos recuperables de las unidades generadoras de efectivo han sido determinados sobre la base de cálculos de sus valores en uso. Los resultados de las estimaciones efectuadas al 31 de diciembre de 2025 no arrojaron deterioro alguno sobre la plusvalía comprada (ver Nota 18.1).</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Heading2-wk"/>
        <w:keepNext w:val="0"/>
        <w:keepLines/>
        <w:pageBreakBefore w:val="0"/>
        <w:widowControl w:val="0"/>
        <w:numPr>
          <w:ilvl w:val="0"/>
          <w:numId w:val="0"/>
        </w:numPr>
        <w:spacing w:before="0" w:after="0" w:line="288" w:lineRule="auto"/>
        <w:ind w:left="0" w:right="0" w:firstLine="709"/>
        <w:jc w:val="both"/>
        <w:outlineLvl w:val="9"/>
        <w:rPr>
          <w:rFonts w:ascii="Calibri" w:eastAsia="Calibri" w:hAnsi="Calibri" w:cs="Calibri"/>
          <w:b/>
          <w:i w:val="0"/>
          <w:color w:val="000000"/>
          <w:sz w:val="20"/>
          <w:u w:val="none"/>
        </w:rPr>
      </w:pPr>
      <w:bookmarkStart w:id="82" w:name="81c695db1a7741f2a13efa6ca16a614d"/>
      <w:r>
        <w:rPr>
          <w:rFonts w:ascii="Calibri" w:eastAsia="Calibri" w:hAnsi="Calibri" w:cs="Calibri"/>
          <w:b/>
          <w:i w:val="0"/>
          <w:color w:val="000000"/>
          <w:sz w:val="20"/>
          <w:u w:val="none"/>
        </w:rPr>
        <w:t>4.2.-</w:t>
      </w:r>
      <w:r>
        <w:rPr>
          <w:rFonts w:ascii="Calibri" w:eastAsia="Calibri" w:hAnsi="Calibri" w:cs="Calibri"/>
          <w:b/>
          <w:i w:val="0"/>
          <w:color w:val="000000"/>
          <w:sz w:val="20"/>
          <w:u w:val="none"/>
        </w:rPr>
        <w:tab/>
      </w:r>
      <w:r>
        <w:rPr>
          <w:rFonts w:ascii="Calibri" w:eastAsia="Calibri" w:hAnsi="Calibri" w:cs="Calibri"/>
          <w:b/>
          <w:i w:val="0"/>
          <w:color w:val="000000"/>
          <w:sz w:val="20"/>
          <w:u w:val="none"/>
        </w:rPr>
        <w:t>Valor razonable de derivados y de otros instrumentos financieros.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bookmarkEnd w:id="82"/>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El valor razonable de los instrumentos financieros que no son comercializados en un mercado activo (por ejemplo, acciones sin cotización o suficiente presencia bursátil, derivados extra-bursátiles, etc.) se determina usando técnicas de valuación. CGE Transmisión S.A. y subsidiarias aplican su juicio para seleccionar una variedad de métodos y aplican supuestos que principalmente se basan en las condiciones de mercado existentes a la fecha de cada estado de situación financiera. CGE Transmisión S.A. utiliza flujos netos descontados o técnicas de valoración a base de múltiplos de Ebitda para ciertos activos financieros disponibles para la venta que no se comercializan en mercados activos.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83" w:name="Section45"/>
      <w:bookmarkEnd w:id="83"/>
      <w:bookmarkStart w:id="84" w:name="f4c3008fc126470aa0e0080eca0bea2b"/>
      <w:r>
        <w:rPr>
          <w:rFonts w:ascii="Calibri" w:eastAsia="Calibri" w:hAnsi="Calibri" w:cs="Calibri"/>
          <w:b/>
          <w:i w:val="0"/>
          <w:color w:val="000000"/>
          <w:sz w:val="20"/>
          <w:u w:val="none"/>
        </w:rPr>
        <w:t>4.3.-</w:t>
      </w:r>
      <w:r>
        <w:rPr>
          <w:rFonts w:ascii="Calibri" w:eastAsia="Calibri" w:hAnsi="Calibri" w:cs="Calibri"/>
          <w:b/>
          <w:i w:val="0"/>
          <w:color w:val="000000"/>
          <w:sz w:val="20"/>
          <w:u w:val="none"/>
        </w:rPr>
        <w:tab/>
      </w:r>
      <w:r>
        <w:rPr>
          <w:rFonts w:ascii="Calibri" w:eastAsia="Calibri" w:hAnsi="Calibri" w:cs="Calibri"/>
          <w:b/>
          <w:i w:val="0"/>
          <w:color w:val="000000"/>
          <w:sz w:val="20"/>
          <w:u w:val="none"/>
        </w:rPr>
        <w:t>Beneficios por Indemnizaciones por cese pactadas (PIAS) y premios por antigüedad.</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84"/>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valor presente de las obligaciones por indemnizaciones por años de servicio pactadas y premios por antigüedad (“los beneficios”) depende de un número de factores que se determinan sobre bases actuariales usando un número de supuestos. Los supuestos usados al determinar el costo neto por los beneficios incluyen la tasa de descuento. Cualquier cambio en estos supuestos tendrá impacto en el valor en libros de la obligación por los beneficios.</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CGE Transmisión S.A. y subsidiarias determinan la tasa de descuento al final de cada año que considera más apropiada de acuerdo a las condiciones de mercado a la fecha de valoración. Esta tasa de interés es la que utilizan CGE Transmisión S.A. y subsidiarias para determinar el valor presente de las futuras salidas de flujos de efectivo estimadas que se prevé se requerirá para cancelar las obligaciones por planes de beneficios. Al determinar la tasa de descuento, CGE Transmisión S.A. y subsidiarias consideran las tasas de interés de mercado de bonos que se denominan en la moneda en la que los beneficios se pagarán y que tienen plazos de vencimiento similares o que se aproximan a los plazos de las respectivas obligaciones por los beneficios.</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Otros supuestos claves para establecer las obligaciones por planes de beneficios se basan en parte en las condiciones actuales del mercado. En la Nota 23.5 se presenta información adicional al respecto.</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referida metodología utiliza supuestos críticos vinculados con tasa de interés, factores de reajustes e indexación y estimaciones de permanencia futura, cuya variación pueden generar modificaciones significativas sobre los estados financieros consolidados de la Sociedad.</w:t>
      </w:r>
    </w:p>
    <w:p>
      <w:pPr>
        <w:keepNext w:val="0"/>
        <w:keepLines/>
        <w:pageBreakBefore w:val="0"/>
        <w:widowControl w:val="0"/>
        <w:numPr>
          <w:ilvl w:val="0"/>
          <w:numId w:val="0"/>
        </w:numPr>
        <w:spacing w:before="0" w:after="0" w:line="288" w:lineRule="auto"/>
        <w:ind w:left="1413"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3"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9"/>
        <w:jc w:val="both"/>
        <w:outlineLvl w:val="1"/>
        <w:rPr>
          <w:rFonts w:ascii="Times New Roman" w:eastAsia="Times New Roman" w:hAnsi="Times New Roman" w:cs="Times New Roman"/>
          <w:b/>
          <w:i w:val="0"/>
          <w:color w:val="000000"/>
          <w:sz w:val="24"/>
          <w:u w:val="none"/>
        </w:rPr>
      </w:pPr>
      <w:bookmarkStart w:id="85" w:name="Section46"/>
      <w:bookmarkEnd w:id="85"/>
      <w:bookmarkStart w:id="86" w:name="371f6a1d7d004825852d3dedb4a54344"/>
      <w:r>
        <w:rPr>
          <w:rFonts w:ascii="Calibri" w:eastAsia="Calibri" w:hAnsi="Calibri" w:cs="Calibri"/>
          <w:b/>
          <w:i w:val="0"/>
          <w:color w:val="000000"/>
          <w:sz w:val="20"/>
          <w:u w:val="none"/>
        </w:rPr>
        <w:t>4.4.-</w:t>
      </w:r>
      <w:r>
        <w:rPr>
          <w:rFonts w:ascii="Calibri" w:eastAsia="Calibri" w:hAnsi="Calibri" w:cs="Calibri"/>
          <w:b/>
          <w:i w:val="0"/>
          <w:color w:val="000000"/>
          <w:sz w:val="20"/>
          <w:u w:val="none"/>
        </w:rPr>
        <w:tab/>
      </w:r>
      <w:r>
        <w:rPr>
          <w:rFonts w:ascii="Calibri" w:eastAsia="Calibri" w:hAnsi="Calibri" w:cs="Calibri"/>
          <w:b/>
          <w:i w:val="0"/>
          <w:color w:val="000000"/>
          <w:sz w:val="20"/>
          <w:highlight w:val="yellow"/>
          <w:u w:val="none"/>
        </w:rPr>
        <w:t>Reconocimiento de ingresos - Efectos de Precios de Transmisión.</w:t>
      </w:r>
    </w:p>
    <w:p>
      <w:pPr>
        <w:keepNext w:val="0"/>
        <w:keepLines/>
        <w:pageBreakBefore w:val="0"/>
        <w:widowControl w:val="0"/>
        <w:numPr>
          <w:ilvl w:val="0"/>
          <w:numId w:val="0"/>
        </w:numPr>
        <w:spacing w:before="0" w:after="0" w:line="288" w:lineRule="auto"/>
        <w:ind w:left="1413" w:right="0" w:firstLine="0"/>
        <w:jc w:val="both"/>
        <w:outlineLvl w:val="9"/>
        <w:rPr>
          <w:rFonts w:ascii="Calibri" w:eastAsia="Calibri" w:hAnsi="Calibri" w:cs="Calibri"/>
          <w:b w:val="0"/>
          <w:i w:val="0"/>
          <w:color w:val="000000"/>
          <w:sz w:val="20"/>
          <w:u w:val="none"/>
        </w:rPr>
      </w:pPr>
      <w:bookmarkEnd w:id="86"/>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En relación con la remuneración de las instalaciones de transmisión, el 16 de febrero de 2023 fue publicado el Decreto N° 7T-2022, mediante el cual se fija el valor anual de transmisión para las instalaciones de transmisión nacional, zonal y dedicado utilizadas por usuarios sujetos a regulación de precios para el cuadrienio 2020-2023, cuyos valores tienen vigencia desde el 1 de enero de 2020.</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cargos de transmisión aplicables a los clientes finales, considerando el decreto señalado precedentemente, junto con los valores adjudicados como resultados de los procesos de licitación de instalaciones de transmisión efectuados, son fijados semestralmente por la Comisión Nacional de Energía.</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Particularmente, en los informes que determinan los cargos de transmisión con vigencia a contar del 1 de enero de 2020 y siguientes, la Comisión Nacional de Energía ha incorporado un mecanismo de ajuste de los cargos de transmisión que permite evitar excesivas variaciones de estos y, por tanto, reducir en la medida de lo posible la afectación a los clientes finales sujetos a fijación de precios.</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Las diferencias originadas por la aplicación de las referidas resoluciones que fijen los cargos de transmisión, debido a la implementación de los mecanismos de ajustes descritos precedentemente, deberán ser traspasadas a los clientes regulados, lo que hace necesario reflejar en los balances y estados de resultados los efectos que tendrá en las cuentas de los clientes finales. </w:t>
      </w:r>
      <w:r>
        <w:rPr>
          <w:rFonts w:ascii="Calibri" w:eastAsia="Calibri" w:hAnsi="Calibri" w:cs="Calibri"/>
          <w:b w:val="0"/>
          <w:i w:val="0"/>
          <w:sz w:val="20"/>
        </w:rPr>
        <w:t>En particular, respecto al efecto de los precios de transmisión por aplicación del mecanismo de ajuste de los cargos de transmisión, este no genera efecto en los estados de resultados, ya que la empresa provisiona el monto de ingresos mensual considerando los precios finales; no obstante, mensualmente se acumulan o ajustan los saldos por las diferencias entre dichos ingresos finales y los pagos reales.</w:t>
      </w:r>
      <w:r>
        <w:rPr>
          <w:rFonts w:ascii="Calibri" w:eastAsia="Calibri" w:hAnsi="Calibri" w:cs="Calibri"/>
          <w:b w:val="0"/>
          <w:i w:val="0"/>
          <w:color w:val="000000"/>
          <w:sz w:val="20"/>
          <w:u w:val="none"/>
        </w:rPr>
        <w:t xml:space="preserve"> </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30" w:lineRule="exact"/>
        <w:ind w:left="1417" w:right="0" w:firstLine="0"/>
        <w:jc w:val="both"/>
        <w:outlineLvl w:val="9"/>
        <w:rPr>
          <w:rFonts w:ascii="Aptos" w:eastAsia="Aptos" w:hAnsi="Aptos" w:cs="Aptos"/>
          <w:b w:val="0"/>
          <w:i w:val="0"/>
          <w:strike/>
          <w:color w:val="000000"/>
          <w:sz w:val="24"/>
          <w:highlight w:val="white"/>
          <w:u w:val="none"/>
        </w:rPr>
      </w:pPr>
      <w:r>
        <w:rPr>
          <w:rFonts w:ascii="Calibri" w:eastAsia="Calibri" w:hAnsi="Calibri" w:cs="Calibri"/>
          <w:b w:val="0"/>
          <w:i w:val="0"/>
          <w:color w:val="000000"/>
          <w:sz w:val="20"/>
          <w:highlight w:val="white"/>
          <w:u w:val="none"/>
        </w:rPr>
        <w:t xml:space="preserve">En este sentido, el 21 de junio de 2025 se publicó la Resolución Exenta N° 333-2025 de la Comisión Nacional de Energía, que aprueba el Informe Técnico Definitivo para la fijación de los cargos de transmisión que entraron en vigor a partir del 1 de julio de 2025 según los valores contenidos en el Decreto N°7T-2022 que determina el valor Anual de Transmisión por Tramo del cuadrienio 2020-2023; y el 23 de diciembre de 2025, se publicó la Resolución Exenta N° 780-2025 de la Comisión Nacional de Energía (CNE), que aprueba el Informe Técnico Definitivo para la fijación de los cargos de transmisión del primer semestre de 2026, que entraron en vigor a partir del 1 de enero de 2026. </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Por otra parte, actualmente se encuentra en curso el proceso de tarificación de transmisión nacional y zonal correspondiente al cuadrienio 2024-2027. Para estos efectos, el 30 de agosto de 2024 la autoridad aprobó las Bases Técnicas y Administrativas definitivas (Resolución Exenta N° 463-2024) y el Informe Técnico de calificación de instalaciones (Resolución Exenta N° 460-2024), considerando los dictámenes del Panel de Expertos. Posteriormente, durante diciembre de 2024 y marzo de 2025, se suscribieron los contratos para el desarrollo de los estudios de valorización de los sistemas de transmisión zonal, dedicada utilizada por usuarios sujetos a regulación de precios, y del sistema de transmisión nacional, encargados a los consultores Sigla S.A. y al consorcio conformado por Getrand SpA</w:t>
      </w:r>
      <w:r>
        <w:rPr>
          <w:rFonts w:ascii="Calibri" w:eastAsia="Calibri" w:hAnsi="Calibri" w:cs="Calibri"/>
          <w:b w:val="0"/>
          <w:i w:val="0"/>
          <w:sz w:val="20"/>
        </w:rPr>
        <w:t>.</w:t>
      </w:r>
      <w:r>
        <w:rPr>
          <w:rFonts w:ascii="Calibri" w:eastAsia="Calibri" w:hAnsi="Calibri" w:cs="Calibri"/>
          <w:b w:val="0"/>
          <w:i w:val="0"/>
          <w:sz w:val="20"/>
        </w:rPr>
        <w:t xml:space="preserve"> y Cota Consultoría Ltda., respectivamente. Durante el año 2025 se presentaron los primeros informes de avance de ambos estudios, los cuales fueron sometidos a revisión por parte del Comité de Supervisión y las empresas transmisoras.  </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30" w:lineRule="exact"/>
        <w:ind w:left="1417" w:right="0" w:firstLine="0"/>
        <w:jc w:val="both"/>
        <w:outlineLvl w:val="9"/>
        <w:rPr>
          <w:rFonts w:ascii="Aptos" w:eastAsia="Aptos" w:hAnsi="Aptos" w:cs="Aptos"/>
          <w:b w:val="0"/>
          <w:i w:val="0"/>
          <w:sz w:val="24"/>
        </w:rPr>
      </w:pPr>
      <w:r>
        <w:rPr>
          <w:rFonts w:ascii="Calibri" w:eastAsia="Calibri" w:hAnsi="Calibri" w:cs="Calibri"/>
          <w:b w:val="0"/>
          <w:i w:val="0"/>
          <w:sz w:val="20"/>
        </w:rPr>
        <w:t xml:space="preserve">El 7 de octubre de 2025, la Comisión Nacional de Energía a través de la Resolución Exenta </w:t>
      </w:r>
      <w:r>
        <w:rPr>
          <w:rFonts w:ascii="Calibri" w:eastAsia="Calibri" w:hAnsi="Calibri" w:cs="Calibri"/>
          <w:b w:val="0"/>
          <w:i w:val="0"/>
          <w:color w:val="000000"/>
          <w:sz w:val="20"/>
          <w:u w:val="none"/>
        </w:rPr>
        <w:t>Rol N°</w:t>
      </w:r>
      <w:r>
        <w:rPr>
          <w:rFonts w:ascii="Calibri" w:eastAsia="Calibri" w:hAnsi="Calibri" w:cs="Calibri"/>
          <w:b w:val="0"/>
          <w:i w:val="0"/>
          <w:sz w:val="20"/>
        </w:rPr>
        <w:t xml:space="preserve"> 615, formalizó la cesión del Contrato de Prestación de Servicios para la realización del "Estudio de Valorización de las Instalaciones de los Sistemas de Transmisión Zonal y de las Instalaciones de los Sistemas de Transmisión Dedicada Utilizadas por Usuarios Sometidos a Regulación de Precios", suscrita </w:t>
      </w:r>
      <w:r>
        <w:rPr>
          <w:rFonts w:ascii="Calibri" w:eastAsia="Calibri" w:hAnsi="Calibri" w:cs="Calibri"/>
          <w:b w:val="0"/>
          <w:i w:val="0"/>
          <w:color w:val="000000"/>
          <w:sz w:val="20"/>
          <w:highlight w:val="white"/>
          <w:u w:val="none"/>
        </w:rPr>
        <w:t>mediante escritura pública de fecha 15 de septiembre de 2025 entre el Consultor Sigla S.A. y el Consorcio conformado por Asinelsa S.A. y Optimiza Asesores Consultores de Empresas Ltda, dicha cesión fue autorizada en conformidad con las condiciones establecidas en las bases administrativas del estudio.</w:t>
      </w:r>
    </w:p>
    <w:p>
      <w:pPr>
        <w:keepNext w:val="0"/>
        <w:keepLines/>
        <w:pageBreakBefore w:val="0"/>
        <w:widowControl w:val="0"/>
        <w:numPr>
          <w:ilvl w:val="0"/>
          <w:numId w:val="0"/>
        </w:numPr>
        <w:spacing w:before="0" w:after="0" w:line="276" w:lineRule="auto"/>
        <w:ind w:left="1417" w:right="0" w:firstLine="0"/>
        <w:jc w:val="both"/>
        <w:outlineLvl w:val="9"/>
        <w:rPr>
          <w:rFonts w:ascii="Calibri" w:eastAsia="Calibri" w:hAnsi="Calibri" w:cs="Calibri"/>
          <w:b w:val="0"/>
          <w:i w:val="0"/>
          <w:color w:val="000000"/>
          <w:sz w:val="20"/>
          <w:highlight w:val="white"/>
          <w:u w:val="none"/>
        </w:rPr>
      </w:pPr>
    </w:p>
    <w:p>
      <w:pPr>
        <w:keepNext w:val="0"/>
        <w:keepLines/>
        <w:pageBreakBefore w:val="0"/>
        <w:widowControl w:val="0"/>
        <w:numPr>
          <w:ilvl w:val="0"/>
          <w:numId w:val="0"/>
        </w:numPr>
        <w:spacing w:before="0" w:after="0" w:line="230" w:lineRule="exact"/>
        <w:ind w:left="1417" w:right="0" w:firstLine="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A la fecha, ambos consultores se encuentran en proceso de revisión de las observaciones formuladas por el Comité de Supervisión y las empresas transmisoras a los informes de avance N°2, en el marco del proceso de tarificación regulado en los artículos 105 y 108 de la Ley General de Servicios Eléctricos. Una vez subsanadas dichas observaciones, el proceso continuará con las etapas siguientes establecidas en las respectivas bases técnicas y administrativas definitivas, incluyendo la audiencia pública y la elaboración del informe técnico de valorización, todo ello dentro del plazo máximo de ocho meses contemplado en la normativa vigente.</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7" w:right="0" w:firstLine="0"/>
        <w:jc w:val="both"/>
        <w:outlineLvl w:val="9"/>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40" w:lineRule="exact"/>
        <w:ind w:left="0" w:right="0" w:firstLine="0"/>
        <w:jc w:val="left"/>
        <w:outlineLvl w:val="0"/>
        <w:rPr>
          <w:rFonts w:ascii="Cambria" w:eastAsia="Cambria" w:hAnsi="Cambria" w:cs="Cambria"/>
          <w:b/>
          <w:i w:val="0"/>
          <w:color w:val="365F91"/>
          <w:sz w:val="28"/>
          <w:u w:val="none"/>
        </w:rPr>
      </w:pPr>
      <w:bookmarkStart w:id="87" w:name="Section47"/>
      <w:bookmarkEnd w:id="87"/>
      <w:bookmarkStart w:id="88" w:name="4f40b28e2f3e4d5292abd8a05c76cc11"/>
      <w:r>
        <w:rPr>
          <w:rFonts w:ascii="Calibri" w:eastAsia="Calibri" w:hAnsi="Calibri" w:cs="Calibri"/>
          <w:b/>
          <w:i w:val="0"/>
          <w:color w:val="000000"/>
          <w:sz w:val="20"/>
          <w:u w:val="none"/>
        </w:rPr>
        <w:t>5.-</w:t>
      </w:r>
      <w:r>
        <w:rPr>
          <w:rFonts w:ascii="Calibri" w:eastAsia="Calibri" w:hAnsi="Calibri" w:cs="Calibri"/>
          <w:b/>
          <w:i w:val="0"/>
          <w:color w:val="000000"/>
          <w:sz w:val="20"/>
          <w:u w:val="none"/>
        </w:rPr>
        <w:tab/>
      </w:r>
      <w:r>
        <w:rPr>
          <w:rFonts w:ascii="Calibri" w:eastAsia="Calibri" w:hAnsi="Calibri" w:cs="Calibri"/>
          <w:b/>
          <w:i w:val="0"/>
          <w:color w:val="000000"/>
          <w:sz w:val="20"/>
          <w:u w:val="none"/>
        </w:rPr>
        <w:t>POLÍTICA DE GESTIÓN DE RIESGOS.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88"/>
    </w:p>
    <w:p>
      <w:pPr>
        <w:pStyle w:val="Normal-wk"/>
        <w:keepNext w:val="0"/>
        <w:keepLines/>
        <w:pageBreakBefore w:val="0"/>
        <w:widowControl w:val="0"/>
        <w:numPr>
          <w:ilvl w:val="0"/>
          <w:numId w:val="0"/>
        </w:numPr>
        <w:spacing w:before="0" w:after="0" w:line="240" w:lineRule="exact"/>
        <w:ind w:left="70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factores de riesgo a los que están sometidas CGE Transmisión S.A. y sus subsidiarias son de carácter general y se enumeran a continuación: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89" w:name="Section48"/>
      <w:bookmarkEnd w:id="89"/>
      <w:bookmarkStart w:id="90" w:name="760fa27f0bf848e98ee2b521ca2798bb"/>
      <w:r>
        <w:rPr>
          <w:rFonts w:ascii="Calibri" w:eastAsia="Calibri" w:hAnsi="Calibri" w:cs="Calibri"/>
          <w:b/>
          <w:i w:val="0"/>
          <w:color w:val="000000"/>
          <w:sz w:val="20"/>
          <w:u w:val="none"/>
        </w:rPr>
        <w:t>5.1.-</w:t>
      </w:r>
      <w:r>
        <w:rPr>
          <w:rFonts w:ascii="Calibri" w:eastAsia="Calibri" w:hAnsi="Calibri" w:cs="Calibri"/>
          <w:b/>
          <w:i w:val="0"/>
          <w:color w:val="000000"/>
          <w:sz w:val="20"/>
          <w:u w:val="none"/>
        </w:rPr>
        <w:tab/>
      </w:r>
      <w:r>
        <w:rPr>
          <w:rFonts w:ascii="Calibri" w:eastAsia="Calibri" w:hAnsi="Calibri" w:cs="Calibri"/>
          <w:b/>
          <w:i w:val="0"/>
          <w:color w:val="000000"/>
          <w:sz w:val="20"/>
          <w:u w:val="none"/>
        </w:rPr>
        <w:t xml:space="preserve">Riesgo financiero.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90"/>
    </w:p>
    <w:p>
      <w:pPr>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Los negocios del sector de transmisión eléctrica en los que participa CGE Transmisión S.A. y subsidiarias, corresponden a inversiones con un perfil de retornos de largo plazo y estabilidad regulatoria, donde el ente regulador permite obtener una rentabilidad razonable. Esto es posible gracias a que los precios de transmisión de energía son determinados mediante un procedimiento de carácter reglado. Tanto los ingresos como los costos se encuentran estructurados fundamentalmente en pesos.</w:t>
      </w:r>
    </w:p>
    <w:p>
      <w:pPr>
        <w:keepNext w:val="0"/>
        <w:keepLines/>
        <w:pageBreakBefore w:val="0"/>
        <w:widowControl w:val="0"/>
        <w:numPr>
          <w:ilvl w:val="0"/>
          <w:numId w:val="0"/>
        </w:numPr>
        <w:spacing w:before="0" w:after="0" w:line="288" w:lineRule="auto"/>
        <w:ind w:left="72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En atención a lo anterior, a nivel corporativo se definen, coordinan y controlan las estructuras financieras de CGE Transmisión S.A. y subsidiarias en orden a prevenir y mitigar las consecuencias financieras negativas ante la posibilidad de ocurrencia de los principales riesgos financieros identificados.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i w:val="0"/>
          <w:color w:val="000000"/>
          <w:sz w:val="20"/>
          <w:u w:val="none"/>
        </w:rPr>
      </w:pPr>
      <w:r>
        <w:rPr>
          <w:rFonts w:ascii="Calibri" w:eastAsia="Calibri" w:hAnsi="Calibri" w:cs="Calibri"/>
          <w:b/>
          <w:i w:val="0"/>
          <w:color w:val="000000"/>
          <w:sz w:val="20"/>
          <w:u w:val="none"/>
        </w:rPr>
        <w:t xml:space="preserve">5.1.1.- </w:t>
      </w:r>
      <w:r>
        <w:rPr>
          <w:rFonts w:ascii="Calibri" w:eastAsia="Calibri" w:hAnsi="Calibri" w:cs="Calibri"/>
          <w:b/>
          <w:i w:val="0"/>
          <w:color w:val="000000"/>
          <w:sz w:val="20"/>
          <w:u w:val="none"/>
        </w:rPr>
        <w:tab/>
      </w:r>
      <w:r>
        <w:rPr>
          <w:rFonts w:ascii="Calibri" w:eastAsia="Calibri" w:hAnsi="Calibri" w:cs="Calibri"/>
          <w:b/>
          <w:i w:val="0"/>
          <w:color w:val="000000"/>
          <w:sz w:val="20"/>
          <w:u w:val="none"/>
        </w:rPr>
        <w:t>Riesgo de tipo de cambio y unidades de reajuste.</w:t>
      </w:r>
    </w:p>
    <w:p>
      <w:pPr>
        <w:keepNext w:val="0"/>
        <w:keepLines/>
        <w:pageBreakBefore w:val="0"/>
        <w:widowControl w:val="0"/>
        <w:numPr>
          <w:ilvl w:val="0"/>
          <w:numId w:val="0"/>
        </w:numPr>
        <w:spacing w:before="0" w:after="0" w:line="288" w:lineRule="auto"/>
        <w:ind w:left="708" w:right="0" w:firstLine="708"/>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Debido a que los negocios en que participa CGE Transmisión S.A. y subsidiarias, son fundamentalmente en pesos, se ha determinado como política minimizar la exposición al riesgo de variaciones en el tipo de cambio y unidades de reajuste entre sus flujos operacionales y de sus obligaciones financieras. </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u w:val="none"/>
        </w:rPr>
        <w:t xml:space="preserve">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CGE Transmisión S.A. y sus subsidiarias mantienen un </w:t>
      </w:r>
      <w:r>
        <w:rPr>
          <w:rFonts w:ascii="Calibri" w:eastAsia="Calibri" w:hAnsi="Calibri" w:cs="Calibri"/>
          <w:b w:val="0"/>
          <w:i w:val="0"/>
          <w:color w:val="000000"/>
          <w:sz w:val="20"/>
          <w:u w:val="none"/>
        </w:rPr>
        <w:t>12,88%</w:t>
      </w:r>
      <w:r>
        <w:rPr>
          <w:rFonts w:ascii="Calibri" w:eastAsia="Calibri" w:hAnsi="Calibri" w:cs="Calibri"/>
          <w:b w:val="0"/>
          <w:i w:val="0"/>
          <w:color w:val="000000"/>
          <w:sz w:val="20"/>
          <w:u w:val="none"/>
        </w:rPr>
        <w:t xml:space="preserve"> </w:t>
      </w:r>
      <w:r>
        <w:rPr>
          <w:rFonts w:ascii="Calibri" w:eastAsia="Calibri" w:hAnsi="Calibri" w:cs="Calibri"/>
          <w:b w:val="0"/>
          <w:i w:val="0"/>
          <w:color w:val="000000"/>
          <w:sz w:val="20"/>
          <w:highlight w:val="white"/>
          <w:u w:val="none"/>
        </w:rPr>
        <w:t>de su deuda financiera denominada en UF (</w:t>
      </w:r>
      <w:r>
        <w:rPr>
          <w:rFonts w:ascii="Calibri" w:eastAsia="Calibri" w:hAnsi="Calibri" w:cs="Calibri"/>
          <w:b w:val="0"/>
          <w:i w:val="0"/>
          <w:color w:val="000000"/>
          <w:sz w:val="20"/>
          <w:highlight w:val="white"/>
          <w:u w:val="none"/>
        </w:rPr>
        <w:t>12,76%</w:t>
      </w:r>
      <w:r>
        <w:rPr>
          <w:rFonts w:ascii="Calibri" w:eastAsia="Calibri" w:hAnsi="Calibri" w:cs="Calibri"/>
          <w:b w:val="0"/>
          <w:i w:val="0"/>
          <w:color w:val="000000"/>
          <w:sz w:val="20"/>
          <w:highlight w:val="white"/>
          <w:u w:val="none"/>
        </w:rPr>
        <w:t xml:space="preserve"> al </w:t>
      </w:r>
      <w:r>
        <w:rPr>
          <w:rFonts w:ascii="Calibri" w:eastAsia="Calibri" w:hAnsi="Calibri" w:cs="Calibri"/>
          <w:b w:val="0"/>
          <w:i w:val="0"/>
          <w:color w:val="000000"/>
          <w:sz w:val="20"/>
          <w:highlight w:val="white"/>
          <w:u w:val="none"/>
        </w:rPr>
        <w:t>31 de diciembre de 2025</w:t>
      </w:r>
      <w:r>
        <w:rPr>
          <w:rFonts w:ascii="Calibri" w:eastAsia="Calibri" w:hAnsi="Calibri" w:cs="Calibri"/>
          <w:b w:val="0"/>
          <w:i w:val="0"/>
          <w:color w:val="000000"/>
          <w:sz w:val="20"/>
          <w:highlight w:val="white"/>
          <w:u w:val="none"/>
        </w:rPr>
        <w:t xml:space="preserve">), la que no está cubierta con ningún instrumento de cobertura. Para dimensionar el efecto de la variación de la UF en el resultado financiero, se realizó una sensibilización de esta unidad de reajuste, determinando que ante un alza de un 1% en el valor de la UF al </w:t>
      </w:r>
      <w:r>
        <w:rPr>
          <w:rFonts w:ascii="Calibri" w:eastAsia="Calibri" w:hAnsi="Calibri" w:cs="Calibri"/>
          <w:b w:val="0"/>
          <w:i w:val="0"/>
          <w:color w:val="000000"/>
          <w:sz w:val="20"/>
          <w:highlight w:val="white"/>
          <w:u w:val="none"/>
        </w:rPr>
        <w:t>30 de junio de 2026</w:t>
      </w:r>
      <w:r>
        <w:rPr>
          <w:rFonts w:ascii="Calibri" w:eastAsia="Calibri" w:hAnsi="Calibri" w:cs="Calibri"/>
          <w:b w:val="0"/>
          <w:i w:val="0"/>
          <w:color w:val="000000"/>
          <w:sz w:val="20"/>
          <w:highlight w:val="white"/>
          <w:u w:val="none"/>
        </w:rPr>
        <w:t xml:space="preserve">, el resultado financiero habría disminuido </w:t>
      </w:r>
      <w:r>
        <w:rPr>
          <w:rFonts w:ascii="Calibri" w:eastAsia="Calibri" w:hAnsi="Calibri" w:cs="Calibri"/>
          <w:b w:val="0"/>
          <w:i w:val="0"/>
          <w:color w:val="000000"/>
          <w:sz w:val="20"/>
          <w:u w:val="none"/>
        </w:rPr>
        <w:t xml:space="preserve">en </w:t>
      </w:r>
      <w:r>
        <w:rPr>
          <w:rFonts w:ascii="Calibri" w:eastAsia="Calibri" w:hAnsi="Calibri" w:cs="Calibri"/>
          <w:b w:val="0"/>
          <w:i w:val="0"/>
          <w:sz w:val="20"/>
        </w:rPr>
        <w:t>M$ 791.438</w:t>
      </w:r>
      <w:r>
        <w:rPr>
          <w:rFonts w:ascii="Calibri" w:eastAsia="Calibri" w:hAnsi="Calibri" w:cs="Calibri"/>
          <w:b w:val="0"/>
          <w:i w:val="0"/>
          <w:color w:val="000000"/>
          <w:sz w:val="20"/>
          <w:highlight w:val="white"/>
          <w:u w:val="none"/>
        </w:rPr>
        <w:t xml:space="preserve"> y en M$ 782.576 para el </w:t>
      </w:r>
      <w:r>
        <w:rPr>
          <w:rFonts w:ascii="Calibri" w:eastAsia="Calibri" w:hAnsi="Calibri" w:cs="Calibri"/>
          <w:b w:val="0"/>
          <w:i w:val="0"/>
          <w:color w:val="000000"/>
          <w:sz w:val="20"/>
          <w:highlight w:val="white"/>
          <w:u w:val="none"/>
        </w:rPr>
        <w:t>31 de diciembre de 2025</w:t>
      </w:r>
      <w:r>
        <w:rPr>
          <w:rFonts w:ascii="Calibri" w:eastAsia="Calibri" w:hAnsi="Calibri" w:cs="Calibri"/>
          <w:b w:val="0"/>
          <w:i w:val="0"/>
          <w:color w:val="000000"/>
          <w:sz w:val="20"/>
          <w:highlight w:val="white"/>
          <w:u w:val="none"/>
        </w:rPr>
        <w:t xml:space="preserve"> y lo contrario hubiera sucedido ante una disminución de 1% en la UF.</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p>
    <w:tbl>
      <w:tblPr>
        <w:tblW w:w="7845" w:type="dxa"/>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435"/>
        <w:gridCol w:w="1200"/>
        <w:gridCol w:w="1005"/>
        <w:gridCol w:w="1200"/>
        <w:gridCol w:w="1005"/>
      </w:tblGrid>
      <w:tr>
        <w:tblPrEx>
          <w:tblW w:w="7845" w:type="dxa"/>
          <w:tblInd w:w="2126" w:type="dxa"/>
          <w:tblLayout w:type="fixed"/>
        </w:tblPrEx>
        <w:trPr>
          <w:cantSplit/>
          <w:trHeight w:hRule="auto" w:val="0"/>
        </w:trPr>
        <w:tc>
          <w:tcPr>
            <w:tcW w:w="3435"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Tipo de deuda</w:t>
            </w:r>
          </w:p>
        </w:tc>
        <w:tc>
          <w:tcPr>
            <w:tcW w:w="2205"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2205"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7845" w:type="dxa"/>
          <w:tblInd w:w="2126" w:type="dxa"/>
          <w:tblLayout w:type="fixed"/>
        </w:tblPrEx>
        <w:trPr>
          <w:cantSplit/>
          <w:trHeight w:hRule="auto" w:val="0"/>
        </w:trPr>
        <w:tc>
          <w:tcPr>
            <w:tcW w:w="3435"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single" w:sz="4" w:space="0" w:color="FFFFFF"/>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single" w:sz="4" w:space="0" w:color="FFFFFF"/>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w:t>
            </w:r>
          </w:p>
        </w:tc>
      </w:tr>
      <w:tr>
        <w:tblPrEx>
          <w:tblW w:w="7845" w:type="dxa"/>
          <w:tblInd w:w="2126" w:type="dxa"/>
          <w:tblLayout w:type="fixed"/>
        </w:tblPrEx>
        <w:trPr>
          <w:cantSplit/>
          <w:trHeight w:hRule="auto" w:val="0"/>
        </w:trPr>
        <w:tc>
          <w:tcPr>
            <w:tcW w:w="34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Deuda en CL$.</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409.796.130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center"/>
          </w:tcPr>
          <w:p>
            <w:pPr>
              <w:keepNext/>
              <w:pageBreakBefore w:val="0"/>
              <w:tabs>
                <w:tab w:val="left" w:pos="1"/>
                <w:tab w:val="left" w:pos="566"/>
              </w:tabs>
              <w:spacing w:before="0" w:after="0" w:line="240" w:lineRule="auto"/>
              <w:jc w:val="right"/>
            </w:pPr>
            <w:r>
              <w:rPr>
                <w:rFonts w:ascii="Calibri" w:eastAsia="Calibri" w:hAnsi="Calibri" w:cs="Calibri"/>
                <w:b w:val="0"/>
                <w:i w:val="0"/>
                <w:color w:val="000000"/>
                <w:sz w:val="16"/>
                <w:u w:val="none"/>
              </w:rPr>
              <w:tab/>
              <w:t>66,68 %</w:t>
              <w:tab/>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409.956.273</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15" w:type="dxa"/>
            </w:tcMar>
            <w:vAlign w:val="center"/>
          </w:tcPr>
          <w:p>
            <w:pPr>
              <w:keepNext/>
              <w:pageBreakBefore w:val="0"/>
              <w:tabs>
                <w:tab w:val="left" w:pos="1"/>
                <w:tab w:val="left" w:pos="566"/>
              </w:tabs>
              <w:spacing w:before="0" w:after="0" w:line="240" w:lineRule="auto"/>
              <w:jc w:val="right"/>
            </w:pPr>
            <w:r>
              <w:rPr>
                <w:rFonts w:ascii="Calibri" w:eastAsia="Calibri" w:hAnsi="Calibri" w:cs="Calibri"/>
                <w:b w:val="0"/>
                <w:i w:val="0"/>
                <w:color w:val="000000"/>
                <w:sz w:val="16"/>
                <w:u w:val="none"/>
              </w:rPr>
              <w:tab/>
              <w:t>66,83 %</w:t>
              <w:tab/>
            </w:r>
          </w:p>
        </w:tc>
      </w:tr>
      <w:tr>
        <w:tblPrEx>
          <w:tblW w:w="7845" w:type="dxa"/>
          <w:tblInd w:w="2126" w:type="dxa"/>
          <w:tblLayout w:type="fixed"/>
        </w:tblPrEx>
        <w:trPr>
          <w:cantSplit/>
          <w:trHeight w:hRule="auto" w:val="0"/>
        </w:trPr>
        <w:tc>
          <w:tcPr>
            <w:tcW w:w="34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Deuda en unidades de fomento.</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79.143.766</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center"/>
          </w:tcPr>
          <w:p>
            <w:pPr>
              <w:keepNext/>
              <w:pageBreakBefore w:val="0"/>
              <w:tabs>
                <w:tab w:val="left" w:pos="1"/>
                <w:tab w:val="left" w:pos="566"/>
              </w:tabs>
              <w:spacing w:before="0" w:after="0" w:line="240" w:lineRule="auto"/>
              <w:jc w:val="right"/>
            </w:pPr>
            <w:r>
              <w:rPr>
                <w:rFonts w:ascii="Calibri" w:eastAsia="Calibri" w:hAnsi="Calibri" w:cs="Calibri"/>
                <w:b w:val="0"/>
                <w:i w:val="0"/>
                <w:color w:val="000000"/>
                <w:sz w:val="16"/>
                <w:u w:val="none"/>
              </w:rPr>
              <w:tab/>
              <w:t>12,88 %</w:t>
              <w:tab/>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78.257.613</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15" w:type="dxa"/>
            </w:tcMar>
            <w:vAlign w:val="center"/>
          </w:tcPr>
          <w:p>
            <w:pPr>
              <w:keepNext/>
              <w:pageBreakBefore w:val="0"/>
              <w:tabs>
                <w:tab w:val="left" w:pos="1"/>
                <w:tab w:val="left" w:pos="566"/>
              </w:tabs>
              <w:spacing w:before="0" w:after="0" w:line="240" w:lineRule="auto"/>
              <w:jc w:val="right"/>
            </w:pPr>
            <w:r>
              <w:rPr>
                <w:rFonts w:ascii="Calibri" w:eastAsia="Calibri" w:hAnsi="Calibri" w:cs="Calibri"/>
                <w:b w:val="0"/>
                <w:i w:val="0"/>
                <w:color w:val="000000"/>
                <w:sz w:val="16"/>
                <w:u w:val="none"/>
              </w:rPr>
              <w:tab/>
              <w:t>12,76 %</w:t>
              <w:tab/>
            </w:r>
          </w:p>
        </w:tc>
      </w:tr>
      <w:tr>
        <w:tblPrEx>
          <w:tblW w:w="7845" w:type="dxa"/>
          <w:tblInd w:w="2126" w:type="dxa"/>
          <w:tblLayout w:type="fixed"/>
        </w:tblPrEx>
        <w:trPr>
          <w:cantSplit/>
          <w:trHeight w:hRule="auto" w:val="0"/>
        </w:trPr>
        <w:tc>
          <w:tcPr>
            <w:tcW w:w="34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Deuda en moneda extranjera - con cobertura.</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125.660.007</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center"/>
          </w:tcPr>
          <w:p>
            <w:pPr>
              <w:keepNext/>
              <w:pageBreakBefore w:val="0"/>
              <w:tabs>
                <w:tab w:val="left" w:pos="1"/>
                <w:tab w:val="left" w:pos="566"/>
              </w:tabs>
              <w:spacing w:before="0" w:after="0" w:line="240" w:lineRule="auto"/>
              <w:jc w:val="right"/>
            </w:pPr>
            <w:r>
              <w:rPr>
                <w:rFonts w:ascii="Calibri" w:eastAsia="Calibri" w:hAnsi="Calibri" w:cs="Calibri"/>
                <w:b w:val="0"/>
                <w:i w:val="0"/>
                <w:color w:val="000000"/>
                <w:sz w:val="16"/>
                <w:u w:val="none"/>
              </w:rPr>
              <w:tab/>
              <w:t>20,45 %</w:t>
              <w:tab/>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125.227.349</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15" w:type="dxa"/>
            </w:tcMar>
            <w:vAlign w:val="center"/>
          </w:tcPr>
          <w:p>
            <w:pPr>
              <w:keepNext/>
              <w:pageBreakBefore w:val="0"/>
              <w:tabs>
                <w:tab w:val="left" w:pos="1"/>
                <w:tab w:val="left" w:pos="566"/>
              </w:tabs>
              <w:spacing w:before="0" w:after="0" w:line="240" w:lineRule="auto"/>
              <w:jc w:val="right"/>
            </w:pPr>
            <w:r>
              <w:rPr>
                <w:rFonts w:ascii="Calibri" w:eastAsia="Calibri" w:hAnsi="Calibri" w:cs="Calibri"/>
                <w:b w:val="0"/>
                <w:i w:val="0"/>
                <w:color w:val="000000"/>
                <w:sz w:val="16"/>
                <w:u w:val="none"/>
              </w:rPr>
              <w:tab/>
              <w:t>20,41 %</w:t>
              <w:tab/>
            </w:r>
          </w:p>
        </w:tc>
      </w:tr>
      <w:tr>
        <w:tblPrEx>
          <w:tblW w:w="7845" w:type="dxa"/>
          <w:tblInd w:w="2126" w:type="dxa"/>
          <w:tblLayout w:type="fixed"/>
        </w:tblPrEx>
        <w:trPr>
          <w:cantSplit/>
          <w:trHeight w:hRule="auto" w:val="0"/>
        </w:trPr>
        <w:tc>
          <w:tcPr>
            <w:tcW w:w="34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 deuda financiera</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614.599.903</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15" w:type="dxa"/>
            </w:tcMar>
            <w:vAlign w:val="center"/>
          </w:tcPr>
          <w:p>
            <w:pPr>
              <w:pageBreakBefore w:val="0"/>
              <w:tabs>
                <w:tab w:val="left" w:pos="1"/>
                <w:tab w:val="left" w:pos="649"/>
              </w:tabs>
              <w:spacing w:before="0" w:after="0" w:line="240" w:lineRule="auto"/>
              <w:jc w:val="right"/>
            </w:pPr>
            <w:r>
              <w:rPr>
                <w:rFonts w:ascii="Calibri" w:eastAsia="Calibri" w:hAnsi="Calibri" w:cs="Calibri"/>
                <w:b/>
                <w:i w:val="0"/>
                <w:color w:val="FFFFFF"/>
                <w:sz w:val="16"/>
                <w:u w:val="none"/>
              </w:rPr>
              <w:tab/>
              <w:t>100,00 %</w:t>
              <w:tab/>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613.441.235</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15" w:type="dxa"/>
            </w:tcMar>
            <w:vAlign w:val="center"/>
          </w:tcPr>
          <w:p>
            <w:pPr>
              <w:pageBreakBefore w:val="0"/>
              <w:tabs>
                <w:tab w:val="left" w:pos="1"/>
                <w:tab w:val="left" w:pos="649"/>
              </w:tabs>
              <w:spacing w:before="0" w:after="0" w:line="240" w:lineRule="auto"/>
              <w:jc w:val="right"/>
            </w:pPr>
            <w:r>
              <w:rPr>
                <w:rFonts w:ascii="Calibri" w:eastAsia="Calibri" w:hAnsi="Calibri" w:cs="Calibri"/>
                <w:b/>
                <w:i w:val="0"/>
                <w:color w:val="FFFFFF"/>
                <w:sz w:val="16"/>
                <w:u w:val="none"/>
              </w:rPr>
              <w:tab/>
              <w:t>100,00 %</w:t>
              <w:tab/>
            </w:r>
          </w:p>
        </w:tc>
      </w:tr>
    </w:tbl>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highlight w:val="yellow"/>
          <w:u w:val="none"/>
        </w:rPr>
      </w:pPr>
      <w:r>
        <w:rPr>
          <w:rFonts w:ascii="Calibri" w:eastAsia="Calibri" w:hAnsi="Calibri" w:cs="Calibri"/>
          <w:b w:val="0"/>
          <w:i w:val="0"/>
          <w:color w:val="000000"/>
          <w:sz w:val="20"/>
          <w:highlight w:val="white"/>
          <w:u w:val="none"/>
        </w:rPr>
        <w:t xml:space="preserve">Con el objetivo de cubrir los riesgos asociados a la variación de la moneda extranjera, al </w:t>
      </w:r>
      <w:r>
        <w:rPr>
          <w:rFonts w:ascii="Calibri" w:eastAsia="Calibri" w:hAnsi="Calibri" w:cs="Calibri"/>
          <w:b w:val="0"/>
          <w:i w:val="0"/>
          <w:color w:val="000000"/>
          <w:sz w:val="20"/>
          <w:highlight w:val="white"/>
          <w:u w:val="none"/>
        </w:rPr>
        <w:t>30 de junio de 2026</w:t>
      </w:r>
      <w:r>
        <w:rPr>
          <w:rFonts w:ascii="Calibri" w:eastAsia="Calibri" w:hAnsi="Calibri" w:cs="Calibri"/>
          <w:b w:val="0"/>
          <w:i w:val="0"/>
          <w:color w:val="000000"/>
          <w:sz w:val="20"/>
          <w:highlight w:val="white"/>
          <w:u w:val="none"/>
        </w:rPr>
        <w:t>, existen derivados de cobertura CNH $ / CL $ y US $ / CL $ para la deuda financiera, lo que incrementa e</w:t>
      </w:r>
      <w:r>
        <w:rPr>
          <w:rFonts w:ascii="Calibri" w:eastAsia="Calibri" w:hAnsi="Calibri" w:cs="Calibri"/>
          <w:b w:val="0"/>
          <w:i w:val="0"/>
          <w:sz w:val="20"/>
        </w:rPr>
        <w:t xml:space="preserve">n un </w:t>
      </w:r>
      <w:r>
        <w:rPr>
          <w:rFonts w:ascii="Calibri" w:eastAsia="Calibri" w:hAnsi="Calibri" w:cs="Calibri"/>
          <w:b w:val="0"/>
          <w:i w:val="0"/>
          <w:color w:val="000000"/>
          <w:sz w:val="20"/>
          <w:u w:val="none"/>
        </w:rPr>
        <w:t>20,45%</w:t>
      </w:r>
      <w:r>
        <w:rPr>
          <w:rFonts w:ascii="Calibri" w:eastAsia="Calibri" w:hAnsi="Calibri" w:cs="Calibri"/>
          <w:b w:val="0"/>
          <w:i w:val="0"/>
          <w:sz w:val="20"/>
        </w:rPr>
        <w:t xml:space="preserve"> </w:t>
      </w:r>
      <w:r>
        <w:rPr>
          <w:rFonts w:ascii="Calibri" w:eastAsia="Calibri" w:hAnsi="Calibri" w:cs="Calibri"/>
          <w:b w:val="0"/>
          <w:i w:val="0"/>
          <w:color w:val="000000"/>
          <w:sz w:val="20"/>
          <w:highlight w:val="white"/>
          <w:u w:val="none"/>
        </w:rPr>
        <w:t xml:space="preserve">el monto total de la deuda financiera en pesos y en un incremento de </w:t>
      </w:r>
      <w:r>
        <w:rPr>
          <w:rFonts w:ascii="Calibri" w:eastAsia="Calibri" w:hAnsi="Calibri" w:cs="Calibri"/>
          <w:b w:val="0"/>
          <w:i w:val="0"/>
          <w:color w:val="000000"/>
          <w:sz w:val="20"/>
          <w:highlight w:val="white"/>
          <w:u w:val="none"/>
        </w:rPr>
        <w:t>20,41%</w:t>
      </w:r>
      <w:r>
        <w:rPr>
          <w:rFonts w:ascii="Calibri" w:eastAsia="Calibri" w:hAnsi="Calibri" w:cs="Calibri"/>
          <w:b w:val="0"/>
          <w:i w:val="0"/>
          <w:color w:val="000000"/>
          <w:sz w:val="20"/>
          <w:highlight w:val="white"/>
          <w:u w:val="none"/>
        </w:rPr>
        <w:t xml:space="preserve"> al </w:t>
      </w:r>
      <w:r>
        <w:rPr>
          <w:rFonts w:ascii="Calibri" w:eastAsia="Calibri" w:hAnsi="Calibri" w:cs="Calibri"/>
          <w:b w:val="0"/>
          <w:i w:val="0"/>
          <w:color w:val="000000"/>
          <w:sz w:val="20"/>
          <w:highlight w:val="white"/>
          <w:u w:val="none"/>
        </w:rPr>
        <w:t>31 de diciembre de 2025</w:t>
      </w:r>
      <w:r>
        <w:rPr>
          <w:rFonts w:ascii="Calibri" w:eastAsia="Calibri" w:hAnsi="Calibri" w:cs="Calibri"/>
          <w:b w:val="0"/>
          <w:i w:val="0"/>
          <w:color w:val="000000"/>
          <w:sz w:val="20"/>
          <w:highlight w:val="white"/>
          <w:u w:val="none"/>
        </w:rPr>
        <w:t>.</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highlight w:val="yellow"/>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highlight w:val="yellow"/>
          <w:u w:val="none"/>
        </w:rPr>
      </w:pPr>
      <w:r>
        <w:rPr>
          <w:rFonts w:ascii="Calibri" w:eastAsia="Calibri" w:hAnsi="Calibri" w:cs="Calibri"/>
          <w:b w:val="0"/>
          <w:i w:val="0"/>
          <w:color w:val="000000"/>
          <w:sz w:val="20"/>
          <w:highlight w:val="white"/>
          <w:u w:val="none"/>
        </w:rPr>
        <w:t xml:space="preserve">En el período terminado al </w:t>
      </w:r>
      <w:r>
        <w:rPr>
          <w:rFonts w:ascii="Calibri" w:eastAsia="Calibri" w:hAnsi="Calibri" w:cs="Calibri"/>
          <w:b w:val="0"/>
          <w:i w:val="0"/>
          <w:color w:val="000000"/>
          <w:sz w:val="20"/>
          <w:highlight w:val="white"/>
          <w:u w:val="none"/>
        </w:rPr>
        <w:t>30 de junio de 2026</w:t>
      </w:r>
      <w:r>
        <w:rPr>
          <w:rFonts w:ascii="Calibri" w:eastAsia="Calibri" w:hAnsi="Calibri" w:cs="Calibri"/>
          <w:b w:val="0"/>
          <w:i w:val="0"/>
          <w:color w:val="000000"/>
          <w:sz w:val="20"/>
          <w:highlight w:val="white"/>
          <w:u w:val="none"/>
        </w:rPr>
        <w:t>, CGE Transmisión S.A. presenta deuda en moneda extranje</w:t>
      </w:r>
      <w:r>
        <w:rPr>
          <w:rFonts w:ascii="Calibri" w:eastAsia="Calibri" w:hAnsi="Calibri" w:cs="Calibri"/>
          <w:b w:val="0"/>
          <w:i w:val="0"/>
          <w:color w:val="000000"/>
          <w:sz w:val="20"/>
          <w:u w:val="none"/>
        </w:rPr>
        <w:t xml:space="preserve">ra con entidades relacionadas producto de un préstamo por parte de </w:t>
      </w:r>
      <w:r>
        <w:rPr>
          <w:rFonts w:ascii="Calibri" w:eastAsia="Calibri" w:hAnsi="Calibri" w:cs="Calibri"/>
          <w:b w:val="0"/>
          <w:i w:val="0"/>
          <w:sz w:val="20"/>
        </w:rPr>
        <w:t>State Grid Chile Electricity SpA por</w:t>
      </w:r>
      <w:r>
        <w:rPr>
          <w:rFonts w:ascii="Calibri" w:eastAsia="Calibri" w:hAnsi="Calibri" w:cs="Calibri"/>
          <w:b w:val="0"/>
          <w:i w:val="0"/>
          <w:color w:val="000000"/>
          <w:sz w:val="20"/>
          <w:u w:val="none"/>
        </w:rPr>
        <w:t xml:space="preserve"> MUS$ </w:t>
      </w:r>
      <w:r>
        <w:rPr>
          <w:rFonts w:ascii="Calibri" w:eastAsia="Calibri" w:hAnsi="Calibri" w:cs="Calibri"/>
          <w:b w:val="0"/>
          <w:i w:val="0"/>
          <w:color w:val="000000"/>
          <w:sz w:val="20"/>
          <w:u w:val="none"/>
        </w:rPr>
        <w:t>#DIV/0!</w:t>
      </w:r>
      <w:r>
        <w:rPr>
          <w:rFonts w:ascii="Calibri" w:eastAsia="Calibri" w:hAnsi="Calibri" w:cs="Calibri"/>
          <w:b w:val="0"/>
          <w:i w:val="0"/>
          <w:sz w:val="20"/>
        </w:rPr>
        <w:t xml:space="preserve"> y por </w:t>
      </w:r>
      <w:r>
        <w:rPr>
          <w:rFonts w:ascii="Calibri" w:eastAsia="Calibri" w:hAnsi="Calibri" w:cs="Calibri"/>
          <w:b w:val="0"/>
          <w:i w:val="0"/>
          <w:color w:val="000000"/>
          <w:sz w:val="20"/>
          <w:u w:val="none"/>
        </w:rPr>
        <w:t xml:space="preserve">MUS$ </w:t>
      </w:r>
      <w:r>
        <w:rPr>
          <w:rFonts w:ascii="Calibri" w:eastAsia="Calibri" w:hAnsi="Calibri" w:cs="Calibri"/>
          <w:b w:val="0"/>
          <w:i w:val="0"/>
          <w:color w:val="000000"/>
          <w:sz w:val="20"/>
          <w:u w:val="none"/>
        </w:rPr>
        <w:t>100.993</w:t>
      </w:r>
      <w:r>
        <w:rPr>
          <w:rFonts w:ascii="Calibri" w:eastAsia="Calibri" w:hAnsi="Calibri" w:cs="Calibri"/>
          <w:b w:val="0"/>
          <w:i w:val="0"/>
          <w:sz w:val="20"/>
        </w:rPr>
        <w:t xml:space="preserve"> al </w:t>
      </w:r>
      <w:r>
        <w:rPr>
          <w:rFonts w:ascii="Calibri" w:eastAsia="Calibri" w:hAnsi="Calibri" w:cs="Calibri"/>
          <w:b w:val="0"/>
          <w:i w:val="0"/>
          <w:color w:val="000000"/>
          <w:sz w:val="20"/>
          <w:highlight w:val="white"/>
          <w:u w:val="none"/>
        </w:rPr>
        <w:t>31 de diciembre de 2025</w:t>
      </w:r>
      <w:r>
        <w:rPr>
          <w:rFonts w:ascii="Calibri" w:eastAsia="Calibri" w:hAnsi="Calibri" w:cs="Calibri"/>
          <w:b w:val="0"/>
          <w:i w:val="0"/>
          <w:color w:val="000000"/>
          <w:sz w:val="20"/>
          <w:highlight w:val="white"/>
          <w:u w:val="none"/>
        </w:rPr>
        <w:t>.</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highlight w:val="yellow"/>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Debido a esta razón, se efectúa un análisis de sensibilidad sobre aquella parte de la deuda expresada en moneda extranjera que no posee algún instrumento de cobertura asociado, con el objeto de determinar el impacto en los resultados de CGE Transmisión S.A. y sus subsidiarias ante la variación en el tipo de cambio.</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highlight w:val="yellow"/>
          <w:u w:val="none"/>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highlight w:val="yellow"/>
          <w:u w:val="none"/>
        </w:rPr>
      </w:pPr>
      <w:r>
        <w:rPr>
          <w:rFonts w:ascii="Calibri" w:eastAsia="Calibri" w:hAnsi="Calibri" w:cs="Calibri"/>
          <w:b w:val="0"/>
          <w:i w:val="0"/>
          <w:color w:val="000000"/>
          <w:sz w:val="20"/>
          <w:highlight w:val="white"/>
          <w:u w:val="none"/>
        </w:rPr>
        <w:t xml:space="preserve">Al </w:t>
      </w:r>
      <w:r>
        <w:rPr>
          <w:rFonts w:ascii="Calibri" w:eastAsia="Calibri" w:hAnsi="Calibri" w:cs="Calibri"/>
          <w:b w:val="0"/>
          <w:i w:val="0"/>
          <w:color w:val="000000"/>
          <w:sz w:val="20"/>
          <w:highlight w:val="white"/>
          <w:u w:val="none"/>
        </w:rPr>
        <w:t>30 de junio de 2026</w:t>
      </w:r>
      <w:r>
        <w:rPr>
          <w:rFonts w:ascii="Calibri" w:eastAsia="Calibri" w:hAnsi="Calibri" w:cs="Calibri"/>
          <w:b w:val="0"/>
          <w:i w:val="0"/>
          <w:color w:val="000000"/>
          <w:sz w:val="20"/>
          <w:highlight w:val="white"/>
          <w:u w:val="none"/>
        </w:rPr>
        <w:t xml:space="preserve"> </w:t>
      </w:r>
      <w:r>
        <w:rPr>
          <w:rFonts w:ascii="Calibri" w:eastAsia="Calibri" w:hAnsi="Calibri" w:cs="Calibri"/>
          <w:b w:val="0"/>
          <w:i w:val="0"/>
          <w:color w:val="000000"/>
          <w:sz w:val="20"/>
          <w:highlight w:val="white"/>
          <w:u w:val="none"/>
        </w:rPr>
        <w:t>e</w:t>
      </w:r>
      <w:r>
        <w:rPr>
          <w:rFonts w:ascii="Calibri" w:eastAsia="Calibri" w:hAnsi="Calibri" w:cs="Calibri"/>
          <w:b w:val="0"/>
          <w:i w:val="0"/>
          <w:color w:val="000000"/>
          <w:sz w:val="20"/>
          <w:highlight w:val="white"/>
          <w:u w:val="none"/>
        </w:rPr>
        <w:t xml:space="preserve">l valor del dólar estadounidense </w:t>
      </w:r>
      <w:r>
        <w:rPr>
          <w:rFonts w:ascii="Calibri" w:eastAsia="Calibri" w:hAnsi="Calibri" w:cs="Calibri"/>
          <w:b w:val="0"/>
          <w:i w:val="0"/>
          <w:color w:val="000000"/>
          <w:sz w:val="20"/>
          <w:highlight w:val="white"/>
          <w:u w:val="none"/>
        </w:rPr>
        <w:t xml:space="preserve">se ubicó en $ </w:t>
      </w:r>
      <w:r>
        <w:rPr>
          <w:rFonts w:ascii="Calibri" w:eastAsia="Calibri" w:hAnsi="Calibri" w:cs="Calibri"/>
          <w:b w:val="0"/>
          <w:i w:val="0"/>
          <w:color w:val="000000"/>
          <w:sz w:val="20"/>
          <w:highlight w:val="white"/>
          <w:u w:val="none"/>
        </w:rPr>
        <w:t>0,00</w:t>
      </w:r>
      <w:r>
        <w:rPr>
          <w:rFonts w:ascii="Calibri" w:eastAsia="Calibri" w:hAnsi="Calibri" w:cs="Calibri"/>
          <w:b w:val="0"/>
          <w:i w:val="0"/>
          <w:color w:val="000000"/>
          <w:sz w:val="20"/>
          <w:highlight w:val="white"/>
          <w:u w:val="none"/>
        </w:rPr>
        <w:t xml:space="preserve"> lo que representa </w:t>
      </w:r>
      <w:r>
        <w:rPr>
          <w:rFonts w:ascii="Calibri" w:eastAsia="Calibri" w:hAnsi="Calibri" w:cs="Calibri"/>
          <w:b w:val="0"/>
          <w:i w:val="0"/>
          <w:color w:val="000000"/>
          <w:sz w:val="20"/>
          <w:u w:val="none"/>
        </w:rPr>
        <w:t>una disminución</w:t>
      </w:r>
      <w:r>
        <w:rPr>
          <w:rFonts w:ascii="Calibri" w:eastAsia="Calibri" w:hAnsi="Calibri" w:cs="Calibri"/>
          <w:b w:val="0"/>
          <w:i w:val="0"/>
          <w:color w:val="000000"/>
          <w:sz w:val="20"/>
          <w:highlight w:val="white"/>
          <w:u w:val="none"/>
        </w:rPr>
        <w:t xml:space="preserve"> de </w:t>
      </w:r>
      <w:r>
        <w:rPr>
          <w:rFonts w:ascii="Calibri" w:eastAsia="Calibri" w:hAnsi="Calibri" w:cs="Calibri"/>
          <w:b w:val="0"/>
          <w:i w:val="0"/>
          <w:color w:val="000000"/>
          <w:sz w:val="20"/>
          <w:u w:val="none"/>
        </w:rPr>
        <w:t>(100,00)%</w:t>
      </w:r>
      <w:r>
        <w:rPr>
          <w:rFonts w:ascii="Calibri" w:eastAsia="Calibri" w:hAnsi="Calibri" w:cs="Calibri"/>
          <w:b w:val="0"/>
          <w:i w:val="0"/>
          <w:color w:val="000000"/>
          <w:sz w:val="20"/>
          <w:highlight w:val="white"/>
          <w:u w:val="none"/>
        </w:rPr>
        <w:t xml:space="preserve"> en comparación con el valor de cierre del </w:t>
      </w:r>
      <w:r>
        <w:rPr>
          <w:rFonts w:ascii="Calibri" w:eastAsia="Calibri" w:hAnsi="Calibri" w:cs="Calibri"/>
          <w:b w:val="0"/>
          <w:i w:val="0"/>
          <w:color w:val="000000"/>
          <w:sz w:val="20"/>
          <w:highlight w:val="white"/>
          <w:u w:val="none"/>
        </w:rPr>
        <w:t>31 de diciembre de 2025</w:t>
      </w:r>
      <w:r>
        <w:rPr>
          <w:rFonts w:ascii="Calibri" w:eastAsia="Calibri" w:hAnsi="Calibri" w:cs="Calibri"/>
          <w:b w:val="0"/>
          <w:i w:val="0"/>
          <w:color w:val="000000"/>
          <w:sz w:val="20"/>
          <w:highlight w:val="white"/>
          <w:u w:val="none"/>
        </w:rPr>
        <w:t xml:space="preserve">, fecha en que alcanzó un valor de $ </w:t>
      </w:r>
      <w:r>
        <w:rPr>
          <w:rFonts w:ascii="Calibri" w:eastAsia="Calibri" w:hAnsi="Calibri" w:cs="Calibri"/>
          <w:b w:val="0"/>
          <w:i w:val="0"/>
          <w:color w:val="000000"/>
          <w:sz w:val="20"/>
          <w:highlight w:val="white"/>
          <w:u w:val="none"/>
        </w:rPr>
        <w:t>907,13</w:t>
      </w:r>
      <w:r>
        <w:rPr>
          <w:rFonts w:ascii="Calibri" w:eastAsia="Calibri" w:hAnsi="Calibri" w:cs="Calibri"/>
          <w:b w:val="0"/>
          <w:i w:val="0"/>
          <w:color w:val="000000"/>
          <w:sz w:val="20"/>
          <w:highlight w:val="white"/>
          <w:u w:val="none"/>
        </w:rPr>
        <w:t>.</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p>
    <w:tbl>
      <w:tblPr>
        <w:tblW w:w="7845" w:type="dxa"/>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2820"/>
        <w:gridCol w:w="1005"/>
        <w:gridCol w:w="1005"/>
        <w:gridCol w:w="1005"/>
        <w:gridCol w:w="1005"/>
        <w:gridCol w:w="1005"/>
      </w:tblGrid>
      <w:tr>
        <w:tblPrEx>
          <w:tblW w:w="7845" w:type="dxa"/>
          <w:tblInd w:w="2126" w:type="dxa"/>
          <w:tblLayout w:type="fixed"/>
        </w:tblPrEx>
        <w:trPr>
          <w:cantSplit/>
          <w:trHeight w:hRule="auto" w:val="0"/>
        </w:trPr>
        <w:tc>
          <w:tcPr>
            <w:tcW w:w="282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Sensibilización tipo de cambio de cierre</w:t>
            </w:r>
          </w:p>
        </w:tc>
        <w:tc>
          <w:tcPr>
            <w:tcW w:w="1005" w:type="dxa"/>
            <w:tcBorders>
              <w:top w:val="single" w:sz="2" w:space="0" w:color="000000"/>
              <w:left w:val="single" w:sz="4" w:space="0" w:color="FFFFFF"/>
              <w:bottom w:val="nil"/>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6"/>
                <w:u w:val="none"/>
              </w:rPr>
              <w:t>Variación %</w:t>
            </w:r>
          </w:p>
        </w:tc>
        <w:tc>
          <w:tcPr>
            <w:tcW w:w="1005" w:type="dxa"/>
            <w:tcBorders>
              <w:top w:val="single" w:sz="2" w:space="0" w:color="000000"/>
              <w:left w:val="single" w:sz="4" w:space="0" w:color="FFFFFF"/>
              <w:bottom w:val="nil"/>
              <w:right w:val="single" w:sz="4" w:space="0" w:color="FFFFFF"/>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6"/>
                <w:u w:val="none"/>
              </w:rPr>
              <w:t>t/c</w:t>
            </w:r>
          </w:p>
        </w:tc>
        <w:tc>
          <w:tcPr>
            <w:tcW w:w="2010" w:type="dxa"/>
            <w:gridSpan w:val="2"/>
            <w:tcBorders>
              <w:top w:val="single" w:sz="2" w:space="0" w:color="000000"/>
              <w:left w:val="nil"/>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Deuda en moneda extranjera</w:t>
            </w:r>
          </w:p>
        </w:tc>
        <w:tc>
          <w:tcPr>
            <w:tcW w:w="1005"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6"/>
                <w:u w:val="none"/>
              </w:rPr>
              <w:t>Efecto t/c</w:t>
            </w:r>
          </w:p>
        </w:tc>
      </w:tr>
      <w:tr>
        <w:tblPrEx>
          <w:tblW w:w="7845" w:type="dxa"/>
          <w:tblInd w:w="2126" w:type="dxa"/>
          <w:tblLayout w:type="fixed"/>
        </w:tblPrEx>
        <w:trPr>
          <w:cantSplit/>
          <w:trHeight w:hRule="auto" w:val="0"/>
        </w:trPr>
        <w:tc>
          <w:tcPr>
            <w:tcW w:w="2820" w:type="dxa"/>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t/c</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cierre</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MUS$</w:t>
            </w:r>
          </w:p>
        </w:tc>
        <w:tc>
          <w:tcPr>
            <w:tcW w:w="1005" w:type="dxa"/>
            <w:tcBorders>
              <w:top w:val="single" w:sz="4" w:space="0" w:color="FFFFFF"/>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M$</w:t>
            </w:r>
          </w:p>
        </w:tc>
      </w:tr>
      <w:tr>
        <w:tblPrEx>
          <w:tblW w:w="7845" w:type="dxa"/>
          <w:tblInd w:w="2126" w:type="dxa"/>
          <w:tblLayout w:type="fixed"/>
        </w:tblPrEx>
        <w:trPr>
          <w:cantSplit/>
          <w:trHeight w:hRule="exact" w:val="60"/>
        </w:trPr>
        <w:tc>
          <w:tcPr>
            <w:tcW w:w="28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28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i w:val="0"/>
                <w:color w:val="FFFFFF"/>
                <w:sz w:val="16"/>
                <w:u w:val="none"/>
              </w:rPr>
              <w:t>Saldos al 30 de junio de 2026</w:t>
            </w:r>
          </w:p>
        </w:tc>
        <w:tc>
          <w:tcPr>
            <w:tcW w:w="100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FFFFFF"/>
                <w:sz w:val="16"/>
                <w:u w:val="none"/>
              </w:rPr>
              <w:t>0,00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#DIV/0!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282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#DIV/0!</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0,00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#DIV/0!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#DIV/0!</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#DIV/0!</w:t>
            </w:r>
          </w:p>
        </w:tc>
      </w:tr>
      <w:tr>
        <w:tblPrEx>
          <w:tblW w:w="7845" w:type="dxa"/>
          <w:tblInd w:w="2126" w:type="dxa"/>
          <w:tblLayout w:type="fixed"/>
        </w:tblPrEx>
        <w:trPr>
          <w:cantSplit/>
          <w:trHeight w:hRule="auto" w:val="0"/>
        </w:trPr>
        <w:tc>
          <w:tcPr>
            <w:tcW w:w="2820"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6"/>
                <w:u w:val="none"/>
              </w:rPr>
              <w:t>#DIV/0!</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6"/>
                <w:u w:val="none"/>
              </w:rPr>
              <w:t>0,00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6"/>
                <w:u w:val="none"/>
              </w:rPr>
              <w:t>#DIV/0!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6"/>
                <w:u w:val="none"/>
              </w:rPr>
              <w:t>#DIV/0!</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6"/>
                <w:u w:val="none"/>
              </w:rPr>
              <w:t>#DIV/0!</w:t>
            </w:r>
          </w:p>
        </w:tc>
      </w:tr>
    </w:tbl>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sz w:val="20"/>
        </w:rPr>
      </w:pPr>
    </w:p>
    <w:tbl>
      <w:tblPr>
        <w:tblW w:w="7845" w:type="dxa"/>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2820"/>
        <w:gridCol w:w="1005"/>
        <w:gridCol w:w="1005"/>
        <w:gridCol w:w="1005"/>
        <w:gridCol w:w="1005"/>
        <w:gridCol w:w="1005"/>
      </w:tblGrid>
      <w:tr>
        <w:tblPrEx>
          <w:tblW w:w="7845" w:type="dxa"/>
          <w:tblInd w:w="2126" w:type="dxa"/>
          <w:tblLayout w:type="fixed"/>
        </w:tblPrEx>
        <w:trPr>
          <w:cantSplit/>
          <w:trHeight w:hRule="auto" w:val="0"/>
        </w:trPr>
        <w:tc>
          <w:tcPr>
            <w:tcW w:w="282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Sensibilización tipo de cambio de cierre</w:t>
            </w:r>
          </w:p>
        </w:tc>
        <w:tc>
          <w:tcPr>
            <w:tcW w:w="1005" w:type="dxa"/>
            <w:tcBorders>
              <w:top w:val="single" w:sz="2" w:space="0" w:color="000000"/>
              <w:left w:val="single" w:sz="4" w:space="0" w:color="FFFFFF"/>
              <w:bottom w:val="nil"/>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6"/>
                <w:u w:val="none"/>
              </w:rPr>
              <w:t>Variación %</w:t>
            </w:r>
          </w:p>
        </w:tc>
        <w:tc>
          <w:tcPr>
            <w:tcW w:w="1005" w:type="dxa"/>
            <w:tcBorders>
              <w:top w:val="single" w:sz="2" w:space="0" w:color="000000"/>
              <w:left w:val="single" w:sz="4" w:space="0" w:color="FFFFFF"/>
              <w:bottom w:val="nil"/>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6"/>
                <w:u w:val="none"/>
              </w:rPr>
              <w:t>t/c</w:t>
            </w:r>
          </w:p>
        </w:tc>
        <w:tc>
          <w:tcPr>
            <w:tcW w:w="2010" w:type="dxa"/>
            <w:gridSpan w:val="2"/>
            <w:tcBorders>
              <w:top w:val="single" w:sz="2" w:space="0" w:color="000000"/>
              <w:left w:val="single" w:sz="4" w:space="0" w:color="FFFFFF"/>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Deuda en moneda extranjera</w:t>
            </w:r>
          </w:p>
        </w:tc>
        <w:tc>
          <w:tcPr>
            <w:tcW w:w="1005"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6"/>
                <w:u w:val="none"/>
              </w:rPr>
              <w:t>Efecto t/c</w:t>
            </w:r>
          </w:p>
        </w:tc>
      </w:tr>
      <w:tr>
        <w:tblPrEx>
          <w:tblW w:w="7845" w:type="dxa"/>
          <w:tblInd w:w="2126" w:type="dxa"/>
          <w:tblLayout w:type="fixed"/>
        </w:tblPrEx>
        <w:trPr>
          <w:cantSplit/>
          <w:trHeight w:hRule="auto" w:val="0"/>
        </w:trPr>
        <w:tc>
          <w:tcPr>
            <w:tcW w:w="2820" w:type="dxa"/>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t/c</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cierre</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MUS$</w:t>
            </w:r>
          </w:p>
        </w:tc>
        <w:tc>
          <w:tcPr>
            <w:tcW w:w="1005" w:type="dxa"/>
            <w:tcBorders>
              <w:top w:val="single" w:sz="4" w:space="0" w:color="FFFFFF"/>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M$</w:t>
            </w:r>
          </w:p>
        </w:tc>
      </w:tr>
      <w:tr>
        <w:tblPrEx>
          <w:tblW w:w="7845" w:type="dxa"/>
          <w:tblInd w:w="2126" w:type="dxa"/>
          <w:tblLayout w:type="fixed"/>
        </w:tblPrEx>
        <w:trPr>
          <w:cantSplit/>
          <w:trHeight w:hRule="exact" w:val="60"/>
        </w:trPr>
        <w:tc>
          <w:tcPr>
            <w:tcW w:w="28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28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i w:val="0"/>
                <w:color w:val="FFFFFF"/>
                <w:sz w:val="16"/>
                <w:u w:val="none"/>
              </w:rPr>
              <w:t>Saldos al 31 de diciembre de 2025</w:t>
            </w:r>
          </w:p>
        </w:tc>
        <w:tc>
          <w:tcPr>
            <w:tcW w:w="1005" w:type="dxa"/>
            <w:tcBorders>
              <w:top w:val="nil"/>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FFFFFF"/>
                <w:sz w:val="16"/>
                <w:u w:val="none"/>
              </w:rPr>
              <w:t>907,13</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100.993</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91.613.784</w:t>
            </w:r>
          </w:p>
        </w:tc>
        <w:tc>
          <w:tcPr>
            <w:tcW w:w="100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282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(1 %)</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898,06</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100.993</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90.697.646</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(916.138)</w:t>
            </w:r>
          </w:p>
        </w:tc>
      </w:tr>
      <w:tr>
        <w:tblPrEx>
          <w:tblW w:w="7845" w:type="dxa"/>
          <w:tblInd w:w="2126" w:type="dxa"/>
          <w:tblLayout w:type="fixed"/>
        </w:tblPrEx>
        <w:trPr>
          <w:cantSplit/>
          <w:trHeight w:hRule="auto" w:val="0"/>
        </w:trPr>
        <w:tc>
          <w:tcPr>
            <w:tcW w:w="2820"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6"/>
                <w:u w:val="none"/>
              </w:rPr>
              <w:t>1 %</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6"/>
                <w:u w:val="none"/>
              </w:rPr>
              <w:t>916,20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6"/>
                <w:u w:val="none"/>
              </w:rPr>
              <w:t>100.993</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6"/>
                <w:u w:val="none"/>
              </w:rPr>
              <w:t>92.529.922</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6"/>
                <w:u w:val="none"/>
              </w:rPr>
              <w:t>916.138</w:t>
            </w:r>
          </w:p>
        </w:tc>
      </w:tr>
    </w:tbl>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highlight w:val="yellow"/>
          <w:u w:val="none"/>
        </w:rPr>
      </w:pPr>
      <w:r>
        <w:rPr>
          <w:rFonts w:ascii="Calibri" w:eastAsia="Calibri" w:hAnsi="Calibri" w:cs="Calibri"/>
          <w:b w:val="0"/>
          <w:i w:val="0"/>
          <w:color w:val="000000"/>
          <w:sz w:val="20"/>
          <w:highlight w:val="white"/>
          <w:u w:val="none"/>
        </w:rPr>
        <w:t>Se estima que el impacto de un alza de un 1% en la tasa de cambio del peso chileno con respecto al dólar estadounidense habría generado un impacto negativo en M</w:t>
      </w:r>
      <w:r>
        <w:rPr>
          <w:rFonts w:ascii="Calibri" w:eastAsia="Calibri" w:hAnsi="Calibri" w:cs="Calibri"/>
          <w:b w:val="0"/>
          <w:i w:val="0"/>
          <w:sz w:val="20"/>
        </w:rPr>
        <w:t xml:space="preserve">$ </w:t>
      </w:r>
      <w:r>
        <w:rPr>
          <w:rFonts w:ascii="Calibri" w:eastAsia="Calibri" w:hAnsi="Calibri" w:cs="Calibri"/>
          <w:b w:val="0"/>
          <w:i w:val="0"/>
          <w:color w:val="000000"/>
          <w:sz w:val="20"/>
          <w:u w:val="none"/>
        </w:rPr>
        <w:t>#DIV/0!</w:t>
      </w:r>
      <w:r>
        <w:rPr>
          <w:rFonts w:ascii="Calibri" w:eastAsia="Calibri" w:hAnsi="Calibri" w:cs="Calibri"/>
          <w:b w:val="0"/>
          <w:i w:val="0"/>
          <w:sz w:val="20"/>
        </w:rPr>
        <w:t xml:space="preserve"> </w:t>
      </w:r>
      <w:r>
        <w:rPr>
          <w:rFonts w:ascii="Calibri" w:eastAsia="Calibri" w:hAnsi="Calibri" w:cs="Calibri"/>
          <w:b w:val="0"/>
          <w:i w:val="0"/>
          <w:color w:val="000000"/>
          <w:sz w:val="20"/>
          <w:highlight w:val="white"/>
          <w:u w:val="none"/>
        </w:rPr>
        <w:t>en el resultado fina</w:t>
      </w:r>
      <w:r>
        <w:rPr>
          <w:rFonts w:ascii="Calibri" w:eastAsia="Calibri" w:hAnsi="Calibri" w:cs="Calibri"/>
          <w:b w:val="0"/>
          <w:i w:val="0"/>
          <w:sz w:val="20"/>
        </w:rPr>
        <w:t xml:space="preserve">nciero de CGE Transmisión S.A. al cierre del período terminado el </w:t>
      </w:r>
      <w:r>
        <w:rPr>
          <w:rFonts w:ascii="Calibri" w:eastAsia="Calibri" w:hAnsi="Calibri" w:cs="Calibri"/>
          <w:b w:val="0"/>
          <w:i w:val="0"/>
          <w:color w:val="000000"/>
          <w:sz w:val="20"/>
          <w:u w:val="none"/>
        </w:rPr>
        <w:t>30 de junio de 2026</w:t>
      </w:r>
      <w:r>
        <w:rPr>
          <w:rFonts w:ascii="Calibri" w:eastAsia="Calibri" w:hAnsi="Calibri" w:cs="Calibri"/>
          <w:b w:val="0"/>
          <w:i w:val="0"/>
          <w:sz w:val="20"/>
        </w:rPr>
        <w:t xml:space="preserve">, y de M$ </w:t>
      </w:r>
      <w:r>
        <w:rPr>
          <w:rFonts w:ascii="Calibri" w:eastAsia="Calibri" w:hAnsi="Calibri" w:cs="Calibri"/>
          <w:b w:val="0"/>
          <w:i w:val="0"/>
          <w:color w:val="000000"/>
          <w:sz w:val="20"/>
          <w:u w:val="none"/>
        </w:rPr>
        <w:t>916.138</w:t>
      </w:r>
      <w:r>
        <w:rPr>
          <w:rFonts w:ascii="Calibri" w:eastAsia="Calibri" w:hAnsi="Calibri" w:cs="Calibri"/>
          <w:b w:val="0"/>
          <w:i w:val="0"/>
          <w:sz w:val="20"/>
        </w:rPr>
        <w:t xml:space="preserve"> al </w:t>
      </w:r>
      <w:r>
        <w:rPr>
          <w:rFonts w:ascii="Calibri" w:eastAsia="Calibri" w:hAnsi="Calibri" w:cs="Calibri"/>
          <w:b w:val="0"/>
          <w:i w:val="0"/>
          <w:color w:val="000000"/>
          <w:sz w:val="20"/>
          <w:u w:val="none"/>
        </w:rPr>
        <w:t>31 de diciembre de 2025</w:t>
      </w:r>
      <w:r>
        <w:rPr>
          <w:rFonts w:ascii="Calibri" w:eastAsia="Calibri" w:hAnsi="Calibri" w:cs="Calibri"/>
          <w:b w:val="0"/>
          <w:i w:val="0"/>
          <w:sz w:val="20"/>
        </w:rPr>
        <w:t xml:space="preserve">. Asimismo, se estima un impacto positivo de la misma magnitud ante </w:t>
      </w:r>
      <w:r>
        <w:rPr>
          <w:rFonts w:ascii="Calibri" w:eastAsia="Calibri" w:hAnsi="Calibri" w:cs="Calibri"/>
          <w:b w:val="0"/>
          <w:i w:val="0"/>
          <w:color w:val="000000"/>
          <w:sz w:val="20"/>
          <w:highlight w:val="white"/>
          <w:u w:val="none"/>
        </w:rPr>
        <w:t>una disminución del tipo de cambio.</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i w:val="0"/>
          <w:color w:val="000000"/>
          <w:sz w:val="20"/>
          <w:u w:val="none"/>
        </w:rPr>
      </w:pPr>
    </w:p>
    <w:p>
      <w:pPr>
        <w:pStyle w:val="Normal-wk"/>
        <w:keepNext w:val="0"/>
        <w:keepLines/>
        <w:pageBreakBefore w:val="0"/>
        <w:widowControl w:val="0"/>
        <w:numPr>
          <w:ilvl w:val="0"/>
          <w:numId w:val="0"/>
        </w:numPr>
        <w:spacing w:before="0" w:after="0" w:line="240" w:lineRule="exact"/>
        <w:ind w:left="720" w:right="0" w:firstLine="72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 xml:space="preserve">5.1.2.- </w:t>
      </w:r>
      <w:r>
        <w:rPr>
          <w:rFonts w:ascii="Calibri" w:eastAsia="Calibri" w:hAnsi="Calibri" w:cs="Calibri"/>
          <w:b/>
          <w:i w:val="0"/>
          <w:color w:val="000000"/>
          <w:sz w:val="20"/>
          <w:u w:val="none"/>
        </w:rPr>
        <w:tab/>
      </w:r>
      <w:r>
        <w:rPr>
          <w:rFonts w:ascii="Calibri" w:eastAsia="Calibri" w:hAnsi="Calibri" w:cs="Calibri"/>
          <w:b/>
          <w:i w:val="0"/>
          <w:color w:val="000000"/>
          <w:sz w:val="20"/>
          <w:u w:val="none"/>
        </w:rPr>
        <w:t xml:space="preserve">Riesgo de tasa de interés. </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 xml:space="preserve">El riesgo de tasa de interés es el riesgo de que flujos de instrumentos financieros fluctúen debido a cambios en las tasas de interés de mercado. La exposición de la Compañía al riesgo de cambio en tasas de interés se relaciona principalmente con obligaciones financieras a tasas de interés variables. </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highlight w:val="white"/>
          <w:u w:val="none"/>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El objetivo de la gestión del riesgo de tasas de interés es alcanzar un equilibrio en la estructura de la deuda que permita disminuir los impactos en el resultado de la volatilidad en las tasas de interés, asegurando al mismo tiempo la estabilidad financiera de la compañía.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highlight w:val="white"/>
          <w:u w:val="none"/>
        </w:rPr>
      </w:pPr>
    </w:p>
    <w:p>
      <w:pPr>
        <w:pStyle w:val="Normal-wk"/>
        <w:keepNext w:val="0"/>
        <w:keepLines/>
        <w:pageBreakBefore w:val="0"/>
        <w:widowControl w:val="0"/>
        <w:numPr>
          <w:ilvl w:val="0"/>
          <w:numId w:val="0"/>
        </w:numPr>
        <w:spacing w:before="0" w:after="0" w:line="230" w:lineRule="exact"/>
        <w:ind w:left="2124" w:right="0" w:firstLine="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 xml:space="preserve">Al </w:t>
      </w:r>
      <w:r>
        <w:rPr>
          <w:rFonts w:ascii="Calibri" w:eastAsia="Calibri" w:hAnsi="Calibri" w:cs="Calibri"/>
          <w:b w:val="0"/>
          <w:i w:val="0"/>
          <w:color w:val="000000"/>
          <w:sz w:val="20"/>
          <w:highlight w:val="white"/>
          <w:u w:val="none"/>
        </w:rPr>
        <w:t>30 de junio de 2026</w:t>
      </w:r>
      <w:r>
        <w:rPr>
          <w:rFonts w:ascii="Calibri" w:eastAsia="Calibri" w:hAnsi="Calibri" w:cs="Calibri"/>
          <w:b w:val="0"/>
          <w:i w:val="0"/>
          <w:color w:val="000000"/>
          <w:sz w:val="20"/>
          <w:highlight w:val="white"/>
          <w:u w:val="none"/>
        </w:rPr>
        <w:t xml:space="preserve">, la deuda financiera de la Compañía se estructura en un 80,04% a tasa variable (capital vigente adeudado) (56,05% al </w:t>
      </w:r>
      <w:r>
        <w:rPr>
          <w:rFonts w:ascii="Calibri" w:eastAsia="Calibri" w:hAnsi="Calibri" w:cs="Calibri"/>
          <w:b w:val="0"/>
          <w:i w:val="0"/>
          <w:color w:val="000000"/>
          <w:sz w:val="20"/>
          <w:highlight w:val="white"/>
          <w:u w:val="none"/>
        </w:rPr>
        <w:t>30 de junio de 2025</w:t>
      </w:r>
      <w:r>
        <w:rPr>
          <w:rFonts w:ascii="Calibri" w:eastAsia="Calibri" w:hAnsi="Calibri" w:cs="Calibri"/>
          <w:b w:val="0"/>
          <w:i w:val="0"/>
          <w:color w:val="000000"/>
          <w:sz w:val="20"/>
          <w:highlight w:val="white"/>
          <w:u w:val="none"/>
        </w:rPr>
        <w:t xml:space="preserve">). Se estima que un incremento de 100 puntos base en las tasas de interés variables en base anual hubiese significado un mayor gasto financiero de M$ 1.222.358 al </w:t>
      </w:r>
      <w:r>
        <w:rPr>
          <w:rFonts w:ascii="Calibri" w:eastAsia="Calibri" w:hAnsi="Calibri" w:cs="Calibri"/>
          <w:b w:val="0"/>
          <w:i w:val="0"/>
          <w:color w:val="000000"/>
          <w:sz w:val="20"/>
          <w:highlight w:val="white"/>
          <w:u w:val="none"/>
        </w:rPr>
        <w:t>30 de junio de 2026</w:t>
      </w:r>
      <w:r>
        <w:rPr>
          <w:rFonts w:ascii="Calibri" w:eastAsia="Calibri" w:hAnsi="Calibri" w:cs="Calibri"/>
          <w:b w:val="0"/>
          <w:i w:val="0"/>
          <w:color w:val="000000"/>
          <w:sz w:val="20"/>
          <w:highlight w:val="white"/>
          <w:u w:val="none"/>
        </w:rPr>
        <w:t xml:space="preserve"> y de M$ 823.454 al </w:t>
      </w:r>
      <w:r>
        <w:rPr>
          <w:rFonts w:ascii="Calibri" w:eastAsia="Calibri" w:hAnsi="Calibri" w:cs="Calibri"/>
          <w:b w:val="0"/>
          <w:i w:val="0"/>
          <w:color w:val="000000"/>
          <w:sz w:val="20"/>
          <w:highlight w:val="white"/>
          <w:u w:val="none"/>
        </w:rPr>
        <w:t>30 de junio de 2025</w:t>
      </w:r>
      <w:r>
        <w:rPr>
          <w:rFonts w:ascii="Calibri" w:eastAsia="Calibri" w:hAnsi="Calibri" w:cs="Calibri"/>
          <w:b w:val="0"/>
          <w:i w:val="0"/>
          <w:color w:val="000000"/>
          <w:sz w:val="20"/>
          <w:highlight w:val="white"/>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i w:val="0"/>
          <w:color w:val="000000"/>
          <w:sz w:val="20"/>
          <w:u w:val="none"/>
        </w:rPr>
      </w:pPr>
      <w:r>
        <w:rPr>
          <w:rFonts w:ascii="Calibri" w:eastAsia="Calibri" w:hAnsi="Calibri" w:cs="Calibri"/>
          <w:b/>
          <w:i w:val="0"/>
          <w:color w:val="000000"/>
          <w:sz w:val="20"/>
          <w:u w:val="none"/>
        </w:rPr>
        <w:t>5</w:t>
      </w:r>
      <w:r>
        <w:rPr>
          <w:rFonts w:ascii="Calibri" w:eastAsia="Calibri" w:hAnsi="Calibri" w:cs="Calibri"/>
          <w:b/>
          <w:i w:val="0"/>
          <w:color w:val="000000"/>
          <w:sz w:val="20"/>
          <w:u w:val="none"/>
        </w:rPr>
        <w:t xml:space="preserve">.1.3.- </w:t>
      </w:r>
      <w:r>
        <w:rPr>
          <w:rFonts w:ascii="Calibri" w:eastAsia="Calibri" w:hAnsi="Calibri" w:cs="Calibri"/>
          <w:b/>
          <w:i w:val="0"/>
          <w:color w:val="000000"/>
          <w:sz w:val="20"/>
          <w:u w:val="none"/>
        </w:rPr>
        <w:tab/>
      </w:r>
      <w:r>
        <w:rPr>
          <w:rFonts w:ascii="Calibri" w:eastAsia="Calibri" w:hAnsi="Calibri" w:cs="Calibri"/>
          <w:b/>
          <w:i w:val="0"/>
          <w:color w:val="000000"/>
          <w:sz w:val="20"/>
          <w:u w:val="none"/>
        </w:rPr>
        <w:t xml:space="preserve">Riesgo de liquidez y estructura de pasivos financieros.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highlight w:val="yellow"/>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 xml:space="preserve">El riesgo de liquidez está relacionado con las necesidades de fondos para hacer frente a las obligaciones de pago con instituciones bancarias, proveedores (ver nota 21), </w:t>
      </w:r>
      <w:r>
        <w:rPr>
          <w:rFonts w:ascii="Calibri" w:eastAsia="Calibri" w:hAnsi="Calibri" w:cs="Calibri"/>
          <w:b w:val="0"/>
          <w:i w:val="0"/>
          <w:color w:val="000000"/>
          <w:sz w:val="20"/>
          <w:u w:val="none"/>
        </w:rPr>
        <w:t>arrendamientos (ver nota 25)</w:t>
      </w:r>
      <w:r>
        <w:rPr>
          <w:rFonts w:ascii="Calibri" w:eastAsia="Calibri" w:hAnsi="Calibri" w:cs="Calibri"/>
          <w:b w:val="0"/>
          <w:i w:val="0"/>
          <w:color w:val="000000"/>
          <w:sz w:val="20"/>
          <w:highlight w:val="white"/>
          <w:u w:val="none"/>
        </w:rPr>
        <w:t xml:space="preserve"> y empresas relacionadas (ver nota 9). </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highlight w:val="yellow"/>
          <w:u w:val="none"/>
        </w:rPr>
      </w:pPr>
    </w:p>
    <w:p>
      <w:pPr>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highlight w:val="yellow"/>
          <w:u w:val="none"/>
        </w:rPr>
      </w:pPr>
      <w:r>
        <w:rPr>
          <w:rFonts w:ascii="Calibri" w:eastAsia="Calibri" w:hAnsi="Calibri" w:cs="Calibri"/>
          <w:b w:val="0"/>
          <w:i w:val="0"/>
          <w:color w:val="000000"/>
          <w:sz w:val="20"/>
          <w:highlight w:val="white"/>
          <w:u w:val="none"/>
        </w:rPr>
        <w:t xml:space="preserve">CGE Transmisión S.A. y subsidiarias, mantiene una adecuada gestión de los activos y pasivos, optimizando los excedentes de caja diarios y de esa manera asegurar el cumplimiento de los compromisos de deudas en el momento de su vencimiento. En efecto, al </w:t>
      </w:r>
      <w:r>
        <w:rPr>
          <w:rFonts w:ascii="Calibri" w:eastAsia="Calibri" w:hAnsi="Calibri" w:cs="Calibri"/>
          <w:b w:val="0"/>
          <w:i w:val="0"/>
          <w:color w:val="000000"/>
          <w:sz w:val="20"/>
          <w:highlight w:val="white"/>
          <w:u w:val="none"/>
        </w:rPr>
        <w:t>30 de junio de 2026</w:t>
      </w:r>
      <w:r>
        <w:rPr>
          <w:rFonts w:ascii="Calibri" w:eastAsia="Calibri" w:hAnsi="Calibri" w:cs="Calibri"/>
          <w:b w:val="0"/>
          <w:i w:val="0"/>
          <w:color w:val="000000"/>
          <w:sz w:val="20"/>
          <w:highlight w:val="white"/>
          <w:u w:val="none"/>
        </w:rPr>
        <w:t xml:space="preserve"> </w:t>
      </w:r>
      <w:r>
        <w:rPr>
          <w:rFonts w:ascii="Calibri" w:eastAsia="Calibri" w:hAnsi="Calibri" w:cs="Calibri"/>
          <w:b w:val="0"/>
          <w:i w:val="0"/>
          <w:sz w:val="20"/>
        </w:rPr>
        <w:t xml:space="preserve">un 35,89% de la deuda financiera y un 31,16% considerando la deuda con empresas relacionadas (capital vigente adeudado), se encuentra estructurada a largo plazo (al </w:t>
      </w:r>
      <w:r>
        <w:rPr>
          <w:rFonts w:ascii="Calibri" w:eastAsia="Calibri" w:hAnsi="Calibri" w:cs="Calibri"/>
          <w:b w:val="0"/>
          <w:i w:val="0"/>
          <w:color w:val="000000"/>
          <w:sz w:val="20"/>
          <w:u w:val="none"/>
        </w:rPr>
        <w:t>31 de diciembre de 2025</w:t>
      </w:r>
      <w:r>
        <w:rPr>
          <w:rFonts w:ascii="Calibri" w:eastAsia="Calibri" w:hAnsi="Calibri" w:cs="Calibri"/>
          <w:b w:val="0"/>
          <w:i w:val="0"/>
          <w:sz w:val="20"/>
        </w:rPr>
        <w:t xml:space="preserve"> fue d</w:t>
      </w:r>
      <w:r>
        <w:rPr>
          <w:rFonts w:ascii="Calibri" w:eastAsia="Calibri" w:hAnsi="Calibri" w:cs="Calibri"/>
          <w:b w:val="0"/>
          <w:i w:val="0"/>
          <w:color w:val="000000"/>
          <w:sz w:val="20"/>
          <w:highlight w:val="white"/>
          <w:u w:val="none"/>
        </w:rPr>
        <w:t>e 30,17% y 39,27% respectivamente). Además, la generación de flujos de la sociedad y sus subsidiarias es suficiente para afrontar las obligaciones por los servicios asociados a la operación comercial.</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highlight w:val="white"/>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Continuamente se efectúan proyecciones de flujos de caja, análisis de la situación financiera, del entorno económico y análisis del mercado de deuda con el objeto de, en caso de requerirlo, contratar nuevos financiamientos o reestructurar créditos existentes a plazos que sean coherentes con la capacidad de generación de flujos de los diversos negocios en que participa CGE Transmisión S.A. Sin perjuicio de lo anterior, se cuenta con líneas de crédito bancarias de corto plazo aprobadas, que permiten reducir ostensiblemente el riesgo de liquidez a nivel de matriz o de cualquiera de sus filiales. Además de contar con el contrato de “Cash Support Agreement” firmado entre CGE Transmisión S.A. y su relacionada State Grid International Development (SGID).</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En los siguientes cuadros se puede apreciar el perfil de vencimientos de capital e intereses de CGE Transmisión S.A. y subsidiarias, los cuales, como se indicó, se encuentran distribuidos mayoritariamente en el corto plazo.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7845" w:type="dxa"/>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2265"/>
        <w:gridCol w:w="885"/>
        <w:gridCol w:w="975"/>
        <w:gridCol w:w="990"/>
        <w:gridCol w:w="885"/>
        <w:gridCol w:w="885"/>
        <w:gridCol w:w="960"/>
      </w:tblGrid>
      <w:tr>
        <w:tblPrEx>
          <w:tblW w:w="7845" w:type="dxa"/>
          <w:tblInd w:w="2126" w:type="dxa"/>
          <w:tblLayout w:type="fixed"/>
        </w:tblPrEx>
        <w:trPr>
          <w:cantSplit/>
          <w:trHeight w:hRule="auto" w:val="0"/>
        </w:trPr>
        <w:tc>
          <w:tcPr>
            <w:tcW w:w="2265" w:type="dxa"/>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 xml:space="preserve">Capital e intereses con proyección futura de flujo de caja </w:t>
            </w:r>
          </w:p>
        </w:tc>
        <w:tc>
          <w:tcPr>
            <w:tcW w:w="88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Hasta 3 meses</w:t>
            </w:r>
          </w:p>
        </w:tc>
        <w:tc>
          <w:tcPr>
            <w:tcW w:w="97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Más de 3 meses y hasta 1 año</w:t>
            </w:r>
          </w:p>
        </w:tc>
        <w:tc>
          <w:tcPr>
            <w:tcW w:w="99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Más de 1 año y hasta 3 años</w:t>
            </w:r>
          </w:p>
        </w:tc>
        <w:tc>
          <w:tcPr>
            <w:tcW w:w="88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Más de 3 años y hasta 6 años</w:t>
            </w:r>
          </w:p>
        </w:tc>
        <w:tc>
          <w:tcPr>
            <w:tcW w:w="88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Más de 6 años y hasta 10 años</w:t>
            </w:r>
          </w:p>
        </w:tc>
        <w:tc>
          <w:tcPr>
            <w:tcW w:w="96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Total</w:t>
            </w:r>
          </w:p>
        </w:tc>
      </w:tr>
      <w:tr>
        <w:tblPrEx>
          <w:tblW w:w="7845" w:type="dxa"/>
          <w:tblInd w:w="2126" w:type="dxa"/>
          <w:tblLayout w:type="fixed"/>
        </w:tblPrEx>
        <w:trPr>
          <w:cantSplit/>
          <w:trHeight w:hRule="auto" w:val="0"/>
        </w:trPr>
        <w:tc>
          <w:tcPr>
            <w:tcW w:w="2265" w:type="dxa"/>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30-06-2026</w:t>
            </w:r>
          </w:p>
        </w:tc>
        <w:tc>
          <w:tcPr>
            <w:tcW w:w="88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9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88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88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6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r>
      <w:tr>
        <w:tblPrEx>
          <w:tblW w:w="7845" w:type="dxa"/>
          <w:tblInd w:w="2126" w:type="dxa"/>
          <w:tblLayout w:type="fixed"/>
        </w:tblPrEx>
        <w:trPr>
          <w:cantSplit/>
          <w:trHeight w:hRule="exact" w:val="60"/>
        </w:trPr>
        <w:tc>
          <w:tcPr>
            <w:tcW w:w="22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8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9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8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8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6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22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2"/>
                <w:u w:val="none"/>
              </w:rPr>
              <w:t xml:space="preserve"> Bancos. </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267.577.339</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139.407.012</w:t>
            </w:r>
          </w:p>
        </w:tc>
        <w:tc>
          <w:tcPr>
            <w:tcW w:w="99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147.645.318</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2"/>
                <w:u w:val="none"/>
              </w:rPr>
              <w:t>554.629.669</w:t>
            </w:r>
          </w:p>
        </w:tc>
      </w:tr>
      <w:tr>
        <w:tblPrEx>
          <w:tblW w:w="7845" w:type="dxa"/>
          <w:tblInd w:w="2126" w:type="dxa"/>
          <w:tblLayout w:type="fixed"/>
        </w:tblPrEx>
        <w:trPr>
          <w:cantSplit/>
          <w:trHeight w:hRule="auto" w:val="0"/>
        </w:trPr>
        <w:tc>
          <w:tcPr>
            <w:tcW w:w="22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2"/>
                <w:u w:val="none"/>
              </w:rPr>
              <w:t xml:space="preserve"> Bonos.</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1.225.691</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1.225.691</w:t>
            </w:r>
          </w:p>
        </w:tc>
        <w:tc>
          <w:tcPr>
            <w:tcW w:w="99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4.902.763</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7.354.144</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82.134.821</w:t>
            </w:r>
          </w:p>
        </w:tc>
        <w:tc>
          <w:tcPr>
            <w:tcW w:w="960" w:type="dxa"/>
            <w:tcBorders>
              <w:top w:val="single" w:sz="2" w:space="0" w:color="000000"/>
              <w:left w:val="single" w:sz="2" w:space="0" w:color="000000"/>
              <w:bottom w:val="single" w:sz="4" w:space="0" w:color="FFFFFF"/>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2"/>
                <w:u w:val="none"/>
              </w:rPr>
              <w:t>96.843.110</w:t>
            </w:r>
          </w:p>
        </w:tc>
      </w:tr>
      <w:tr>
        <w:tblPrEx>
          <w:tblW w:w="7845" w:type="dxa"/>
          <w:tblInd w:w="2126" w:type="dxa"/>
          <w:tblLayout w:type="fixed"/>
        </w:tblPrEx>
        <w:trPr>
          <w:cantSplit/>
          <w:trHeight w:hRule="auto" w:val="0"/>
        </w:trPr>
        <w:tc>
          <w:tcPr>
            <w:tcW w:w="22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2"/>
                <w:u w:val="none"/>
              </w:rPr>
              <w:t xml:space="preserve"> Empresas Relacionadas.</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1.047.776</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95.995.283</w:t>
            </w:r>
          </w:p>
        </w:tc>
        <w:tc>
          <w:tcPr>
            <w:tcW w:w="99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60" w:type="dxa"/>
            <w:tcBorders>
              <w:top w:val="single" w:sz="4" w:space="0" w:color="FFFFFF"/>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3" w:after="20" w:line="240" w:lineRule="auto"/>
              <w:jc w:val="right"/>
            </w:pPr>
            <w:r>
              <w:rPr>
                <w:rFonts w:ascii="Calibri" w:eastAsia="Calibri" w:hAnsi="Calibri" w:cs="Calibri"/>
                <w:b/>
                <w:i w:val="0"/>
                <w:color w:val="FFFFFF"/>
                <w:sz w:val="12"/>
                <w:u w:val="none"/>
              </w:rPr>
              <w:t>97.043.059</w:t>
            </w:r>
          </w:p>
        </w:tc>
      </w:tr>
      <w:tr>
        <w:tblPrEx>
          <w:tblW w:w="7845" w:type="dxa"/>
          <w:tblInd w:w="2126" w:type="dxa"/>
          <w:tblLayout w:type="fixed"/>
        </w:tblPrEx>
        <w:trPr>
          <w:cantSplit/>
          <w:trHeight w:hRule="auto" w:val="0"/>
        </w:trPr>
        <w:tc>
          <w:tcPr>
            <w:tcW w:w="22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8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9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8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8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6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exact" w:val="225"/>
        </w:trPr>
        <w:tc>
          <w:tcPr>
            <w:tcW w:w="22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48" w:after="30" w:line="240" w:lineRule="auto"/>
              <w:jc w:val="left"/>
            </w:pPr>
            <w:r>
              <w:rPr>
                <w:rFonts w:ascii="Calibri" w:eastAsia="Calibri" w:hAnsi="Calibri" w:cs="Calibri"/>
                <w:b/>
                <w:i w:val="0"/>
                <w:color w:val="FFFFFF"/>
                <w:sz w:val="12"/>
                <w:u w:val="none"/>
              </w:rPr>
              <w:t>Total</w:t>
            </w:r>
          </w:p>
        </w:tc>
        <w:tc>
          <w:tcPr>
            <w:tcW w:w="88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269.850.806</w:t>
            </w:r>
          </w:p>
        </w:tc>
        <w:tc>
          <w:tcPr>
            <w:tcW w:w="9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236.627.986</w:t>
            </w:r>
          </w:p>
        </w:tc>
        <w:tc>
          <w:tcPr>
            <w:tcW w:w="99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152.548.081</w:t>
            </w:r>
          </w:p>
        </w:tc>
        <w:tc>
          <w:tcPr>
            <w:tcW w:w="88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7.354.144</w:t>
            </w:r>
          </w:p>
        </w:tc>
        <w:tc>
          <w:tcPr>
            <w:tcW w:w="88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82.134.821</w:t>
            </w:r>
          </w:p>
        </w:tc>
        <w:tc>
          <w:tcPr>
            <w:tcW w:w="96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748.515.838</w:t>
            </w:r>
          </w:p>
        </w:tc>
      </w:tr>
      <w:tr>
        <w:tblPrEx>
          <w:tblW w:w="7845" w:type="dxa"/>
          <w:tblInd w:w="2126" w:type="dxa"/>
          <w:tblLayout w:type="fixed"/>
        </w:tblPrEx>
        <w:trPr>
          <w:cantSplit/>
          <w:trHeight w:hRule="auto" w:val="0"/>
        </w:trPr>
        <w:tc>
          <w:tcPr>
            <w:tcW w:w="22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8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9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8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8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6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exact" w:val="225"/>
        </w:trPr>
        <w:tc>
          <w:tcPr>
            <w:tcW w:w="22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48" w:after="30" w:line="240" w:lineRule="auto"/>
              <w:jc w:val="left"/>
            </w:pPr>
            <w:r>
              <w:rPr>
                <w:rFonts w:ascii="Calibri" w:eastAsia="Calibri" w:hAnsi="Calibri" w:cs="Calibri"/>
                <w:b/>
                <w:i w:val="0"/>
                <w:color w:val="FFFFFF"/>
                <w:sz w:val="12"/>
                <w:u w:val="none"/>
              </w:rPr>
              <w:t>Porcentualidad</w:t>
            </w:r>
          </w:p>
        </w:tc>
        <w:tc>
          <w:tcPr>
            <w:tcW w:w="885" w:type="dxa"/>
            <w:tcBorders>
              <w:top w:val="single" w:sz="2" w:space="0" w:color="000000"/>
              <w:left w:val="single" w:sz="4" w:space="0" w:color="FFFFFF"/>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i w:val="0"/>
                <w:color w:val="FFFFFF"/>
                <w:sz w:val="12"/>
                <w:u w:val="none"/>
              </w:rPr>
              <w:t>36 %</w:t>
            </w:r>
          </w:p>
        </w:tc>
        <w:tc>
          <w:tcPr>
            <w:tcW w:w="975" w:type="dxa"/>
            <w:tcBorders>
              <w:top w:val="single" w:sz="2" w:space="0" w:color="000000"/>
              <w:left w:val="single" w:sz="4" w:space="0" w:color="FFFFFF"/>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i w:val="0"/>
                <w:color w:val="FFFFFF"/>
                <w:sz w:val="12"/>
                <w:u w:val="none"/>
              </w:rPr>
              <w:t>32 %</w:t>
            </w:r>
          </w:p>
        </w:tc>
        <w:tc>
          <w:tcPr>
            <w:tcW w:w="990" w:type="dxa"/>
            <w:tcBorders>
              <w:top w:val="single" w:sz="2" w:space="0" w:color="000000"/>
              <w:left w:val="single" w:sz="4" w:space="0" w:color="FFFFFF"/>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i w:val="0"/>
                <w:color w:val="FFFFFF"/>
                <w:sz w:val="12"/>
                <w:u w:val="none"/>
              </w:rPr>
              <w:t>20 %</w:t>
            </w:r>
          </w:p>
        </w:tc>
        <w:tc>
          <w:tcPr>
            <w:tcW w:w="885" w:type="dxa"/>
            <w:tcBorders>
              <w:top w:val="single" w:sz="2" w:space="0" w:color="000000"/>
              <w:left w:val="single" w:sz="4" w:space="0" w:color="FFFFFF"/>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i w:val="0"/>
                <w:color w:val="FFFFFF"/>
                <w:sz w:val="12"/>
                <w:u w:val="none"/>
              </w:rPr>
              <w:t>1 %</w:t>
            </w:r>
          </w:p>
        </w:tc>
        <w:tc>
          <w:tcPr>
            <w:tcW w:w="885" w:type="dxa"/>
            <w:tcBorders>
              <w:top w:val="single" w:sz="2" w:space="0" w:color="000000"/>
              <w:left w:val="single" w:sz="4" w:space="0" w:color="FFFFFF"/>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i w:val="0"/>
                <w:color w:val="FFFFFF"/>
                <w:sz w:val="12"/>
                <w:u w:val="none"/>
              </w:rPr>
              <w:t>11 %</w:t>
            </w:r>
          </w:p>
        </w:tc>
        <w:tc>
          <w:tcPr>
            <w:tcW w:w="960" w:type="dxa"/>
            <w:tcBorders>
              <w:top w:val="single" w:sz="2" w:space="0" w:color="000000"/>
              <w:left w:val="single" w:sz="4" w:space="0" w:color="FFFFFF"/>
              <w:bottom w:val="single" w:sz="2" w:space="0" w:color="000000"/>
              <w:right w:val="single" w:sz="2" w:space="0" w:color="000000"/>
            </w:tcBorders>
            <w:tcMar>
              <w:top w:w="0" w:type="dxa"/>
              <w:left w:w="53" w:type="dxa"/>
              <w:bottom w:w="0" w:type="dxa"/>
              <w:right w:w="15" w:type="dxa"/>
            </w:tcMar>
            <w:vAlign w:val="bottom"/>
          </w:tcPr>
          <w:p>
            <w:pPr>
              <w:pageBreakBefore w:val="0"/>
              <w:spacing w:before="48" w:after="30" w:line="240" w:lineRule="auto"/>
              <w:jc w:val="center"/>
            </w:pPr>
            <w:r>
              <w:rPr>
                <w:rFonts w:ascii="Calibri" w:eastAsia="Calibri" w:hAnsi="Calibri" w:cs="Calibri"/>
                <w:b/>
                <w:i w:val="0"/>
                <w:color w:val="FFFFFF"/>
                <w:sz w:val="12"/>
                <w:u w:val="none"/>
              </w:rPr>
              <w:t>100 %</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tbl>
      <w:tblPr>
        <w:tblW w:w="7845" w:type="dxa"/>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2235"/>
        <w:gridCol w:w="975"/>
        <w:gridCol w:w="945"/>
        <w:gridCol w:w="945"/>
        <w:gridCol w:w="885"/>
        <w:gridCol w:w="885"/>
        <w:gridCol w:w="975"/>
      </w:tblGrid>
      <w:tr>
        <w:tblPrEx>
          <w:tblW w:w="7845" w:type="dxa"/>
          <w:tblInd w:w="2126" w:type="dxa"/>
          <w:tblLayout w:type="fixed"/>
        </w:tblPrEx>
        <w:trPr>
          <w:cantSplit/>
          <w:trHeight w:hRule="auto" w:val="0"/>
        </w:trPr>
        <w:tc>
          <w:tcPr>
            <w:tcW w:w="2235" w:type="dxa"/>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 xml:space="preserve">Capital e intereses con proyección futura de flujo de caja </w:t>
            </w:r>
          </w:p>
        </w:tc>
        <w:tc>
          <w:tcPr>
            <w:tcW w:w="97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Hasta 3 meses</w:t>
            </w:r>
          </w:p>
        </w:tc>
        <w:tc>
          <w:tcPr>
            <w:tcW w:w="94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Más de 3 meses y hasta 1 año</w:t>
            </w:r>
          </w:p>
        </w:tc>
        <w:tc>
          <w:tcPr>
            <w:tcW w:w="94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Más de 1 año y hasta 3 años</w:t>
            </w:r>
          </w:p>
        </w:tc>
        <w:tc>
          <w:tcPr>
            <w:tcW w:w="88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Más de 3 años y hasta 6 años</w:t>
            </w:r>
          </w:p>
        </w:tc>
        <w:tc>
          <w:tcPr>
            <w:tcW w:w="88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Más de 6 años y hasta 10 años</w:t>
            </w:r>
          </w:p>
        </w:tc>
        <w:tc>
          <w:tcPr>
            <w:tcW w:w="975"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Total</w:t>
            </w:r>
          </w:p>
        </w:tc>
      </w:tr>
      <w:tr>
        <w:tblPrEx>
          <w:tblW w:w="7845" w:type="dxa"/>
          <w:tblInd w:w="2126" w:type="dxa"/>
          <w:tblLayout w:type="fixed"/>
        </w:tblPrEx>
        <w:trPr>
          <w:cantSplit/>
          <w:trHeight w:hRule="auto" w:val="0"/>
        </w:trPr>
        <w:tc>
          <w:tcPr>
            <w:tcW w:w="2235" w:type="dxa"/>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31-12-2025</w:t>
            </w:r>
          </w:p>
        </w:tc>
        <w:tc>
          <w:tcPr>
            <w:tcW w:w="9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88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88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7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r>
      <w:tr>
        <w:tblPrEx>
          <w:tblW w:w="7845" w:type="dxa"/>
          <w:tblInd w:w="2126" w:type="dxa"/>
          <w:tblLayout w:type="fixed"/>
        </w:tblPrEx>
        <w:trPr>
          <w:cantSplit/>
          <w:trHeight w:hRule="exact" w:val="60"/>
        </w:trPr>
        <w:tc>
          <w:tcPr>
            <w:tcW w:w="22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8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8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22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2"/>
                <w:u w:val="none"/>
              </w:rPr>
              <w:t xml:space="preserve"> Bancos. </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79.833.052</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362.122.104</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109.874.920</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75" w:type="dxa"/>
            <w:tcBorders>
              <w:top w:val="single" w:sz="2" w:space="0" w:color="000000"/>
              <w:left w:val="single" w:sz="2" w:space="0" w:color="000000"/>
              <w:bottom w:val="single" w:sz="4" w:space="0" w:color="FFFFFF"/>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2"/>
                <w:u w:val="none"/>
              </w:rPr>
              <w:t>551.830.076</w:t>
            </w:r>
          </w:p>
        </w:tc>
      </w:tr>
      <w:tr>
        <w:tblPrEx>
          <w:tblW w:w="7845" w:type="dxa"/>
          <w:tblInd w:w="2126" w:type="dxa"/>
          <w:tblLayout w:type="fixed"/>
        </w:tblPrEx>
        <w:trPr>
          <w:cantSplit/>
          <w:trHeight w:hRule="auto" w:val="0"/>
        </w:trPr>
        <w:tc>
          <w:tcPr>
            <w:tcW w:w="22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2"/>
                <w:u w:val="none"/>
              </w:rPr>
              <w:t xml:space="preserve"> Bonos.</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2.444.382</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4.888.764</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7.333.146</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81.900.302</w:t>
            </w:r>
          </w:p>
        </w:tc>
        <w:tc>
          <w:tcPr>
            <w:tcW w:w="97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bottom"/>
          </w:tcPr>
          <w:p>
            <w:pPr>
              <w:keepNext/>
              <w:pageBreakBefore w:val="0"/>
              <w:spacing w:before="33" w:after="20" w:line="240" w:lineRule="auto"/>
              <w:jc w:val="right"/>
            </w:pPr>
            <w:r>
              <w:rPr>
                <w:rFonts w:ascii="Calibri" w:eastAsia="Calibri" w:hAnsi="Calibri" w:cs="Calibri"/>
                <w:b/>
                <w:i w:val="0"/>
                <w:color w:val="FFFFFF"/>
                <w:sz w:val="12"/>
                <w:u w:val="none"/>
              </w:rPr>
              <w:t>96.566.594</w:t>
            </w:r>
          </w:p>
        </w:tc>
      </w:tr>
      <w:tr>
        <w:tblPrEx>
          <w:tblW w:w="7845" w:type="dxa"/>
          <w:tblInd w:w="2126" w:type="dxa"/>
          <w:tblLayout w:type="fixed"/>
        </w:tblPrEx>
        <w:trPr>
          <w:cantSplit/>
          <w:trHeight w:hRule="auto" w:val="0"/>
        </w:trPr>
        <w:tc>
          <w:tcPr>
            <w:tcW w:w="22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2"/>
                <w:u w:val="none"/>
              </w:rPr>
              <w:t xml:space="preserve"> Empresas Relacionadas.</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1.128.747</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3.349.434</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92.246.747</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75" w:type="dxa"/>
            <w:tcBorders>
              <w:top w:val="single" w:sz="4" w:space="0" w:color="FFFFFF"/>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3" w:after="20" w:line="240" w:lineRule="auto"/>
              <w:jc w:val="right"/>
            </w:pPr>
            <w:r>
              <w:rPr>
                <w:rFonts w:ascii="Calibri" w:eastAsia="Calibri" w:hAnsi="Calibri" w:cs="Calibri"/>
                <w:b/>
                <w:i w:val="0"/>
                <w:color w:val="FFFFFF"/>
                <w:sz w:val="12"/>
                <w:u w:val="none"/>
              </w:rPr>
              <w:t>96.724.928</w:t>
            </w:r>
          </w:p>
        </w:tc>
      </w:tr>
      <w:tr>
        <w:tblPrEx>
          <w:tblW w:w="7845" w:type="dxa"/>
          <w:tblInd w:w="2126" w:type="dxa"/>
          <w:tblLayout w:type="fixed"/>
        </w:tblPrEx>
        <w:trPr>
          <w:cantSplit/>
          <w:trHeight w:hRule="auto" w:val="0"/>
        </w:trPr>
        <w:tc>
          <w:tcPr>
            <w:tcW w:w="22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8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8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exact" w:val="225"/>
        </w:trPr>
        <w:tc>
          <w:tcPr>
            <w:tcW w:w="22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48" w:after="30" w:line="240" w:lineRule="auto"/>
              <w:jc w:val="left"/>
            </w:pPr>
            <w:r>
              <w:rPr>
                <w:rFonts w:ascii="Calibri" w:eastAsia="Calibri" w:hAnsi="Calibri" w:cs="Calibri"/>
                <w:b/>
                <w:i w:val="0"/>
                <w:color w:val="FFFFFF"/>
                <w:sz w:val="12"/>
                <w:u w:val="none"/>
              </w:rPr>
              <w:t>Total</w:t>
            </w:r>
          </w:p>
        </w:tc>
        <w:tc>
          <w:tcPr>
            <w:tcW w:w="9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80.961.799</w:t>
            </w:r>
          </w:p>
        </w:tc>
        <w:tc>
          <w:tcPr>
            <w:tcW w:w="9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367.915.920</w:t>
            </w:r>
          </w:p>
        </w:tc>
        <w:tc>
          <w:tcPr>
            <w:tcW w:w="9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207.010.431</w:t>
            </w:r>
          </w:p>
        </w:tc>
        <w:tc>
          <w:tcPr>
            <w:tcW w:w="88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7.333.146</w:t>
            </w:r>
          </w:p>
        </w:tc>
        <w:tc>
          <w:tcPr>
            <w:tcW w:w="88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81.900.302</w:t>
            </w:r>
          </w:p>
        </w:tc>
        <w:tc>
          <w:tcPr>
            <w:tcW w:w="97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745.121.598</w:t>
            </w:r>
          </w:p>
        </w:tc>
      </w:tr>
      <w:tr>
        <w:tblPrEx>
          <w:tblW w:w="7845" w:type="dxa"/>
          <w:tblInd w:w="2126" w:type="dxa"/>
          <w:tblLayout w:type="fixed"/>
        </w:tblPrEx>
        <w:trPr>
          <w:cantSplit/>
          <w:trHeight w:hRule="auto" w:val="0"/>
        </w:trPr>
        <w:tc>
          <w:tcPr>
            <w:tcW w:w="22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8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8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exact" w:val="225"/>
        </w:trPr>
        <w:tc>
          <w:tcPr>
            <w:tcW w:w="22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48" w:after="30" w:line="240" w:lineRule="auto"/>
              <w:jc w:val="left"/>
            </w:pPr>
            <w:r>
              <w:rPr>
                <w:rFonts w:ascii="Calibri" w:eastAsia="Calibri" w:hAnsi="Calibri" w:cs="Calibri"/>
                <w:b/>
                <w:i w:val="0"/>
                <w:color w:val="FFFFFF"/>
                <w:sz w:val="12"/>
                <w:u w:val="none"/>
              </w:rPr>
              <w:t>Porcentualidad</w:t>
            </w:r>
          </w:p>
        </w:tc>
        <w:tc>
          <w:tcPr>
            <w:tcW w:w="975" w:type="dxa"/>
            <w:tcBorders>
              <w:top w:val="single" w:sz="2" w:space="0" w:color="000000"/>
              <w:left w:val="single" w:sz="4" w:space="0" w:color="FFFFFF"/>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i w:val="0"/>
                <w:color w:val="FFFFFF"/>
                <w:sz w:val="12"/>
                <w:u w:val="none"/>
              </w:rPr>
              <w:t>11 %</w:t>
            </w:r>
          </w:p>
        </w:tc>
        <w:tc>
          <w:tcPr>
            <w:tcW w:w="945" w:type="dxa"/>
            <w:tcBorders>
              <w:top w:val="single" w:sz="2" w:space="0" w:color="000000"/>
              <w:left w:val="single" w:sz="4" w:space="0" w:color="FFFFFF"/>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i w:val="0"/>
                <w:color w:val="FFFFFF"/>
                <w:sz w:val="12"/>
                <w:u w:val="none"/>
              </w:rPr>
              <w:t>49 %</w:t>
            </w:r>
          </w:p>
        </w:tc>
        <w:tc>
          <w:tcPr>
            <w:tcW w:w="945" w:type="dxa"/>
            <w:tcBorders>
              <w:top w:val="single" w:sz="2" w:space="0" w:color="000000"/>
              <w:left w:val="single" w:sz="4" w:space="0" w:color="FFFFFF"/>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i w:val="0"/>
                <w:color w:val="FFFFFF"/>
                <w:sz w:val="12"/>
                <w:u w:val="none"/>
              </w:rPr>
              <w:t>28 %</w:t>
            </w:r>
          </w:p>
        </w:tc>
        <w:tc>
          <w:tcPr>
            <w:tcW w:w="885" w:type="dxa"/>
            <w:tcBorders>
              <w:top w:val="single" w:sz="2" w:space="0" w:color="000000"/>
              <w:left w:val="single" w:sz="4" w:space="0" w:color="FFFFFF"/>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i w:val="0"/>
                <w:color w:val="FFFFFF"/>
                <w:sz w:val="12"/>
                <w:u w:val="none"/>
              </w:rPr>
              <w:t>1 %</w:t>
            </w:r>
          </w:p>
        </w:tc>
        <w:tc>
          <w:tcPr>
            <w:tcW w:w="885" w:type="dxa"/>
            <w:tcBorders>
              <w:top w:val="single" w:sz="2" w:space="0" w:color="000000"/>
              <w:left w:val="single" w:sz="4" w:space="0" w:color="FFFFFF"/>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i w:val="0"/>
                <w:color w:val="FFFFFF"/>
                <w:sz w:val="12"/>
                <w:u w:val="none"/>
              </w:rPr>
              <w:t>11 %</w:t>
            </w:r>
          </w:p>
        </w:tc>
        <w:tc>
          <w:tcPr>
            <w:tcW w:w="975" w:type="dxa"/>
            <w:tcBorders>
              <w:top w:val="single" w:sz="2" w:space="0" w:color="000000"/>
              <w:left w:val="single" w:sz="4" w:space="0" w:color="FFFFFF"/>
              <w:bottom w:val="single" w:sz="2" w:space="0" w:color="000000"/>
              <w:right w:val="single" w:sz="2" w:space="0" w:color="000000"/>
            </w:tcBorders>
            <w:tcMar>
              <w:top w:w="0" w:type="dxa"/>
              <w:left w:w="53" w:type="dxa"/>
              <w:bottom w:w="0" w:type="dxa"/>
              <w:right w:w="15" w:type="dxa"/>
            </w:tcMar>
            <w:vAlign w:val="bottom"/>
          </w:tcPr>
          <w:p>
            <w:pPr>
              <w:pageBreakBefore w:val="0"/>
              <w:spacing w:before="48" w:after="30" w:line="240" w:lineRule="auto"/>
              <w:jc w:val="center"/>
            </w:pPr>
            <w:r>
              <w:rPr>
                <w:rFonts w:ascii="Calibri" w:eastAsia="Calibri" w:hAnsi="Calibri" w:cs="Calibri"/>
                <w:b/>
                <w:i w:val="0"/>
                <w:color w:val="FFFFFF"/>
                <w:sz w:val="12"/>
                <w:u w:val="none"/>
              </w:rPr>
              <w:t>100 %</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i w:val="0"/>
          <w:sz w:val="20"/>
        </w:rPr>
        <w:t xml:space="preserve">5.1.4.- </w:t>
      </w:r>
      <w:r>
        <w:rPr>
          <w:rFonts w:ascii="Calibri" w:eastAsia="Calibri" w:hAnsi="Calibri" w:cs="Calibri"/>
          <w:b/>
          <w:i w:val="0"/>
          <w:sz w:val="20"/>
        </w:rPr>
        <w:tab/>
      </w:r>
      <w:r>
        <w:rPr>
          <w:rFonts w:ascii="Calibri" w:eastAsia="Calibri" w:hAnsi="Calibri" w:cs="Calibri"/>
          <w:b/>
          <w:i w:val="0"/>
          <w:sz w:val="20"/>
        </w:rPr>
        <w:t>Riesgo de crédito deudores comerciales y otras cuentas por cobrar</w:t>
      </w:r>
      <w:r>
        <w:rPr>
          <w:rFonts w:ascii="Calibri" w:eastAsia="Calibri" w:hAnsi="Calibri" w:cs="Calibri"/>
          <w:b w:val="0"/>
          <w:i w:val="0"/>
          <w:sz w:val="20"/>
        </w:rPr>
        <w:t>.</w:t>
      </w:r>
    </w:p>
    <w:p>
      <w:pPr>
        <w:keepNext w:val="0"/>
        <w:keepLines/>
        <w:pageBreakBefore w:val="0"/>
        <w:widowControl w:val="0"/>
        <w:numPr>
          <w:ilvl w:val="0"/>
          <w:numId w:val="0"/>
        </w:numPr>
        <w:spacing w:before="0" w:after="0" w:line="288" w:lineRule="auto"/>
        <w:ind w:left="1416" w:right="0" w:firstLine="708"/>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riesgo de crédito de las cuentas por cobrar proveniente de la actividad comercial de CGE Transmisión S.A. y subsidiarias, es muy limitado y está acotado a un número reducido de empresas. Para los ingresos regulados el valor de los pagos mensuales es determinado por un organismo independiente que es el Coordinador Eléctrico Nacional, teniendo estos montos título ejecutivo para el prestador del servicio, limitando de esta forma la probabilidad de incobrabilidad de los créditos. </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En el siguiente cuadro se observa la rotación de cuentas por cobrar del grupo, que es de </w:t>
      </w:r>
      <w:r>
        <w:rPr>
          <w:rFonts w:ascii="Calibri" w:eastAsia="Calibri" w:hAnsi="Calibri" w:cs="Calibri"/>
          <w:b w:val="0"/>
          <w:i w:val="0"/>
          <w:color w:val="000000"/>
          <w:sz w:val="20"/>
          <w:u w:val="none"/>
        </w:rPr>
        <w:t>0,0</w:t>
      </w:r>
      <w:r>
        <w:rPr>
          <w:rFonts w:ascii="Calibri" w:eastAsia="Calibri" w:hAnsi="Calibri" w:cs="Calibri"/>
          <w:b w:val="0"/>
          <w:i w:val="0"/>
          <w:color w:val="000000"/>
          <w:sz w:val="20"/>
          <w:u w:val="none"/>
        </w:rPr>
        <w:t xml:space="preserve"> meses de ventas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w:t>
      </w:r>
      <w:r>
        <w:rPr>
          <w:rFonts w:ascii="Calibri" w:eastAsia="Calibri" w:hAnsi="Calibri" w:cs="Calibri"/>
          <w:b w:val="0"/>
          <w:i w:val="0"/>
          <w:color w:val="000000"/>
          <w:sz w:val="20"/>
          <w:u w:val="none"/>
        </w:rPr>
        <w:t>2,0</w:t>
      </w:r>
      <w:r>
        <w:rPr>
          <w:rFonts w:ascii="Calibri" w:eastAsia="Calibri" w:hAnsi="Calibri" w:cs="Calibri"/>
          <w:b w:val="0"/>
          <w:i w:val="0"/>
          <w:color w:val="000000"/>
          <w:sz w:val="20"/>
          <w:u w:val="none"/>
        </w:rPr>
        <w:t xml:space="preserve"> meses en venta al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 xml:space="preserve">). Del mismo modo, el monto de Deudas Comerciales Vencidas y Deterioradas representa un monto poco significativo, del orden de </w:t>
      </w:r>
      <w:r>
        <w:rPr>
          <w:rFonts w:ascii="Calibri" w:eastAsia="Calibri" w:hAnsi="Calibri" w:cs="Calibri"/>
          <w:b w:val="0"/>
          <w:i w:val="0"/>
          <w:color w:val="000000"/>
          <w:sz w:val="20"/>
          <w:u w:val="none"/>
        </w:rPr>
        <w:t>0,28%</w:t>
      </w:r>
      <w:r>
        <w:rPr>
          <w:rFonts w:ascii="Calibri" w:eastAsia="Calibri" w:hAnsi="Calibri" w:cs="Calibri"/>
          <w:b w:val="0"/>
          <w:i w:val="0"/>
          <w:color w:val="000000"/>
          <w:sz w:val="20"/>
          <w:u w:val="none"/>
        </w:rPr>
        <w:t xml:space="preserve"> del total de Ingresos Operacionales proyectados anuales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w:t>
      </w:r>
      <w:r>
        <w:rPr>
          <w:rFonts w:ascii="Calibri" w:eastAsia="Calibri" w:hAnsi="Calibri" w:cs="Calibri"/>
          <w:b w:val="0"/>
          <w:i w:val="0"/>
          <w:color w:val="000000"/>
          <w:sz w:val="20"/>
          <w:u w:val="none"/>
        </w:rPr>
        <w:t>0,30%</w:t>
      </w:r>
      <w:r>
        <w:rPr>
          <w:rFonts w:ascii="Calibri" w:eastAsia="Calibri" w:hAnsi="Calibri" w:cs="Calibri"/>
          <w:b w:val="0"/>
          <w:i w:val="0"/>
          <w:color w:val="000000"/>
          <w:sz w:val="20"/>
          <w:u w:val="none"/>
        </w:rPr>
        <w:t xml:space="preserve"> al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7800" w:type="dxa"/>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400"/>
        <w:gridCol w:w="1200"/>
        <w:gridCol w:w="1200"/>
      </w:tblGrid>
      <w:tr>
        <w:tblPrEx>
          <w:tblW w:w="7800" w:type="dxa"/>
          <w:tblInd w:w="2126" w:type="dxa"/>
          <w:tblLayout w:type="fixed"/>
        </w:tblPrEx>
        <w:trPr>
          <w:cantSplit/>
          <w:trHeight w:hRule="auto" w:val="0"/>
        </w:trPr>
        <w:tc>
          <w:tcPr>
            <w:tcW w:w="540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Conceptos</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31-12-2025</w:t>
            </w:r>
          </w:p>
        </w:tc>
      </w:tr>
      <w:tr>
        <w:tblPrEx>
          <w:tblW w:w="7800" w:type="dxa"/>
          <w:tblInd w:w="2126" w:type="dxa"/>
          <w:tblLayout w:type="fixed"/>
        </w:tblPrEx>
        <w:trPr>
          <w:cantSplit/>
          <w:trHeight w:hRule="auto" w:val="0"/>
        </w:trPr>
        <w:tc>
          <w:tcPr>
            <w:tcW w:w="540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7800" w:type="dxa"/>
          <w:tblInd w:w="2126" w:type="dxa"/>
          <w:tblLayout w:type="fixed"/>
        </w:tblPrEx>
        <w:trPr>
          <w:cantSplit/>
          <w:trHeight w:hRule="auto" w:val="0"/>
        </w:trPr>
        <w:tc>
          <w:tcPr>
            <w:tcW w:w="5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 xml:space="preserve"> Ingresos operacionales. (últimos 12 meses).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143.132.924</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277.773.554</w:t>
            </w:r>
          </w:p>
        </w:tc>
      </w:tr>
      <w:tr>
        <w:tblPrEx>
          <w:tblW w:w="7800" w:type="dxa"/>
          <w:tblInd w:w="2126" w:type="dxa"/>
          <w:tblLayout w:type="fixed"/>
        </w:tblPrEx>
        <w:trPr>
          <w:cantSplit/>
          <w:trHeight w:hRule="auto" w:val="0"/>
        </w:trPr>
        <w:tc>
          <w:tcPr>
            <w:tcW w:w="5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 xml:space="preserve"> Deudores comerciales y otras cuentas por cobrar bruto.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56.400.546</w:t>
            </w:r>
          </w:p>
        </w:tc>
      </w:tr>
      <w:tr>
        <w:tblPrEx>
          <w:tblW w:w="7800" w:type="dxa"/>
          <w:tblInd w:w="2126" w:type="dxa"/>
          <w:tblLayout w:type="fixed"/>
        </w:tblPrEx>
        <w:trPr>
          <w:cantSplit/>
          <w:trHeight w:hRule="auto" w:val="0"/>
        </w:trPr>
        <w:tc>
          <w:tcPr>
            <w:tcW w:w="5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 xml:space="preserve"> Deudores comerciales y otras cuentas por cobrar vencidas y deterioradas.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485.366</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980.063</w:t>
            </w:r>
          </w:p>
        </w:tc>
      </w:tr>
      <w:tr>
        <w:tblPrEx>
          <w:tblW w:w="7800" w:type="dxa"/>
          <w:tblInd w:w="2126" w:type="dxa"/>
          <w:tblLayout w:type="fixed"/>
        </w:tblPrEx>
        <w:trPr>
          <w:cantSplit/>
          <w:trHeight w:hRule="auto" w:val="0"/>
        </w:trPr>
        <w:tc>
          <w:tcPr>
            <w:tcW w:w="5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i w:val="0"/>
                <w:color w:val="FFFFFF"/>
                <w:sz w:val="14"/>
                <w:u w:val="none"/>
              </w:rPr>
              <w:t>Rotación cuentas por cobrar. (meses)</w:t>
            </w:r>
          </w:p>
        </w:tc>
        <w:tc>
          <w:tcPr>
            <w:tcW w:w="1200" w:type="dxa"/>
            <w:tcBorders>
              <w:top w:val="single" w:sz="2" w:space="0" w:color="000000"/>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4"/>
                <w:u w:val="none"/>
              </w:rPr>
              <w:t>0,0</w:t>
            </w:r>
          </w:p>
        </w:tc>
        <w:tc>
          <w:tcPr>
            <w:tcW w:w="1200" w:type="dxa"/>
            <w:tcBorders>
              <w:top w:val="single" w:sz="2" w:space="0" w:color="000000"/>
              <w:left w:val="single" w:sz="4" w:space="0" w:color="FFFFFF"/>
              <w:bottom w:val="single" w:sz="2" w:space="0" w:color="000000"/>
              <w:right w:val="single" w:sz="2" w:space="0" w:color="000000"/>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4"/>
                <w:u w:val="none"/>
              </w:rPr>
              <w:t>2,0</w:t>
            </w:r>
          </w:p>
        </w:tc>
      </w:tr>
      <w:tr>
        <w:tblPrEx>
          <w:tblW w:w="7800" w:type="dxa"/>
          <w:tblInd w:w="2126" w:type="dxa"/>
          <w:tblLayout w:type="fixed"/>
        </w:tblPrEx>
        <w:trPr>
          <w:cantSplit/>
          <w:trHeight w:hRule="exact" w:val="60"/>
        </w:trPr>
        <w:tc>
          <w:tcPr>
            <w:tcW w:w="54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00" w:type="dxa"/>
          <w:tblInd w:w="2126" w:type="dxa"/>
          <w:tblLayout w:type="fixed"/>
        </w:tblPrEx>
        <w:trPr>
          <w:cantSplit/>
          <w:trHeight w:hRule="auto" w:val="0"/>
        </w:trPr>
        <w:tc>
          <w:tcPr>
            <w:tcW w:w="5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i w:val="0"/>
                <w:color w:val="FFFFFF"/>
                <w:sz w:val="14"/>
                <w:u w:val="none"/>
              </w:rPr>
              <w:t>Deudores comerciales y otras cuentas por cobrar deterioradas / ingresos operacionales.</w:t>
            </w:r>
          </w:p>
        </w:tc>
        <w:tc>
          <w:tcPr>
            <w:tcW w:w="1200" w:type="dxa"/>
            <w:tcBorders>
              <w:top w:val="single" w:sz="2" w:space="0" w:color="000000"/>
              <w:left w:val="single" w:sz="4" w:space="0" w:color="FFFFFF"/>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i w:val="0"/>
                <w:color w:val="FFFFFF"/>
                <w:sz w:val="14"/>
                <w:u w:val="none"/>
              </w:rPr>
              <w:t>0,28 %</w:t>
            </w:r>
          </w:p>
        </w:tc>
        <w:tc>
          <w:tcPr>
            <w:tcW w:w="1200" w:type="dxa"/>
            <w:tcBorders>
              <w:top w:val="single" w:sz="2" w:space="0" w:color="000000"/>
              <w:left w:val="single" w:sz="4" w:space="0" w:color="FFFFFF"/>
              <w:bottom w:val="single" w:sz="2" w:space="0" w:color="000000"/>
              <w:right w:val="single" w:sz="2" w:space="0" w:color="000000"/>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i w:val="0"/>
                <w:color w:val="FFFFFF"/>
                <w:sz w:val="14"/>
                <w:u w:val="none"/>
              </w:rPr>
              <w:t>0,30 %</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i w:val="0"/>
          <w:color w:val="000000"/>
          <w:sz w:val="20"/>
          <w:u w:val="none"/>
        </w:rPr>
      </w:pPr>
      <w:r>
        <w:rPr>
          <w:rFonts w:ascii="Calibri" w:eastAsia="Calibri" w:hAnsi="Calibri" w:cs="Calibri"/>
          <w:b/>
          <w:i w:val="0"/>
          <w:sz w:val="20"/>
        </w:rPr>
        <w:t xml:space="preserve">5.1.5.- </w:t>
      </w:r>
      <w:r>
        <w:rPr>
          <w:rFonts w:ascii="Calibri" w:eastAsia="Calibri" w:hAnsi="Calibri" w:cs="Calibri"/>
          <w:b/>
          <w:i w:val="0"/>
          <w:sz w:val="20"/>
        </w:rPr>
        <w:tab/>
      </w:r>
      <w:r>
        <w:rPr>
          <w:rFonts w:ascii="Calibri" w:eastAsia="Calibri" w:hAnsi="Calibri" w:cs="Calibri"/>
          <w:b/>
          <w:i w:val="0"/>
          <w:sz w:val="20"/>
        </w:rPr>
        <w:t>Análisis de la deuda financiera no medida a valor de mercado.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análisis de deuda financiera a valor de mercado consiste en obtener el valor presente de los flujos de caja futuros de cada deuda financiera vigente, utilizando tasas representativas de las condiciones de mercado, de acuerdo al riesgo de la empresa y al plazo remanente de la deuda.</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principales pasivos financieros de CGE Transmisión S.A. y subsidiarias, incluyen créditos bancarios y obligaciones con el público. El propósito de estos pasivos es asegurar financiamiento al desarrollo de las operaciones habituales de la empresa.</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A continuación, se presenta un resumen de los pasivos financieros de CGE Transmisión S.A. y sus subsidiarias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 el cual compara su valor libro en relación a su valor razonable: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7800" w:type="dxa"/>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200"/>
        <w:gridCol w:w="1200"/>
        <w:gridCol w:w="1200"/>
        <w:gridCol w:w="1200"/>
      </w:tblGrid>
      <w:tr>
        <w:tblPrEx>
          <w:tblW w:w="7800" w:type="dxa"/>
          <w:tblInd w:w="2126" w:type="dxa"/>
          <w:tblLayout w:type="fixed"/>
        </w:tblPrEx>
        <w:trPr>
          <w:cantSplit/>
          <w:trHeight w:hRule="auto" w:val="0"/>
        </w:trPr>
        <w:tc>
          <w:tcPr>
            <w:tcW w:w="420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Deuda al 30 de junio de 2026</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Pasivos financieros a valor libro</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Pasivos financieros a valor justo</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Valor justo v/s valor libro</w:t>
            </w:r>
          </w:p>
        </w:tc>
      </w:tr>
      <w:tr>
        <w:tblPrEx>
          <w:tblW w:w="7800" w:type="dxa"/>
          <w:tblInd w:w="2126" w:type="dxa"/>
          <w:tblLayout w:type="fixed"/>
        </w:tblPrEx>
        <w:trPr>
          <w:cantSplit/>
          <w:trHeight w:hRule="auto" w:val="0"/>
        </w:trPr>
        <w:tc>
          <w:tcPr>
            <w:tcW w:w="420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w:t>
            </w:r>
          </w:p>
        </w:tc>
      </w:tr>
      <w:tr>
        <w:tblPrEx>
          <w:tblW w:w="7800" w:type="dxa"/>
          <w:tblInd w:w="2126" w:type="dxa"/>
          <w:tblLayout w:type="fixed"/>
        </w:tblPrEx>
        <w:trPr>
          <w:cantSplit/>
          <w:trHeight w:hRule="auto" w:val="0"/>
        </w:trPr>
        <w:tc>
          <w:tcPr>
            <w:tcW w:w="42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 xml:space="preserve"> Bancos.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535.456.137</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534.337.828</w:t>
            </w:r>
          </w:p>
        </w:tc>
        <w:tc>
          <w:tcPr>
            <w:tcW w:w="1200"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15" w:type="dxa"/>
            </w:tcMar>
            <w:vAlign w:val="bottom"/>
          </w:tcPr>
          <w:p>
            <w:pPr>
              <w:keepNext/>
              <w:pageBreakBefore w:val="0"/>
              <w:spacing w:before="38" w:after="20" w:line="240" w:lineRule="auto"/>
              <w:jc w:val="center"/>
            </w:pPr>
            <w:r>
              <w:rPr>
                <w:rFonts w:ascii="Calibri" w:eastAsia="Calibri" w:hAnsi="Calibri" w:cs="Calibri"/>
                <w:b w:val="0"/>
                <w:i w:val="0"/>
                <w:color w:val="000000"/>
                <w:sz w:val="16"/>
                <w:u w:val="none"/>
              </w:rPr>
              <w:t>(0,21 %)</w:t>
            </w:r>
          </w:p>
        </w:tc>
      </w:tr>
      <w:tr>
        <w:tblPrEx>
          <w:tblW w:w="7800" w:type="dxa"/>
          <w:tblInd w:w="2126" w:type="dxa"/>
          <w:tblLayout w:type="fixed"/>
        </w:tblPrEx>
        <w:trPr>
          <w:cantSplit/>
          <w:trHeight w:hRule="auto" w:val="0"/>
        </w:trPr>
        <w:tc>
          <w:tcPr>
            <w:tcW w:w="42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 xml:space="preserve"> Bonos.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79.143.766</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81.572.993</w:t>
            </w:r>
          </w:p>
        </w:tc>
        <w:tc>
          <w:tcPr>
            <w:tcW w:w="1200"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15" w:type="dxa"/>
            </w:tcMar>
            <w:vAlign w:val="bottom"/>
          </w:tcPr>
          <w:p>
            <w:pPr>
              <w:keepNext/>
              <w:pageBreakBefore w:val="0"/>
              <w:spacing w:before="38" w:after="20" w:line="240" w:lineRule="auto"/>
              <w:jc w:val="center"/>
            </w:pPr>
            <w:r>
              <w:rPr>
                <w:rFonts w:ascii="Calibri" w:eastAsia="Calibri" w:hAnsi="Calibri" w:cs="Calibri"/>
                <w:b w:val="0"/>
                <w:i w:val="0"/>
                <w:color w:val="000000"/>
                <w:sz w:val="16"/>
                <w:u w:val="none"/>
              </w:rPr>
              <w:t>3,07 %</w:t>
            </w:r>
          </w:p>
        </w:tc>
      </w:tr>
      <w:tr>
        <w:tblPrEx>
          <w:tblW w:w="7800" w:type="dxa"/>
          <w:tblInd w:w="2126" w:type="dxa"/>
          <w:tblLayout w:type="fixed"/>
        </w:tblPrEx>
        <w:trPr>
          <w:cantSplit/>
          <w:trHeight w:hRule="auto" w:val="0"/>
        </w:trPr>
        <w:tc>
          <w:tcPr>
            <w:tcW w:w="42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i w:val="0"/>
                <w:color w:val="FFFFFF"/>
                <w:sz w:val="16"/>
                <w:u w:val="none"/>
              </w:rPr>
              <w:t>Total pasivo financiero</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614.599.903</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615.910.821</w:t>
            </w:r>
          </w:p>
        </w:tc>
        <w:tc>
          <w:tcPr>
            <w:tcW w:w="1200" w:type="dxa"/>
            <w:tcBorders>
              <w:top w:val="single" w:sz="2" w:space="0" w:color="000000"/>
              <w:left w:val="single" w:sz="4" w:space="0" w:color="FFFFFF"/>
              <w:bottom w:val="single" w:sz="2" w:space="0" w:color="000000"/>
              <w:right w:val="single" w:sz="2" w:space="0" w:color="000000"/>
            </w:tcBorders>
            <w:tcMar>
              <w:top w:w="0" w:type="dxa"/>
              <w:left w:w="53" w:type="dxa"/>
              <w:bottom w:w="0" w:type="dxa"/>
              <w:right w:w="15" w:type="dxa"/>
            </w:tcMar>
            <w:vAlign w:val="bottom"/>
          </w:tcPr>
          <w:p>
            <w:pPr>
              <w:pageBreakBefore w:val="0"/>
              <w:spacing w:before="38" w:after="20" w:line="240" w:lineRule="auto"/>
              <w:jc w:val="center"/>
            </w:pPr>
            <w:r>
              <w:rPr>
                <w:rFonts w:ascii="Calibri" w:eastAsia="Calibri" w:hAnsi="Calibri" w:cs="Calibri"/>
                <w:b/>
                <w:i w:val="0"/>
                <w:color w:val="FFFFFF"/>
                <w:sz w:val="16"/>
                <w:u w:val="none"/>
              </w:rPr>
              <w:t>0,21 %</w:t>
            </w:r>
          </w:p>
        </w:tc>
      </w:tr>
    </w:tbl>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sz w:val="20"/>
        </w:rPr>
      </w:pPr>
    </w:p>
    <w:tbl>
      <w:tblPr>
        <w:tblW w:w="7800" w:type="dxa"/>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200"/>
        <w:gridCol w:w="1200"/>
        <w:gridCol w:w="1200"/>
        <w:gridCol w:w="1200"/>
      </w:tblGrid>
      <w:tr>
        <w:tblPrEx>
          <w:tblW w:w="7800" w:type="dxa"/>
          <w:tblInd w:w="2126" w:type="dxa"/>
          <w:tblLayout w:type="fixed"/>
        </w:tblPrEx>
        <w:trPr>
          <w:cantSplit/>
          <w:trHeight w:hRule="auto" w:val="0"/>
        </w:trPr>
        <w:tc>
          <w:tcPr>
            <w:tcW w:w="420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Deuda al 31 de diciembre de 2025</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Pasivos financieros a valor libro</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Pasivos financieros a valor justo</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Valor justo v/s valor libro</w:t>
            </w:r>
          </w:p>
        </w:tc>
      </w:tr>
      <w:tr>
        <w:tblPrEx>
          <w:tblW w:w="7800" w:type="dxa"/>
          <w:tblInd w:w="2126" w:type="dxa"/>
          <w:tblLayout w:type="fixed"/>
        </w:tblPrEx>
        <w:trPr>
          <w:cantSplit/>
          <w:trHeight w:hRule="auto" w:val="0"/>
        </w:trPr>
        <w:tc>
          <w:tcPr>
            <w:tcW w:w="420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w:t>
            </w:r>
          </w:p>
        </w:tc>
      </w:tr>
      <w:tr>
        <w:tblPrEx>
          <w:tblW w:w="7800" w:type="dxa"/>
          <w:tblInd w:w="2126" w:type="dxa"/>
          <w:tblLayout w:type="fixed"/>
        </w:tblPrEx>
        <w:trPr>
          <w:cantSplit/>
          <w:trHeight w:hRule="auto" w:val="0"/>
        </w:trPr>
        <w:tc>
          <w:tcPr>
            <w:tcW w:w="42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 xml:space="preserve"> Bancos.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535.183.622</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535.536.617</w:t>
            </w:r>
          </w:p>
        </w:tc>
        <w:tc>
          <w:tcPr>
            <w:tcW w:w="1200"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15" w:type="dxa"/>
            </w:tcMar>
            <w:vAlign w:val="bottom"/>
          </w:tcPr>
          <w:p>
            <w:pPr>
              <w:keepNext/>
              <w:pageBreakBefore w:val="0"/>
              <w:spacing w:before="38" w:after="20" w:line="240" w:lineRule="auto"/>
              <w:jc w:val="center"/>
            </w:pPr>
            <w:r>
              <w:rPr>
                <w:rFonts w:ascii="Calibri" w:eastAsia="Calibri" w:hAnsi="Calibri" w:cs="Calibri"/>
                <w:b w:val="0"/>
                <w:i w:val="0"/>
                <w:color w:val="000000"/>
                <w:sz w:val="16"/>
                <w:u w:val="none"/>
              </w:rPr>
              <w:t>0,07 %</w:t>
            </w:r>
          </w:p>
        </w:tc>
      </w:tr>
      <w:tr>
        <w:tblPrEx>
          <w:tblW w:w="7800" w:type="dxa"/>
          <w:tblInd w:w="2126" w:type="dxa"/>
          <w:tblLayout w:type="fixed"/>
        </w:tblPrEx>
        <w:trPr>
          <w:cantSplit/>
          <w:trHeight w:hRule="auto" w:val="0"/>
        </w:trPr>
        <w:tc>
          <w:tcPr>
            <w:tcW w:w="42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 xml:space="preserve"> Bonos.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78.257.613</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79.302.432</w:t>
            </w:r>
          </w:p>
        </w:tc>
        <w:tc>
          <w:tcPr>
            <w:tcW w:w="1200"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15" w:type="dxa"/>
            </w:tcMar>
            <w:vAlign w:val="bottom"/>
          </w:tcPr>
          <w:p>
            <w:pPr>
              <w:keepNext/>
              <w:pageBreakBefore w:val="0"/>
              <w:spacing w:before="38" w:after="20" w:line="240" w:lineRule="auto"/>
              <w:jc w:val="center"/>
            </w:pPr>
            <w:r>
              <w:rPr>
                <w:rFonts w:ascii="Calibri" w:eastAsia="Calibri" w:hAnsi="Calibri" w:cs="Calibri"/>
                <w:b w:val="0"/>
                <w:i w:val="0"/>
                <w:color w:val="000000"/>
                <w:sz w:val="16"/>
                <w:u w:val="none"/>
              </w:rPr>
              <w:t>1,34 %</w:t>
            </w:r>
          </w:p>
        </w:tc>
      </w:tr>
      <w:tr>
        <w:tblPrEx>
          <w:tblW w:w="7800" w:type="dxa"/>
          <w:tblInd w:w="2126" w:type="dxa"/>
          <w:tblLayout w:type="fixed"/>
        </w:tblPrEx>
        <w:trPr>
          <w:cantSplit/>
          <w:trHeight w:hRule="auto" w:val="0"/>
        </w:trPr>
        <w:tc>
          <w:tcPr>
            <w:tcW w:w="42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i w:val="0"/>
                <w:color w:val="FFFFFF"/>
                <w:sz w:val="16"/>
                <w:u w:val="none"/>
              </w:rPr>
              <w:t>Total pasivo financiero</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613.441.235</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614.839.049</w:t>
            </w:r>
          </w:p>
        </w:tc>
        <w:tc>
          <w:tcPr>
            <w:tcW w:w="1200" w:type="dxa"/>
            <w:tcBorders>
              <w:top w:val="single" w:sz="2" w:space="0" w:color="000000"/>
              <w:left w:val="single" w:sz="4" w:space="0" w:color="FFFFFF"/>
              <w:bottom w:val="single" w:sz="2" w:space="0" w:color="000000"/>
              <w:right w:val="single" w:sz="2" w:space="0" w:color="000000"/>
            </w:tcBorders>
            <w:tcMar>
              <w:top w:w="0" w:type="dxa"/>
              <w:left w:w="53" w:type="dxa"/>
              <w:bottom w:w="0" w:type="dxa"/>
              <w:right w:w="15" w:type="dxa"/>
            </w:tcMar>
            <w:vAlign w:val="bottom"/>
          </w:tcPr>
          <w:p>
            <w:pPr>
              <w:pageBreakBefore w:val="0"/>
              <w:spacing w:before="38" w:after="20" w:line="240" w:lineRule="auto"/>
              <w:jc w:val="center"/>
            </w:pPr>
            <w:r>
              <w:rPr>
                <w:rFonts w:ascii="Calibri" w:eastAsia="Calibri" w:hAnsi="Calibri" w:cs="Calibri"/>
                <w:b/>
                <w:i w:val="0"/>
                <w:color w:val="FFFFFF"/>
                <w:sz w:val="16"/>
                <w:u w:val="none"/>
              </w:rPr>
              <w:t>0,23 %</w:t>
            </w:r>
          </w:p>
        </w:tc>
      </w:tr>
    </w:tbl>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ab/>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sz w:val="16"/>
        </w:rPr>
      </w:pPr>
      <w:r>
        <w:rPr>
          <w:rFonts w:ascii="Calibri" w:eastAsia="Calibri" w:hAnsi="Calibri" w:cs="Calibri"/>
          <w:b w:val="0"/>
          <w:i w:val="0"/>
          <w:sz w:val="16"/>
        </w:rPr>
        <w:t>(*) Incluye pasivos de cobertura Bancos en CNH $ y US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i w:val="0"/>
          <w:sz w:val="20"/>
        </w:rPr>
      </w:pPr>
      <w:r>
        <w:rPr>
          <w:rFonts w:ascii="Calibri" w:eastAsia="Calibri" w:hAnsi="Calibri" w:cs="Calibri"/>
          <w:b/>
          <w:i w:val="0"/>
          <w:sz w:val="20"/>
        </w:rPr>
        <w:t>5.1.6.-</w:t>
      </w:r>
      <w:r>
        <w:rPr>
          <w:rFonts w:ascii="Calibri" w:eastAsia="Calibri" w:hAnsi="Calibri" w:cs="Calibri"/>
          <w:b/>
          <w:i w:val="0"/>
          <w:sz w:val="20"/>
        </w:rPr>
        <w:tab/>
      </w:r>
      <w:r>
        <w:rPr>
          <w:rFonts w:ascii="Calibri" w:eastAsia="Calibri" w:hAnsi="Calibri" w:cs="Calibri"/>
          <w:b/>
          <w:i w:val="0"/>
          <w:sz w:val="20"/>
        </w:rPr>
        <w:t>Riesgos regulatorios.</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Eventuales cambios regulatorios pueden generar efectos de diversa índole en los resultados de la compañía. Actualmente, las materias que están en desarrollo y que se están monitoreando constantemente son las siguientes:</w:t>
      </w:r>
    </w:p>
    <w:p>
      <w:pPr>
        <w:keepNext w:val="0"/>
        <w:keepLines/>
        <w:pageBreakBefore w:val="0"/>
        <w:widowControl w:val="0"/>
        <w:numPr>
          <w:ilvl w:val="0"/>
          <w:numId w:val="0"/>
        </w:numPr>
        <w:spacing w:before="0" w:after="0" w:line="288" w:lineRule="auto"/>
        <w:ind w:left="2127"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14"/>
        </w:numPr>
        <w:spacing w:before="0" w:after="0" w:line="240" w:lineRule="exact"/>
        <w:ind w:left="2551" w:right="0" w:hanging="425"/>
        <w:jc w:val="both"/>
        <w:outlineLvl w:val="9"/>
        <w:rPr>
          <w:rFonts w:ascii="Calibri" w:eastAsia="Calibri" w:hAnsi="Calibri" w:cs="Calibri"/>
          <w:b w:val="0"/>
          <w:i w:val="0"/>
          <w:sz w:val="20"/>
        </w:rPr>
      </w:pPr>
      <w:r>
        <w:rPr>
          <w:rFonts w:ascii="Calibri" w:eastAsia="Calibri" w:hAnsi="Calibri" w:cs="Calibri"/>
          <w:b w:val="0"/>
          <w:i w:val="0"/>
          <w:sz w:val="20"/>
        </w:rPr>
        <w:t>Proceso de tarificación de transmisión nacional y zonal correspondiente al cuadrienio 2024-2027, el cual ya ha sido iniciado. El 30 de agosto de 2024 la Comisión Nacional de Energía (CNE) emitió la Resolución Exenta N° 463-2024, mediante la cual aprobó las Bases Técnicas y Administrativas Definitivas para la realización de los Estudios de Valorización de las Instalaciones de los Sistemas de Transmisión, incluyendo los dictámenes del Panel de Expertos respecto de las discrepancias presentadas en contra de dichas bases.</w:t>
      </w:r>
    </w:p>
    <w:p>
      <w:pPr>
        <w:keepNext w:val="0"/>
        <w:keepLines/>
        <w:pageBreakBefore w:val="0"/>
        <w:widowControl w:val="0"/>
        <w:numPr>
          <w:ilvl w:val="0"/>
          <w:numId w:val="0"/>
        </w:numPr>
        <w:spacing w:before="0" w:after="0" w:line="288" w:lineRule="auto"/>
        <w:ind w:left="1831" w:right="0" w:hanging="65"/>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551" w:right="0" w:firstLine="0"/>
        <w:jc w:val="both"/>
        <w:outlineLvl w:val="9"/>
        <w:rPr>
          <w:rFonts w:ascii="Calibri" w:eastAsia="Calibri" w:hAnsi="Calibri" w:cs="Calibri"/>
          <w:b w:val="0"/>
          <w:i w:val="0"/>
          <w:sz w:val="20"/>
        </w:rPr>
      </w:pPr>
      <w:r>
        <w:rPr>
          <w:rFonts w:ascii="Calibri" w:eastAsia="Calibri" w:hAnsi="Calibri" w:cs="Calibri"/>
          <w:b w:val="0"/>
          <w:i w:val="0"/>
          <w:sz w:val="20"/>
        </w:rPr>
        <w:t>Por otra parte, mediante Resolución Exenta N° 460-2024 del 30 de agosto de 2024, la Comisión Nacional de Energía aprobó el Informe Técnico Definitivo de calificación de instalaciones de transmisión correspondiente al cuadrienio 2024-2027, que considera los dictámenes del panel de Expertos respecto de las discrepancias presentadas en contra de Informe Técnico Final que aprobó la Comisión Nacional de Energía (CNE) mediante Resolución Exenta N° 163-2024 del 10 de abril de 2024.</w:t>
      </w:r>
    </w:p>
    <w:p>
      <w:pPr>
        <w:keepNext w:val="0"/>
        <w:keepLines/>
        <w:pageBreakBefore w:val="0"/>
        <w:widowControl w:val="0"/>
        <w:numPr>
          <w:ilvl w:val="0"/>
          <w:numId w:val="0"/>
        </w:numPr>
        <w:tabs>
          <w:tab w:val="left" w:pos="2540"/>
        </w:tabs>
        <w:spacing w:before="0" w:after="0" w:line="288" w:lineRule="auto"/>
        <w:ind w:left="3555" w:right="0" w:hanging="34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551" w:right="0" w:firstLine="0"/>
        <w:jc w:val="both"/>
        <w:outlineLvl w:val="9"/>
        <w:rPr>
          <w:rFonts w:ascii="Arial" w:eastAsia="Arial" w:hAnsi="Arial" w:cs="Arial"/>
          <w:b w:val="0"/>
          <w:i w:val="0"/>
          <w:sz w:val="20"/>
        </w:rPr>
      </w:pPr>
      <w:r>
        <w:rPr>
          <w:rFonts w:ascii="Calibri" w:eastAsia="Calibri" w:hAnsi="Calibri" w:cs="Calibri"/>
          <w:b w:val="0"/>
          <w:i w:val="0"/>
          <w:sz w:val="20"/>
        </w:rPr>
        <w:t>Posteriormente, el 19 de diciembre de 2024, con la suscripción del contrato entre la Comisión Nacional de Energía y el consultor Sigla S.A., se dio inicio al “Estudio de Valorización de las Instalaciones de los Sistemas de Transmisión Zonal y de las Instalaciones de los Sistemas de Transmisión Dedicada Utilizadas por Usuarios Sometidos a Regulación de Precios”, el cual fue aprobado por la misma Comisión mediante la Resolución Exenta N° 678-2024 de igual fecha. Asimismo, el 12 de marzo de 2025 se suscribió el contrato entre la Comisión Nacional de Energía y el Consorcio conformado por Getrand SpA. y Cota Consultoría Ltda., dando inicio al “Estudio de Valorización de las Instalaciones del Sistema de Transmisión Nacional”, aprobado por la misma Comisión mediante la Resolución Exenta N° 110-2025 de misma fecha.</w:t>
      </w:r>
    </w:p>
    <w:p>
      <w:pPr>
        <w:keepNext w:val="0"/>
        <w:keepLines/>
        <w:pageBreakBefore w:val="0"/>
        <w:widowControl w:val="0"/>
        <w:numPr>
          <w:ilvl w:val="0"/>
          <w:numId w:val="0"/>
        </w:numPr>
        <w:spacing w:before="0" w:after="0" w:line="288" w:lineRule="auto"/>
        <w:ind w:left="2551" w:right="0" w:firstLine="0"/>
        <w:jc w:val="both"/>
        <w:outlineLvl w:val="9"/>
        <w:rPr>
          <w:rFonts w:ascii="Calibri" w:eastAsia="Calibri" w:hAnsi="Calibri" w:cs="Calibri"/>
          <w:b w:val="0"/>
          <w:i w:val="0"/>
          <w:color w:val="000000"/>
          <w:sz w:val="20"/>
          <w:highlight w:val="yellow"/>
          <w:u w:val="none"/>
        </w:rPr>
      </w:pPr>
    </w:p>
    <w:p>
      <w:pPr>
        <w:keepNext w:val="0"/>
        <w:keepLines/>
        <w:pageBreakBefore w:val="0"/>
        <w:widowControl w:val="0"/>
        <w:numPr>
          <w:ilvl w:val="0"/>
          <w:numId w:val="0"/>
        </w:numPr>
        <w:tabs>
          <w:tab w:val="left" w:pos="2120"/>
        </w:tabs>
        <w:spacing w:before="0" w:after="0" w:line="230" w:lineRule="exact"/>
        <w:ind w:left="2551" w:right="0" w:firstLine="0"/>
        <w:jc w:val="both"/>
        <w:outlineLvl w:val="9"/>
        <w:rPr>
          <w:rFonts w:ascii="Calibri" w:eastAsia="Calibri" w:hAnsi="Calibri" w:cs="Calibri"/>
          <w:b w:val="0"/>
          <w:i w:val="0"/>
          <w:sz w:val="20"/>
        </w:rPr>
      </w:pPr>
      <w:r>
        <w:rPr>
          <w:rFonts w:ascii="Calibri" w:eastAsia="Calibri" w:hAnsi="Calibri" w:cs="Calibri"/>
          <w:b w:val="0"/>
          <w:i w:val="0"/>
          <w:sz w:val="20"/>
        </w:rPr>
        <w:t>El 25 de abril de 2025, el consultor Sigla S.A. entregó a la Comisión Nacional de Energía el Informe de Avance N°1 asociado al “Estudio de Valorización de las Instalaciones de los Sistemas de Transmisión Zonal y de las Instalaciones de los Sistemas de Transmisión Dedicada Utilizadas por Usuarios Sometidos a Regulación de Precios”, respecto del cual el Comité de Supervisión y las empresas transmisoras enviaron sus observaciones el 5 de mayo de 2025. Luego de la cesión del contrato, el 2 de febrero de 2026, el nuevo consultor emitió el informe de avance N°2 del Estudio Zonal respecto del cual el Comité de Supervisión y las empresas transmisoras enviaron sus observaciones el 23 de febrero de 2026. El 13 de abril de 2026, el consultor emitió la versión 2 del informe de avance N°2 del Estudio Zonal respecto del cual el Comité de Supervisión y las empresas transmisoras enviaron sus observaciones el 20 de abril de 2026. A la fecha el consultor se encuentra en revisión de las mencionadas observaciones.</w:t>
      </w:r>
    </w:p>
    <w:p>
      <w:pPr>
        <w:keepNext w:val="0"/>
        <w:keepLines/>
        <w:pageBreakBefore w:val="0"/>
        <w:widowControl w:val="0"/>
        <w:numPr>
          <w:ilvl w:val="0"/>
          <w:numId w:val="0"/>
        </w:numPr>
        <w:spacing w:before="0" w:after="0" w:line="288" w:lineRule="auto"/>
        <w:ind w:left="2551"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tabs>
          <w:tab w:val="left" w:pos="2120"/>
        </w:tabs>
        <w:spacing w:before="0" w:after="0" w:line="230" w:lineRule="exact"/>
        <w:ind w:left="2551" w:right="0" w:firstLine="0"/>
        <w:jc w:val="both"/>
        <w:outlineLvl w:val="9"/>
        <w:rPr>
          <w:rFonts w:ascii="Arial" w:eastAsia="Arial" w:hAnsi="Arial" w:cs="Arial"/>
          <w:b w:val="0"/>
          <w:i w:val="0"/>
          <w:sz w:val="24"/>
        </w:rPr>
      </w:pPr>
      <w:r>
        <w:rPr>
          <w:rFonts w:ascii="Calibri" w:eastAsia="Calibri" w:hAnsi="Calibri" w:cs="Calibri"/>
          <w:b w:val="0"/>
          <w:i w:val="0"/>
          <w:sz w:val="20"/>
        </w:rPr>
        <w:t>El 25 de junio de 2025, el consultor Getrand SpA. y Cota Consultoría Ltda. entregó a la Comisión Nacional de Energía el Informe de Avance N°1 asociado al “Estudio de Valorización de las Instalaciones del Sistema de Transmisión Nacional", respecto del cual el Comité de Supervisión y las empresas transmisoras enviaron sus observaciones el 4 de julio de 2025. El 27 de febrero de 2026 el consultor emitió el informe de avance N°2 del Estudio Nacional. El 2 marzo de 2026, la Comisión Nacional de Energía comunicó que el informe contenía errores, por lo que se le solicitó al consultor emitir una nueva versión a más tardar el 9 de marzo 2026. El comité Supervisor y las empresas enviaron observaciones a esta nueva versión del informe el 31 de marzo de 2026. A la fecha el consultor se encuentra en revisión de las mencionadas observaciones.</w:t>
      </w:r>
    </w:p>
    <w:p>
      <w:pPr>
        <w:keepNext w:val="0"/>
        <w:keepLines/>
        <w:pageBreakBefore w:val="0"/>
        <w:widowControl w:val="0"/>
        <w:numPr>
          <w:ilvl w:val="0"/>
          <w:numId w:val="0"/>
        </w:numPr>
        <w:tabs>
          <w:tab w:val="left" w:pos="2120"/>
        </w:tabs>
        <w:spacing w:before="0" w:after="0" w:line="276" w:lineRule="auto"/>
        <w:ind w:left="-11" w:right="0" w:firstLine="77"/>
        <w:jc w:val="both"/>
        <w:outlineLvl w:val="9"/>
        <w:rPr>
          <w:rFonts w:ascii="Aptos" w:eastAsia="Aptos" w:hAnsi="Aptos" w:cs="Aptos"/>
          <w:b w:val="0"/>
          <w:i w:val="0"/>
          <w:color w:val="000000"/>
          <w:sz w:val="24"/>
          <w:highlight w:val="yellow"/>
          <w:u w:val="none"/>
        </w:rPr>
      </w:pPr>
    </w:p>
    <w:p>
      <w:pPr>
        <w:keepNext w:val="0"/>
        <w:keepLines/>
        <w:pageBreakBefore w:val="0"/>
        <w:widowControl w:val="0"/>
        <w:numPr>
          <w:ilvl w:val="0"/>
          <w:numId w:val="0"/>
        </w:numPr>
        <w:tabs>
          <w:tab w:val="left" w:pos="2120"/>
        </w:tabs>
        <w:spacing w:before="0" w:after="0" w:line="230" w:lineRule="exact"/>
        <w:ind w:left="2551" w:right="0" w:firstLine="0"/>
        <w:jc w:val="both"/>
        <w:outlineLvl w:val="9"/>
        <w:rPr>
          <w:rFonts w:ascii="Calibri" w:eastAsia="Calibri" w:hAnsi="Calibri" w:cs="Calibri"/>
          <w:b w:val="0"/>
          <w:i w:val="0"/>
          <w:sz w:val="20"/>
        </w:rPr>
      </w:pPr>
      <w:r>
        <w:rPr>
          <w:rFonts w:ascii="Calibri" w:eastAsia="Calibri" w:hAnsi="Calibri" w:cs="Calibri"/>
          <w:b w:val="0"/>
          <w:i w:val="0"/>
          <w:sz w:val="20"/>
        </w:rPr>
        <w:t>Cabe destacar que el universo de instalaciones sujetas a valorización en el presente proceso incluye, entre otras, aquellas calificadas como obras de ejecución obligatoria en virtud del artículo N° 13 transitorio de la Ley N° 20.936, así como las instalaciones que transitaron desde el régimen de subtransmisión conforme al artículo N° 12 transitorio de la misma ley. Asimismo, se contempla la valorización de instalaciones incorporadas según lo dispuesto en el artículo N° 52 del Reglamento de Calificación, Valoración, Tarificación y Remuneración de las Instalaciones de Transmisión, correspondiente a obras que entraron en operación en períodos intermedios. Todas estas instalaciones son remuneradas bajo el régimen de obras existentes de transmisión zonal, por lo que sus valores de Valor de Inversión (V.I.), Anualidad del Valor de Inversión (A.V.I.) y Costo de Operación, Mantenimiento y Administración (C.O.M.A.) serán revisados y actualizados en el marco del estudio de valorización del cuadrienio 2024-2027, conforme a lo dispuesto en el artículo N° 102 de la Ley General de Servicios Eléctricos.</w:t>
      </w:r>
    </w:p>
    <w:p>
      <w:pPr>
        <w:keepNext w:val="0"/>
        <w:keepLines/>
        <w:pageBreakBefore w:val="0"/>
        <w:widowControl w:val="0"/>
        <w:numPr>
          <w:ilvl w:val="0"/>
          <w:numId w:val="0"/>
        </w:numPr>
        <w:spacing w:before="0" w:after="0" w:line="288" w:lineRule="auto"/>
        <w:ind w:left="2551" w:right="0" w:firstLine="0"/>
        <w:jc w:val="both"/>
        <w:outlineLvl w:val="9"/>
        <w:rPr>
          <w:rFonts w:ascii="Calibri" w:eastAsia="Calibri" w:hAnsi="Calibri" w:cs="Calibri"/>
          <w:b w:val="0"/>
          <w:i w:val="0"/>
          <w:sz w:val="20"/>
        </w:rPr>
      </w:pPr>
    </w:p>
    <w:p>
      <w:pPr>
        <w:keepNext w:val="0"/>
        <w:keepLines/>
        <w:pageBreakBefore w:val="0"/>
        <w:widowControl w:val="0"/>
        <w:numPr>
          <w:ilvl w:val="0"/>
          <w:numId w:val="14"/>
        </w:numPr>
        <w:spacing w:before="0" w:after="0" w:line="240" w:lineRule="exact"/>
        <w:ind w:left="2551" w:right="0" w:hanging="425"/>
        <w:jc w:val="both"/>
        <w:outlineLvl w:val="9"/>
        <w:rPr>
          <w:rFonts w:ascii="Calibri" w:eastAsia="Calibri" w:hAnsi="Calibri" w:cs="Calibri"/>
          <w:b w:val="0"/>
          <w:i w:val="0"/>
          <w:sz w:val="20"/>
        </w:rPr>
      </w:pPr>
      <w:r>
        <w:rPr>
          <w:rFonts w:ascii="Calibri" w:eastAsia="Calibri" w:hAnsi="Calibri" w:cs="Calibri"/>
          <w:b w:val="0"/>
          <w:i w:val="0"/>
          <w:sz w:val="20"/>
        </w:rPr>
        <w:t>El 27 de diciembre de 2024 fue publicada la Ley N° 21.721, que modifica la Ley General de Servicios Eléctricos, en materia de transición energética que posiciona a la transmisión eléctrica como un sector habilitante para la carbono-neutralidad.</w:t>
      </w:r>
    </w:p>
    <w:p>
      <w:pPr>
        <w:keepNext w:val="0"/>
        <w:keepLines/>
        <w:pageBreakBefore w:val="0"/>
        <w:widowControl w:val="0"/>
        <w:numPr>
          <w:ilvl w:val="0"/>
          <w:numId w:val="0"/>
        </w:numPr>
        <w:tabs>
          <w:tab w:val="left" w:pos="2540"/>
        </w:tabs>
        <w:spacing w:before="0" w:after="0" w:line="288" w:lineRule="auto"/>
        <w:ind w:left="1406" w:right="0" w:firstLine="36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2551" w:right="0" w:firstLine="0"/>
        <w:jc w:val="both"/>
        <w:outlineLvl w:val="9"/>
        <w:rPr>
          <w:rFonts w:ascii="Calibri" w:eastAsia="Calibri" w:hAnsi="Calibri" w:cs="Calibri"/>
          <w:b w:val="0"/>
          <w:i w:val="0"/>
          <w:sz w:val="20"/>
        </w:rPr>
      </w:pPr>
      <w:r>
        <w:rPr>
          <w:rFonts w:ascii="Calibri" w:eastAsia="Calibri" w:hAnsi="Calibri" w:cs="Calibri"/>
          <w:b w:val="0"/>
          <w:i w:val="0"/>
          <w:sz w:val="20"/>
        </w:rPr>
        <w:t>Entre las materias establecidas en la ley, se puede destacar lo siguiente:</w:t>
      </w:r>
    </w:p>
    <w:p>
      <w:pPr>
        <w:keepNext w:val="0"/>
        <w:keepLines/>
        <w:pageBreakBefore w:val="0"/>
        <w:widowControl w:val="0"/>
        <w:numPr>
          <w:ilvl w:val="0"/>
          <w:numId w:val="0"/>
        </w:numPr>
        <w:tabs>
          <w:tab w:val="left" w:pos="2540"/>
        </w:tabs>
        <w:spacing w:before="0" w:after="0" w:line="288" w:lineRule="auto"/>
        <w:ind w:left="2160" w:right="0" w:firstLine="360"/>
        <w:jc w:val="both"/>
        <w:outlineLvl w:val="9"/>
        <w:rPr>
          <w:rFonts w:ascii="Calibri" w:eastAsia="Calibri" w:hAnsi="Calibri" w:cs="Calibri"/>
          <w:b w:val="0"/>
          <w:i w:val="0"/>
          <w:sz w:val="20"/>
        </w:rPr>
      </w:pPr>
    </w:p>
    <w:p>
      <w:pPr>
        <w:keepNext w:val="0"/>
        <w:keepLines/>
        <w:pageBreakBefore w:val="0"/>
        <w:widowControl w:val="0"/>
        <w:numPr>
          <w:ilvl w:val="0"/>
          <w:numId w:val="18"/>
        </w:numPr>
        <w:spacing w:before="0" w:after="0" w:line="240" w:lineRule="exact"/>
        <w:ind w:left="3118" w:right="0" w:hanging="567"/>
        <w:jc w:val="both"/>
        <w:outlineLvl w:val="9"/>
        <w:rPr>
          <w:rFonts w:ascii="Calibri" w:eastAsia="Calibri" w:hAnsi="Calibri" w:cs="Calibri"/>
          <w:b w:val="0"/>
          <w:i w:val="0"/>
          <w:sz w:val="20"/>
        </w:rPr>
      </w:pPr>
      <w:r>
        <w:rPr>
          <w:rFonts w:ascii="Calibri" w:eastAsia="Calibri" w:hAnsi="Calibri" w:cs="Calibri"/>
          <w:b w:val="0"/>
          <w:i w:val="0"/>
          <w:sz w:val="20"/>
        </w:rPr>
        <w:t>Las empresas propietarias de obras de ampliación serán responsable de conducir las licitaciones.</w:t>
      </w:r>
    </w:p>
    <w:p>
      <w:pPr>
        <w:keepNext w:val="0"/>
        <w:keepLines/>
        <w:pageBreakBefore w:val="0"/>
        <w:widowControl w:val="0"/>
        <w:numPr>
          <w:ilvl w:val="0"/>
          <w:numId w:val="0"/>
        </w:numPr>
        <w:spacing w:before="0" w:after="0" w:line="288" w:lineRule="auto"/>
        <w:ind w:left="2115" w:right="0" w:firstLine="20"/>
        <w:jc w:val="both"/>
        <w:outlineLvl w:val="9"/>
        <w:rPr>
          <w:rFonts w:ascii="Calibri" w:eastAsia="Calibri" w:hAnsi="Calibri" w:cs="Calibri"/>
          <w:b w:val="0"/>
          <w:i w:val="0"/>
          <w:sz w:val="20"/>
        </w:rPr>
      </w:pPr>
    </w:p>
    <w:p>
      <w:pPr>
        <w:keepNext w:val="0"/>
        <w:keepLines/>
        <w:pageBreakBefore w:val="0"/>
        <w:widowControl w:val="0"/>
        <w:numPr>
          <w:ilvl w:val="0"/>
          <w:numId w:val="18"/>
        </w:numPr>
        <w:spacing w:before="0" w:after="0" w:line="240" w:lineRule="exact"/>
        <w:ind w:left="3118" w:right="0" w:hanging="567"/>
        <w:jc w:val="both"/>
        <w:outlineLvl w:val="9"/>
        <w:rPr>
          <w:rFonts w:ascii="Calibri" w:eastAsia="Calibri" w:hAnsi="Calibri" w:cs="Calibri"/>
          <w:b w:val="0"/>
          <w:i w:val="0"/>
          <w:sz w:val="20"/>
        </w:rPr>
      </w:pPr>
      <w:r>
        <w:rPr>
          <w:rFonts w:ascii="Calibri" w:eastAsia="Calibri" w:hAnsi="Calibri" w:cs="Calibri"/>
          <w:b w:val="0"/>
          <w:i w:val="0"/>
          <w:sz w:val="20"/>
        </w:rPr>
        <w:t>Se crea nuevo proceso de obras urgentes, cuyo valor será determinado mediante un proceso de licitación expedito, de responsabilidad de las empresas propietarias en el caso de obras de ampliación urgentes.</w:t>
      </w:r>
    </w:p>
    <w:p>
      <w:pPr>
        <w:keepNext w:val="0"/>
        <w:keepLines/>
        <w:pageBreakBefore w:val="0"/>
        <w:widowControl w:val="0"/>
        <w:numPr>
          <w:ilvl w:val="0"/>
          <w:numId w:val="0"/>
        </w:numPr>
        <w:spacing w:before="0" w:after="0" w:line="288" w:lineRule="auto"/>
        <w:ind w:left="2115" w:right="0" w:firstLine="20"/>
        <w:jc w:val="both"/>
        <w:outlineLvl w:val="9"/>
        <w:rPr>
          <w:rFonts w:ascii="Calibri" w:eastAsia="Calibri" w:hAnsi="Calibri" w:cs="Calibri"/>
          <w:b w:val="0"/>
          <w:i w:val="0"/>
          <w:sz w:val="20"/>
        </w:rPr>
      </w:pPr>
    </w:p>
    <w:p>
      <w:pPr>
        <w:keepNext w:val="0"/>
        <w:keepLines/>
        <w:pageBreakBefore w:val="0"/>
        <w:widowControl w:val="0"/>
        <w:numPr>
          <w:ilvl w:val="0"/>
          <w:numId w:val="18"/>
        </w:numPr>
        <w:spacing w:before="0" w:after="0" w:line="240" w:lineRule="exact"/>
        <w:ind w:left="3118" w:right="0" w:hanging="567"/>
        <w:jc w:val="both"/>
        <w:outlineLvl w:val="9"/>
        <w:rPr>
          <w:rFonts w:ascii="Calibri" w:eastAsia="Calibri" w:hAnsi="Calibri" w:cs="Calibri"/>
          <w:b w:val="0"/>
          <w:i w:val="0"/>
          <w:sz w:val="20"/>
        </w:rPr>
      </w:pPr>
      <w:r>
        <w:rPr>
          <w:rFonts w:ascii="Calibri" w:eastAsia="Calibri" w:hAnsi="Calibri" w:cs="Calibri"/>
          <w:b w:val="0"/>
          <w:i w:val="0"/>
          <w:sz w:val="20"/>
        </w:rPr>
        <w:t>Se incluyen disposiciones transitorias que permiten que: a) el propietario y adjudicatario de obras de ampliación soliciten, conjuntamente la Comisión Nacional de Energía (CNE). la revisión del valor de inversión de obras adjudicadas con anterioridad a la publicación de la ley; y b) el propietario de obras de ampliación solicite a (CNE) la revisión del valor de inversión de obras adjudicadas con anterioridad a la publicación de la ley, cuyo contrato se haya terminado de forma anticipada.</w:t>
      </w:r>
    </w:p>
    <w:p>
      <w:pPr>
        <w:keepNext w:val="0"/>
        <w:keepLines/>
        <w:pageBreakBefore w:val="0"/>
        <w:widowControl w:val="0"/>
        <w:numPr>
          <w:ilvl w:val="0"/>
          <w:numId w:val="0"/>
        </w:numPr>
        <w:spacing w:before="0" w:after="0" w:line="240" w:lineRule="exact"/>
        <w:ind w:left="2880" w:right="0" w:firstLine="0"/>
        <w:jc w:val="both"/>
        <w:outlineLvl w:val="9"/>
        <w:rPr>
          <w:rFonts w:ascii="Calibri" w:eastAsia="Calibri" w:hAnsi="Calibri" w:cs="Calibri"/>
          <w:b w:val="0"/>
          <w:i w:val="0"/>
          <w:sz w:val="20"/>
        </w:rPr>
      </w:pPr>
      <w:r>
        <w:rPr>
          <w:rFonts w:ascii="Calibri" w:eastAsia="Calibri" w:hAnsi="Calibri" w:cs="Calibri"/>
          <w:b w:val="0"/>
          <w:i w:val="0"/>
          <w:sz w:val="20"/>
        </w:rPr>
        <w:t>Para la implementación de la referida ley, se dispuso la introducción de modificaciones a los reglamentos de calificación, valorización, tarificación y remuneración de las instalaciones de transmisión, y de los sistemas de transmisión, contenidos en los Decretos Supremos N° 10-2019 y N° 37-2019 del Ministerio de Energía. Dichas modificaciones tienen por objeto adecuar dichos cuerpos normativos a las nuevas materias reguladas. A la fecha de cierre del presente informe, los respectivos textos reglamentarios se encuentran en trámite de toma de razón ante la Contraloría General de la República.</w:t>
      </w:r>
    </w:p>
    <w:p>
      <w:pPr>
        <w:keepNext w:val="0"/>
        <w:keepLines/>
        <w:pageBreakBefore w:val="0"/>
        <w:widowControl w:val="0"/>
        <w:numPr>
          <w:ilvl w:val="0"/>
          <w:numId w:val="0"/>
        </w:numPr>
        <w:tabs>
          <w:tab w:val="left" w:pos="2540"/>
          <w:tab w:val="left" w:pos="2820"/>
        </w:tabs>
        <w:spacing w:before="0" w:after="0" w:line="288" w:lineRule="auto"/>
        <w:ind w:left="2823" w:right="0" w:firstLine="2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i w:val="0"/>
          <w:sz w:val="20"/>
        </w:rPr>
      </w:pPr>
      <w:r>
        <w:rPr>
          <w:rFonts w:ascii="Calibri" w:eastAsia="Calibri" w:hAnsi="Calibri" w:cs="Calibri"/>
          <w:b/>
          <w:i w:val="0"/>
          <w:sz w:val="20"/>
        </w:rPr>
        <w:t xml:space="preserve">5.1.7.- </w:t>
      </w:r>
      <w:r>
        <w:rPr>
          <w:rFonts w:ascii="Calibri" w:eastAsia="Calibri" w:hAnsi="Calibri" w:cs="Calibri"/>
          <w:b/>
          <w:i w:val="0"/>
          <w:sz w:val="20"/>
        </w:rPr>
        <w:tab/>
      </w:r>
      <w:r>
        <w:rPr>
          <w:rFonts w:ascii="Calibri" w:eastAsia="Calibri" w:hAnsi="Calibri" w:cs="Calibri"/>
          <w:b/>
          <w:i w:val="0"/>
          <w:sz w:val="20"/>
        </w:rPr>
        <w:t>Riesgos ambientales.</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Dentro de los riesgos ambientales identificados en CGE Transmisión, se considera el incumplimiento de compromisos ambientales establecidos en las Resoluciones de Calificación Ambiental (RCA) de los proyectos de construcción, modificación o ampliación de líneas y subestaciones, los cuales son fiscalizados por la Superintendencia del Medio Ambiente (SMA) conforme a la Ley N° 19.300. Este riesgo se evalúa como bajo, dado que la compañía mantiene una gestión ambiental preventiva, con supervisión en terreno, verificación del cumplimiento de medidas ambientales y aplicación de procedimientos internos orientados al control y prevención de impactos, permitiendo que las obras y operaciones se desarrollen dentro del marco normativo vigente, así como la oportuna adopción de acciones correctivas ante eventuales desviaciones detectadas.</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Asimismo, se identifican riesgos asociados al manejo, almacenamiento temporal y disposición de residuos no peligrosos, de acuerdo con las directrices establecidas en el Decreto N° 594/2000 que aprueba el Reglamento sobre condiciones sanitarias y ambientales básicas en los lugares de trabajo, particularmente respecto de residuos tales como escombros, postes, cables, chatarra y vegetación proveniente de labores de poda o tala asociadas al despeje y mantenimiento de redes eléctricas.</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Del mismo modo, se identifican riesgos asociados al manejo, almacenamiento temporal y disposición de residuos peligrosos, de acuerdo con lo establecido en el Decreto N° 148/2004 que aprueba el Reglamento Sanitario sobre Manejo de Residuos Peligrosos, particularmente aquellos residuos contaminados con hidrocarburos u otras sustancias contaminantes, que presenten características de peligrosidad conforme a la normativa aplicable.</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Este riesgo se evalúa como bajo, puesto que existe una supervisión continua y verificación periódica en terreno, acompañada de controles operacionales efectivos, así como planes y procedimientos permanentes de gestión que fortalecen el cumplimiento de la normativa ambiental y sanitaria vigente, incluyendo la correcta segregación, almacenamiento temporal, transporte y control documental de los residuos generados.</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En este contexto, la compañía refuerza la trazabilidad de los residuos mediante los sistemas sectoriales de Ventanilla Única del Registro de Emisiones y Transferencias de Contaminantes (RETC) y gestiona su disposición final a través de gestores autorizados con resolución sanitaria vigente, fortaleciendo la correcta gestión de los residuos generados en sus operaciones y los mecanismos de control y seguimiento desde su generación hasta su disposición final.</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Por otra parte, se identifican riesgos vinculados a la intervención de especies vegetales protegidas durante las labores de despeje y mantenimiento de las fajas de seguridad de líneas de transmisión eléctrica. Este riesgo es bajo, ya que las intervenciones se ejecutan por personal técnico especializado, en el marco de un plan anual de poda que considera criterios técnicos, ambientales y de seguridad operacional, así como el cumplimiento de la normativa sectorial aplicable.</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Adicionalmente, se utilizan herramientas de análisis territorial basadas en información geoespacial oficial, que integran capas ambientales y normativas, tales como áreas protegidas, humedales y sitios prioritarios para la conservación. Estas herramientas permiten evaluar de forma preventiva, en etapas de diseño, ampliación o construcción de proyectos, la eventual interacción con estos componentes ambientales, fortaleciendo la toma de decisiones y la gestión anticipada de riesgos ambientales.</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sz w:val="20"/>
        </w:rPr>
      </w:pPr>
    </w:p>
    <w:p>
      <w:pPr>
        <w:keepNext/>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i w:val="0"/>
          <w:sz w:val="20"/>
        </w:rPr>
      </w:pPr>
      <w:r>
        <w:rPr>
          <w:rFonts w:ascii="Calibri" w:eastAsia="Calibri" w:hAnsi="Calibri" w:cs="Calibri"/>
          <w:b/>
          <w:i w:val="0"/>
          <w:sz w:val="20"/>
        </w:rPr>
        <w:t xml:space="preserve">5.1.8.- </w:t>
      </w:r>
      <w:r>
        <w:rPr>
          <w:rFonts w:ascii="Calibri" w:eastAsia="Calibri" w:hAnsi="Calibri" w:cs="Calibri"/>
          <w:b/>
          <w:i w:val="0"/>
          <w:sz w:val="20"/>
        </w:rPr>
        <w:tab/>
      </w:r>
      <w:r>
        <w:rPr>
          <w:rFonts w:ascii="Calibri" w:eastAsia="Calibri" w:hAnsi="Calibri" w:cs="Calibri"/>
          <w:b/>
          <w:i w:val="0"/>
          <w:sz w:val="20"/>
        </w:rPr>
        <w:t>Riesgos cambio climático.</w:t>
      </w:r>
    </w:p>
    <w:p>
      <w:pPr>
        <w:keepNext/>
        <w:keepLines/>
        <w:pageBreakBefore w:val="0"/>
        <w:widowControl w:val="0"/>
        <w:numPr>
          <w:ilvl w:val="0"/>
          <w:numId w:val="0"/>
        </w:numPr>
        <w:spacing w:before="0" w:after="0" w:line="288" w:lineRule="auto"/>
        <w:ind w:left="2127"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En los últimos años, las zonas donde opera CGE Transmisión S.A. y sus subsidiarias han experimentado variaciones climáticas relevantes, como incremento de temperaturas y mayores niveles de precipitaciones, así como la ocurrencia de vientos intensos, lluvias prolongadas, incendios forestales, aluviones y temperaturas extremas, fenómenos asociados a la variabilidad climática que son considerados dentro de la evaluación de riesgos corporativos, los cuales pueden generar impactos sobre la infraestructura eléctrica y la continuidad operacional.</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Ante este escenario, la Compañía ha incorporado estos factores climáticos dentro de su planificación operacional, implementando planes de mantenimiento que consideran estas nuevas condiciones, con el objetivo de reducir el impacto de eventos climáticos extremos en la continuidad del suministro eléctrico. Estos planes incluyen inspecciones periódicas de estructuras y mantenimiento preventivo, priorizando activos críticos y zonas con mayor exposición a eventos climáticos. Adicionalmente, la Compañía cuenta con infraestructura diseñada y planes de operación robustos, capaces de soportar las condiciones climáticas propias de sus zonas de operación, incorporando criterios de resiliencia y confiabilidad operacional.</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Respecto a eventos climáticos que pudieran generar daños en los activos y afectar la operación normal de los negocios, estos son abordados mediante una gestión preventiva y de preparación operacional a través de planes de contingencia, orientados a minimizar los tiempos de respuesta y mitigar impactos negativos en la operación y resultados. No obstante, se reconoce que la ocurrencia de este tipo de fenómenos y sus niveles de impacto no pueden ser completamente predecibles. Sin embargo, a la fecha, las instalaciones de transmisión no han requerido refuerzos adicionales, dado que su diseño y construcción consideran estándares técnicos que permiten soportar las condiciones climáticas propias de las zonas de operación, constituyendo un riesgo inherente asociado a la naturaleza del negocio eléctrico y a las condiciones del entorno, el cual es gestionado mediante medidas preventivas, de monitoreo y preparación operacional.</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Finalmente, considerando los efectos del cambio climático y la posibilidad de ocurrencia de eventos inesperados que afecten la disponibilidad de activos como edificaciones, infraestructura y equipamiento, así como también los riesgos de responsabilidad civil asociados, CGE Transmisión S.A. ha contratado pólizas de seguro con términos y condiciones acordes a los estándares del mercado, como parte de su estrategia de gestión de riesgos orientada a la mitigación de impactos financieros derivados de dichos eventos, enmarcada dentro de un enfoque integral de gestión del riesgo y como mecanismo de protección frente a riesgos residuales asociados a eventos climáticos.</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En CGE Transmisión y sus subsidiarias, los riesgos ambientales y climáticos se gestionan bajo la participación integrada de distintas unidades organizacionales, fortaleciendo una coordinación transversal entre las áreas técnicas, operacionales y de gestión. Estas, a través de un enfoque preventivo, proactivo y de mejora continua, se articulan dentro del marco de implementación y mantenimiento del Sistema Integrado de Gestión (SIG), basado en las normas internacionales ISO 14001:2015, ISO 45001:2018, ISO 9001:2015, ISO 55001:2014, ISO 50001:2018, ISO 22301:2020 e ISO 27001:2023, permitiendo una gestión sistemática y transversal de los riesgos ambientales, operacionales y climáticos.</w:t>
      </w: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Este sistema consolida la gestión ambiental corporativa, permitiendo la identificación, evaluación y control sistemático de los riesgos e impactos ambientales a lo largo del ciclo de vida de las obras, instalaciones y activos de transmisión eléctrica, fortaleciendo así el compromiso de la compañía con la sostenibilidad, el cumplimiento ambiental, y la continuidad y resiliencia del negocio.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pStyle w:val="Normal-wk"/>
        <w:keepNext/>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i w:val="0"/>
          <w:color w:val="000000"/>
          <w:sz w:val="20"/>
          <w:u w:val="none"/>
        </w:rPr>
      </w:pPr>
      <w:r>
        <w:rPr>
          <w:rFonts w:ascii="Calibri" w:eastAsia="Calibri" w:hAnsi="Calibri" w:cs="Calibri"/>
          <w:b/>
          <w:i w:val="0"/>
          <w:color w:val="000000"/>
          <w:sz w:val="20"/>
          <w:u w:val="none"/>
        </w:rPr>
        <w:t>5.1.9.-</w:t>
      </w:r>
      <w:r>
        <w:rPr>
          <w:rFonts w:ascii="Calibri" w:eastAsia="Calibri" w:hAnsi="Calibri" w:cs="Calibri"/>
          <w:b/>
          <w:i w:val="0"/>
          <w:color w:val="000000"/>
          <w:sz w:val="20"/>
          <w:u w:val="none"/>
        </w:rPr>
        <w:tab/>
      </w:r>
      <w:r>
        <w:rPr>
          <w:rFonts w:ascii="Calibri" w:eastAsia="Calibri" w:hAnsi="Calibri" w:cs="Calibri"/>
          <w:b/>
          <w:i w:val="0"/>
          <w:color w:val="000000"/>
          <w:sz w:val="20"/>
          <w:u w:val="none"/>
        </w:rPr>
        <w:t>Restricciones financieras.</w:t>
      </w:r>
    </w:p>
    <w:p>
      <w:pPr>
        <w:keepNext/>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CGE Transmisión S.A. y sus subsidiarias han convenido con bancos y tenedores de bonos covenants financieros medidos sobre la base de los estados financieros consolidados tal como se detalla en Nota 34.4.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Al cierre de los estados financieros consolidados intermedios por el período terminado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y el ejercicio terminado al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 la Sociedad y sus subsidiarias incluidas en dicha consolidación se encuentran en cumplimiento de dichas restricciones y compromisos.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Con fecha 24 de septiembre de 2021, la Junta Extraordinaria de Accionista de Compañía General de Electricidad S.A., que aprobó la división social de sí misma en una sociedad continuadora y una nueva sociedad anónima abierta (CGE Transmisión S.A.), esta última se constituyó como aval y/o fiador y/o codeudor solidario de Compañía General de Electricidad S.A. respecto a todas sus obligaciones presentes o futuras derivadas de los contratos de bonos vigentes, como asimismo de sus prórrogas, renovaciones, reprogramaciones, modificaciones, novaciones o sustituciones totales o parciales.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left"/>
        <w:outlineLvl w:val="0"/>
        <w:rPr>
          <w:rFonts w:ascii="Cambria" w:eastAsia="Cambria" w:hAnsi="Cambria" w:cs="Cambria"/>
          <w:b/>
          <w:i w:val="0"/>
          <w:color w:val="365F91"/>
          <w:sz w:val="28"/>
          <w:u w:val="none"/>
        </w:rPr>
      </w:pPr>
      <w:bookmarkStart w:id="91" w:name="Section49"/>
      <w:bookmarkEnd w:id="91"/>
      <w:bookmarkStart w:id="92" w:name="aacd97d17c6c47f3a8e9b5553bb41b1b"/>
      <w:r>
        <w:rPr>
          <w:rFonts w:ascii="Calibri" w:eastAsia="Calibri" w:hAnsi="Calibri" w:cs="Calibri"/>
          <w:b/>
          <w:i w:val="0"/>
          <w:color w:val="000000"/>
          <w:sz w:val="20"/>
          <w:u w:val="none"/>
        </w:rPr>
        <w:t>6.-</w:t>
      </w:r>
      <w:r>
        <w:rPr>
          <w:rFonts w:ascii="Calibri" w:eastAsia="Calibri" w:hAnsi="Calibri" w:cs="Calibri"/>
          <w:b/>
          <w:i w:val="0"/>
          <w:color w:val="000000"/>
          <w:sz w:val="20"/>
          <w:u w:val="none"/>
        </w:rPr>
        <w:tab/>
      </w:r>
      <w:r>
        <w:rPr>
          <w:rFonts w:ascii="Calibri" w:eastAsia="Calibri" w:hAnsi="Calibri" w:cs="Calibri"/>
          <w:b/>
          <w:i w:val="0"/>
          <w:color w:val="000000"/>
          <w:sz w:val="20"/>
          <w:u w:val="none"/>
        </w:rPr>
        <w:t>EFECTIVO Y EQUIVALENTES AL EFECTIVO.</w:t>
      </w:r>
    </w:p>
    <w:p>
      <w:pPr>
        <w:keepNext w:val="0"/>
        <w:keepLines/>
        <w:pageBreakBefore w:val="0"/>
        <w:widowControl w:val="0"/>
        <w:numPr>
          <w:ilvl w:val="0"/>
          <w:numId w:val="0"/>
        </w:numPr>
        <w:spacing w:before="0" w:after="0" w:line="288" w:lineRule="auto"/>
        <w:ind w:left="705" w:right="0" w:firstLine="0"/>
        <w:jc w:val="both"/>
        <w:outlineLvl w:val="9"/>
        <w:rPr>
          <w:rFonts w:ascii="Calibri" w:eastAsia="Calibri" w:hAnsi="Calibri" w:cs="Calibri"/>
          <w:b w:val="0"/>
          <w:i w:val="0"/>
          <w:color w:val="000000"/>
          <w:sz w:val="20"/>
          <w:u w:val="none"/>
        </w:rPr>
      </w:pPr>
      <w:bookmarkEnd w:id="92"/>
    </w:p>
    <w:p>
      <w:pPr>
        <w:keepNext w:val="0"/>
        <w:keepLines/>
        <w:pageBreakBefore w:val="0"/>
        <w:widowControl w:val="0"/>
        <w:numPr>
          <w:ilvl w:val="0"/>
          <w:numId w:val="0"/>
        </w:numPr>
        <w:spacing w:before="0" w:after="0" w:line="288" w:lineRule="auto"/>
        <w:ind w:left="705"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93" w:name="Section50"/>
      <w:bookmarkEnd w:id="93"/>
      <w:bookmarkStart w:id="94" w:name="8b8723e7f2674abeb1e00bb22d3f0478"/>
      <w:r>
        <w:rPr>
          <w:rFonts w:ascii="Calibri" w:eastAsia="Calibri" w:hAnsi="Calibri" w:cs="Calibri"/>
          <w:b/>
          <w:i w:val="0"/>
          <w:color w:val="000000"/>
          <w:sz w:val="20"/>
          <w:u w:val="none"/>
        </w:rPr>
        <w:t>6.1.-</w:t>
      </w:r>
      <w:r>
        <w:rPr>
          <w:rFonts w:ascii="Calibri" w:eastAsia="Calibri" w:hAnsi="Calibri" w:cs="Calibri"/>
          <w:b/>
          <w:i w:val="0"/>
          <w:color w:val="000000"/>
          <w:sz w:val="20"/>
          <w:u w:val="none"/>
        </w:rPr>
        <w:tab/>
      </w:r>
      <w:r>
        <w:rPr>
          <w:rFonts w:ascii="Calibri" w:eastAsia="Calibri" w:hAnsi="Calibri" w:cs="Calibri"/>
          <w:b/>
          <w:i w:val="0"/>
          <w:color w:val="000000"/>
          <w:sz w:val="20"/>
          <w:u w:val="none"/>
        </w:rPr>
        <w:t>Composición del rubro.</w:t>
      </w:r>
    </w:p>
    <w:p>
      <w:pPr>
        <w:keepNext w:val="0"/>
        <w:keepLines/>
        <w:pageBreakBefore w:val="0"/>
        <w:widowControl w:val="0"/>
        <w:numPr>
          <w:ilvl w:val="0"/>
          <w:numId w:val="0"/>
        </w:numPr>
        <w:spacing w:before="0" w:after="0" w:line="288" w:lineRule="auto"/>
        <w:ind w:left="705" w:right="0" w:firstLine="0"/>
        <w:jc w:val="both"/>
        <w:outlineLvl w:val="9"/>
        <w:rPr>
          <w:rFonts w:ascii="Calibri" w:eastAsia="Calibri" w:hAnsi="Calibri" w:cs="Calibri"/>
          <w:b w:val="0"/>
          <w:i w:val="0"/>
          <w:color w:val="000000"/>
          <w:sz w:val="20"/>
          <w:u w:val="none"/>
        </w:rPr>
      </w:pPr>
      <w:bookmarkEnd w:id="94"/>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composición del rubro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 xml:space="preserve"> es la siguiente:</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150"/>
        <w:gridCol w:w="1200"/>
        <w:gridCol w:w="1200"/>
      </w:tblGrid>
      <w:tr>
        <w:tblPrEx>
          <w:tblW w:w="8550" w:type="dxa"/>
          <w:tblInd w:w="1417" w:type="dxa"/>
          <w:tblLayout w:type="fixed"/>
        </w:tblPrEx>
        <w:trPr>
          <w:cantSplit/>
          <w:trHeight w:hRule="auto" w:val="0"/>
        </w:trPr>
        <w:tc>
          <w:tcPr>
            <w:tcW w:w="615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Clases de efectivo y equivalentes al efectivo</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6"/>
                <w:u w:val="none"/>
              </w:rPr>
              <w:t>30-06-2026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6"/>
                <w:u w:val="none"/>
              </w:rPr>
              <w:t>31-12-2025</w:t>
            </w:r>
          </w:p>
        </w:tc>
      </w:tr>
      <w:tr>
        <w:tblPrEx>
          <w:tblW w:w="8550" w:type="dxa"/>
          <w:tblInd w:w="1417" w:type="dxa"/>
          <w:tblLayout w:type="fixed"/>
        </w:tblPrEx>
        <w:trPr>
          <w:cantSplit/>
          <w:trHeight w:hRule="auto" w:val="0"/>
        </w:trPr>
        <w:tc>
          <w:tcPr>
            <w:tcW w:w="615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exact" w:val="60"/>
        </w:trPr>
        <w:tc>
          <w:tcPr>
            <w:tcW w:w="61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i w:val="0"/>
                <w:color w:val="FFFFFF"/>
                <w:sz w:val="16"/>
                <w:u w:val="none"/>
              </w:rPr>
              <w:t>Efectivo</w:t>
            </w:r>
          </w:p>
        </w:tc>
        <w:tc>
          <w:tcPr>
            <w:tcW w:w="12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Efectivo en caja.</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2.401</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Saldos en bancos.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1.679.547</w:t>
            </w:r>
          </w:p>
        </w:tc>
      </w:tr>
      <w:tr>
        <w:tblPrEx>
          <w:tblW w:w="8550" w:type="dxa"/>
          <w:tblInd w:w="1417" w:type="dxa"/>
          <w:tblLayout w:type="fixed"/>
        </w:tblPrEx>
        <w:trPr>
          <w:cantSplit/>
          <w:trHeight w:hRule="auto" w:val="0"/>
        </w:trPr>
        <w:tc>
          <w:tcPr>
            <w:tcW w:w="61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i w:val="0"/>
                <w:color w:val="FFFFFF"/>
                <w:sz w:val="16"/>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1.681.948</w:t>
            </w:r>
          </w:p>
        </w:tc>
      </w:tr>
    </w:tbl>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composición del rubro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 xml:space="preserve"> es la siguiente:</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950"/>
        <w:gridCol w:w="1200"/>
        <w:gridCol w:w="1200"/>
        <w:gridCol w:w="1200"/>
      </w:tblGrid>
      <w:tr>
        <w:tblPrEx>
          <w:tblW w:w="8550" w:type="dxa"/>
          <w:tblInd w:w="1417" w:type="dxa"/>
          <w:tblLayout w:type="fixed"/>
        </w:tblPrEx>
        <w:trPr>
          <w:cantSplit/>
          <w:trHeight w:hRule="auto" w:val="0"/>
        </w:trPr>
        <w:tc>
          <w:tcPr>
            <w:tcW w:w="495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Información del efectivo y equivalentes al efectivo por moneda</w:t>
            </w:r>
          </w:p>
        </w:tc>
        <w:tc>
          <w:tcPr>
            <w:tcW w:w="1200"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Moneda</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6"/>
                <w:u w:val="none"/>
              </w:rPr>
              <w:t>30-06-2026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6"/>
                <w:u w:val="none"/>
              </w:rPr>
              <w:t>31-12-2025</w:t>
            </w:r>
          </w:p>
        </w:tc>
      </w:tr>
      <w:tr>
        <w:tblPrEx>
          <w:tblW w:w="8550" w:type="dxa"/>
          <w:tblInd w:w="1417" w:type="dxa"/>
          <w:tblLayout w:type="fixed"/>
        </w:tblPrEx>
        <w:trPr>
          <w:cantSplit/>
          <w:trHeight w:hRule="auto" w:val="0"/>
        </w:trPr>
        <w:tc>
          <w:tcPr>
            <w:tcW w:w="4950" w:type="dxa"/>
            <w:vMerge/>
            <w:tcBorders>
              <w:top w:val="nil"/>
              <w:left w:val="single" w:sz="2" w:space="0" w:color="000000"/>
              <w:bottom w:val="single" w:sz="2" w:space="0" w:color="000000"/>
              <w:right w:val="nil"/>
            </w:tcBorders>
          </w:tcPr>
          <w:p>
            <w:pPr>
              <w:keepNext/>
              <w:pageBreakBefore w:val="0"/>
            </w:pPr>
          </w:p>
        </w:tc>
        <w:tc>
          <w:tcPr>
            <w:tcW w:w="1200" w:type="dxa"/>
            <w:vMerge/>
            <w:tcBorders>
              <w:top w:val="nil"/>
              <w:left w:val="single" w:sz="4" w:space="0" w:color="FFFFFF"/>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auto" w:val="0"/>
        </w:trPr>
        <w:tc>
          <w:tcPr>
            <w:tcW w:w="4950" w:type="dxa"/>
            <w:vMerge w:val="restart"/>
            <w:tcBorders>
              <w:top w:val="nil"/>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Monto del efectivo y equivalente al efectivo.</w:t>
            </w:r>
          </w:p>
        </w:tc>
        <w:tc>
          <w:tcPr>
            <w:tcW w:w="12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CL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1.679.726</w:t>
            </w:r>
          </w:p>
        </w:tc>
      </w:tr>
      <w:tr>
        <w:tblPrEx>
          <w:tblW w:w="8550" w:type="dxa"/>
          <w:tblInd w:w="1417" w:type="dxa"/>
          <w:tblLayout w:type="fixed"/>
        </w:tblPrEx>
        <w:trPr>
          <w:cantSplit/>
          <w:trHeight w:hRule="auto" w:val="0"/>
        </w:trPr>
        <w:tc>
          <w:tcPr>
            <w:tcW w:w="4950" w:type="dxa"/>
            <w:vMerge/>
            <w:tcBorders>
              <w:top w:val="nil"/>
              <w:left w:val="single" w:sz="2" w:space="0" w:color="000000"/>
              <w:bottom w:val="nil"/>
              <w:right w:val="nil"/>
            </w:tcBorders>
          </w:tcPr>
          <w:p>
            <w:pPr>
              <w:keepNext/>
              <w:pageBreakBefore w:val="0"/>
            </w:pPr>
          </w:p>
        </w:tc>
        <w:tc>
          <w:tcPr>
            <w:tcW w:w="12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US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2.222</w:t>
            </w:r>
          </w:p>
        </w:tc>
      </w:tr>
      <w:tr>
        <w:tblPrEx>
          <w:tblW w:w="8550" w:type="dxa"/>
          <w:tblInd w:w="1417" w:type="dxa"/>
          <w:tblLayout w:type="fixed"/>
        </w:tblPrEx>
        <w:trPr>
          <w:cantSplit/>
          <w:trHeight w:hRule="auto" w:val="0"/>
        </w:trPr>
        <w:tc>
          <w:tcPr>
            <w:tcW w:w="6150" w:type="dxa"/>
            <w:gridSpan w:val="2"/>
            <w:tcBorders>
              <w:top w:val="nil"/>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i w:val="0"/>
                <w:color w:val="FFFFFF"/>
                <w:sz w:val="16"/>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1.681.948</w:t>
            </w:r>
          </w:p>
        </w:tc>
      </w:tr>
    </w:tbl>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720" w:right="0" w:firstLine="72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A la fecha no existen restricciones sobre el efectivo y equivalente al efectivo.</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Sociedad matriz al </w:t>
      </w:r>
      <w:r>
        <w:rPr>
          <w:rFonts w:ascii="Calibri" w:eastAsia="Calibri" w:hAnsi="Calibri" w:cs="Calibri"/>
          <w:b w:val="0"/>
          <w:i w:val="0"/>
          <w:color w:val="000000"/>
          <w:sz w:val="20"/>
          <w:u w:val="none"/>
        </w:rPr>
        <w:t>30 de junio de 2026</w:t>
      </w:r>
      <w:r>
        <w:rPr>
          <w:rFonts w:ascii="Calibri" w:eastAsia="Calibri" w:hAnsi="Calibri" w:cs="Calibri"/>
          <w:b w:val="0"/>
          <w:i w:val="0"/>
          <w:sz w:val="20"/>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sz w:val="20"/>
        </w:rPr>
        <w:t xml:space="preserve"> </w:t>
      </w:r>
      <w:r>
        <w:rPr>
          <w:rFonts w:ascii="Calibri" w:eastAsia="Calibri" w:hAnsi="Calibri" w:cs="Calibri"/>
          <w:b w:val="0"/>
          <w:i w:val="0"/>
          <w:color w:val="000000"/>
          <w:sz w:val="20"/>
          <w:u w:val="none"/>
        </w:rPr>
        <w:t>no tiene disponibles líneas de sobregiro.</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Sus subsidiarias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 xml:space="preserve"> tienen disponibles y no utilizadas líneas de sobregiro por M$ 10.000, respectivamente.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95" w:name="Section51"/>
      <w:bookmarkEnd w:id="95"/>
      <w:bookmarkStart w:id="96" w:name="f75a7be1739f4059b4dc67fa4f7909c6"/>
      <w:r>
        <w:rPr>
          <w:rFonts w:ascii="Calibri" w:eastAsia="Calibri" w:hAnsi="Calibri" w:cs="Calibri"/>
          <w:b/>
          <w:i w:val="0"/>
          <w:color w:val="000000"/>
          <w:sz w:val="20"/>
          <w:u w:val="none"/>
        </w:rPr>
        <w:t>6.2.-</w:t>
      </w:r>
      <w:r>
        <w:rPr>
          <w:rFonts w:ascii="Calibri" w:eastAsia="Calibri" w:hAnsi="Calibri" w:cs="Calibri"/>
          <w:b/>
          <w:i w:val="0"/>
          <w:color w:val="000000"/>
          <w:sz w:val="20"/>
          <w:u w:val="none"/>
        </w:rPr>
        <w:tab/>
      </w:r>
      <w:r>
        <w:rPr>
          <w:rFonts w:ascii="Calibri" w:eastAsia="Calibri" w:hAnsi="Calibri" w:cs="Calibri"/>
          <w:b/>
          <w:i w:val="0"/>
          <w:color w:val="000000"/>
          <w:sz w:val="20"/>
          <w:u w:val="none"/>
        </w:rPr>
        <w:t>Detalles flujos de efectivo.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96"/>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siguiente es el detalle de la composición de los otros cobros y pagos por actividades de la operación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940"/>
        <w:gridCol w:w="1305"/>
        <w:gridCol w:w="1305"/>
      </w:tblGrid>
      <w:tr>
        <w:tblPrEx>
          <w:tblW w:w="8550" w:type="dxa"/>
          <w:tblInd w:w="1417" w:type="dxa"/>
          <w:tblLayout w:type="fixed"/>
        </w:tblPrEx>
        <w:trPr>
          <w:cantSplit/>
          <w:trHeight w:hRule="auto" w:val="0"/>
        </w:trPr>
        <w:tc>
          <w:tcPr>
            <w:tcW w:w="594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Detalle partidas flujo de efectivo</w:t>
            </w:r>
          </w:p>
        </w:tc>
        <w:tc>
          <w:tcPr>
            <w:tcW w:w="1305" w:type="dxa"/>
            <w:tcBorders>
              <w:top w:val="single" w:sz="2" w:space="0" w:color="000000"/>
              <w:left w:val="single" w:sz="4" w:space="0" w:color="FFFFFF"/>
              <w:bottom w:val="nil"/>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6"/>
                <w:u w:val="none"/>
              </w:rPr>
              <w:t>01-01-2026</w:t>
            </w:r>
          </w:p>
        </w:tc>
        <w:tc>
          <w:tcPr>
            <w:tcW w:w="1305"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6"/>
                <w:u w:val="none"/>
              </w:rPr>
              <w:t>01-01-2025</w:t>
            </w:r>
          </w:p>
        </w:tc>
      </w:tr>
      <w:tr>
        <w:tblPrEx>
          <w:tblW w:w="8550" w:type="dxa"/>
          <w:tblInd w:w="1417" w:type="dxa"/>
          <w:tblLayout w:type="fixed"/>
        </w:tblPrEx>
        <w:trPr>
          <w:cantSplit/>
          <w:trHeight w:hRule="auto" w:val="0"/>
        </w:trPr>
        <w:tc>
          <w:tcPr>
            <w:tcW w:w="5940" w:type="dxa"/>
            <w:vMerge/>
            <w:tcBorders>
              <w:top w:val="nil"/>
              <w:left w:val="single" w:sz="2" w:space="0" w:color="000000"/>
              <w:bottom w:val="nil"/>
              <w:right w:val="nil"/>
            </w:tcBorders>
          </w:tcPr>
          <w:p>
            <w:pPr>
              <w:keepNext/>
              <w:pageBreakBefore w:val="0"/>
            </w:pPr>
          </w:p>
        </w:tc>
        <w:tc>
          <w:tcPr>
            <w:tcW w:w="1305"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30-06-2026</w:t>
            </w:r>
          </w:p>
        </w:tc>
        <w:tc>
          <w:tcPr>
            <w:tcW w:w="1305" w:type="dxa"/>
            <w:tcBorders>
              <w:top w:val="nil"/>
              <w:left w:val="single" w:sz="4" w:space="0" w:color="FFFFFF"/>
              <w:bottom w:val="nil"/>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30-06-2025</w:t>
            </w:r>
          </w:p>
        </w:tc>
      </w:tr>
      <w:tr>
        <w:tblPrEx>
          <w:tblW w:w="8550" w:type="dxa"/>
          <w:tblInd w:w="1417" w:type="dxa"/>
          <w:tblLayout w:type="fixed"/>
        </w:tblPrEx>
        <w:trPr>
          <w:cantSplit/>
          <w:trHeight w:hRule="auto" w:val="0"/>
        </w:trPr>
        <w:tc>
          <w:tcPr>
            <w:tcW w:w="5940" w:type="dxa"/>
            <w:vMerge/>
            <w:tcBorders>
              <w:top w:val="nil"/>
              <w:left w:val="single" w:sz="2" w:space="0" w:color="000000"/>
              <w:bottom w:val="single" w:sz="2" w:space="0" w:color="000000"/>
              <w:right w:val="nil"/>
            </w:tcBorders>
          </w:tcPr>
          <w:p>
            <w:pPr>
              <w:keepNext/>
              <w:pageBreakBefore w:val="0"/>
            </w:pPr>
          </w:p>
        </w:tc>
        <w:tc>
          <w:tcPr>
            <w:tcW w:w="1305"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130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exact" w:val="60"/>
        </w:trPr>
        <w:tc>
          <w:tcPr>
            <w:tcW w:w="594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3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3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59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i w:val="0"/>
                <w:color w:val="FFFFFF"/>
                <w:sz w:val="16"/>
                <w:u w:val="none"/>
              </w:rPr>
              <w:t>Otros pagos por actividades de operación</w:t>
            </w:r>
          </w:p>
        </w:tc>
        <w:tc>
          <w:tcPr>
            <w:tcW w:w="130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3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59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Pago de IVA - Impuesto único - Impuestos 2da categoría - Impuesto adicional.</w:t>
            </w:r>
          </w:p>
        </w:tc>
        <w:tc>
          <w:tcPr>
            <w:tcW w:w="13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3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(10.149.835)</w:t>
            </w:r>
          </w:p>
        </w:tc>
      </w:tr>
      <w:tr>
        <w:tblPrEx>
          <w:tblW w:w="8550" w:type="dxa"/>
          <w:tblInd w:w="1417" w:type="dxa"/>
          <w:tblLayout w:type="fixed"/>
        </w:tblPrEx>
        <w:trPr>
          <w:cantSplit/>
          <w:trHeight w:hRule="auto" w:val="0"/>
        </w:trPr>
        <w:tc>
          <w:tcPr>
            <w:tcW w:w="59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Otros pagos (Remuneración del directorio y otros).</w:t>
            </w:r>
          </w:p>
        </w:tc>
        <w:tc>
          <w:tcPr>
            <w:tcW w:w="13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3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(25.745)</w:t>
            </w:r>
          </w:p>
        </w:tc>
      </w:tr>
      <w:tr>
        <w:tblPrEx>
          <w:tblW w:w="8550" w:type="dxa"/>
          <w:tblInd w:w="1417" w:type="dxa"/>
          <w:tblLayout w:type="fixed"/>
        </w:tblPrEx>
        <w:trPr>
          <w:cantSplit/>
          <w:trHeight w:hRule="auto" w:val="0"/>
        </w:trPr>
        <w:tc>
          <w:tcPr>
            <w:tcW w:w="59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i w:val="0"/>
                <w:color w:val="FFFFFF"/>
                <w:sz w:val="16"/>
                <w:u w:val="none"/>
              </w:rPr>
              <w:t>Total otros pagos por actividades de operación</w:t>
            </w:r>
          </w:p>
        </w:tc>
        <w:tc>
          <w:tcPr>
            <w:tcW w:w="13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13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(10.175.580)</w:t>
            </w:r>
          </w:p>
        </w:tc>
      </w:tr>
    </w:tbl>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sz w:val="20"/>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940"/>
        <w:gridCol w:w="1305"/>
        <w:gridCol w:w="1305"/>
      </w:tblGrid>
      <w:tr>
        <w:tblPrEx>
          <w:tblW w:w="8550" w:type="dxa"/>
          <w:tblInd w:w="1417" w:type="dxa"/>
          <w:tblLayout w:type="fixed"/>
        </w:tblPrEx>
        <w:trPr>
          <w:cantSplit/>
          <w:trHeight w:hRule="exact" w:val="255"/>
        </w:trPr>
        <w:tc>
          <w:tcPr>
            <w:tcW w:w="594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Detalle partidas flujo de efectivo</w:t>
            </w:r>
          </w:p>
        </w:tc>
        <w:tc>
          <w:tcPr>
            <w:tcW w:w="1305" w:type="dxa"/>
            <w:tcBorders>
              <w:top w:val="single" w:sz="2" w:space="0" w:color="000000"/>
              <w:left w:val="single" w:sz="4" w:space="0" w:color="FFFFFF"/>
              <w:bottom w:val="nil"/>
              <w:right w:val="nil"/>
            </w:tcBorders>
            <w:tcMar>
              <w:top w:w="0" w:type="dxa"/>
              <w:left w:w="53" w:type="dxa"/>
              <w:bottom w:w="0" w:type="dxa"/>
              <w:right w:w="53" w:type="dxa"/>
            </w:tcMar>
            <w:vAlign w:val="bottom"/>
          </w:tcPr>
          <w:p>
            <w:pPr>
              <w:keepNext/>
              <w:pageBreakBefore w:val="0"/>
              <w:spacing w:before="48" w:after="30" w:line="240" w:lineRule="auto"/>
              <w:jc w:val="center"/>
            </w:pPr>
            <w:r>
              <w:rPr>
                <w:rFonts w:ascii="Calibri" w:eastAsia="Calibri" w:hAnsi="Calibri" w:cs="Calibri"/>
                <w:b/>
                <w:i w:val="0"/>
                <w:color w:val="FFFFFF"/>
                <w:sz w:val="16"/>
                <w:u w:val="none"/>
              </w:rPr>
              <w:t>01-01-2026</w:t>
            </w:r>
          </w:p>
        </w:tc>
        <w:tc>
          <w:tcPr>
            <w:tcW w:w="1305"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bottom"/>
          </w:tcPr>
          <w:p>
            <w:pPr>
              <w:keepNext/>
              <w:pageBreakBefore w:val="0"/>
              <w:spacing w:before="48" w:after="30" w:line="240" w:lineRule="auto"/>
              <w:jc w:val="center"/>
            </w:pPr>
            <w:r>
              <w:rPr>
                <w:rFonts w:ascii="Calibri" w:eastAsia="Calibri" w:hAnsi="Calibri" w:cs="Calibri"/>
                <w:b/>
                <w:i w:val="0"/>
                <w:color w:val="FFFFFF"/>
                <w:sz w:val="16"/>
                <w:u w:val="none"/>
              </w:rPr>
              <w:t>01-01-2025</w:t>
            </w:r>
          </w:p>
        </w:tc>
      </w:tr>
      <w:tr>
        <w:tblPrEx>
          <w:tblW w:w="8550" w:type="dxa"/>
          <w:tblInd w:w="1417" w:type="dxa"/>
          <w:tblLayout w:type="fixed"/>
        </w:tblPrEx>
        <w:trPr>
          <w:cantSplit/>
          <w:trHeight w:hRule="exact" w:val="255"/>
        </w:trPr>
        <w:tc>
          <w:tcPr>
            <w:tcW w:w="5940" w:type="dxa"/>
            <w:vMerge/>
            <w:tcBorders>
              <w:top w:val="nil"/>
              <w:left w:val="single" w:sz="2" w:space="0" w:color="000000"/>
              <w:bottom w:val="nil"/>
              <w:right w:val="nil"/>
            </w:tcBorders>
          </w:tcPr>
          <w:p>
            <w:pPr>
              <w:keepNext/>
              <w:pageBreakBefore w:val="0"/>
            </w:pPr>
          </w:p>
        </w:tc>
        <w:tc>
          <w:tcPr>
            <w:tcW w:w="1305"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53" w:after="30" w:line="240" w:lineRule="auto"/>
              <w:jc w:val="center"/>
            </w:pPr>
            <w:r>
              <w:rPr>
                <w:rFonts w:ascii="Calibri" w:eastAsia="Calibri" w:hAnsi="Calibri" w:cs="Calibri"/>
                <w:b/>
                <w:i w:val="0"/>
                <w:color w:val="FFFFFF"/>
                <w:sz w:val="16"/>
                <w:u w:val="none"/>
              </w:rPr>
              <w:t>30-06-2026</w:t>
            </w:r>
          </w:p>
        </w:tc>
        <w:tc>
          <w:tcPr>
            <w:tcW w:w="1305" w:type="dxa"/>
            <w:tcBorders>
              <w:top w:val="nil"/>
              <w:left w:val="single" w:sz="4" w:space="0" w:color="FFFFFF"/>
              <w:bottom w:val="nil"/>
              <w:right w:val="single" w:sz="2" w:space="0" w:color="000000"/>
            </w:tcBorders>
            <w:tcMar>
              <w:top w:w="0" w:type="dxa"/>
              <w:left w:w="53" w:type="dxa"/>
              <w:bottom w:w="0" w:type="dxa"/>
              <w:right w:w="53" w:type="dxa"/>
            </w:tcMar>
            <w:vAlign w:val="bottom"/>
          </w:tcPr>
          <w:p>
            <w:pPr>
              <w:keepNext/>
              <w:pageBreakBefore w:val="0"/>
              <w:spacing w:before="53" w:after="30" w:line="240" w:lineRule="auto"/>
              <w:jc w:val="center"/>
            </w:pPr>
            <w:r>
              <w:rPr>
                <w:rFonts w:ascii="Calibri" w:eastAsia="Calibri" w:hAnsi="Calibri" w:cs="Calibri"/>
                <w:b/>
                <w:i w:val="0"/>
                <w:color w:val="FFFFFF"/>
                <w:sz w:val="16"/>
                <w:u w:val="none"/>
              </w:rPr>
              <w:t>30-06-2025</w:t>
            </w:r>
          </w:p>
        </w:tc>
      </w:tr>
      <w:tr>
        <w:tblPrEx>
          <w:tblW w:w="8550" w:type="dxa"/>
          <w:tblInd w:w="1417" w:type="dxa"/>
          <w:tblLayout w:type="fixed"/>
        </w:tblPrEx>
        <w:trPr>
          <w:cantSplit/>
          <w:trHeight w:hRule="exact" w:val="255"/>
        </w:trPr>
        <w:tc>
          <w:tcPr>
            <w:tcW w:w="5940" w:type="dxa"/>
            <w:vMerge/>
            <w:tcBorders>
              <w:top w:val="nil"/>
              <w:left w:val="single" w:sz="2" w:space="0" w:color="000000"/>
              <w:bottom w:val="single" w:sz="2" w:space="0" w:color="000000"/>
              <w:right w:val="nil"/>
            </w:tcBorders>
          </w:tcPr>
          <w:p>
            <w:pPr>
              <w:keepNext/>
              <w:pageBreakBefore w:val="0"/>
            </w:pPr>
          </w:p>
        </w:tc>
        <w:tc>
          <w:tcPr>
            <w:tcW w:w="1305"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53" w:after="30" w:line="240" w:lineRule="auto"/>
              <w:jc w:val="center"/>
            </w:pPr>
            <w:r>
              <w:rPr>
                <w:rFonts w:ascii="Calibri" w:eastAsia="Calibri" w:hAnsi="Calibri" w:cs="Calibri"/>
                <w:b/>
                <w:i w:val="0"/>
                <w:color w:val="FFFFFF"/>
                <w:sz w:val="16"/>
                <w:u w:val="none"/>
              </w:rPr>
              <w:t>M$</w:t>
            </w:r>
          </w:p>
        </w:tc>
        <w:tc>
          <w:tcPr>
            <w:tcW w:w="130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bottom"/>
          </w:tcPr>
          <w:p>
            <w:pPr>
              <w:keepNext/>
              <w:pageBreakBefore w:val="0"/>
              <w:spacing w:before="53" w:after="3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exact" w:val="60"/>
        </w:trPr>
        <w:tc>
          <w:tcPr>
            <w:tcW w:w="594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3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3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59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i w:val="0"/>
                <w:color w:val="FFFFFF"/>
                <w:sz w:val="16"/>
                <w:u w:val="none"/>
              </w:rPr>
              <w:t>Otros cobros por actividades de operación</w:t>
            </w:r>
          </w:p>
        </w:tc>
        <w:tc>
          <w:tcPr>
            <w:tcW w:w="1305"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30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exact" w:val="60"/>
        </w:trPr>
        <w:tc>
          <w:tcPr>
            <w:tcW w:w="594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3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3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59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Recuperación de IVA.</w:t>
            </w:r>
          </w:p>
        </w:tc>
        <w:tc>
          <w:tcPr>
            <w:tcW w:w="13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3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8550" w:type="dxa"/>
          <w:tblInd w:w="1417" w:type="dxa"/>
          <w:tblLayout w:type="fixed"/>
        </w:tblPrEx>
        <w:trPr>
          <w:cantSplit/>
          <w:trHeight w:hRule="auto" w:val="0"/>
        </w:trPr>
        <w:tc>
          <w:tcPr>
            <w:tcW w:w="59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i w:val="0"/>
                <w:color w:val="FFFFFF"/>
                <w:sz w:val="16"/>
                <w:u w:val="none"/>
              </w:rPr>
              <w:t>Total otros cobros por actividades de operación</w:t>
            </w:r>
          </w:p>
        </w:tc>
        <w:tc>
          <w:tcPr>
            <w:tcW w:w="13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13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482.000</w:t>
            </w:r>
          </w:p>
        </w:tc>
      </w:tr>
    </w:tbl>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sz w:val="2"/>
        </w:rPr>
      </w:pP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sz w:val="2"/>
        </w:rPr>
        <w:sectPr>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97" w:name="Section52"/>
      <w:bookmarkEnd w:id="97"/>
      <w:bookmarkStart w:id="98" w:name="de388d0b86434db1a255824099f909ae"/>
      <w:r>
        <w:rPr>
          <w:rFonts w:ascii="Calibri" w:eastAsia="Calibri" w:hAnsi="Calibri" w:cs="Calibri"/>
          <w:b/>
          <w:i w:val="0"/>
          <w:color w:val="000000"/>
          <w:sz w:val="20"/>
          <w:u w:val="none"/>
        </w:rPr>
        <w:t>6.3.-</w:t>
      </w:r>
      <w:r>
        <w:rPr>
          <w:rFonts w:ascii="Calibri" w:eastAsia="Calibri" w:hAnsi="Calibri" w:cs="Calibri"/>
          <w:b/>
          <w:i w:val="0"/>
          <w:color w:val="000000"/>
          <w:sz w:val="20"/>
          <w:u w:val="none"/>
        </w:rPr>
        <w:tab/>
      </w:r>
      <w:r>
        <w:rPr>
          <w:rFonts w:ascii="Calibri" w:eastAsia="Calibri" w:hAnsi="Calibri" w:cs="Calibri"/>
          <w:b/>
          <w:i w:val="0"/>
          <w:color w:val="000000"/>
          <w:sz w:val="20"/>
          <w:u w:val="none"/>
        </w:rPr>
        <w:t>Conciliación de los pasivos que surgen de las actividades de financiamiento.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98"/>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siguiente es el detalle de la Conciliación de los pasivos que surgen de las actividades de financiamiento al </w:t>
      </w:r>
      <w:r>
        <w:rPr>
          <w:rFonts w:ascii="Calibri" w:eastAsia="Calibri" w:hAnsi="Calibri" w:cs="Calibri"/>
          <w:b w:val="0"/>
          <w:i w:val="0"/>
          <w:color w:val="000000"/>
          <w:sz w:val="20"/>
          <w:u w:val="none"/>
        </w:rPr>
        <w:t>30 de junio de 2026</w:t>
      </w:r>
      <w:r>
        <w:rPr>
          <w:rFonts w:ascii="Calibri" w:eastAsia="Calibri" w:hAnsi="Calibri" w:cs="Calibri"/>
          <w:b w:val="0"/>
          <w:i w:val="0"/>
          <w:sz w:val="20"/>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121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150"/>
        <w:gridCol w:w="900"/>
        <w:gridCol w:w="900"/>
        <w:gridCol w:w="900"/>
        <w:gridCol w:w="900"/>
        <w:gridCol w:w="900"/>
        <w:gridCol w:w="900"/>
        <w:gridCol w:w="900"/>
        <w:gridCol w:w="900"/>
        <w:gridCol w:w="900"/>
        <w:gridCol w:w="900"/>
      </w:tblGrid>
      <w:tr>
        <w:tblPrEx>
          <w:tblW w:w="12150" w:type="dxa"/>
          <w:tblInd w:w="1417" w:type="dxa"/>
          <w:tblLayout w:type="fixed"/>
        </w:tblPrEx>
        <w:trPr>
          <w:cantSplit/>
          <w:trHeight w:hRule="auto" w:val="0"/>
        </w:trPr>
        <w:tc>
          <w:tcPr>
            <w:tcW w:w="3150" w:type="dxa"/>
            <w:tcBorders>
              <w:top w:val="nil"/>
              <w:left w:val="nil"/>
              <w:bottom w:val="nil"/>
              <w:right w:val="single" w:sz="2" w:space="0" w:color="000000"/>
            </w:tcBorders>
            <w:tcMar>
              <w:top w:w="0" w:type="dxa"/>
              <w:left w:w="0" w:type="dxa"/>
              <w:bottom w:w="0" w:type="dxa"/>
              <w:right w:w="0" w:type="dxa"/>
            </w:tcMar>
            <w:vAlign w:val="bottom"/>
          </w:tcPr>
          <w:p>
            <w:pPr>
              <w:keepNext/>
              <w:pageBreakBefore w:val="0"/>
              <w:spacing w:before="0" w:after="0"/>
            </w:pPr>
          </w:p>
        </w:tc>
        <w:tc>
          <w:tcPr>
            <w:tcW w:w="4500" w:type="dxa"/>
            <w:gridSpan w:val="5"/>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Flujo de efectivo de financiamiento</w:t>
            </w:r>
          </w:p>
        </w:tc>
        <w:tc>
          <w:tcPr>
            <w:tcW w:w="4500" w:type="dxa"/>
            <w:gridSpan w:val="5"/>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Cambios que no representan flujo de efectivo</w:t>
            </w:r>
          </w:p>
        </w:tc>
      </w:tr>
      <w:tr>
        <w:tblPrEx>
          <w:tblW w:w="12150" w:type="dxa"/>
          <w:tblInd w:w="1417" w:type="dxa"/>
          <w:tblLayout w:type="fixed"/>
        </w:tblPrEx>
        <w:trPr>
          <w:cantSplit/>
          <w:trHeight w:hRule="auto" w:val="0"/>
        </w:trPr>
        <w:tc>
          <w:tcPr>
            <w:tcW w:w="315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Saldo al 31-12-2025</w:t>
            </w:r>
          </w:p>
        </w:tc>
        <w:tc>
          <w:tcPr>
            <w:tcW w:w="9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Provenientes</w:t>
            </w:r>
          </w:p>
        </w:tc>
        <w:tc>
          <w:tcPr>
            <w:tcW w:w="9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Utilizados</w:t>
            </w:r>
          </w:p>
        </w:tc>
        <w:tc>
          <w:tcPr>
            <w:tcW w:w="9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Intereses pagados</w:t>
            </w:r>
          </w:p>
        </w:tc>
        <w:tc>
          <w:tcPr>
            <w:tcW w:w="9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Total</w:t>
            </w:r>
          </w:p>
        </w:tc>
        <w:tc>
          <w:tcPr>
            <w:tcW w:w="9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Cambios en valor razonable</w:t>
            </w:r>
          </w:p>
        </w:tc>
        <w:tc>
          <w:tcPr>
            <w:tcW w:w="9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Diferencias de cambio/Unidad de Reajuste</w:t>
            </w:r>
          </w:p>
        </w:tc>
        <w:tc>
          <w:tcPr>
            <w:tcW w:w="9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Costos financieros</w:t>
            </w:r>
          </w:p>
        </w:tc>
        <w:tc>
          <w:tcPr>
            <w:tcW w:w="9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Otros</w:t>
            </w:r>
          </w:p>
        </w:tc>
        <w:tc>
          <w:tcPr>
            <w:tcW w:w="9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Saldo al 30-06-2026</w:t>
            </w:r>
          </w:p>
        </w:tc>
      </w:tr>
      <w:tr>
        <w:tblPrEx>
          <w:tblW w:w="12150" w:type="dxa"/>
          <w:tblInd w:w="1417" w:type="dxa"/>
          <w:tblLayout w:type="fixed"/>
        </w:tblPrEx>
        <w:trPr>
          <w:cantSplit/>
          <w:trHeight w:hRule="auto" w:val="0"/>
        </w:trPr>
        <w:tc>
          <w:tcPr>
            <w:tcW w:w="315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r>
      <w:tr>
        <w:tblPrEx>
          <w:tblW w:w="12150" w:type="dxa"/>
          <w:tblInd w:w="1417" w:type="dxa"/>
          <w:tblLayout w:type="fixed"/>
        </w:tblPrEx>
        <w:trPr>
          <w:cantSplit/>
          <w:trHeight w:hRule="auto" w:val="0"/>
        </w:trPr>
        <w:tc>
          <w:tcPr>
            <w:tcW w:w="3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2"/>
                <w:u w:val="none"/>
              </w:rPr>
              <w:t>Otros pasivos financieros (préstamos bancarios).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531.460.305</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(6.720.404)</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524.739.901</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(239.670)</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524.500.231</w:t>
            </w:r>
          </w:p>
        </w:tc>
      </w:tr>
      <w:tr>
        <w:tblPrEx>
          <w:tblW w:w="12150" w:type="dxa"/>
          <w:tblInd w:w="1417" w:type="dxa"/>
          <w:tblLayout w:type="fixed"/>
        </w:tblPrEx>
        <w:trPr>
          <w:cantSplit/>
          <w:trHeight w:hRule="auto" w:val="0"/>
        </w:trPr>
        <w:tc>
          <w:tcPr>
            <w:tcW w:w="3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2"/>
                <w:u w:val="none"/>
              </w:rPr>
              <w:t>Otros pasivos financieros (bonos).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78.257.613</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(12.150)</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78.245.463</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239.670</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78.485.133</w:t>
            </w:r>
          </w:p>
        </w:tc>
      </w:tr>
      <w:tr>
        <w:tblPrEx>
          <w:tblW w:w="12150" w:type="dxa"/>
          <w:tblInd w:w="1417" w:type="dxa"/>
          <w:tblLayout w:type="fixed"/>
        </w:tblPrEx>
        <w:trPr>
          <w:cantSplit/>
          <w:trHeight w:hRule="auto" w:val="0"/>
        </w:trPr>
        <w:tc>
          <w:tcPr>
            <w:tcW w:w="3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2"/>
                <w:u w:val="none"/>
              </w:rPr>
              <w:t>Otros pasivos financieros (Instrumentos financieros).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3.723.317</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(1.876.349)</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1.846.968</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383.126</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733.601</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2.963.695</w:t>
            </w:r>
          </w:p>
        </w:tc>
      </w:tr>
      <w:tr>
        <w:tblPrEx>
          <w:tblW w:w="12150" w:type="dxa"/>
          <w:tblInd w:w="1417" w:type="dxa"/>
          <w:tblLayout w:type="fixed"/>
        </w:tblPrEx>
        <w:trPr>
          <w:cantSplit/>
          <w:trHeight w:hRule="auto" w:val="0"/>
        </w:trPr>
        <w:tc>
          <w:tcPr>
            <w:tcW w:w="3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2"/>
                <w:u w:val="none"/>
              </w:rPr>
              <w:t>Pasivos por arrendamientos.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711.153</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711.153</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117.798</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828.951</w:t>
            </w:r>
          </w:p>
        </w:tc>
      </w:tr>
      <w:tr>
        <w:tblPrEx>
          <w:tblW w:w="12150" w:type="dxa"/>
          <w:tblInd w:w="1417" w:type="dxa"/>
          <w:tblLayout w:type="fixed"/>
        </w:tblPrEx>
        <w:trPr>
          <w:cantSplit/>
          <w:trHeight w:hRule="auto" w:val="0"/>
        </w:trPr>
        <w:tc>
          <w:tcPr>
            <w:tcW w:w="3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2"/>
                <w:u w:val="none"/>
              </w:rPr>
              <w:t>Préstamos de empresas relacionadas.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91.613.784</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(982.392)</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90.631.392</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90.631.392</w:t>
            </w:r>
          </w:p>
        </w:tc>
      </w:tr>
      <w:tr>
        <w:tblPrEx>
          <w:tblW w:w="12150" w:type="dxa"/>
          <w:tblInd w:w="1417" w:type="dxa"/>
          <w:tblLayout w:type="fixed"/>
        </w:tblPrEx>
        <w:trPr>
          <w:cantSplit/>
          <w:trHeight w:hRule="auto" w:val="0"/>
        </w:trPr>
        <w:tc>
          <w:tcPr>
            <w:tcW w:w="3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2"/>
                <w:u w:val="none"/>
              </w:rPr>
              <w:t>Tesorería centralizada.</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(7.934)</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(7.934)</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(7.934)</w:t>
            </w:r>
          </w:p>
        </w:tc>
      </w:tr>
      <w:tr>
        <w:tblPrEx>
          <w:tblW w:w="12150" w:type="dxa"/>
          <w:tblInd w:w="1417" w:type="dxa"/>
          <w:tblLayout w:type="fixed"/>
        </w:tblPrEx>
        <w:trPr>
          <w:cantSplit/>
          <w:trHeight w:hRule="auto" w:val="0"/>
        </w:trPr>
        <w:tc>
          <w:tcPr>
            <w:tcW w:w="3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2"/>
                <w:u w:val="none"/>
              </w:rPr>
              <w:t xml:space="preserve">Total </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705.766.172</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(9.599.229)</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696.166.943</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383.126</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733.601</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117.798</w:t>
            </w:r>
          </w:p>
        </w:tc>
        <w:tc>
          <w:tcPr>
            <w:tcW w:w="9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697.401.468</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tbl>
      <w:tblPr>
        <w:tblW w:w="121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150"/>
        <w:gridCol w:w="900"/>
        <w:gridCol w:w="900"/>
        <w:gridCol w:w="900"/>
        <w:gridCol w:w="900"/>
        <w:gridCol w:w="900"/>
        <w:gridCol w:w="900"/>
        <w:gridCol w:w="900"/>
        <w:gridCol w:w="900"/>
        <w:gridCol w:w="900"/>
        <w:gridCol w:w="900"/>
      </w:tblGrid>
      <w:tr>
        <w:tblPrEx>
          <w:tblW w:w="12150" w:type="dxa"/>
          <w:tblInd w:w="1417" w:type="dxa"/>
          <w:tblLayout w:type="fixed"/>
        </w:tblPrEx>
        <w:trPr>
          <w:cantSplit/>
          <w:trHeight w:hRule="auto" w:val="0"/>
        </w:trPr>
        <w:tc>
          <w:tcPr>
            <w:tcW w:w="3150" w:type="dxa"/>
            <w:tcBorders>
              <w:top w:val="nil"/>
              <w:left w:val="nil"/>
              <w:bottom w:val="nil"/>
              <w:right w:val="single" w:sz="2" w:space="0" w:color="000000"/>
            </w:tcBorders>
            <w:tcMar>
              <w:top w:w="0" w:type="dxa"/>
              <w:left w:w="0" w:type="dxa"/>
              <w:bottom w:w="0" w:type="dxa"/>
              <w:right w:w="0" w:type="dxa"/>
            </w:tcMar>
            <w:vAlign w:val="bottom"/>
          </w:tcPr>
          <w:p>
            <w:pPr>
              <w:keepNext/>
              <w:pageBreakBefore w:val="0"/>
              <w:spacing w:before="0" w:after="0"/>
            </w:pPr>
          </w:p>
        </w:tc>
        <w:tc>
          <w:tcPr>
            <w:tcW w:w="4500" w:type="dxa"/>
            <w:gridSpan w:val="5"/>
            <w:tcBorders>
              <w:top w:val="single" w:sz="2" w:space="0" w:color="000000"/>
              <w:left w:val="nil"/>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Flujo de efectivo de financiamiento</w:t>
            </w:r>
          </w:p>
        </w:tc>
        <w:tc>
          <w:tcPr>
            <w:tcW w:w="4500" w:type="dxa"/>
            <w:gridSpan w:val="5"/>
            <w:tcBorders>
              <w:top w:val="single" w:sz="2" w:space="0" w:color="000000"/>
              <w:left w:val="single" w:sz="4" w:space="0" w:color="FFFFFF"/>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Cambios que no representan flujo de efectivo</w:t>
            </w:r>
          </w:p>
        </w:tc>
      </w:tr>
      <w:tr>
        <w:tblPrEx>
          <w:tblW w:w="12150" w:type="dxa"/>
          <w:tblInd w:w="1417" w:type="dxa"/>
          <w:tblLayout w:type="fixed"/>
        </w:tblPrEx>
        <w:trPr>
          <w:cantSplit/>
          <w:trHeight w:hRule="auto" w:val="0"/>
        </w:trPr>
        <w:tc>
          <w:tcPr>
            <w:tcW w:w="315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single" w:sz="2" w:space="0" w:color="000000"/>
              <w:bottom w:val="nil"/>
              <w:right w:val="nil"/>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2"/>
                <w:u w:val="none"/>
              </w:rPr>
              <w:t>Saldo al</w:t>
            </w:r>
          </w:p>
          <w:p>
            <w:pPr>
              <w:spacing w:after="0" w:line="240" w:lineRule="auto"/>
              <w:jc w:val="center"/>
            </w:pPr>
            <w:r>
              <w:rPr>
                <w:rFonts w:ascii="Calibri" w:eastAsia="Calibri" w:hAnsi="Calibri" w:cs="Calibri"/>
                <w:b/>
                <w:i w:val="0"/>
                <w:color w:val="FFFFFF"/>
                <w:sz w:val="12"/>
                <w:u w:val="none"/>
              </w:rPr>
              <w:t>31-12-2024</w:t>
            </w:r>
          </w:p>
        </w:tc>
        <w:tc>
          <w:tcPr>
            <w:tcW w:w="9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Provenientes</w:t>
            </w:r>
          </w:p>
        </w:tc>
        <w:tc>
          <w:tcPr>
            <w:tcW w:w="9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Utilizados</w:t>
            </w:r>
          </w:p>
        </w:tc>
        <w:tc>
          <w:tcPr>
            <w:tcW w:w="9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Intereses pagados</w:t>
            </w:r>
          </w:p>
        </w:tc>
        <w:tc>
          <w:tcPr>
            <w:tcW w:w="9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Total</w:t>
            </w:r>
          </w:p>
        </w:tc>
        <w:tc>
          <w:tcPr>
            <w:tcW w:w="9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Cambios en valor razonable</w:t>
            </w:r>
          </w:p>
        </w:tc>
        <w:tc>
          <w:tcPr>
            <w:tcW w:w="9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Diferencias de cambio/Unidad de Reajuste</w:t>
            </w:r>
          </w:p>
        </w:tc>
        <w:tc>
          <w:tcPr>
            <w:tcW w:w="9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Costos financieros</w:t>
            </w:r>
          </w:p>
        </w:tc>
        <w:tc>
          <w:tcPr>
            <w:tcW w:w="9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Otros</w:t>
            </w:r>
          </w:p>
        </w:tc>
        <w:tc>
          <w:tcPr>
            <w:tcW w:w="9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Saldo al 31-12-2025</w:t>
            </w:r>
          </w:p>
        </w:tc>
      </w:tr>
      <w:tr>
        <w:tblPrEx>
          <w:tblW w:w="12150" w:type="dxa"/>
          <w:tblInd w:w="1417" w:type="dxa"/>
          <w:tblLayout w:type="fixed"/>
        </w:tblPrEx>
        <w:trPr>
          <w:cantSplit/>
          <w:trHeight w:hRule="auto" w:val="0"/>
        </w:trPr>
        <w:tc>
          <w:tcPr>
            <w:tcW w:w="315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r>
      <w:tr>
        <w:tblPrEx>
          <w:tblW w:w="12150" w:type="dxa"/>
          <w:tblInd w:w="1417" w:type="dxa"/>
          <w:tblLayout w:type="fixed"/>
        </w:tblPrEx>
        <w:trPr>
          <w:cantSplit/>
          <w:trHeight w:hRule="auto" w:val="0"/>
        </w:trPr>
        <w:tc>
          <w:tcPr>
            <w:tcW w:w="3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2"/>
                <w:u w:val="none"/>
              </w:rPr>
              <w:t>Otros pasivos financieros (préstamos bancarios).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516.774.778</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18.556.863</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(27.330.546)</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508.001.095</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(3.834.600)</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27.612.609</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(318.799)</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531.460.305</w:t>
            </w:r>
          </w:p>
        </w:tc>
      </w:tr>
      <w:tr>
        <w:tblPrEx>
          <w:tblW w:w="12150" w:type="dxa"/>
          <w:tblInd w:w="1417" w:type="dxa"/>
          <w:tblLayout w:type="fixed"/>
        </w:tblPrEx>
        <w:trPr>
          <w:cantSplit/>
          <w:trHeight w:hRule="auto" w:val="0"/>
        </w:trPr>
        <w:tc>
          <w:tcPr>
            <w:tcW w:w="3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2"/>
                <w:u w:val="none"/>
              </w:rPr>
              <w:t>Otros pasivos financieros (bonos).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75.433.066</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(2.423.978)</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73.009.088</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2.622.541</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2.625.984</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78.257.613</w:t>
            </w:r>
          </w:p>
        </w:tc>
      </w:tr>
      <w:tr>
        <w:tblPrEx>
          <w:tblW w:w="12150" w:type="dxa"/>
          <w:tblInd w:w="1417" w:type="dxa"/>
          <w:tblLayout w:type="fixed"/>
        </w:tblPrEx>
        <w:trPr>
          <w:cantSplit/>
          <w:trHeight w:hRule="auto" w:val="0"/>
        </w:trPr>
        <w:tc>
          <w:tcPr>
            <w:tcW w:w="3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2"/>
                <w:u w:val="none"/>
              </w:rPr>
              <w:t>Otros pasivos financieros (Instrumentos financieros).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120.500</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(6.075.472)</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(5.954.972)</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1.246.897</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2.169.291</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6.203.667</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58.434</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3.723.317</w:t>
            </w:r>
          </w:p>
        </w:tc>
      </w:tr>
      <w:tr>
        <w:tblPrEx>
          <w:tblW w:w="12150" w:type="dxa"/>
          <w:tblInd w:w="1417" w:type="dxa"/>
          <w:tblLayout w:type="fixed"/>
        </w:tblPrEx>
        <w:trPr>
          <w:cantSplit/>
          <w:trHeight w:hRule="auto" w:val="0"/>
        </w:trPr>
        <w:tc>
          <w:tcPr>
            <w:tcW w:w="3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2"/>
                <w:u w:val="none"/>
              </w:rPr>
              <w:t>Pasivos por arrendamientos.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774.478</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(568.155)</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206.323</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29.838</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86.306</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388.686</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711.153</w:t>
            </w:r>
          </w:p>
        </w:tc>
      </w:tr>
      <w:tr>
        <w:tblPrEx>
          <w:tblW w:w="12150" w:type="dxa"/>
          <w:tblInd w:w="1417" w:type="dxa"/>
          <w:tblLayout w:type="fixed"/>
        </w:tblPrEx>
        <w:trPr>
          <w:cantSplit/>
          <w:trHeight w:hRule="auto" w:val="0"/>
        </w:trPr>
        <w:tc>
          <w:tcPr>
            <w:tcW w:w="3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2"/>
                <w:u w:val="none"/>
              </w:rPr>
              <w:t>Préstamos de empresas relacionadas.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100.267.124</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93.954.000</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(93.954.000)</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(5.316.019)</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94.951.105</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(8.094.000)</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4.756.679</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91.613.784</w:t>
            </w:r>
          </w:p>
        </w:tc>
      </w:tr>
      <w:tr>
        <w:tblPrEx>
          <w:tblW w:w="12150" w:type="dxa"/>
          <w:tblInd w:w="1417" w:type="dxa"/>
          <w:tblLayout w:type="fixed"/>
        </w:tblPrEx>
        <w:trPr>
          <w:cantSplit/>
          <w:trHeight w:hRule="auto" w:val="0"/>
        </w:trPr>
        <w:tc>
          <w:tcPr>
            <w:tcW w:w="3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2"/>
                <w:u w:val="none"/>
              </w:rPr>
              <w:t>Tesorería centralizada.</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27.101.027</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highlight w:val="white"/>
                <w:u w:val="none"/>
              </w:rPr>
              <w:t>5.705.375</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(32.806.402)</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(660.773)</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(660.773)</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660.773</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2150" w:type="dxa"/>
          <w:tblInd w:w="1417" w:type="dxa"/>
          <w:tblLayout w:type="fixed"/>
        </w:tblPrEx>
        <w:trPr>
          <w:cantSplit/>
          <w:trHeight w:hRule="auto" w:val="0"/>
        </w:trPr>
        <w:tc>
          <w:tcPr>
            <w:tcW w:w="3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2"/>
                <w:u w:val="none"/>
              </w:rPr>
              <w:t xml:space="preserve">Total </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720.470.973</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118.216.238</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(127.328.557)</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(41.806.788)</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669.551.866</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1.246.897</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(7.106.930)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41.946.018</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128.321</w:t>
            </w:r>
          </w:p>
        </w:tc>
        <w:tc>
          <w:tcPr>
            <w:tcW w:w="9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705.766.172</w:t>
            </w:r>
          </w:p>
        </w:tc>
      </w:tr>
    </w:tbl>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sectPr>
          <w:headerReference w:type="default" r:id="rId23"/>
          <w:footerReference w:type="default" r:id="rId24"/>
          <w:type w:val="continuous"/>
          <w:pgSz w:w="15840" w:h="12240" w:orient="landscape"/>
          <w:pgMar w:top="1134" w:right="1134" w:bottom="1134" w:left="1134" w:header="0" w:footer="420"/>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left"/>
        <w:outlineLvl w:val="0"/>
        <w:rPr>
          <w:rFonts w:ascii="Cambria" w:eastAsia="Cambria" w:hAnsi="Cambria" w:cs="Cambria"/>
          <w:b/>
          <w:i w:val="0"/>
          <w:color w:val="365F91"/>
          <w:sz w:val="28"/>
          <w:u w:val="none"/>
        </w:rPr>
      </w:pPr>
      <w:bookmarkStart w:id="99" w:name="Section53"/>
      <w:bookmarkEnd w:id="99"/>
      <w:bookmarkStart w:id="100" w:name="3af0e1824e6045a0a283b3a42ade2668"/>
      <w:r>
        <w:rPr>
          <w:rFonts w:ascii="Calibri" w:eastAsia="Calibri" w:hAnsi="Calibri" w:cs="Calibri"/>
          <w:b/>
          <w:i w:val="0"/>
          <w:color w:val="000000"/>
          <w:sz w:val="20"/>
          <w:u w:val="none"/>
        </w:rPr>
        <w:t>7.-</w:t>
      </w:r>
      <w:r>
        <w:rPr>
          <w:rFonts w:ascii="Calibri" w:eastAsia="Calibri" w:hAnsi="Calibri" w:cs="Calibri"/>
          <w:b/>
          <w:i w:val="0"/>
          <w:color w:val="000000"/>
          <w:sz w:val="20"/>
          <w:u w:val="none"/>
        </w:rPr>
        <w:tab/>
      </w:r>
      <w:r>
        <w:rPr>
          <w:rFonts w:ascii="Calibri" w:eastAsia="Calibri" w:hAnsi="Calibri" w:cs="Calibri"/>
          <w:b/>
          <w:i w:val="0"/>
          <w:color w:val="000000"/>
          <w:sz w:val="20"/>
          <w:u w:val="none"/>
        </w:rPr>
        <w:t>ACTIVOS Y PASIVOS FINANCIEROS.</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100"/>
    </w:p>
    <w:p>
      <w:pPr>
        <w:pStyle w:val="Normal-wk"/>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composición del rubro al </w:t>
      </w:r>
      <w:r>
        <w:rPr>
          <w:rFonts w:ascii="Calibri" w:eastAsia="Calibri" w:hAnsi="Calibri" w:cs="Calibri"/>
          <w:b w:val="0"/>
          <w:i w:val="0"/>
          <w:color w:val="000000"/>
          <w:sz w:val="20"/>
          <w:u w:val="none"/>
        </w:rPr>
        <w:t>30 de junio de 2026</w:t>
      </w:r>
      <w:r>
        <w:rPr>
          <w:rFonts w:ascii="Calibri" w:eastAsia="Calibri" w:hAnsi="Calibri" w:cs="Calibri"/>
          <w:b w:val="0"/>
          <w:i w:val="0"/>
          <w:sz w:val="20"/>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 xml:space="preserve"> es la siguiente: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9240"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220"/>
        <w:gridCol w:w="1005"/>
        <w:gridCol w:w="1005"/>
        <w:gridCol w:w="1005"/>
        <w:gridCol w:w="1005"/>
      </w:tblGrid>
      <w:tr>
        <w:tblPrEx>
          <w:tblW w:w="9240" w:type="dxa"/>
          <w:tblInd w:w="709" w:type="dxa"/>
          <w:tblLayout w:type="fixed"/>
        </w:tblPrEx>
        <w:trPr>
          <w:cantSplit/>
          <w:trHeight w:hRule="auto" w:val="0"/>
        </w:trPr>
        <w:tc>
          <w:tcPr>
            <w:tcW w:w="522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Otros activos financieros</w:t>
            </w:r>
          </w:p>
        </w:tc>
        <w:tc>
          <w:tcPr>
            <w:tcW w:w="2010"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201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9240" w:type="dxa"/>
          <w:tblInd w:w="709" w:type="dxa"/>
          <w:tblLayout w:type="fixed"/>
        </w:tblPrEx>
        <w:trPr>
          <w:cantSplit/>
          <w:trHeight w:hRule="auto" w:val="0"/>
        </w:trPr>
        <w:tc>
          <w:tcPr>
            <w:tcW w:w="5220" w:type="dxa"/>
            <w:vMerge/>
            <w:tcBorders>
              <w:top w:val="nil"/>
              <w:left w:val="single" w:sz="2" w:space="0" w:color="000000"/>
              <w:bottom w:val="nil"/>
              <w:right w:val="nil"/>
            </w:tcBorders>
          </w:tcPr>
          <w:p>
            <w:pPr>
              <w:keepNext/>
              <w:pageBreakBefore w:val="0"/>
            </w:pPr>
          </w:p>
        </w:tc>
        <w:tc>
          <w:tcPr>
            <w:tcW w:w="1005"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Corrientes</w:t>
            </w:r>
          </w:p>
        </w:tc>
        <w:tc>
          <w:tcPr>
            <w:tcW w:w="1005" w:type="dxa"/>
            <w:tcBorders>
              <w:top w:val="single" w:sz="4" w:space="0" w:color="FFFFFF"/>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No corrientes</w:t>
            </w:r>
          </w:p>
        </w:tc>
        <w:tc>
          <w:tcPr>
            <w:tcW w:w="1005"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Corrientes</w:t>
            </w:r>
          </w:p>
        </w:tc>
        <w:tc>
          <w:tcPr>
            <w:tcW w:w="100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No corrientes</w:t>
            </w:r>
          </w:p>
        </w:tc>
      </w:tr>
      <w:tr>
        <w:tblPrEx>
          <w:tblW w:w="9240" w:type="dxa"/>
          <w:tblInd w:w="709" w:type="dxa"/>
          <w:tblLayout w:type="fixed"/>
        </w:tblPrEx>
        <w:trPr>
          <w:cantSplit/>
          <w:trHeight w:hRule="auto" w:val="0"/>
        </w:trPr>
        <w:tc>
          <w:tcPr>
            <w:tcW w:w="5220" w:type="dxa"/>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r>
      <w:tr>
        <w:tblPrEx>
          <w:tblW w:w="9240" w:type="dxa"/>
          <w:tblInd w:w="709" w:type="dxa"/>
          <w:tblLayout w:type="fixed"/>
        </w:tblPrEx>
        <w:trPr>
          <w:cantSplit/>
          <w:trHeight w:hRule="auto" w:val="0"/>
        </w:trPr>
        <w:tc>
          <w:tcPr>
            <w:tcW w:w="5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Activos de cobertura.</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18.720</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247.069</w:t>
            </w:r>
          </w:p>
        </w:tc>
      </w:tr>
      <w:tr>
        <w:tblPrEx>
          <w:tblW w:w="9240" w:type="dxa"/>
          <w:tblInd w:w="709" w:type="dxa"/>
          <w:tblLayout w:type="fixed"/>
        </w:tblPrEx>
        <w:trPr>
          <w:cantSplit/>
          <w:trHeight w:hRule="auto" w:val="0"/>
        </w:trPr>
        <w:tc>
          <w:tcPr>
            <w:tcW w:w="5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i w:val="0"/>
                <w:color w:val="FFFFFF"/>
                <w:sz w:val="16"/>
                <w:u w:val="none"/>
              </w:rPr>
              <w:t>Total</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18.720</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247.069</w:t>
            </w:r>
          </w:p>
        </w:tc>
      </w:tr>
    </w:tbl>
    <w:p>
      <w:pPr>
        <w:keepNext w:val="0"/>
        <w:keepLines/>
        <w:pageBreakBefore w:val="0"/>
        <w:widowControl w:val="0"/>
        <w:numPr>
          <w:ilvl w:val="0"/>
          <w:numId w:val="0"/>
        </w:numPr>
        <w:spacing w:before="0" w:after="0" w:line="288" w:lineRule="auto"/>
        <w:ind w:left="0" w:right="0" w:firstLine="72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720"/>
        <w:jc w:val="both"/>
        <w:outlineLvl w:val="9"/>
        <w:rPr>
          <w:rFonts w:ascii="Calibri" w:eastAsia="Calibri" w:hAnsi="Calibri" w:cs="Calibri"/>
          <w:b w:val="0"/>
          <w:i w:val="0"/>
          <w:sz w:val="20"/>
        </w:rPr>
        <w:sectPr>
          <w:headerReference w:type="default" r:id="rId25"/>
          <w:footerReference w:type="default" r:id="rId26"/>
          <w:type w:val="continuous"/>
          <w:pgSz w:w="12240" w:h="15840"/>
          <w:pgMar w:top="1134" w:right="1134" w:bottom="1134" w:left="1134" w:header="0" w:footer="420"/>
          <w:cols w:space="708"/>
        </w:sectPr>
      </w:pPr>
    </w:p>
    <w:p>
      <w:pPr>
        <w:pStyle w:val="Heading2-wk"/>
        <w:keepNext w:val="0"/>
        <w:keepLines/>
        <w:pageBreakBefore w:val="0"/>
        <w:widowControl w:val="0"/>
        <w:numPr>
          <w:ilvl w:val="0"/>
          <w:numId w:val="0"/>
        </w:numPr>
        <w:spacing w:before="0" w:after="0" w:line="288" w:lineRule="auto"/>
        <w:ind w:left="709" w:right="0" w:firstLine="0"/>
        <w:jc w:val="both"/>
        <w:outlineLvl w:val="1"/>
        <w:rPr>
          <w:rFonts w:ascii="Times New Roman" w:eastAsia="Times New Roman" w:hAnsi="Times New Roman" w:cs="Times New Roman"/>
          <w:b/>
          <w:i w:val="0"/>
          <w:color w:val="000000"/>
          <w:sz w:val="24"/>
          <w:u w:val="none"/>
        </w:rPr>
      </w:pPr>
      <w:bookmarkStart w:id="101" w:name="Section54"/>
      <w:bookmarkEnd w:id="101"/>
      <w:bookmarkStart w:id="102" w:name="750c6eedc2444e718f1055cf6ae080fc"/>
      <w:r>
        <w:rPr>
          <w:rFonts w:ascii="Calibri" w:eastAsia="Calibri" w:hAnsi="Calibri" w:cs="Calibri"/>
          <w:b/>
          <w:i w:val="0"/>
          <w:color w:val="000000"/>
          <w:sz w:val="20"/>
          <w:u w:val="none"/>
        </w:rPr>
        <w:t>7.1.-</w:t>
      </w:r>
      <w:r>
        <w:rPr>
          <w:rFonts w:ascii="Calibri" w:eastAsia="Calibri" w:hAnsi="Calibri" w:cs="Calibri"/>
          <w:b/>
          <w:i w:val="0"/>
          <w:color w:val="000000"/>
          <w:sz w:val="20"/>
          <w:u w:val="none"/>
        </w:rPr>
        <w:tab/>
      </w:r>
      <w:r>
        <w:rPr>
          <w:rFonts w:ascii="Calibri" w:eastAsia="Calibri" w:hAnsi="Calibri" w:cs="Calibri"/>
          <w:b/>
          <w:i w:val="0"/>
          <w:color w:val="000000"/>
          <w:sz w:val="20"/>
          <w:u w:val="none"/>
        </w:rPr>
        <w:t xml:space="preserve">Activos y pasivos de cobertura. </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102"/>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CGE Transmisión S.A. y subsidiarias, manteniendo la política de gestión de riesgos, han suscrito contratos de derivados para cubrir las variaciones de la unidad de tipo de cambio. Estos derivados han sido designados como de cobertura y se clasifican bajo los rubros otros activos financieros y otros pasivos financieros.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contratos de derivados son valorizados a su valor razonable y reconocidos sus resultados en cuentas de activos o pasivos según corresponda, y en las cuentas de patrimonio denominada otro resultado integral o en el resultado del período o ejercicio, según el tipo de cobertura.</w:t>
      </w:r>
    </w:p>
    <w:p>
      <w:pPr>
        <w:keepNext w:val="0"/>
        <w:keepLines/>
        <w:pageBreakBefore w:val="0"/>
        <w:widowControl w:val="0"/>
        <w:numPr>
          <w:ilvl w:val="0"/>
          <w:numId w:val="0"/>
        </w:numPr>
        <w:spacing w:before="0" w:after="0" w:line="288" w:lineRule="auto"/>
        <w:ind w:left="1412"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CGE Transmisión S.A. y subsidiarias no han reconocido en resultados ineficiencias de partidas cubiertas en instrumentos derivados.</w:t>
      </w:r>
    </w:p>
    <w:p>
      <w:pPr>
        <w:keepNext w:val="0"/>
        <w:keepLines/>
        <w:pageBreakBefore w:val="0"/>
        <w:widowControl w:val="0"/>
        <w:numPr>
          <w:ilvl w:val="0"/>
          <w:numId w:val="0"/>
        </w:numPr>
        <w:spacing w:before="0" w:after="0" w:line="288" w:lineRule="auto"/>
        <w:ind w:left="1412"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A continuación, se detalla la composición de los activos y pasivos de cobertura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2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365"/>
        <w:gridCol w:w="705"/>
        <w:gridCol w:w="705"/>
        <w:gridCol w:w="1800"/>
        <w:gridCol w:w="765"/>
        <w:gridCol w:w="795"/>
        <w:gridCol w:w="795"/>
        <w:gridCol w:w="795"/>
        <w:gridCol w:w="795"/>
      </w:tblGrid>
      <w:tr>
        <w:tblPrEx>
          <w:tblW w:w="8520" w:type="dxa"/>
          <w:tblInd w:w="1417" w:type="dxa"/>
          <w:tblLayout w:type="fixed"/>
        </w:tblPrEx>
        <w:trPr>
          <w:cantSplit/>
          <w:trHeight w:hRule="auto" w:val="0"/>
        </w:trPr>
        <w:tc>
          <w:tcPr>
            <w:tcW w:w="5340" w:type="dxa"/>
            <w:gridSpan w:val="5"/>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Activos de coberturas corrientes y no corrientes</w:t>
            </w:r>
          </w:p>
        </w:tc>
        <w:tc>
          <w:tcPr>
            <w:tcW w:w="3180" w:type="dxa"/>
            <w:gridSpan w:val="4"/>
            <w:tcBorders>
              <w:top w:val="single" w:sz="2" w:space="0" w:color="000000"/>
              <w:left w:val="nil"/>
              <w:bottom w:val="single" w:sz="4" w:space="0" w:color="FFFFFF"/>
              <w:right w:val="single" w:sz="2" w:space="0" w:color="000000"/>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4"/>
                <w:u w:val="none"/>
              </w:rPr>
              <w:t>Valor justo</w:t>
            </w:r>
          </w:p>
        </w:tc>
      </w:tr>
      <w:tr>
        <w:tblPrEx>
          <w:tblW w:w="8520" w:type="dxa"/>
          <w:tblInd w:w="1417" w:type="dxa"/>
          <w:tblLayout w:type="fixed"/>
        </w:tblPrEx>
        <w:trPr>
          <w:cantSplit/>
          <w:trHeight w:hRule="auto" w:val="0"/>
        </w:trPr>
        <w:tc>
          <w:tcPr>
            <w:tcW w:w="5340" w:type="dxa"/>
            <w:gridSpan w:val="5"/>
            <w:vMerge/>
            <w:tcBorders>
              <w:top w:val="nil"/>
              <w:left w:val="single" w:sz="2" w:space="0" w:color="000000"/>
              <w:bottom w:val="single" w:sz="4" w:space="0" w:color="FFFFFF"/>
              <w:right w:val="single" w:sz="4" w:space="0" w:color="FFFFFF"/>
            </w:tcBorders>
          </w:tcPr>
          <w:p>
            <w:pPr>
              <w:keepNext/>
              <w:pageBreakBefore w:val="0"/>
            </w:pPr>
          </w:p>
        </w:tc>
        <w:tc>
          <w:tcPr>
            <w:tcW w:w="1590" w:type="dxa"/>
            <w:gridSpan w:val="2"/>
            <w:tcBorders>
              <w:top w:val="nil"/>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Corrientes</w:t>
            </w:r>
          </w:p>
        </w:tc>
        <w:tc>
          <w:tcPr>
            <w:tcW w:w="1590" w:type="dxa"/>
            <w:gridSpan w:val="2"/>
            <w:tcBorders>
              <w:top w:val="nil"/>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No corrientes</w:t>
            </w:r>
          </w:p>
        </w:tc>
      </w:tr>
      <w:tr>
        <w:tblPrEx>
          <w:tblW w:w="8520" w:type="dxa"/>
          <w:tblInd w:w="1417" w:type="dxa"/>
          <w:tblLayout w:type="fixed"/>
        </w:tblPrEx>
        <w:trPr>
          <w:cantSplit/>
          <w:trHeight w:hRule="auto" w:val="0"/>
        </w:trPr>
        <w:tc>
          <w:tcPr>
            <w:tcW w:w="1365" w:type="dxa"/>
            <w:vMerge w:val="restart"/>
            <w:tcBorders>
              <w:top w:val="nil"/>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Sociedad</w:t>
            </w:r>
          </w:p>
        </w:tc>
        <w:tc>
          <w:tcPr>
            <w:tcW w:w="705" w:type="dxa"/>
            <w:vMerge w:val="restart"/>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Tipo de contrato</w:t>
            </w:r>
          </w:p>
        </w:tc>
        <w:tc>
          <w:tcPr>
            <w:tcW w:w="705" w:type="dxa"/>
            <w:vMerge w:val="restart"/>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Tipo de cobertura</w:t>
            </w:r>
          </w:p>
        </w:tc>
        <w:tc>
          <w:tcPr>
            <w:tcW w:w="1800" w:type="dxa"/>
            <w:vMerge w:val="restart"/>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Riesgo de cobertura</w:t>
            </w:r>
          </w:p>
        </w:tc>
        <w:tc>
          <w:tcPr>
            <w:tcW w:w="765" w:type="dxa"/>
            <w:vMerge w:val="restart"/>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Partida cubierta</w:t>
            </w:r>
          </w:p>
        </w:tc>
        <w:tc>
          <w:tcPr>
            <w:tcW w:w="795"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4"/>
                <w:u w:val="none"/>
              </w:rPr>
              <w:t>30-06-2026</w:t>
            </w:r>
          </w:p>
        </w:tc>
        <w:tc>
          <w:tcPr>
            <w:tcW w:w="795" w:type="dxa"/>
            <w:tcBorders>
              <w:top w:val="single" w:sz="4" w:space="0" w:color="FFFFFF"/>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4"/>
                <w:u w:val="none"/>
              </w:rPr>
              <w:t>31-12-2025</w:t>
            </w:r>
          </w:p>
        </w:tc>
        <w:tc>
          <w:tcPr>
            <w:tcW w:w="795"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4"/>
                <w:u w:val="none"/>
              </w:rPr>
              <w:t>30-06-2026</w:t>
            </w:r>
          </w:p>
        </w:tc>
        <w:tc>
          <w:tcPr>
            <w:tcW w:w="79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4"/>
                <w:u w:val="none"/>
              </w:rPr>
              <w:t>31-12-2025</w:t>
            </w:r>
          </w:p>
        </w:tc>
      </w:tr>
      <w:tr>
        <w:tblPrEx>
          <w:tblW w:w="8520" w:type="dxa"/>
          <w:tblInd w:w="1417" w:type="dxa"/>
          <w:tblLayout w:type="fixed"/>
        </w:tblPrEx>
        <w:trPr>
          <w:cantSplit/>
          <w:trHeight w:hRule="auto" w:val="0"/>
        </w:trPr>
        <w:tc>
          <w:tcPr>
            <w:tcW w:w="1365" w:type="dxa"/>
            <w:vMerge/>
            <w:tcBorders>
              <w:top w:val="nil"/>
              <w:left w:val="single" w:sz="2" w:space="0" w:color="000000"/>
              <w:bottom w:val="single" w:sz="2" w:space="0" w:color="000000"/>
              <w:right w:val="nil"/>
            </w:tcBorders>
          </w:tcPr>
          <w:p>
            <w:pPr>
              <w:keepNext/>
              <w:pageBreakBefore w:val="0"/>
            </w:pPr>
          </w:p>
        </w:tc>
        <w:tc>
          <w:tcPr>
            <w:tcW w:w="705" w:type="dxa"/>
            <w:vMerge/>
            <w:tcBorders>
              <w:top w:val="nil"/>
              <w:left w:val="single" w:sz="4" w:space="0" w:color="FFFFFF"/>
              <w:bottom w:val="single" w:sz="2" w:space="0" w:color="000000"/>
              <w:right w:val="nil"/>
            </w:tcBorders>
          </w:tcPr>
          <w:p>
            <w:pPr>
              <w:keepNext/>
              <w:pageBreakBefore w:val="0"/>
            </w:pPr>
          </w:p>
        </w:tc>
        <w:tc>
          <w:tcPr>
            <w:tcW w:w="705" w:type="dxa"/>
            <w:vMerge/>
            <w:tcBorders>
              <w:top w:val="nil"/>
              <w:left w:val="single" w:sz="4" w:space="0" w:color="FFFFFF"/>
              <w:bottom w:val="single" w:sz="2" w:space="0" w:color="000000"/>
              <w:right w:val="nil"/>
            </w:tcBorders>
          </w:tcPr>
          <w:p>
            <w:pPr>
              <w:keepNext/>
              <w:pageBreakBefore w:val="0"/>
            </w:pPr>
          </w:p>
        </w:tc>
        <w:tc>
          <w:tcPr>
            <w:tcW w:w="1800" w:type="dxa"/>
            <w:vMerge/>
            <w:tcBorders>
              <w:top w:val="nil"/>
              <w:left w:val="single" w:sz="4" w:space="0" w:color="FFFFFF"/>
              <w:bottom w:val="single" w:sz="2" w:space="0" w:color="000000"/>
              <w:right w:val="nil"/>
            </w:tcBorders>
          </w:tcPr>
          <w:p>
            <w:pPr>
              <w:keepNext/>
              <w:pageBreakBefore w:val="0"/>
            </w:pPr>
          </w:p>
        </w:tc>
        <w:tc>
          <w:tcPr>
            <w:tcW w:w="765" w:type="dxa"/>
            <w:vMerge/>
            <w:tcBorders>
              <w:top w:val="nil"/>
              <w:left w:val="single" w:sz="4" w:space="0" w:color="FFFFFF"/>
              <w:bottom w:val="single" w:sz="2" w:space="0" w:color="000000"/>
              <w:right w:val="nil"/>
            </w:tcBorders>
          </w:tcPr>
          <w:p>
            <w:pPr>
              <w:keepNext/>
              <w:pageBreakBefore w:val="0"/>
            </w:pP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4"/>
                <w:u w:val="none"/>
              </w:rPr>
              <w:t>M$</w:t>
            </w: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4"/>
                <w:u w:val="none"/>
              </w:rPr>
              <w:t>M$</w:t>
            </w: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4"/>
                <w:u w:val="none"/>
              </w:rPr>
              <w:t>M$</w:t>
            </w:r>
          </w:p>
        </w:tc>
        <w:tc>
          <w:tcPr>
            <w:tcW w:w="79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4"/>
                <w:u w:val="none"/>
              </w:rPr>
              <w:t>M$</w:t>
            </w:r>
          </w:p>
        </w:tc>
      </w:tr>
      <w:tr>
        <w:tblPrEx>
          <w:tblW w:w="8520" w:type="dxa"/>
          <w:tblInd w:w="1417" w:type="dxa"/>
          <w:tblLayout w:type="fixed"/>
        </w:tblPrEx>
        <w:trPr>
          <w:cantSplit/>
          <w:trHeight w:hRule="exact" w:val="585"/>
        </w:trPr>
        <w:tc>
          <w:tcPr>
            <w:tcW w:w="13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CGE Transmisión  S.A.</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Cross Currency Swap</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Tipo de cambio</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Exposición de las variaciones de tipo de cambio.</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Pasivos Financieros</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18.720</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247.069</w:t>
            </w:r>
          </w:p>
        </w:tc>
      </w:tr>
      <w:tr>
        <w:tblPrEx>
          <w:tblW w:w="8520" w:type="dxa"/>
          <w:tblInd w:w="1417" w:type="dxa"/>
          <w:tblLayout w:type="fixed"/>
        </w:tblPrEx>
        <w:trPr>
          <w:cantSplit/>
          <w:trHeight w:hRule="auto" w:val="0"/>
        </w:trPr>
        <w:tc>
          <w:tcPr>
            <w:tcW w:w="5340" w:type="dxa"/>
            <w:gridSpan w:val="5"/>
            <w:tcBorders>
              <w:top w:val="nil"/>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i w:val="0"/>
                <w:color w:val="FFFFFF"/>
                <w:sz w:val="14"/>
                <w:u w:val="none"/>
              </w:rPr>
              <w:t>Total</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0</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18.720</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0</w:t>
            </w:r>
          </w:p>
        </w:tc>
        <w:tc>
          <w:tcPr>
            <w:tcW w:w="7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247.069</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tbl>
      <w:tblPr>
        <w:tblW w:w="852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365"/>
        <w:gridCol w:w="705"/>
        <w:gridCol w:w="705"/>
        <w:gridCol w:w="1800"/>
        <w:gridCol w:w="765"/>
        <w:gridCol w:w="795"/>
        <w:gridCol w:w="795"/>
        <w:gridCol w:w="795"/>
        <w:gridCol w:w="795"/>
      </w:tblGrid>
      <w:tr>
        <w:tblPrEx>
          <w:tblW w:w="8520" w:type="dxa"/>
          <w:tblInd w:w="1417" w:type="dxa"/>
          <w:tblLayout w:type="fixed"/>
        </w:tblPrEx>
        <w:trPr>
          <w:cantSplit/>
          <w:trHeight w:hRule="auto" w:val="0"/>
        </w:trPr>
        <w:tc>
          <w:tcPr>
            <w:tcW w:w="5340" w:type="dxa"/>
            <w:gridSpan w:val="5"/>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Pasivos de coberturas corrientes y no corrientes</w:t>
            </w:r>
          </w:p>
        </w:tc>
        <w:tc>
          <w:tcPr>
            <w:tcW w:w="3180" w:type="dxa"/>
            <w:gridSpan w:val="4"/>
            <w:tcBorders>
              <w:top w:val="single" w:sz="2" w:space="0" w:color="000000"/>
              <w:left w:val="nil"/>
              <w:bottom w:val="single" w:sz="4" w:space="0" w:color="FFFFFF"/>
              <w:right w:val="single" w:sz="2" w:space="0" w:color="000000"/>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4"/>
                <w:u w:val="none"/>
              </w:rPr>
              <w:t>Valor justo</w:t>
            </w:r>
          </w:p>
        </w:tc>
      </w:tr>
      <w:tr>
        <w:tblPrEx>
          <w:tblW w:w="8520" w:type="dxa"/>
          <w:tblInd w:w="1417" w:type="dxa"/>
          <w:tblLayout w:type="fixed"/>
        </w:tblPrEx>
        <w:trPr>
          <w:cantSplit/>
          <w:trHeight w:hRule="auto" w:val="0"/>
        </w:trPr>
        <w:tc>
          <w:tcPr>
            <w:tcW w:w="5340" w:type="dxa"/>
            <w:gridSpan w:val="5"/>
            <w:vMerge/>
            <w:tcBorders>
              <w:top w:val="nil"/>
              <w:left w:val="single" w:sz="2" w:space="0" w:color="000000"/>
              <w:bottom w:val="single" w:sz="4" w:space="0" w:color="FFFFFF"/>
              <w:right w:val="single" w:sz="4" w:space="0" w:color="FFFFFF"/>
            </w:tcBorders>
          </w:tcPr>
          <w:p>
            <w:pPr>
              <w:keepNext/>
              <w:pageBreakBefore w:val="0"/>
            </w:pPr>
          </w:p>
        </w:tc>
        <w:tc>
          <w:tcPr>
            <w:tcW w:w="1590" w:type="dxa"/>
            <w:gridSpan w:val="2"/>
            <w:tcBorders>
              <w:top w:val="nil"/>
              <w:left w:val="nil"/>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Corrientes</w:t>
            </w:r>
          </w:p>
        </w:tc>
        <w:tc>
          <w:tcPr>
            <w:tcW w:w="1590" w:type="dxa"/>
            <w:gridSpan w:val="2"/>
            <w:tcBorders>
              <w:top w:val="nil"/>
              <w:left w:val="single" w:sz="4" w:space="0" w:color="FFFFFF"/>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No corrientes</w:t>
            </w:r>
          </w:p>
        </w:tc>
      </w:tr>
      <w:tr>
        <w:tblPrEx>
          <w:tblW w:w="8520" w:type="dxa"/>
          <w:tblInd w:w="1417" w:type="dxa"/>
          <w:tblLayout w:type="fixed"/>
        </w:tblPrEx>
        <w:trPr>
          <w:cantSplit/>
          <w:trHeight w:hRule="auto" w:val="0"/>
        </w:trPr>
        <w:tc>
          <w:tcPr>
            <w:tcW w:w="1365" w:type="dxa"/>
            <w:vMerge w:val="restart"/>
            <w:tcBorders>
              <w:top w:val="nil"/>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Sociedad</w:t>
            </w:r>
          </w:p>
        </w:tc>
        <w:tc>
          <w:tcPr>
            <w:tcW w:w="705" w:type="dxa"/>
            <w:vMerge w:val="restart"/>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Tipo de contrato</w:t>
            </w:r>
          </w:p>
        </w:tc>
        <w:tc>
          <w:tcPr>
            <w:tcW w:w="705" w:type="dxa"/>
            <w:vMerge w:val="restart"/>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Tipo de cobertura</w:t>
            </w:r>
          </w:p>
        </w:tc>
        <w:tc>
          <w:tcPr>
            <w:tcW w:w="1800" w:type="dxa"/>
            <w:vMerge w:val="restart"/>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Riesgo de cobertura</w:t>
            </w:r>
          </w:p>
        </w:tc>
        <w:tc>
          <w:tcPr>
            <w:tcW w:w="765" w:type="dxa"/>
            <w:vMerge w:val="restart"/>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Partida cubierta</w:t>
            </w:r>
          </w:p>
        </w:tc>
        <w:tc>
          <w:tcPr>
            <w:tcW w:w="795"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4"/>
                <w:u w:val="none"/>
              </w:rPr>
              <w:t>30-06-2026</w:t>
            </w:r>
          </w:p>
        </w:tc>
        <w:tc>
          <w:tcPr>
            <w:tcW w:w="795" w:type="dxa"/>
            <w:tcBorders>
              <w:top w:val="single" w:sz="4" w:space="0" w:color="FFFFFF"/>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4"/>
                <w:u w:val="none"/>
              </w:rPr>
              <w:t>31-12-2025</w:t>
            </w:r>
          </w:p>
        </w:tc>
        <w:tc>
          <w:tcPr>
            <w:tcW w:w="795"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4"/>
                <w:u w:val="none"/>
              </w:rPr>
              <w:t>30-06-2026</w:t>
            </w:r>
          </w:p>
        </w:tc>
        <w:tc>
          <w:tcPr>
            <w:tcW w:w="79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4"/>
                <w:u w:val="none"/>
              </w:rPr>
              <w:t>31-12-2025</w:t>
            </w:r>
          </w:p>
        </w:tc>
      </w:tr>
      <w:tr>
        <w:tblPrEx>
          <w:tblW w:w="8520" w:type="dxa"/>
          <w:tblInd w:w="1417" w:type="dxa"/>
          <w:tblLayout w:type="fixed"/>
        </w:tblPrEx>
        <w:trPr>
          <w:cantSplit/>
          <w:trHeight w:hRule="auto" w:val="0"/>
        </w:trPr>
        <w:tc>
          <w:tcPr>
            <w:tcW w:w="1365" w:type="dxa"/>
            <w:vMerge/>
            <w:tcBorders>
              <w:top w:val="nil"/>
              <w:left w:val="single" w:sz="2" w:space="0" w:color="000000"/>
              <w:bottom w:val="single" w:sz="2" w:space="0" w:color="000000"/>
              <w:right w:val="nil"/>
            </w:tcBorders>
          </w:tcPr>
          <w:p>
            <w:pPr>
              <w:keepNext/>
              <w:pageBreakBefore w:val="0"/>
            </w:pPr>
          </w:p>
        </w:tc>
        <w:tc>
          <w:tcPr>
            <w:tcW w:w="705" w:type="dxa"/>
            <w:vMerge/>
            <w:tcBorders>
              <w:top w:val="nil"/>
              <w:left w:val="single" w:sz="4" w:space="0" w:color="FFFFFF"/>
              <w:bottom w:val="single" w:sz="2" w:space="0" w:color="000000"/>
              <w:right w:val="nil"/>
            </w:tcBorders>
          </w:tcPr>
          <w:p>
            <w:pPr>
              <w:keepNext/>
              <w:pageBreakBefore w:val="0"/>
            </w:pPr>
          </w:p>
        </w:tc>
        <w:tc>
          <w:tcPr>
            <w:tcW w:w="705" w:type="dxa"/>
            <w:vMerge/>
            <w:tcBorders>
              <w:top w:val="nil"/>
              <w:left w:val="single" w:sz="4" w:space="0" w:color="FFFFFF"/>
              <w:bottom w:val="single" w:sz="2" w:space="0" w:color="000000"/>
              <w:right w:val="nil"/>
            </w:tcBorders>
          </w:tcPr>
          <w:p>
            <w:pPr>
              <w:keepNext/>
              <w:pageBreakBefore w:val="0"/>
            </w:pPr>
          </w:p>
        </w:tc>
        <w:tc>
          <w:tcPr>
            <w:tcW w:w="1800" w:type="dxa"/>
            <w:vMerge/>
            <w:tcBorders>
              <w:top w:val="nil"/>
              <w:left w:val="single" w:sz="4" w:space="0" w:color="FFFFFF"/>
              <w:bottom w:val="single" w:sz="2" w:space="0" w:color="000000"/>
              <w:right w:val="nil"/>
            </w:tcBorders>
          </w:tcPr>
          <w:p>
            <w:pPr>
              <w:keepNext/>
              <w:pageBreakBefore w:val="0"/>
            </w:pPr>
          </w:p>
        </w:tc>
        <w:tc>
          <w:tcPr>
            <w:tcW w:w="765" w:type="dxa"/>
            <w:vMerge/>
            <w:tcBorders>
              <w:top w:val="nil"/>
              <w:left w:val="single" w:sz="4" w:space="0" w:color="FFFFFF"/>
              <w:bottom w:val="single" w:sz="2" w:space="0" w:color="000000"/>
              <w:right w:val="nil"/>
            </w:tcBorders>
          </w:tcPr>
          <w:p>
            <w:pPr>
              <w:keepNext/>
              <w:pageBreakBefore w:val="0"/>
            </w:pP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4"/>
                <w:u w:val="none"/>
              </w:rPr>
              <w:t>M$</w:t>
            </w: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4"/>
                <w:u w:val="none"/>
              </w:rPr>
              <w:t>M$</w:t>
            </w: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4"/>
                <w:u w:val="none"/>
              </w:rPr>
              <w:t>M$</w:t>
            </w:r>
          </w:p>
        </w:tc>
        <w:tc>
          <w:tcPr>
            <w:tcW w:w="79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4"/>
                <w:u w:val="none"/>
              </w:rPr>
              <w:t>M$</w:t>
            </w:r>
          </w:p>
        </w:tc>
      </w:tr>
      <w:tr>
        <w:tblPrEx>
          <w:tblW w:w="8520" w:type="dxa"/>
          <w:tblInd w:w="1417" w:type="dxa"/>
          <w:tblLayout w:type="fixed"/>
        </w:tblPrEx>
        <w:trPr>
          <w:cantSplit/>
          <w:trHeight w:hRule="auto" w:val="0"/>
        </w:trPr>
        <w:tc>
          <w:tcPr>
            <w:tcW w:w="13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CGE Transmisión  S.A.</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Cross Currency Swap</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Tipo de cambio</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Exposición de las variaciones de tipo de cambio.</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Pasivos Financieros</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1.264.700</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3.526.209</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90.243</w:t>
            </w: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197.108</w:t>
            </w:r>
          </w:p>
        </w:tc>
      </w:tr>
      <w:tr>
        <w:tblPrEx>
          <w:tblW w:w="8520" w:type="dxa"/>
          <w:tblInd w:w="1417" w:type="dxa"/>
          <w:tblLayout w:type="fixed"/>
        </w:tblPrEx>
        <w:trPr>
          <w:cantSplit/>
          <w:trHeight w:hRule="auto" w:val="0"/>
        </w:trPr>
        <w:tc>
          <w:tcPr>
            <w:tcW w:w="5340" w:type="dxa"/>
            <w:gridSpan w:val="5"/>
            <w:tcBorders>
              <w:top w:val="nil"/>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i w:val="0"/>
                <w:color w:val="FFFFFF"/>
                <w:sz w:val="14"/>
                <w:u w:val="none"/>
              </w:rPr>
              <w:t>Total</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1.264.700</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3.526.209</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90.243</w:t>
            </w:r>
          </w:p>
        </w:tc>
        <w:tc>
          <w:tcPr>
            <w:tcW w:w="7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197.108</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Con fecha 29 de agosto de 2024 se contrató un derivado con Banco Santander para cubrir las variaciones de tipo de cambio del Yuan chino (CNH $) que se deriven de un préstamo bancario por </w:t>
      </w:r>
      <w:r>
        <w:rPr>
          <w:rFonts w:ascii="Calibri" w:eastAsia="Calibri" w:hAnsi="Calibri" w:cs="Calibri"/>
          <w:b w:val="0"/>
          <w:i w:val="0"/>
          <w:color w:val="000000"/>
          <w:sz w:val="20"/>
          <w:highlight w:val="white"/>
          <w:u w:val="none"/>
        </w:rPr>
        <w:t xml:space="preserve">MCNH $ 90.000 </w:t>
      </w:r>
      <w:r>
        <w:rPr>
          <w:rFonts w:ascii="Calibri" w:eastAsia="Calibri" w:hAnsi="Calibri" w:cs="Calibri"/>
          <w:b w:val="0"/>
          <w:i w:val="0"/>
          <w:color w:val="000000"/>
          <w:sz w:val="20"/>
          <w:u w:val="none"/>
        </w:rPr>
        <w:t>que se mantiene con China Development Bank, el vencimiento de este instrumento es el 29 de agosto de 2027.</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Con fecha 10 de octubre de 2024 se contrató un derivado con Banco Scotiabank para cubrir las variaciones de tipo de cambio de dólares estadounidenses que se deriven de un préstamo bancario por MUS $ 75.000 que se mantiene con China Construction Bank, el vencimiento de este instrumento es el 10 de octubre de 2026</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Con fecha 20 de noviembre de 2024 se contrató un derivado con Banco Itaú para cubrir las variaciones de tipo de cambio del Yuan chino (CNH $) que se deriven de un préstamo bancario por MCNH $ 80.000 que se mantiene con China Construction Bank, el vencimiento de este instrumento es el 9 de octubre de 2026.</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Con fecha 18 de marzo de 2025 se contrató un derivado con Banco Scotiabank para cubrir las variaciones de tipo de cambio de dólares estadounidenses que se deriven de un préstamo bancario por                 MUS $ 12.848 que se mantiene con China Construction Bank, el vencimiento de este instrumento es el 9 de octubre de 2026</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Con fecha 20 de mayo de 2025 se contrató un derivado con Banco Itaú para cubrir las variaciones de tipo de cambio del Yuan chino (CNH $) que se deriven de un préstamo bancario por MCNH $ 144.000 que se mantiene con Bank of China Panamá, el vencimiento de este instrumento es el 20 de mayo de 2026</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pasivos de coberturas se encuentran expuestos para los efectos de presentación en el estado de situación en la Nota 20.1.</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sectPr>
          <w:type w:val="continuous"/>
          <w:pgSz w:w="12240" w:h="15840"/>
          <w:pgMar w:top="1134" w:right="1134" w:bottom="1134" w:left="1134" w:header="0" w:footer="420"/>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9"/>
        <w:jc w:val="both"/>
        <w:outlineLvl w:val="1"/>
        <w:rPr>
          <w:rFonts w:ascii="Calibri" w:eastAsia="Calibri" w:hAnsi="Calibri" w:cs="Calibri"/>
          <w:b/>
          <w:i w:val="0"/>
          <w:color w:val="000000"/>
          <w:sz w:val="20"/>
          <w:u w:val="none"/>
        </w:rPr>
      </w:pPr>
      <w:bookmarkStart w:id="103" w:name="Section55"/>
      <w:bookmarkEnd w:id="103"/>
      <w:bookmarkStart w:id="104" w:name="62af21fbe6e24cfe94dcd0b1e4fdfc47"/>
      <w:r>
        <w:rPr>
          <w:rFonts w:ascii="Calibri" w:eastAsia="Calibri" w:hAnsi="Calibri" w:cs="Calibri"/>
          <w:b/>
          <w:i w:val="0"/>
          <w:color w:val="000000"/>
          <w:sz w:val="20"/>
          <w:u w:val="none"/>
        </w:rPr>
        <w:t>7.2.-</w:t>
      </w:r>
      <w:r>
        <w:rPr>
          <w:rFonts w:ascii="Calibri" w:eastAsia="Calibri" w:hAnsi="Calibri" w:cs="Calibri"/>
          <w:b/>
          <w:i w:val="0"/>
          <w:color w:val="000000"/>
          <w:sz w:val="20"/>
          <w:u w:val="none"/>
        </w:rPr>
        <w:tab/>
      </w:r>
      <w:r>
        <w:rPr>
          <w:rFonts w:ascii="Calibri" w:eastAsia="Calibri" w:hAnsi="Calibri" w:cs="Calibri"/>
          <w:b/>
          <w:i w:val="0"/>
          <w:color w:val="000000"/>
          <w:sz w:val="20"/>
          <w:u w:val="none"/>
        </w:rPr>
        <w:t>Jerarquías del valor razonable.</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104"/>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Los instrumentos financieros que han sido contabilizados a valor razonable en el estado de situación financiera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 xml:space="preserve"> han sido medidos en base a las metodologías previstas en la NIIF 9. Dichas metodologías aplicadas para cada clase de instrumentos financieros se clasifican según su jerarquía de la siguiente manera:</w:t>
      </w:r>
    </w:p>
    <w:p>
      <w:pPr>
        <w:keepNext w:val="0"/>
        <w:keepLines/>
        <w:pageBreakBefore w:val="0"/>
        <w:widowControl w:val="0"/>
        <w:numPr>
          <w:ilvl w:val="0"/>
          <w:numId w:val="0"/>
        </w:numPr>
        <w:spacing w:before="0" w:after="0" w:line="288" w:lineRule="auto"/>
        <w:ind w:left="1412"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19"/>
        </w:numPr>
        <w:spacing w:before="0" w:after="0" w:line="240" w:lineRule="exact"/>
        <w:ind w:left="2126"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Nivel I: Valores o precios de cotización en mercados activos para activos y pasivos idénticos.</w:t>
      </w:r>
    </w:p>
    <w:p>
      <w:pPr>
        <w:pStyle w:val="Normal-wk"/>
        <w:keepNext w:val="0"/>
        <w:keepLines/>
        <w:pageBreakBefore w:val="0"/>
        <w:widowControl w:val="0"/>
        <w:numPr>
          <w:ilvl w:val="0"/>
          <w:numId w:val="20"/>
        </w:numPr>
        <w:spacing w:before="0" w:after="0" w:line="240" w:lineRule="exact"/>
        <w:ind w:left="2126"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Nivel II: Información (“inputs”) provenientes de fuentes distintas a los valores de cotización del Nivel I, pero observables en mercados para los activos y pasivos ya sea de manera directa (precios) o indirecta (obtenidos a partir de precios).</w:t>
      </w:r>
    </w:p>
    <w:p>
      <w:pPr>
        <w:pStyle w:val="Normal-wk"/>
        <w:keepNext w:val="0"/>
        <w:keepLines/>
        <w:pageBreakBefore w:val="0"/>
        <w:widowControl w:val="0"/>
        <w:numPr>
          <w:ilvl w:val="0"/>
          <w:numId w:val="21"/>
        </w:numPr>
        <w:spacing w:before="0" w:after="0" w:line="288" w:lineRule="auto"/>
        <w:ind w:left="2126"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Nivel III: Inputs para activos o pasivos que no se basen en datos de mercados observables.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siguiente tabla presenta los activos y pasivos financieros que son medidos a valor razonable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 en la medida que existan saldos vigentes a la fecha de cierre de los estados financieros consolidados.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7.2.1.-</w:t>
      </w:r>
      <w:r>
        <w:rPr>
          <w:rFonts w:ascii="Calibri" w:eastAsia="Calibri" w:hAnsi="Calibri" w:cs="Calibri"/>
          <w:b w:val="0"/>
          <w:i w:val="0"/>
          <w:sz w:val="20"/>
        </w:rPr>
        <w:tab/>
      </w:r>
      <w:r>
        <w:rPr>
          <w:rFonts w:ascii="Calibri" w:eastAsia="Calibri" w:hAnsi="Calibri" w:cs="Calibri"/>
          <w:b w:val="0"/>
          <w:i w:val="0"/>
          <w:sz w:val="20"/>
        </w:rPr>
        <w:t>Activos por instrumentos financieros medidos a valor razonable.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tbl>
      <w:tblPr>
        <w:tblW w:w="7800" w:type="dxa"/>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300"/>
        <w:gridCol w:w="900"/>
        <w:gridCol w:w="900"/>
        <w:gridCol w:w="900"/>
        <w:gridCol w:w="900"/>
        <w:gridCol w:w="900"/>
      </w:tblGrid>
      <w:tr>
        <w:tblPrEx>
          <w:tblW w:w="7800" w:type="dxa"/>
          <w:tblInd w:w="2126" w:type="dxa"/>
          <w:tblLayout w:type="fixed"/>
        </w:tblPrEx>
        <w:trPr>
          <w:cantSplit/>
          <w:trHeight w:hRule="auto" w:val="0"/>
        </w:trPr>
        <w:tc>
          <w:tcPr>
            <w:tcW w:w="5100" w:type="dxa"/>
            <w:gridSpan w:val="3"/>
            <w:tcBorders>
              <w:top w:val="single" w:sz="2" w:space="0" w:color="000000"/>
              <w:left w:val="single" w:sz="2" w:space="0" w:color="000000"/>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Instrumentos financieros medidos a valor razonable</w:t>
            </w:r>
          </w:p>
        </w:tc>
        <w:tc>
          <w:tcPr>
            <w:tcW w:w="2700" w:type="dxa"/>
            <w:gridSpan w:val="3"/>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Valor razonable medido al final del</w:t>
            </w:r>
            <w:r>
              <w:br/>
            </w:r>
            <w:r>
              <w:rPr>
                <w:rFonts w:ascii="Calibri" w:eastAsia="Calibri" w:hAnsi="Calibri" w:cs="Calibri"/>
                <w:b/>
                <w:i w:val="0"/>
                <w:color w:val="FFFFFF"/>
                <w:sz w:val="14"/>
                <w:u w:val="none"/>
              </w:rPr>
              <w:t>periodo de reporte utilizando:</w:t>
            </w:r>
          </w:p>
        </w:tc>
      </w:tr>
      <w:tr>
        <w:tblPrEx>
          <w:tblW w:w="7800" w:type="dxa"/>
          <w:tblInd w:w="2126" w:type="dxa"/>
          <w:tblLayout w:type="fixed"/>
        </w:tblPrEx>
        <w:trPr>
          <w:cantSplit/>
          <w:trHeight w:hRule="auto" w:val="0"/>
        </w:trPr>
        <w:tc>
          <w:tcPr>
            <w:tcW w:w="3300" w:type="dxa"/>
            <w:vMerge w:val="restart"/>
            <w:tcBorders>
              <w:top w:val="nil"/>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Activos financieros</w:t>
            </w:r>
          </w:p>
        </w:tc>
        <w:tc>
          <w:tcPr>
            <w:tcW w:w="1800" w:type="dxa"/>
            <w:gridSpan w:val="2"/>
            <w:tcBorders>
              <w:top w:val="nil"/>
              <w:left w:val="nil"/>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9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Nivel I</w:t>
            </w:r>
          </w:p>
        </w:tc>
        <w:tc>
          <w:tcPr>
            <w:tcW w:w="9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Nivel II</w:t>
            </w:r>
          </w:p>
        </w:tc>
        <w:tc>
          <w:tcPr>
            <w:tcW w:w="9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Nivel III</w:t>
            </w:r>
          </w:p>
        </w:tc>
      </w:tr>
      <w:tr>
        <w:tblPrEx>
          <w:tblW w:w="7800" w:type="dxa"/>
          <w:tblInd w:w="2126" w:type="dxa"/>
          <w:tblLayout w:type="fixed"/>
        </w:tblPrEx>
        <w:trPr>
          <w:cantSplit/>
          <w:trHeight w:hRule="auto" w:val="0"/>
        </w:trPr>
        <w:tc>
          <w:tcPr>
            <w:tcW w:w="3300" w:type="dxa"/>
            <w:vMerge/>
            <w:tcBorders>
              <w:top w:val="nil"/>
              <w:left w:val="single" w:sz="2" w:space="0" w:color="000000"/>
              <w:bottom w:val="single" w:sz="2" w:space="0" w:color="000000"/>
              <w:right w:val="nil"/>
            </w:tcBorders>
          </w:tcPr>
          <w:p>
            <w:pPr>
              <w:keepNext/>
              <w:pageBreakBefore w:val="0"/>
            </w:pP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Corrientes</w:t>
            </w:r>
          </w:p>
        </w:tc>
        <w:tc>
          <w:tcPr>
            <w:tcW w:w="900" w:type="dxa"/>
            <w:tcBorders>
              <w:top w:val="single" w:sz="4" w:space="0" w:color="FFFFFF"/>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No corrientes</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7800" w:type="dxa"/>
          <w:tblInd w:w="2126" w:type="dxa"/>
          <w:tblLayout w:type="fixed"/>
        </w:tblPrEx>
        <w:trPr>
          <w:cantSplit/>
          <w:trHeight w:hRule="auto" w:val="0"/>
        </w:trPr>
        <w:tc>
          <w:tcPr>
            <w:tcW w:w="33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Derivados de cobertura de flujo de efectivo.</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7800" w:type="dxa"/>
          <w:tblInd w:w="2126" w:type="dxa"/>
          <w:tblLayout w:type="fixed"/>
        </w:tblPrEx>
        <w:trPr>
          <w:cantSplit/>
          <w:trHeight w:hRule="auto" w:val="0"/>
        </w:trPr>
        <w:tc>
          <w:tcPr>
            <w:tcW w:w="33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 xml:space="preserve">Total </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9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r>
    </w:tbl>
    <w:p>
      <w:pPr>
        <w:keepNext w:val="0"/>
        <w:keepLines/>
        <w:pageBreakBefore w:val="0"/>
        <w:widowControl w:val="0"/>
        <w:numPr>
          <w:ilvl w:val="0"/>
          <w:numId w:val="0"/>
        </w:numPr>
        <w:spacing w:before="0" w:after="0" w:line="288" w:lineRule="auto"/>
        <w:ind w:left="1412" w:right="0" w:firstLine="0"/>
        <w:jc w:val="both"/>
        <w:outlineLvl w:val="9"/>
        <w:rPr>
          <w:rFonts w:ascii="Calibri" w:eastAsia="Calibri" w:hAnsi="Calibri" w:cs="Calibri"/>
          <w:b w:val="0"/>
          <w:i w:val="0"/>
          <w:sz w:val="20"/>
        </w:rPr>
      </w:pPr>
    </w:p>
    <w:tbl>
      <w:tblPr>
        <w:tblW w:w="7800" w:type="dxa"/>
        <w:tblInd w:w="21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300"/>
        <w:gridCol w:w="900"/>
        <w:gridCol w:w="900"/>
        <w:gridCol w:w="900"/>
        <w:gridCol w:w="900"/>
        <w:gridCol w:w="900"/>
      </w:tblGrid>
      <w:tr>
        <w:tblPrEx>
          <w:tblW w:w="7800" w:type="dxa"/>
          <w:tblInd w:w="2132" w:type="dxa"/>
          <w:tblLayout w:type="fixed"/>
        </w:tblPrEx>
        <w:trPr>
          <w:cantSplit/>
          <w:trHeight w:hRule="auto" w:val="0"/>
        </w:trPr>
        <w:tc>
          <w:tcPr>
            <w:tcW w:w="5100" w:type="dxa"/>
            <w:gridSpan w:val="3"/>
            <w:tcBorders>
              <w:top w:val="single" w:sz="2" w:space="0" w:color="000000"/>
              <w:left w:val="single" w:sz="2" w:space="0" w:color="000000"/>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Instrumentos financieros medidos a valor razonable</w:t>
            </w:r>
          </w:p>
        </w:tc>
        <w:tc>
          <w:tcPr>
            <w:tcW w:w="2700" w:type="dxa"/>
            <w:gridSpan w:val="3"/>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Valor razonable medido al final del</w:t>
            </w:r>
            <w:r>
              <w:br/>
            </w:r>
            <w:r>
              <w:rPr>
                <w:rFonts w:ascii="Calibri" w:eastAsia="Calibri" w:hAnsi="Calibri" w:cs="Calibri"/>
                <w:b/>
                <w:i w:val="0"/>
                <w:color w:val="FFFFFF"/>
                <w:sz w:val="14"/>
                <w:u w:val="none"/>
              </w:rPr>
              <w:t>periodo de reporte utilizando:</w:t>
            </w:r>
          </w:p>
        </w:tc>
      </w:tr>
      <w:tr>
        <w:tblPrEx>
          <w:tblW w:w="7800" w:type="dxa"/>
          <w:tblInd w:w="2132" w:type="dxa"/>
          <w:tblLayout w:type="fixed"/>
        </w:tblPrEx>
        <w:trPr>
          <w:cantSplit/>
          <w:trHeight w:hRule="auto" w:val="0"/>
        </w:trPr>
        <w:tc>
          <w:tcPr>
            <w:tcW w:w="3300" w:type="dxa"/>
            <w:vMerge w:val="restart"/>
            <w:tcBorders>
              <w:top w:val="nil"/>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Activos financieros</w:t>
            </w:r>
          </w:p>
        </w:tc>
        <w:tc>
          <w:tcPr>
            <w:tcW w:w="1800" w:type="dxa"/>
            <w:gridSpan w:val="2"/>
            <w:tcBorders>
              <w:top w:val="nil"/>
              <w:left w:val="single" w:sz="4" w:space="0" w:color="FFFFFF"/>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31-12-2025</w:t>
            </w:r>
          </w:p>
        </w:tc>
        <w:tc>
          <w:tcPr>
            <w:tcW w:w="9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Nivel I</w:t>
            </w:r>
          </w:p>
        </w:tc>
        <w:tc>
          <w:tcPr>
            <w:tcW w:w="9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Nivel II</w:t>
            </w:r>
          </w:p>
        </w:tc>
        <w:tc>
          <w:tcPr>
            <w:tcW w:w="9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Nivel III</w:t>
            </w:r>
          </w:p>
        </w:tc>
      </w:tr>
      <w:tr>
        <w:tblPrEx>
          <w:tblW w:w="7800" w:type="dxa"/>
          <w:tblInd w:w="2132" w:type="dxa"/>
          <w:tblLayout w:type="fixed"/>
        </w:tblPrEx>
        <w:trPr>
          <w:cantSplit/>
          <w:trHeight w:hRule="auto" w:val="0"/>
        </w:trPr>
        <w:tc>
          <w:tcPr>
            <w:tcW w:w="3300" w:type="dxa"/>
            <w:vMerge/>
            <w:tcBorders>
              <w:top w:val="nil"/>
              <w:left w:val="single" w:sz="2" w:space="0" w:color="000000"/>
              <w:bottom w:val="single" w:sz="2" w:space="0" w:color="000000"/>
              <w:right w:val="nil"/>
            </w:tcBorders>
          </w:tcPr>
          <w:p>
            <w:pPr>
              <w:keepNext/>
              <w:pageBreakBefore w:val="0"/>
            </w:pP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Corrientes</w:t>
            </w:r>
          </w:p>
        </w:tc>
        <w:tc>
          <w:tcPr>
            <w:tcW w:w="900" w:type="dxa"/>
            <w:tcBorders>
              <w:top w:val="single" w:sz="4" w:space="0" w:color="FFFFFF"/>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No corrientes</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7800" w:type="dxa"/>
          <w:tblInd w:w="2132" w:type="dxa"/>
          <w:tblLayout w:type="fixed"/>
        </w:tblPrEx>
        <w:trPr>
          <w:cantSplit/>
          <w:trHeight w:hRule="auto" w:val="0"/>
        </w:trPr>
        <w:tc>
          <w:tcPr>
            <w:tcW w:w="33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Derivados de cobertura de flujo de efectivo.</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18.720</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247.069</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265.789</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7800" w:type="dxa"/>
          <w:tblInd w:w="2132" w:type="dxa"/>
          <w:tblLayout w:type="fixed"/>
        </w:tblPrEx>
        <w:trPr>
          <w:cantSplit/>
          <w:trHeight w:hRule="auto" w:val="0"/>
        </w:trPr>
        <w:tc>
          <w:tcPr>
            <w:tcW w:w="33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 xml:space="preserve">Total </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18.720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247.069</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265.789</w:t>
            </w:r>
          </w:p>
        </w:tc>
        <w:tc>
          <w:tcPr>
            <w:tcW w:w="9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r>
    </w:tbl>
    <w:p>
      <w:pPr>
        <w:keepNext w:val="0"/>
        <w:keepLines/>
        <w:pageBreakBefore w:val="0"/>
        <w:widowControl w:val="0"/>
        <w:numPr>
          <w:ilvl w:val="0"/>
          <w:numId w:val="0"/>
        </w:numPr>
        <w:spacing w:before="0" w:after="0" w:line="288" w:lineRule="auto"/>
        <w:ind w:left="1412" w:right="0" w:firstLine="720"/>
        <w:jc w:val="both"/>
        <w:outlineLvl w:val="9"/>
        <w:rPr>
          <w:rFonts w:ascii="Calibri" w:eastAsia="Calibri" w:hAnsi="Calibri" w:cs="Calibri"/>
          <w:b w:val="0"/>
          <w:i w:val="0"/>
          <w:sz w:val="20"/>
        </w:rPr>
      </w:pPr>
    </w:p>
    <w:p>
      <w:pPr>
        <w:keepNext/>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7.2.2.-</w:t>
      </w:r>
      <w:r>
        <w:rPr>
          <w:rFonts w:ascii="Calibri" w:eastAsia="Calibri" w:hAnsi="Calibri" w:cs="Calibri"/>
          <w:b w:val="0"/>
          <w:i w:val="0"/>
          <w:sz w:val="20"/>
        </w:rPr>
        <w:tab/>
      </w:r>
      <w:r>
        <w:rPr>
          <w:rFonts w:ascii="Calibri" w:eastAsia="Calibri" w:hAnsi="Calibri" w:cs="Calibri"/>
          <w:b w:val="0"/>
          <w:i w:val="0"/>
          <w:sz w:val="20"/>
        </w:rPr>
        <w:t>Pasivos por instrumentos financieros medidos a valor razonable.</w:t>
      </w:r>
    </w:p>
    <w:p>
      <w:pPr>
        <w:keepNext/>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tbl>
      <w:tblPr>
        <w:tblW w:w="7800" w:type="dxa"/>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300"/>
        <w:gridCol w:w="900"/>
        <w:gridCol w:w="900"/>
        <w:gridCol w:w="900"/>
        <w:gridCol w:w="900"/>
        <w:gridCol w:w="900"/>
      </w:tblGrid>
      <w:tr>
        <w:tblPrEx>
          <w:tblW w:w="7800" w:type="dxa"/>
          <w:tblInd w:w="2126" w:type="dxa"/>
          <w:tblLayout w:type="fixed"/>
        </w:tblPrEx>
        <w:trPr>
          <w:cantSplit/>
          <w:trHeight w:hRule="auto" w:val="0"/>
        </w:trPr>
        <w:tc>
          <w:tcPr>
            <w:tcW w:w="5100" w:type="dxa"/>
            <w:gridSpan w:val="3"/>
            <w:tcBorders>
              <w:top w:val="single" w:sz="2" w:space="0" w:color="000000"/>
              <w:left w:val="single" w:sz="2" w:space="0" w:color="000000"/>
              <w:bottom w:val="single" w:sz="4" w:space="0" w:color="FFFFFF"/>
              <w:right w:val="single" w:sz="4" w:space="0" w:color="FFFFFF"/>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i w:val="0"/>
                <w:color w:val="FFFFFF"/>
                <w:sz w:val="14"/>
                <w:u w:val="none"/>
              </w:rPr>
              <w:t>Instrumentos financieros medidos a valor razonable</w:t>
            </w:r>
          </w:p>
        </w:tc>
        <w:tc>
          <w:tcPr>
            <w:tcW w:w="2700" w:type="dxa"/>
            <w:gridSpan w:val="3"/>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i w:val="0"/>
                <w:color w:val="FFFFFF"/>
                <w:sz w:val="14"/>
                <w:u w:val="none"/>
              </w:rPr>
              <w:t>Valor razonable medido al final del</w:t>
            </w:r>
            <w:r>
              <w:br/>
            </w:r>
            <w:r>
              <w:rPr>
                <w:rFonts w:ascii="Calibri" w:eastAsia="Calibri" w:hAnsi="Calibri" w:cs="Calibri"/>
                <w:b/>
                <w:i w:val="0"/>
                <w:color w:val="FFFFFF"/>
                <w:sz w:val="14"/>
                <w:u w:val="none"/>
              </w:rPr>
              <w:t>periodo de reporte utilizando:</w:t>
            </w:r>
          </w:p>
        </w:tc>
      </w:tr>
      <w:tr>
        <w:tblPrEx>
          <w:tblW w:w="7800" w:type="dxa"/>
          <w:tblInd w:w="2126" w:type="dxa"/>
          <w:tblLayout w:type="fixed"/>
        </w:tblPrEx>
        <w:trPr>
          <w:cantSplit/>
          <w:trHeight w:hRule="auto" w:val="0"/>
        </w:trPr>
        <w:tc>
          <w:tcPr>
            <w:tcW w:w="3300" w:type="dxa"/>
            <w:vMerge w:val="restart"/>
            <w:tcBorders>
              <w:top w:val="nil"/>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Pasivos financieros</w:t>
            </w:r>
          </w:p>
        </w:tc>
        <w:tc>
          <w:tcPr>
            <w:tcW w:w="1800" w:type="dxa"/>
            <w:gridSpan w:val="2"/>
            <w:tcBorders>
              <w:top w:val="nil"/>
              <w:left w:val="nil"/>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9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Nivel I</w:t>
            </w:r>
          </w:p>
        </w:tc>
        <w:tc>
          <w:tcPr>
            <w:tcW w:w="9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Nivel II</w:t>
            </w:r>
          </w:p>
        </w:tc>
        <w:tc>
          <w:tcPr>
            <w:tcW w:w="9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Nivel III</w:t>
            </w:r>
          </w:p>
        </w:tc>
      </w:tr>
      <w:tr>
        <w:tblPrEx>
          <w:tblW w:w="7800" w:type="dxa"/>
          <w:tblInd w:w="2126" w:type="dxa"/>
          <w:tblLayout w:type="fixed"/>
        </w:tblPrEx>
        <w:trPr>
          <w:cantSplit/>
          <w:trHeight w:hRule="auto" w:val="0"/>
        </w:trPr>
        <w:tc>
          <w:tcPr>
            <w:tcW w:w="3300" w:type="dxa"/>
            <w:vMerge/>
            <w:tcBorders>
              <w:top w:val="nil"/>
              <w:left w:val="single" w:sz="2" w:space="0" w:color="000000"/>
              <w:bottom w:val="single" w:sz="2" w:space="0" w:color="000000"/>
              <w:right w:val="nil"/>
            </w:tcBorders>
          </w:tcPr>
          <w:p>
            <w:pPr>
              <w:pageBreakBefore w:val="0"/>
            </w:pP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i w:val="0"/>
                <w:color w:val="FFFFFF"/>
                <w:sz w:val="14"/>
                <w:u w:val="none"/>
              </w:rPr>
              <w:t>Corrientes</w:t>
            </w:r>
          </w:p>
        </w:tc>
        <w:tc>
          <w:tcPr>
            <w:tcW w:w="900" w:type="dxa"/>
            <w:tcBorders>
              <w:top w:val="single" w:sz="4" w:space="0" w:color="FFFFFF"/>
              <w:left w:val="single" w:sz="4" w:space="0" w:color="FFFFFF"/>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i w:val="0"/>
                <w:color w:val="FFFFFF"/>
                <w:sz w:val="14"/>
                <w:u w:val="none"/>
              </w:rPr>
              <w:t>No corrientes</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i w:val="0"/>
                <w:color w:val="FFFFFF"/>
                <w:sz w:val="14"/>
                <w:u w:val="none"/>
              </w:rPr>
              <w:t>M$</w:t>
            </w:r>
          </w:p>
        </w:tc>
      </w:tr>
      <w:tr>
        <w:tblPrEx>
          <w:tblW w:w="7800" w:type="dxa"/>
          <w:tblInd w:w="2126" w:type="dxa"/>
          <w:tblLayout w:type="fixed"/>
        </w:tblPrEx>
        <w:trPr>
          <w:cantSplit/>
          <w:trHeight w:hRule="auto" w:val="0"/>
        </w:trPr>
        <w:tc>
          <w:tcPr>
            <w:tcW w:w="33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Derivados de cobertura de flujo de efectivo.</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1.264.700</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90.243</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1.354.943</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p>
        </w:tc>
      </w:tr>
      <w:tr>
        <w:tblPrEx>
          <w:tblW w:w="7800" w:type="dxa"/>
          <w:tblInd w:w="2126" w:type="dxa"/>
          <w:tblLayout w:type="fixed"/>
        </w:tblPrEx>
        <w:trPr>
          <w:cantSplit/>
          <w:trHeight w:hRule="auto" w:val="0"/>
        </w:trPr>
        <w:tc>
          <w:tcPr>
            <w:tcW w:w="33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 xml:space="preserve">Total </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1.264.700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90.243</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1.354.943</w:t>
            </w:r>
          </w:p>
        </w:tc>
        <w:tc>
          <w:tcPr>
            <w:tcW w:w="9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r>
    </w:tbl>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sz w:val="20"/>
        </w:rPr>
      </w:pPr>
    </w:p>
    <w:tbl>
      <w:tblPr>
        <w:tblW w:w="7800" w:type="dxa"/>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300"/>
        <w:gridCol w:w="900"/>
        <w:gridCol w:w="900"/>
        <w:gridCol w:w="900"/>
        <w:gridCol w:w="900"/>
        <w:gridCol w:w="900"/>
      </w:tblGrid>
      <w:tr>
        <w:tblPrEx>
          <w:tblW w:w="7800" w:type="dxa"/>
          <w:tblInd w:w="2126" w:type="dxa"/>
          <w:tblLayout w:type="fixed"/>
        </w:tblPrEx>
        <w:trPr>
          <w:cantSplit/>
          <w:trHeight w:hRule="auto" w:val="0"/>
        </w:trPr>
        <w:tc>
          <w:tcPr>
            <w:tcW w:w="5100" w:type="dxa"/>
            <w:gridSpan w:val="3"/>
            <w:tcBorders>
              <w:top w:val="single" w:sz="2" w:space="0" w:color="000000"/>
              <w:left w:val="single" w:sz="2" w:space="0" w:color="000000"/>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Instrumentos financieros medidos a valor razonable</w:t>
            </w:r>
          </w:p>
        </w:tc>
        <w:tc>
          <w:tcPr>
            <w:tcW w:w="2700" w:type="dxa"/>
            <w:gridSpan w:val="3"/>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Valor razonable medido al final del</w:t>
            </w:r>
            <w:r>
              <w:br/>
            </w:r>
            <w:r>
              <w:rPr>
                <w:rFonts w:ascii="Calibri" w:eastAsia="Calibri" w:hAnsi="Calibri" w:cs="Calibri"/>
                <w:b/>
                <w:i w:val="0"/>
                <w:color w:val="FFFFFF"/>
                <w:sz w:val="14"/>
                <w:u w:val="none"/>
              </w:rPr>
              <w:t>periodo de reporte utilizando:</w:t>
            </w:r>
          </w:p>
        </w:tc>
      </w:tr>
      <w:tr>
        <w:tblPrEx>
          <w:tblW w:w="7800" w:type="dxa"/>
          <w:tblInd w:w="2126" w:type="dxa"/>
          <w:tblLayout w:type="fixed"/>
        </w:tblPrEx>
        <w:trPr>
          <w:cantSplit/>
          <w:trHeight w:hRule="auto" w:val="0"/>
        </w:trPr>
        <w:tc>
          <w:tcPr>
            <w:tcW w:w="3300" w:type="dxa"/>
            <w:vMerge w:val="restart"/>
            <w:tcBorders>
              <w:top w:val="nil"/>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Pasivos financieros</w:t>
            </w:r>
          </w:p>
        </w:tc>
        <w:tc>
          <w:tcPr>
            <w:tcW w:w="1800" w:type="dxa"/>
            <w:gridSpan w:val="2"/>
            <w:tcBorders>
              <w:top w:val="nil"/>
              <w:left w:val="single" w:sz="4" w:space="0" w:color="FFFFFF"/>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31-12-2025</w:t>
            </w:r>
          </w:p>
        </w:tc>
        <w:tc>
          <w:tcPr>
            <w:tcW w:w="9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Nivel I</w:t>
            </w:r>
          </w:p>
        </w:tc>
        <w:tc>
          <w:tcPr>
            <w:tcW w:w="9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Nivel II</w:t>
            </w:r>
          </w:p>
        </w:tc>
        <w:tc>
          <w:tcPr>
            <w:tcW w:w="9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Nivel III</w:t>
            </w:r>
          </w:p>
        </w:tc>
      </w:tr>
      <w:tr>
        <w:tblPrEx>
          <w:tblW w:w="7800" w:type="dxa"/>
          <w:tblInd w:w="2126" w:type="dxa"/>
          <w:tblLayout w:type="fixed"/>
        </w:tblPrEx>
        <w:trPr>
          <w:cantSplit/>
          <w:trHeight w:hRule="auto" w:val="0"/>
        </w:trPr>
        <w:tc>
          <w:tcPr>
            <w:tcW w:w="3300" w:type="dxa"/>
            <w:vMerge/>
            <w:tcBorders>
              <w:top w:val="nil"/>
              <w:left w:val="single" w:sz="2" w:space="0" w:color="000000"/>
              <w:bottom w:val="single" w:sz="2" w:space="0" w:color="000000"/>
              <w:right w:val="nil"/>
            </w:tcBorders>
          </w:tcPr>
          <w:p>
            <w:pPr>
              <w:keepNext/>
              <w:pageBreakBefore w:val="0"/>
            </w:pP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Corrientes</w:t>
            </w:r>
          </w:p>
        </w:tc>
        <w:tc>
          <w:tcPr>
            <w:tcW w:w="900" w:type="dxa"/>
            <w:tcBorders>
              <w:top w:val="single" w:sz="4" w:space="0" w:color="FFFFFF"/>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No corrientes</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7800" w:type="dxa"/>
          <w:tblInd w:w="2126" w:type="dxa"/>
          <w:tblLayout w:type="fixed"/>
        </w:tblPrEx>
        <w:trPr>
          <w:cantSplit/>
          <w:trHeight w:hRule="auto" w:val="0"/>
        </w:trPr>
        <w:tc>
          <w:tcPr>
            <w:tcW w:w="33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Derivados de cobertura de flujo de efectivo.</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3.526.209</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197.108</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3.723.317</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bottom"/>
          </w:tcPr>
          <w:p>
            <w:pPr>
              <w:keepNext/>
              <w:pageBreakBefore w:val="0"/>
              <w:spacing w:before="0" w:after="0"/>
            </w:pPr>
          </w:p>
        </w:tc>
      </w:tr>
      <w:tr>
        <w:tblPrEx>
          <w:tblW w:w="7800" w:type="dxa"/>
          <w:tblInd w:w="2126" w:type="dxa"/>
          <w:tblLayout w:type="fixed"/>
        </w:tblPrEx>
        <w:trPr>
          <w:cantSplit/>
          <w:trHeight w:hRule="auto" w:val="0"/>
        </w:trPr>
        <w:tc>
          <w:tcPr>
            <w:tcW w:w="33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 xml:space="preserve">Total </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3.526.209</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197.108</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3.723.317</w:t>
            </w:r>
          </w:p>
        </w:tc>
        <w:tc>
          <w:tcPr>
            <w:tcW w:w="9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r>
    </w:tbl>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sz w:val="20"/>
        </w:rPr>
        <w:sectPr>
          <w:type w:val="continuous"/>
          <w:pgSz w:w="12240" w:h="15840"/>
          <w:pgMar w:top="1134" w:right="1134" w:bottom="1134" w:left="1134" w:header="0" w:footer="420"/>
          <w:cols w:space="708"/>
        </w:sectPr>
      </w:pPr>
    </w:p>
    <w:p>
      <w:pPr>
        <w:pStyle w:val="Heading2-wk"/>
        <w:keepNext w:val="0"/>
        <w:keepLines/>
        <w:pageBreakBefore w:val="0"/>
        <w:widowControl w:val="0"/>
        <w:numPr>
          <w:ilvl w:val="0"/>
          <w:numId w:val="0"/>
        </w:numPr>
        <w:tabs>
          <w:tab w:val="left" w:pos="700"/>
        </w:tabs>
        <w:spacing w:before="0" w:after="0" w:line="240" w:lineRule="exact"/>
        <w:ind w:left="709" w:right="0" w:firstLine="0"/>
        <w:jc w:val="both"/>
        <w:outlineLvl w:val="1"/>
        <w:rPr>
          <w:rFonts w:ascii="Calibri" w:eastAsia="Calibri" w:hAnsi="Calibri" w:cs="Calibri"/>
          <w:b/>
          <w:i w:val="0"/>
          <w:color w:val="000000"/>
          <w:sz w:val="20"/>
          <w:u w:val="none"/>
        </w:rPr>
      </w:pPr>
      <w:bookmarkStart w:id="105" w:name="Section56"/>
      <w:bookmarkEnd w:id="105"/>
      <w:bookmarkStart w:id="106" w:name="c745eea9c52a43b2a2e40636c62a992d"/>
      <w:r>
        <w:rPr>
          <w:rFonts w:ascii="Calibri" w:eastAsia="Calibri" w:hAnsi="Calibri" w:cs="Calibri"/>
          <w:b/>
          <w:i w:val="0"/>
          <w:color w:val="000000"/>
          <w:sz w:val="20"/>
          <w:u w:val="none"/>
        </w:rPr>
        <w:t xml:space="preserve">7.3.- </w:t>
      </w:r>
      <w:r>
        <w:rPr>
          <w:rFonts w:ascii="Calibri" w:eastAsia="Calibri" w:hAnsi="Calibri" w:cs="Calibri"/>
          <w:b/>
          <w:i w:val="0"/>
          <w:color w:val="000000"/>
          <w:sz w:val="20"/>
          <w:u w:val="none"/>
        </w:rPr>
        <w:tab/>
      </w:r>
      <w:r>
        <w:rPr>
          <w:rFonts w:ascii="Calibri" w:eastAsia="Calibri" w:hAnsi="Calibri" w:cs="Calibri"/>
          <w:b/>
          <w:i w:val="0"/>
          <w:color w:val="000000"/>
          <w:sz w:val="20"/>
          <w:u w:val="none"/>
        </w:rPr>
        <w:t>Categorías de activos y pasivos financieros.</w:t>
      </w:r>
    </w:p>
    <w:p>
      <w:pPr>
        <w:keepNext w:val="0"/>
        <w:keepLines/>
        <w:pageBreakBefore w:val="0"/>
        <w:widowControl w:val="0"/>
        <w:numPr>
          <w:ilvl w:val="0"/>
          <w:numId w:val="0"/>
        </w:numPr>
        <w:spacing w:before="0" w:after="0" w:line="288" w:lineRule="auto"/>
        <w:ind w:left="708" w:right="0" w:firstLine="0"/>
        <w:jc w:val="both"/>
        <w:outlineLvl w:val="9"/>
        <w:rPr>
          <w:rFonts w:ascii="Calibri" w:eastAsia="Calibri" w:hAnsi="Calibri" w:cs="Calibri"/>
          <w:b w:val="0"/>
          <w:i w:val="0"/>
          <w:color w:val="000000"/>
          <w:sz w:val="20"/>
          <w:u w:val="none"/>
        </w:rPr>
      </w:pPr>
      <w:bookmarkEnd w:id="106"/>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A continuación, se presentan las diferentes categorías de activos y pasivos financieros, comparando los valores registrados contablemente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 xml:space="preserve"> y sus respectivos valores razonables.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150"/>
        <w:gridCol w:w="900"/>
        <w:gridCol w:w="900"/>
        <w:gridCol w:w="900"/>
        <w:gridCol w:w="900"/>
        <w:gridCol w:w="900"/>
        <w:gridCol w:w="900"/>
      </w:tblGrid>
      <w:tr>
        <w:tblPrEx>
          <w:tblW w:w="8550" w:type="dxa"/>
          <w:tblInd w:w="1417" w:type="dxa"/>
          <w:tblLayout w:type="fixed"/>
        </w:tblPrEx>
        <w:trPr>
          <w:cantSplit/>
          <w:trHeight w:hRule="auto" w:val="0"/>
        </w:trPr>
        <w:tc>
          <w:tcPr>
            <w:tcW w:w="315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 de junio de 2026</w:t>
            </w:r>
          </w:p>
        </w:tc>
        <w:tc>
          <w:tcPr>
            <w:tcW w:w="1800"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A valor Razonable</w:t>
            </w:r>
          </w:p>
        </w:tc>
        <w:tc>
          <w:tcPr>
            <w:tcW w:w="900"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Activos al costo amortizado</w:t>
            </w:r>
          </w:p>
        </w:tc>
        <w:tc>
          <w:tcPr>
            <w:tcW w:w="900"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Pasivos al costo amortizado</w:t>
            </w:r>
          </w:p>
        </w:tc>
        <w:tc>
          <w:tcPr>
            <w:tcW w:w="900"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Total valor Contable</w:t>
            </w:r>
          </w:p>
        </w:tc>
        <w:tc>
          <w:tcPr>
            <w:tcW w:w="900" w:type="dxa"/>
            <w:vMerge w:val="restart"/>
            <w:tcBorders>
              <w:top w:val="single" w:sz="2" w:space="0" w:color="000000"/>
              <w:left w:val="nil"/>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Total a valor Razonable</w:t>
            </w:r>
          </w:p>
        </w:tc>
      </w:tr>
      <w:tr>
        <w:tblPrEx>
          <w:tblW w:w="8550" w:type="dxa"/>
          <w:tblInd w:w="1417" w:type="dxa"/>
          <w:tblLayout w:type="fixed"/>
        </w:tblPrEx>
        <w:trPr>
          <w:cantSplit/>
          <w:trHeight w:hRule="auto" w:val="0"/>
        </w:trPr>
        <w:tc>
          <w:tcPr>
            <w:tcW w:w="3150" w:type="dxa"/>
            <w:vMerge/>
            <w:tcBorders>
              <w:top w:val="nil"/>
              <w:left w:val="single" w:sz="2" w:space="0" w:color="000000"/>
              <w:bottom w:val="nil"/>
              <w:right w:val="nil"/>
            </w:tcBorders>
          </w:tcPr>
          <w:p>
            <w:pPr>
              <w:keepNext/>
              <w:pageBreakBefore w:val="0"/>
            </w:pPr>
          </w:p>
        </w:tc>
        <w:tc>
          <w:tcPr>
            <w:tcW w:w="9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Con Cambios en resultado</w:t>
            </w:r>
          </w:p>
        </w:tc>
        <w:tc>
          <w:tcPr>
            <w:tcW w:w="900" w:type="dxa"/>
            <w:tcBorders>
              <w:top w:val="single" w:sz="4" w:space="0" w:color="FFFFFF"/>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Con Cambios en Otros resultados integrales</w:t>
            </w:r>
          </w:p>
        </w:tc>
        <w:tc>
          <w:tcPr>
            <w:tcW w:w="900" w:type="dxa"/>
            <w:vMerge/>
            <w:tcBorders>
              <w:top w:val="nil"/>
              <w:left w:val="nil"/>
              <w:bottom w:val="nil"/>
              <w:right w:val="single" w:sz="4" w:space="0" w:color="FFFFFF"/>
            </w:tcBorders>
          </w:tcPr>
          <w:p>
            <w:pPr>
              <w:keepNext/>
              <w:pageBreakBefore w:val="0"/>
            </w:pPr>
          </w:p>
        </w:tc>
        <w:tc>
          <w:tcPr>
            <w:tcW w:w="900" w:type="dxa"/>
            <w:vMerge/>
            <w:tcBorders>
              <w:top w:val="nil"/>
              <w:left w:val="nil"/>
              <w:bottom w:val="nil"/>
              <w:right w:val="single" w:sz="4" w:space="0" w:color="FFFFFF"/>
            </w:tcBorders>
          </w:tcPr>
          <w:p>
            <w:pPr>
              <w:keepNext/>
              <w:pageBreakBefore w:val="0"/>
            </w:pPr>
          </w:p>
        </w:tc>
        <w:tc>
          <w:tcPr>
            <w:tcW w:w="900" w:type="dxa"/>
            <w:vMerge/>
            <w:tcBorders>
              <w:top w:val="nil"/>
              <w:left w:val="nil"/>
              <w:bottom w:val="nil"/>
              <w:right w:val="single" w:sz="4" w:space="0" w:color="FFFFFF"/>
            </w:tcBorders>
          </w:tcPr>
          <w:p>
            <w:pPr>
              <w:keepNext/>
              <w:pageBreakBefore w:val="0"/>
            </w:pPr>
          </w:p>
        </w:tc>
        <w:tc>
          <w:tcPr>
            <w:tcW w:w="900" w:type="dxa"/>
            <w:vMerge/>
            <w:tcBorders>
              <w:top w:val="nil"/>
              <w:left w:val="nil"/>
              <w:bottom w:val="nil"/>
              <w:right w:val="single" w:sz="2" w:space="0" w:color="000000"/>
            </w:tcBorders>
          </w:tcPr>
          <w:p>
            <w:pPr>
              <w:keepNext/>
              <w:pageBreakBefore w:val="0"/>
            </w:pPr>
          </w:p>
        </w:tc>
      </w:tr>
      <w:tr>
        <w:tblPrEx>
          <w:tblW w:w="8550" w:type="dxa"/>
          <w:tblInd w:w="1417" w:type="dxa"/>
          <w:tblLayout w:type="fixed"/>
        </w:tblPrEx>
        <w:trPr>
          <w:cantSplit/>
          <w:trHeight w:hRule="auto" w:val="0"/>
        </w:trPr>
        <w:tc>
          <w:tcPr>
            <w:tcW w:w="3150" w:type="dxa"/>
            <w:vMerge/>
            <w:tcBorders>
              <w:top w:val="nil"/>
              <w:left w:val="single" w:sz="2" w:space="0" w:color="000000"/>
              <w:bottom w:val="single" w:sz="2" w:space="0" w:color="000000"/>
              <w:right w:val="nil"/>
            </w:tcBorders>
          </w:tcPr>
          <w:p>
            <w:pPr>
              <w:keepNext/>
              <w:pageBreakBefore w:val="0"/>
            </w:pP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8550" w:type="dxa"/>
          <w:tblInd w:w="1417" w:type="dxa"/>
          <w:tblLayout w:type="fixed"/>
        </w:tblPrEx>
        <w:trPr>
          <w:cantSplit/>
          <w:trHeight w:hRule="exact" w:val="60"/>
        </w:trPr>
        <w:tc>
          <w:tcPr>
            <w:tcW w:w="31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3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ACTIVOS</w:t>
            </w:r>
          </w:p>
        </w:tc>
        <w:tc>
          <w:tcPr>
            <w:tcW w:w="9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3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Efectivo y equivalentes al efectivo.</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8550" w:type="dxa"/>
          <w:tblInd w:w="1417" w:type="dxa"/>
          <w:tblLayout w:type="fixed"/>
        </w:tblPrEx>
        <w:trPr>
          <w:cantSplit/>
          <w:trHeight w:hRule="auto" w:val="0"/>
        </w:trPr>
        <w:tc>
          <w:tcPr>
            <w:tcW w:w="3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Otros activos financieros.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8550" w:type="dxa"/>
          <w:tblInd w:w="1417" w:type="dxa"/>
          <w:tblLayout w:type="fixed"/>
        </w:tblPrEx>
        <w:trPr>
          <w:cantSplit/>
          <w:trHeight w:hRule="auto" w:val="0"/>
        </w:trPr>
        <w:tc>
          <w:tcPr>
            <w:tcW w:w="3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Deudores comerciales y otras cuentas por cobrar.</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8550" w:type="dxa"/>
          <w:tblInd w:w="1417" w:type="dxa"/>
          <w:tblLayout w:type="fixed"/>
        </w:tblPrEx>
        <w:trPr>
          <w:cantSplit/>
          <w:trHeight w:hRule="auto" w:val="0"/>
        </w:trPr>
        <w:tc>
          <w:tcPr>
            <w:tcW w:w="3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Cuentas por cobrar a entidades relacionadas.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8550" w:type="dxa"/>
          <w:tblInd w:w="1417" w:type="dxa"/>
          <w:tblLayout w:type="fixed"/>
        </w:tblPrEx>
        <w:trPr>
          <w:cantSplit/>
          <w:trHeight w:hRule="auto" w:val="0"/>
        </w:trPr>
        <w:tc>
          <w:tcPr>
            <w:tcW w:w="3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TOTAL ACTIVOS</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9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r>
      <w:tr>
        <w:tblPrEx>
          <w:tblW w:w="8550" w:type="dxa"/>
          <w:tblInd w:w="1417" w:type="dxa"/>
          <w:tblLayout w:type="fixed"/>
        </w:tblPrEx>
        <w:trPr>
          <w:cantSplit/>
          <w:trHeight w:hRule="exact" w:val="60"/>
        </w:trPr>
        <w:tc>
          <w:tcPr>
            <w:tcW w:w="31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3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PASIVOS</w:t>
            </w:r>
          </w:p>
        </w:tc>
        <w:tc>
          <w:tcPr>
            <w:tcW w:w="9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3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Otros pasivos financieros.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8550" w:type="dxa"/>
          <w:tblInd w:w="1417" w:type="dxa"/>
          <w:tblLayout w:type="fixed"/>
        </w:tblPrEx>
        <w:trPr>
          <w:cantSplit/>
          <w:trHeight w:hRule="auto" w:val="0"/>
        </w:trPr>
        <w:tc>
          <w:tcPr>
            <w:tcW w:w="3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 xml:space="preserve">     Préstamos Bancarios.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534.101.194</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534.101.194</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534.337.828</w:t>
            </w:r>
          </w:p>
        </w:tc>
      </w:tr>
      <w:tr>
        <w:tblPrEx>
          <w:tblW w:w="8550" w:type="dxa"/>
          <w:tblInd w:w="1417" w:type="dxa"/>
          <w:tblLayout w:type="fixed"/>
        </w:tblPrEx>
        <w:trPr>
          <w:cantSplit/>
          <w:trHeight w:hRule="auto" w:val="0"/>
        </w:trPr>
        <w:tc>
          <w:tcPr>
            <w:tcW w:w="3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 xml:space="preserve">     Obligaciones con el público (bonos).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79.143.766</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79.143.766</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81.572.993</w:t>
            </w:r>
          </w:p>
        </w:tc>
      </w:tr>
      <w:tr>
        <w:tblPrEx>
          <w:tblW w:w="8550" w:type="dxa"/>
          <w:tblInd w:w="1417" w:type="dxa"/>
          <w:tblLayout w:type="fixed"/>
        </w:tblPrEx>
        <w:trPr>
          <w:cantSplit/>
          <w:trHeight w:hRule="auto" w:val="0"/>
        </w:trPr>
        <w:tc>
          <w:tcPr>
            <w:tcW w:w="3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 xml:space="preserve">     Derivados.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1.354.943</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1.354.943</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1.354.943</w:t>
            </w:r>
          </w:p>
        </w:tc>
      </w:tr>
      <w:tr>
        <w:tblPrEx>
          <w:tblW w:w="8550" w:type="dxa"/>
          <w:tblInd w:w="1417" w:type="dxa"/>
          <w:tblLayout w:type="fixed"/>
        </w:tblPrEx>
        <w:trPr>
          <w:cantSplit/>
          <w:trHeight w:hRule="auto" w:val="0"/>
        </w:trPr>
        <w:tc>
          <w:tcPr>
            <w:tcW w:w="3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 xml:space="preserve">Cuentas por pagar comerciales y otras cuentas por pagar.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8550" w:type="dxa"/>
          <w:tblInd w:w="1417" w:type="dxa"/>
          <w:tblLayout w:type="fixed"/>
        </w:tblPrEx>
        <w:trPr>
          <w:cantSplit/>
          <w:trHeight w:hRule="auto" w:val="0"/>
        </w:trPr>
        <w:tc>
          <w:tcPr>
            <w:tcW w:w="3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 xml:space="preserve">Cuentas por pagar a entidades relacionadas.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8550" w:type="dxa"/>
          <w:tblInd w:w="1417" w:type="dxa"/>
          <w:tblLayout w:type="fixed"/>
        </w:tblPrEx>
        <w:trPr>
          <w:cantSplit/>
          <w:trHeight w:hRule="auto" w:val="0"/>
        </w:trPr>
        <w:tc>
          <w:tcPr>
            <w:tcW w:w="3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Pasivos por arrendamientos.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8550" w:type="dxa"/>
          <w:tblInd w:w="1417" w:type="dxa"/>
          <w:tblLayout w:type="fixed"/>
        </w:tblPrEx>
        <w:trPr>
          <w:cantSplit/>
          <w:trHeight w:hRule="auto" w:val="0"/>
        </w:trPr>
        <w:tc>
          <w:tcPr>
            <w:tcW w:w="3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TOTAL PASIVOS</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1.354.943</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613.244.960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614.599.903</w:t>
            </w:r>
          </w:p>
        </w:tc>
        <w:tc>
          <w:tcPr>
            <w:tcW w:w="9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617.265.764</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150"/>
        <w:gridCol w:w="900"/>
        <w:gridCol w:w="900"/>
        <w:gridCol w:w="900"/>
        <w:gridCol w:w="900"/>
        <w:gridCol w:w="900"/>
        <w:gridCol w:w="900"/>
      </w:tblGrid>
      <w:tr>
        <w:tblPrEx>
          <w:tblW w:w="8550" w:type="dxa"/>
          <w:tblInd w:w="1417" w:type="dxa"/>
          <w:tblLayout w:type="fixed"/>
        </w:tblPrEx>
        <w:trPr>
          <w:cantSplit/>
          <w:trHeight w:hRule="auto" w:val="0"/>
        </w:trPr>
        <w:tc>
          <w:tcPr>
            <w:tcW w:w="315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31 de diciembre de 2025</w:t>
            </w:r>
          </w:p>
        </w:tc>
        <w:tc>
          <w:tcPr>
            <w:tcW w:w="1800"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A valor Razonable</w:t>
            </w:r>
          </w:p>
        </w:tc>
        <w:tc>
          <w:tcPr>
            <w:tcW w:w="900"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Activos al costo amortizado</w:t>
            </w:r>
          </w:p>
        </w:tc>
        <w:tc>
          <w:tcPr>
            <w:tcW w:w="900"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Pasivos al costo amortizado</w:t>
            </w:r>
          </w:p>
        </w:tc>
        <w:tc>
          <w:tcPr>
            <w:tcW w:w="900"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Total valor Contable</w:t>
            </w:r>
          </w:p>
        </w:tc>
        <w:tc>
          <w:tcPr>
            <w:tcW w:w="900" w:type="dxa"/>
            <w:vMerge w:val="restart"/>
            <w:tcBorders>
              <w:top w:val="single" w:sz="2" w:space="0" w:color="000000"/>
              <w:left w:val="nil"/>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Total a valor Razonable</w:t>
            </w:r>
          </w:p>
        </w:tc>
      </w:tr>
      <w:tr>
        <w:tblPrEx>
          <w:tblW w:w="8550" w:type="dxa"/>
          <w:tblInd w:w="1417" w:type="dxa"/>
          <w:tblLayout w:type="fixed"/>
        </w:tblPrEx>
        <w:trPr>
          <w:cantSplit/>
          <w:trHeight w:hRule="auto" w:val="0"/>
        </w:trPr>
        <w:tc>
          <w:tcPr>
            <w:tcW w:w="3150" w:type="dxa"/>
            <w:vMerge/>
            <w:tcBorders>
              <w:top w:val="nil"/>
              <w:left w:val="single" w:sz="2" w:space="0" w:color="000000"/>
              <w:bottom w:val="nil"/>
              <w:right w:val="nil"/>
            </w:tcBorders>
          </w:tcPr>
          <w:p>
            <w:pPr>
              <w:keepNext/>
              <w:pageBreakBefore w:val="0"/>
            </w:pPr>
          </w:p>
        </w:tc>
        <w:tc>
          <w:tcPr>
            <w:tcW w:w="9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Con Cambios en resultado</w:t>
            </w:r>
          </w:p>
        </w:tc>
        <w:tc>
          <w:tcPr>
            <w:tcW w:w="900" w:type="dxa"/>
            <w:tcBorders>
              <w:top w:val="single" w:sz="4" w:space="0" w:color="FFFFFF"/>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Con Cambios en Otros resultados integrales</w:t>
            </w:r>
          </w:p>
        </w:tc>
        <w:tc>
          <w:tcPr>
            <w:tcW w:w="900" w:type="dxa"/>
            <w:vMerge/>
            <w:tcBorders>
              <w:top w:val="nil"/>
              <w:left w:val="nil"/>
              <w:bottom w:val="nil"/>
              <w:right w:val="single" w:sz="4" w:space="0" w:color="FFFFFF"/>
            </w:tcBorders>
          </w:tcPr>
          <w:p>
            <w:pPr>
              <w:keepNext/>
              <w:pageBreakBefore w:val="0"/>
            </w:pPr>
          </w:p>
        </w:tc>
        <w:tc>
          <w:tcPr>
            <w:tcW w:w="900" w:type="dxa"/>
            <w:vMerge/>
            <w:tcBorders>
              <w:top w:val="nil"/>
              <w:left w:val="nil"/>
              <w:bottom w:val="nil"/>
              <w:right w:val="single" w:sz="4" w:space="0" w:color="FFFFFF"/>
            </w:tcBorders>
          </w:tcPr>
          <w:p>
            <w:pPr>
              <w:keepNext/>
              <w:pageBreakBefore w:val="0"/>
            </w:pPr>
          </w:p>
        </w:tc>
        <w:tc>
          <w:tcPr>
            <w:tcW w:w="900" w:type="dxa"/>
            <w:vMerge/>
            <w:tcBorders>
              <w:top w:val="nil"/>
              <w:left w:val="nil"/>
              <w:bottom w:val="nil"/>
              <w:right w:val="single" w:sz="4" w:space="0" w:color="FFFFFF"/>
            </w:tcBorders>
          </w:tcPr>
          <w:p>
            <w:pPr>
              <w:keepNext/>
              <w:pageBreakBefore w:val="0"/>
            </w:pPr>
          </w:p>
        </w:tc>
        <w:tc>
          <w:tcPr>
            <w:tcW w:w="900" w:type="dxa"/>
            <w:vMerge/>
            <w:tcBorders>
              <w:top w:val="nil"/>
              <w:left w:val="nil"/>
              <w:bottom w:val="nil"/>
              <w:right w:val="single" w:sz="2" w:space="0" w:color="000000"/>
            </w:tcBorders>
          </w:tcPr>
          <w:p>
            <w:pPr>
              <w:keepNext/>
              <w:pageBreakBefore w:val="0"/>
            </w:pPr>
          </w:p>
        </w:tc>
      </w:tr>
      <w:tr>
        <w:tblPrEx>
          <w:tblW w:w="8550" w:type="dxa"/>
          <w:tblInd w:w="1417" w:type="dxa"/>
          <w:tblLayout w:type="fixed"/>
        </w:tblPrEx>
        <w:trPr>
          <w:cantSplit/>
          <w:trHeight w:hRule="auto" w:val="0"/>
        </w:trPr>
        <w:tc>
          <w:tcPr>
            <w:tcW w:w="3150" w:type="dxa"/>
            <w:vMerge/>
            <w:tcBorders>
              <w:top w:val="nil"/>
              <w:left w:val="single" w:sz="2" w:space="0" w:color="000000"/>
              <w:bottom w:val="single" w:sz="2" w:space="0" w:color="000000"/>
              <w:right w:val="nil"/>
            </w:tcBorders>
          </w:tcPr>
          <w:p>
            <w:pPr>
              <w:keepNext/>
              <w:pageBreakBefore w:val="0"/>
            </w:pP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8550" w:type="dxa"/>
          <w:tblInd w:w="1417" w:type="dxa"/>
          <w:tblLayout w:type="fixed"/>
        </w:tblPrEx>
        <w:trPr>
          <w:cantSplit/>
          <w:trHeight w:hRule="exact" w:val="60"/>
        </w:trPr>
        <w:tc>
          <w:tcPr>
            <w:tcW w:w="31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3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ACTIVOS</w:t>
            </w:r>
          </w:p>
        </w:tc>
        <w:tc>
          <w:tcPr>
            <w:tcW w:w="9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3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Efectivo y equivalentes al efectivo.</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1.681.948</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1.681.948</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1.681.948</w:t>
            </w:r>
          </w:p>
        </w:tc>
      </w:tr>
      <w:tr>
        <w:tblPrEx>
          <w:tblW w:w="8550" w:type="dxa"/>
          <w:tblInd w:w="1417" w:type="dxa"/>
          <w:tblLayout w:type="fixed"/>
        </w:tblPrEx>
        <w:trPr>
          <w:cantSplit/>
          <w:trHeight w:hRule="auto" w:val="0"/>
        </w:trPr>
        <w:tc>
          <w:tcPr>
            <w:tcW w:w="3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Otros activos financieros.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265.789</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265.789</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265.789</w:t>
            </w:r>
          </w:p>
        </w:tc>
      </w:tr>
      <w:tr>
        <w:tblPrEx>
          <w:tblW w:w="8550" w:type="dxa"/>
          <w:tblInd w:w="1417" w:type="dxa"/>
          <w:tblLayout w:type="fixed"/>
        </w:tblPrEx>
        <w:trPr>
          <w:cantSplit/>
          <w:trHeight w:hRule="auto" w:val="0"/>
        </w:trPr>
        <w:tc>
          <w:tcPr>
            <w:tcW w:w="3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Deudores comerciales y otras cuentas por cobrar.</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55.420.483</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55.420.483</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55.420.483</w:t>
            </w:r>
          </w:p>
        </w:tc>
      </w:tr>
      <w:tr>
        <w:tblPrEx>
          <w:tblW w:w="8550" w:type="dxa"/>
          <w:tblInd w:w="1417" w:type="dxa"/>
          <w:tblLayout w:type="fixed"/>
        </w:tblPrEx>
        <w:trPr>
          <w:cantSplit/>
          <w:trHeight w:hRule="auto" w:val="0"/>
        </w:trPr>
        <w:tc>
          <w:tcPr>
            <w:tcW w:w="3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Cuentas por cobrar a entidades relacionadas.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38.923.140</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38.923.140</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38.923.140</w:t>
            </w:r>
          </w:p>
        </w:tc>
      </w:tr>
      <w:tr>
        <w:tblPrEx>
          <w:tblW w:w="8550" w:type="dxa"/>
          <w:tblInd w:w="1417" w:type="dxa"/>
          <w:tblLayout w:type="fixed"/>
        </w:tblPrEx>
        <w:trPr>
          <w:cantSplit/>
          <w:trHeight w:hRule="auto" w:val="0"/>
        </w:trPr>
        <w:tc>
          <w:tcPr>
            <w:tcW w:w="3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TOTAL ACTIVOS</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265.789</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96.025.571</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96.291.360</w:t>
            </w:r>
          </w:p>
        </w:tc>
        <w:tc>
          <w:tcPr>
            <w:tcW w:w="9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96.291.360</w:t>
            </w:r>
          </w:p>
        </w:tc>
      </w:tr>
      <w:tr>
        <w:tblPrEx>
          <w:tblW w:w="8550" w:type="dxa"/>
          <w:tblInd w:w="1417" w:type="dxa"/>
          <w:tblLayout w:type="fixed"/>
        </w:tblPrEx>
        <w:trPr>
          <w:cantSplit/>
          <w:trHeight w:hRule="exact" w:val="60"/>
        </w:trPr>
        <w:tc>
          <w:tcPr>
            <w:tcW w:w="31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3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PASIVOS</w:t>
            </w:r>
          </w:p>
        </w:tc>
        <w:tc>
          <w:tcPr>
            <w:tcW w:w="9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3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Otros pasivos financieros.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8550" w:type="dxa"/>
          <w:tblInd w:w="1417" w:type="dxa"/>
          <w:tblLayout w:type="fixed"/>
        </w:tblPrEx>
        <w:trPr>
          <w:cantSplit/>
          <w:trHeight w:hRule="auto" w:val="0"/>
        </w:trPr>
        <w:tc>
          <w:tcPr>
            <w:tcW w:w="3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 xml:space="preserve">     Préstamos Bancarios.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531.460.305</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531.460.305</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538.891.225</w:t>
            </w:r>
          </w:p>
        </w:tc>
      </w:tr>
      <w:tr>
        <w:tblPrEx>
          <w:tblW w:w="8550" w:type="dxa"/>
          <w:tblInd w:w="1417" w:type="dxa"/>
          <w:tblLayout w:type="fixed"/>
        </w:tblPrEx>
        <w:trPr>
          <w:cantSplit/>
          <w:trHeight w:hRule="auto" w:val="0"/>
        </w:trPr>
        <w:tc>
          <w:tcPr>
            <w:tcW w:w="3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 xml:space="preserve">     Obligaciones con el público (bonos).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78.257.613</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78.257.613</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79.971.082</w:t>
            </w:r>
          </w:p>
        </w:tc>
      </w:tr>
      <w:tr>
        <w:tblPrEx>
          <w:tblW w:w="8550" w:type="dxa"/>
          <w:tblInd w:w="1417" w:type="dxa"/>
          <w:tblLayout w:type="fixed"/>
        </w:tblPrEx>
        <w:trPr>
          <w:cantSplit/>
          <w:trHeight w:hRule="auto" w:val="0"/>
        </w:trPr>
        <w:tc>
          <w:tcPr>
            <w:tcW w:w="3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 xml:space="preserve">     Derivados.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3.723.317</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3.723.317</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3.723.317</w:t>
            </w:r>
          </w:p>
        </w:tc>
      </w:tr>
      <w:tr>
        <w:tblPrEx>
          <w:tblW w:w="8550" w:type="dxa"/>
          <w:tblInd w:w="1417" w:type="dxa"/>
          <w:tblLayout w:type="fixed"/>
        </w:tblPrEx>
        <w:trPr>
          <w:cantSplit/>
          <w:trHeight w:hRule="auto" w:val="0"/>
        </w:trPr>
        <w:tc>
          <w:tcPr>
            <w:tcW w:w="3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 xml:space="preserve">Cuentas por pagar comerciales y otras cuentas por pagar.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43.947.064</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43.947.064</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43.947.064</w:t>
            </w:r>
          </w:p>
        </w:tc>
      </w:tr>
      <w:tr>
        <w:tblPrEx>
          <w:tblW w:w="8550" w:type="dxa"/>
          <w:tblInd w:w="1417" w:type="dxa"/>
          <w:tblLayout w:type="fixed"/>
        </w:tblPrEx>
        <w:trPr>
          <w:cantSplit/>
          <w:trHeight w:hRule="auto" w:val="0"/>
        </w:trPr>
        <w:tc>
          <w:tcPr>
            <w:tcW w:w="3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Cuentas por pagar a entidades relacionadas.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112.461.952</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112.461.952</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112.461.952</w:t>
            </w:r>
          </w:p>
        </w:tc>
      </w:tr>
      <w:tr>
        <w:tblPrEx>
          <w:tblW w:w="8550" w:type="dxa"/>
          <w:tblInd w:w="1417" w:type="dxa"/>
          <w:tblLayout w:type="fixed"/>
        </w:tblPrEx>
        <w:trPr>
          <w:cantSplit/>
          <w:trHeight w:hRule="auto" w:val="0"/>
        </w:trPr>
        <w:tc>
          <w:tcPr>
            <w:tcW w:w="3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Pasivos por arrendamientos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711.153</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711.153</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711.153</w:t>
            </w:r>
          </w:p>
        </w:tc>
      </w:tr>
      <w:tr>
        <w:tblPrEx>
          <w:tblW w:w="8550" w:type="dxa"/>
          <w:tblInd w:w="1417" w:type="dxa"/>
          <w:tblLayout w:type="fixed"/>
        </w:tblPrEx>
        <w:trPr>
          <w:cantSplit/>
          <w:trHeight w:hRule="auto" w:val="0"/>
        </w:trPr>
        <w:tc>
          <w:tcPr>
            <w:tcW w:w="3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TOTAL PASIVOS</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3.723.317</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766.838.087</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770.561.404</w:t>
            </w:r>
          </w:p>
        </w:tc>
        <w:tc>
          <w:tcPr>
            <w:tcW w:w="9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779.705.793</w:t>
            </w:r>
          </w:p>
        </w:tc>
      </w:tr>
    </w:tbl>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sz w:val="20"/>
        </w:rPr>
        <w:sectPr>
          <w:type w:val="continuous"/>
          <w:pgSz w:w="12240" w:h="15840"/>
          <w:pgMar w:top="1134" w:right="1134" w:bottom="1134" w:left="1134" w:header="0" w:footer="420"/>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left"/>
        <w:outlineLvl w:val="0"/>
        <w:rPr>
          <w:rFonts w:ascii="Cambria" w:eastAsia="Cambria" w:hAnsi="Cambria" w:cs="Cambria"/>
          <w:b/>
          <w:i w:val="0"/>
          <w:color w:val="365F91"/>
          <w:sz w:val="28"/>
          <w:u w:val="none"/>
        </w:rPr>
      </w:pPr>
      <w:bookmarkStart w:id="107" w:name="Section57"/>
      <w:bookmarkEnd w:id="107"/>
      <w:bookmarkStart w:id="108" w:name="94c18924cccb4a35bef7b9359cacbce5"/>
      <w:r>
        <w:rPr>
          <w:rFonts w:ascii="Calibri" w:eastAsia="Calibri" w:hAnsi="Calibri" w:cs="Calibri"/>
          <w:b/>
          <w:i w:val="0"/>
          <w:color w:val="000000"/>
          <w:sz w:val="20"/>
          <w:u w:val="none"/>
        </w:rPr>
        <w:t>8.-</w:t>
      </w:r>
      <w:r>
        <w:rPr>
          <w:rFonts w:ascii="Calibri" w:eastAsia="Calibri" w:hAnsi="Calibri" w:cs="Calibri"/>
          <w:b/>
          <w:i w:val="0"/>
          <w:color w:val="000000"/>
          <w:sz w:val="20"/>
          <w:u w:val="none"/>
        </w:rPr>
        <w:tab/>
      </w:r>
      <w:r>
        <w:rPr>
          <w:rFonts w:ascii="Calibri" w:eastAsia="Calibri" w:hAnsi="Calibri" w:cs="Calibri"/>
          <w:b/>
          <w:i w:val="0"/>
          <w:color w:val="000000"/>
          <w:sz w:val="20"/>
          <w:u w:val="none"/>
        </w:rPr>
        <w:t>DEUDORES COMERCIALES Y OTRAS CUENTAS POR COBRAR.</w:t>
      </w:r>
    </w:p>
    <w:p>
      <w:pPr>
        <w:keepNext w:val="0"/>
        <w:keepLines/>
        <w:pageBreakBefore w:val="0"/>
        <w:widowControl w:val="0"/>
        <w:numPr>
          <w:ilvl w:val="0"/>
          <w:numId w:val="0"/>
        </w:numPr>
        <w:spacing w:before="0" w:after="0" w:line="288" w:lineRule="auto"/>
        <w:ind w:left="705" w:right="0" w:firstLine="0"/>
        <w:jc w:val="both"/>
        <w:outlineLvl w:val="9"/>
        <w:rPr>
          <w:rFonts w:ascii="Calibri" w:eastAsia="Calibri" w:hAnsi="Calibri" w:cs="Calibri"/>
          <w:b w:val="0"/>
          <w:i w:val="0"/>
          <w:color w:val="000000"/>
          <w:sz w:val="20"/>
          <w:u w:val="none"/>
        </w:rPr>
      </w:pPr>
      <w:bookmarkEnd w:id="108"/>
    </w:p>
    <w:p>
      <w:pPr>
        <w:keepNext w:val="0"/>
        <w:keepLines/>
        <w:pageBreakBefore w:val="0"/>
        <w:widowControl w:val="0"/>
        <w:numPr>
          <w:ilvl w:val="0"/>
          <w:numId w:val="0"/>
        </w:numPr>
        <w:spacing w:before="0" w:after="0" w:line="288" w:lineRule="auto"/>
        <w:ind w:left="705" w:right="0" w:firstLine="0"/>
        <w:jc w:val="both"/>
        <w:outlineLvl w:val="9"/>
        <w:sectPr>
          <w:type w:val="continuous"/>
          <w:pgSz w:w="12240" w:h="15840"/>
          <w:pgMar w:top="1134" w:right="1134" w:bottom="1134" w:left="1134" w:header="0" w:footer="420"/>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109" w:name="Section58"/>
      <w:bookmarkEnd w:id="109"/>
      <w:bookmarkStart w:id="110" w:name="d6d259d048a84e43a0cbe554bee07351"/>
      <w:r>
        <w:rPr>
          <w:rFonts w:ascii="Calibri" w:eastAsia="Calibri" w:hAnsi="Calibri" w:cs="Calibri"/>
          <w:b/>
          <w:i w:val="0"/>
          <w:color w:val="000000"/>
          <w:sz w:val="20"/>
          <w:u w:val="none"/>
        </w:rPr>
        <w:t>8.1.-</w:t>
      </w:r>
      <w:r>
        <w:rPr>
          <w:rFonts w:ascii="Calibri" w:eastAsia="Calibri" w:hAnsi="Calibri" w:cs="Calibri"/>
          <w:b/>
          <w:i w:val="0"/>
          <w:color w:val="000000"/>
          <w:sz w:val="20"/>
          <w:u w:val="none"/>
        </w:rPr>
        <w:tab/>
      </w:r>
      <w:r>
        <w:rPr>
          <w:rFonts w:ascii="Calibri" w:eastAsia="Calibri" w:hAnsi="Calibri" w:cs="Calibri"/>
          <w:b/>
          <w:i w:val="0"/>
          <w:color w:val="000000"/>
          <w:sz w:val="20"/>
          <w:u w:val="none"/>
        </w:rPr>
        <w:t>Composición del rubro.</w:t>
      </w:r>
    </w:p>
    <w:p>
      <w:pPr>
        <w:keepNext w:val="0"/>
        <w:keepLines/>
        <w:pageBreakBefore w:val="0"/>
        <w:widowControl w:val="0"/>
        <w:numPr>
          <w:ilvl w:val="0"/>
          <w:numId w:val="0"/>
        </w:numPr>
        <w:spacing w:before="0" w:after="0" w:line="288" w:lineRule="auto"/>
        <w:ind w:left="705" w:right="0" w:firstLine="0"/>
        <w:jc w:val="both"/>
        <w:outlineLvl w:val="9"/>
        <w:rPr>
          <w:rFonts w:ascii="Calibri" w:eastAsia="Calibri" w:hAnsi="Calibri" w:cs="Calibri"/>
          <w:b w:val="0"/>
          <w:i w:val="0"/>
          <w:color w:val="000000"/>
          <w:sz w:val="20"/>
          <w:u w:val="none"/>
        </w:rPr>
      </w:pPr>
      <w:bookmarkEnd w:id="110"/>
    </w:p>
    <w:p>
      <w:pPr>
        <w:pStyle w:val="Normal-wk"/>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8.1.1.-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Clases de deudores comerciales y otras cuentas por cobrar, neto.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7845" w:type="dxa"/>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045"/>
        <w:gridCol w:w="1200"/>
        <w:gridCol w:w="1200"/>
        <w:gridCol w:w="1200"/>
        <w:gridCol w:w="1200"/>
      </w:tblGrid>
      <w:tr>
        <w:tblPrEx>
          <w:tblW w:w="7845" w:type="dxa"/>
          <w:tblInd w:w="2126" w:type="dxa"/>
          <w:tblLayout w:type="fixed"/>
        </w:tblPrEx>
        <w:trPr>
          <w:cantSplit/>
          <w:trHeight w:hRule="auto" w:val="0"/>
        </w:trPr>
        <w:tc>
          <w:tcPr>
            <w:tcW w:w="3045"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Clases de deudores comerciales y otras cuentas por cobrar, neto</w:t>
            </w:r>
          </w:p>
        </w:tc>
        <w:tc>
          <w:tcPr>
            <w:tcW w:w="2400"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Corrientes</w:t>
            </w:r>
          </w:p>
        </w:tc>
        <w:tc>
          <w:tcPr>
            <w:tcW w:w="240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No corrientes</w:t>
            </w:r>
          </w:p>
        </w:tc>
      </w:tr>
      <w:tr>
        <w:tblPrEx>
          <w:tblW w:w="7845" w:type="dxa"/>
          <w:tblInd w:w="2126" w:type="dxa"/>
          <w:tblLayout w:type="fixed"/>
        </w:tblPrEx>
        <w:trPr>
          <w:cantSplit/>
          <w:trHeight w:hRule="auto" w:val="0"/>
        </w:trPr>
        <w:tc>
          <w:tcPr>
            <w:tcW w:w="3045"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30-06-2026</w:t>
            </w:r>
          </w:p>
        </w:tc>
        <w:tc>
          <w:tcPr>
            <w:tcW w:w="1200" w:type="dxa"/>
            <w:tcBorders>
              <w:top w:val="single" w:sz="4" w:space="0" w:color="FFFFFF"/>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31-12-2025</w:t>
            </w:r>
          </w:p>
        </w:tc>
        <w:tc>
          <w:tcPr>
            <w:tcW w:w="1200"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30-06-2026</w:t>
            </w:r>
          </w:p>
        </w:tc>
        <w:tc>
          <w:tcPr>
            <w:tcW w:w="12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31-12-2025</w:t>
            </w:r>
          </w:p>
        </w:tc>
      </w:tr>
      <w:tr>
        <w:tblPrEx>
          <w:tblW w:w="7845" w:type="dxa"/>
          <w:tblInd w:w="2126" w:type="dxa"/>
          <w:tblLayout w:type="fixed"/>
        </w:tblPrEx>
        <w:trPr>
          <w:cantSplit/>
          <w:trHeight w:hRule="auto" w:val="0"/>
        </w:trPr>
        <w:tc>
          <w:tcPr>
            <w:tcW w:w="3045"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r>
      <w:tr>
        <w:tblPrEx>
          <w:tblW w:w="7845" w:type="dxa"/>
          <w:tblInd w:w="2126" w:type="dxa"/>
          <w:tblLayout w:type="fixed"/>
        </w:tblPrEx>
        <w:trPr>
          <w:cantSplit/>
          <w:trHeight w:hRule="auto" w:val="0"/>
        </w:trPr>
        <w:tc>
          <w:tcPr>
            <w:tcW w:w="3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Deudores comerciales, neto.</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(485.366)</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52.336.083</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7845" w:type="dxa"/>
          <w:tblInd w:w="2126" w:type="dxa"/>
          <w:tblLayout w:type="fixed"/>
        </w:tblPrEx>
        <w:trPr>
          <w:cantSplit/>
          <w:trHeight w:hRule="auto" w:val="0"/>
        </w:trPr>
        <w:tc>
          <w:tcPr>
            <w:tcW w:w="3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 xml:space="preserve">Otras cuentas por cobrar, neto.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3.067.972</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16.428</w:t>
            </w:r>
          </w:p>
        </w:tc>
      </w:tr>
      <w:tr>
        <w:tblPrEx>
          <w:tblW w:w="7845" w:type="dxa"/>
          <w:tblInd w:w="2126" w:type="dxa"/>
          <w:tblLayout w:type="fixed"/>
        </w:tblPrEx>
        <w:trPr>
          <w:cantSplit/>
          <w:trHeight w:hRule="auto" w:val="0"/>
        </w:trPr>
        <w:tc>
          <w:tcPr>
            <w:tcW w:w="3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 xml:space="preserve">Total </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(485.366)</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55.404.055</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16.428</w:t>
            </w:r>
          </w:p>
        </w:tc>
      </w:tr>
    </w:tbl>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sz w:val="20"/>
        </w:rPr>
      </w:pPr>
    </w:p>
    <w:p>
      <w:pPr>
        <w:pStyle w:val="Normal-wk"/>
        <w:keepNext/>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8.1.2.-</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Detalle de otras cuentas por cobrar, neto.</w:t>
      </w:r>
    </w:p>
    <w:p>
      <w:pPr>
        <w:keepNext/>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7845" w:type="dxa"/>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045"/>
        <w:gridCol w:w="1200"/>
        <w:gridCol w:w="1200"/>
        <w:gridCol w:w="1200"/>
        <w:gridCol w:w="1200"/>
      </w:tblGrid>
      <w:tr>
        <w:tblPrEx>
          <w:tblW w:w="7845" w:type="dxa"/>
          <w:tblInd w:w="2126" w:type="dxa"/>
          <w:tblLayout w:type="fixed"/>
        </w:tblPrEx>
        <w:trPr>
          <w:cantSplit/>
          <w:trHeight w:hRule="auto" w:val="0"/>
        </w:trPr>
        <w:tc>
          <w:tcPr>
            <w:tcW w:w="3045"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Otras cuentas por cobrar, neto</w:t>
            </w:r>
          </w:p>
        </w:tc>
        <w:tc>
          <w:tcPr>
            <w:tcW w:w="2400"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Corrientes</w:t>
            </w:r>
          </w:p>
        </w:tc>
        <w:tc>
          <w:tcPr>
            <w:tcW w:w="240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No corrientes</w:t>
            </w:r>
          </w:p>
        </w:tc>
      </w:tr>
      <w:tr>
        <w:tblPrEx>
          <w:tblW w:w="7845" w:type="dxa"/>
          <w:tblInd w:w="2126" w:type="dxa"/>
          <w:tblLayout w:type="fixed"/>
        </w:tblPrEx>
        <w:trPr>
          <w:cantSplit/>
          <w:trHeight w:hRule="auto" w:val="0"/>
        </w:trPr>
        <w:tc>
          <w:tcPr>
            <w:tcW w:w="3045"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30-06-2026</w:t>
            </w:r>
          </w:p>
        </w:tc>
        <w:tc>
          <w:tcPr>
            <w:tcW w:w="1200" w:type="dxa"/>
            <w:tcBorders>
              <w:top w:val="single" w:sz="4" w:space="0" w:color="FFFFFF"/>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31-12-2025</w:t>
            </w:r>
          </w:p>
        </w:tc>
        <w:tc>
          <w:tcPr>
            <w:tcW w:w="1200"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30-06-2026</w:t>
            </w:r>
          </w:p>
        </w:tc>
        <w:tc>
          <w:tcPr>
            <w:tcW w:w="12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31-12-2025</w:t>
            </w:r>
          </w:p>
        </w:tc>
      </w:tr>
      <w:tr>
        <w:tblPrEx>
          <w:tblW w:w="7845" w:type="dxa"/>
          <w:tblInd w:w="2126" w:type="dxa"/>
          <w:tblLayout w:type="fixed"/>
        </w:tblPrEx>
        <w:trPr>
          <w:cantSplit/>
          <w:trHeight w:hRule="auto" w:val="0"/>
        </w:trPr>
        <w:tc>
          <w:tcPr>
            <w:tcW w:w="3045"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r>
      <w:tr>
        <w:tblPrEx>
          <w:tblW w:w="7845" w:type="dxa"/>
          <w:tblInd w:w="2126" w:type="dxa"/>
          <w:tblLayout w:type="fixed"/>
        </w:tblPrEx>
        <w:trPr>
          <w:cantSplit/>
          <w:trHeight w:hRule="exact" w:val="60"/>
        </w:trPr>
        <w:tc>
          <w:tcPr>
            <w:tcW w:w="30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3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i w:val="0"/>
                <w:color w:val="FFFFFF"/>
                <w:sz w:val="16"/>
                <w:u w:val="none"/>
              </w:rPr>
              <w:t>Por cobrar al personal</w:t>
            </w:r>
          </w:p>
        </w:tc>
        <w:tc>
          <w:tcPr>
            <w:tcW w:w="12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3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Préstamos al personal.</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173.291</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16.428</w:t>
            </w:r>
          </w:p>
        </w:tc>
      </w:tr>
      <w:tr>
        <w:tblPrEx>
          <w:tblW w:w="7845" w:type="dxa"/>
          <w:tblInd w:w="2126" w:type="dxa"/>
          <w:tblLayout w:type="fixed"/>
        </w:tblPrEx>
        <w:trPr>
          <w:cantSplit/>
          <w:trHeight w:hRule="auto" w:val="0"/>
        </w:trPr>
        <w:tc>
          <w:tcPr>
            <w:tcW w:w="3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Anticipo de remuneraciones.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37.588</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7845" w:type="dxa"/>
          <w:tblInd w:w="2126" w:type="dxa"/>
          <w:tblLayout w:type="fixed"/>
        </w:tblPrEx>
        <w:trPr>
          <w:cantSplit/>
          <w:trHeight w:hRule="auto" w:val="0"/>
        </w:trPr>
        <w:tc>
          <w:tcPr>
            <w:tcW w:w="3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Fondos por rendir.</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24.302</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7845" w:type="dxa"/>
          <w:tblInd w:w="2126" w:type="dxa"/>
          <w:tblLayout w:type="fixed"/>
        </w:tblPrEx>
        <w:trPr>
          <w:cantSplit/>
          <w:trHeight w:hRule="auto" w:val="0"/>
        </w:trPr>
        <w:tc>
          <w:tcPr>
            <w:tcW w:w="3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i w:val="0"/>
                <w:color w:val="FFFFFF"/>
                <w:sz w:val="16"/>
                <w:u w:val="none"/>
              </w:rPr>
              <w:t xml:space="preserve">Sub total </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235.181</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16.428</w:t>
            </w:r>
          </w:p>
        </w:tc>
      </w:tr>
      <w:tr>
        <w:tblPrEx>
          <w:tblW w:w="7845" w:type="dxa"/>
          <w:tblInd w:w="2126" w:type="dxa"/>
          <w:tblLayout w:type="fixed"/>
        </w:tblPrEx>
        <w:trPr>
          <w:cantSplit/>
          <w:trHeight w:hRule="auto" w:val="0"/>
        </w:trPr>
        <w:tc>
          <w:tcPr>
            <w:tcW w:w="30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3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i w:val="0"/>
                <w:color w:val="FFFFFF"/>
                <w:sz w:val="16"/>
                <w:u w:val="none"/>
              </w:rPr>
              <w:t>Impuestos por recuperar</w:t>
            </w:r>
          </w:p>
        </w:tc>
        <w:tc>
          <w:tcPr>
            <w:tcW w:w="12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exact" w:val="255"/>
        </w:trPr>
        <w:tc>
          <w:tcPr>
            <w:tcW w:w="3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48" w:after="30" w:line="240" w:lineRule="auto"/>
              <w:jc w:val="left"/>
            </w:pPr>
            <w:r>
              <w:rPr>
                <w:rFonts w:ascii="Calibri" w:eastAsia="Calibri" w:hAnsi="Calibri" w:cs="Calibri"/>
                <w:b w:val="0"/>
                <w:i w:val="0"/>
                <w:color w:val="000000"/>
                <w:sz w:val="16"/>
                <w:u w:val="none"/>
              </w:rPr>
              <w:t>Iva crédito fiscal.</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val="0"/>
                <w:i w:val="0"/>
                <w:color w:val="000000"/>
                <w:sz w:val="16"/>
                <w:u w:val="none"/>
              </w:rPr>
              <w:t>1.082.082</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48" w:after="30" w:line="240" w:lineRule="auto"/>
              <w:jc w:val="right"/>
            </w:pPr>
          </w:p>
        </w:tc>
      </w:tr>
      <w:tr>
        <w:tblPrEx>
          <w:tblW w:w="7845" w:type="dxa"/>
          <w:tblInd w:w="2126" w:type="dxa"/>
          <w:tblLayout w:type="fixed"/>
        </w:tblPrEx>
        <w:trPr>
          <w:cantSplit/>
          <w:trHeight w:hRule="auto" w:val="0"/>
        </w:trPr>
        <w:tc>
          <w:tcPr>
            <w:tcW w:w="3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i w:val="0"/>
                <w:color w:val="FFFFFF"/>
                <w:sz w:val="16"/>
                <w:u w:val="none"/>
              </w:rPr>
              <w:t xml:space="preserve">Sub total </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1.082.082</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r>
      <w:tr>
        <w:tblPrEx>
          <w:tblW w:w="7845" w:type="dxa"/>
          <w:tblInd w:w="2126" w:type="dxa"/>
          <w:tblLayout w:type="fixed"/>
        </w:tblPrEx>
        <w:trPr>
          <w:cantSplit/>
          <w:trHeight w:hRule="auto" w:val="0"/>
        </w:trPr>
        <w:tc>
          <w:tcPr>
            <w:tcW w:w="30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3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i w:val="0"/>
                <w:color w:val="FFFFFF"/>
                <w:sz w:val="16"/>
                <w:u w:val="none"/>
              </w:rPr>
              <w:t>Deudores varios</w:t>
            </w:r>
          </w:p>
        </w:tc>
        <w:tc>
          <w:tcPr>
            <w:tcW w:w="12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3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Deudores varios.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128.397</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7845" w:type="dxa"/>
          <w:tblInd w:w="2126" w:type="dxa"/>
          <w:tblLayout w:type="fixed"/>
        </w:tblPrEx>
        <w:trPr>
          <w:cantSplit/>
          <w:trHeight w:hRule="auto" w:val="0"/>
        </w:trPr>
        <w:tc>
          <w:tcPr>
            <w:tcW w:w="3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Anticipo proveedores.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1.491.074</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7845" w:type="dxa"/>
          <w:tblInd w:w="2126" w:type="dxa"/>
          <w:tblLayout w:type="fixed"/>
        </w:tblPrEx>
        <w:trPr>
          <w:cantSplit/>
          <w:trHeight w:hRule="exact" w:val="255"/>
        </w:trPr>
        <w:tc>
          <w:tcPr>
            <w:tcW w:w="3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48" w:after="30" w:line="240" w:lineRule="auto"/>
              <w:jc w:val="left"/>
            </w:pPr>
            <w:r>
              <w:rPr>
                <w:rFonts w:ascii="Calibri" w:eastAsia="Calibri" w:hAnsi="Calibri" w:cs="Calibri"/>
                <w:b w:val="0"/>
                <w:i w:val="0"/>
                <w:color w:val="000000"/>
                <w:sz w:val="16"/>
                <w:u w:val="none"/>
              </w:rPr>
              <w:t>Otros documentos por cobrar.</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val="0"/>
                <w:i w:val="0"/>
                <w:color w:val="000000"/>
                <w:sz w:val="16"/>
                <w:u w:val="none"/>
              </w:rPr>
              <w:t>148.723</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48" w:after="30" w:line="240" w:lineRule="auto"/>
              <w:jc w:val="right"/>
            </w:pPr>
          </w:p>
        </w:tc>
      </w:tr>
      <w:tr>
        <w:tblPrEx>
          <w:tblW w:w="7845" w:type="dxa"/>
          <w:tblInd w:w="2126" w:type="dxa"/>
          <w:tblLayout w:type="fixed"/>
        </w:tblPrEx>
        <w:trPr>
          <w:cantSplit/>
          <w:trHeight w:hRule="auto" w:val="0"/>
        </w:trPr>
        <w:tc>
          <w:tcPr>
            <w:tcW w:w="3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Provisión de deterioro.</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(17.485)</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7845" w:type="dxa"/>
          <w:tblInd w:w="2126" w:type="dxa"/>
          <w:tblLayout w:type="fixed"/>
        </w:tblPrEx>
        <w:trPr>
          <w:cantSplit/>
          <w:trHeight w:hRule="auto" w:val="0"/>
        </w:trPr>
        <w:tc>
          <w:tcPr>
            <w:tcW w:w="3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i w:val="0"/>
                <w:color w:val="FFFFFF"/>
                <w:sz w:val="16"/>
                <w:u w:val="none"/>
              </w:rPr>
              <w:t xml:space="preserve">Sub total </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1.750.709</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r>
      <w:tr>
        <w:tblPrEx>
          <w:tblW w:w="7845" w:type="dxa"/>
          <w:tblInd w:w="2126" w:type="dxa"/>
          <w:tblLayout w:type="fixed"/>
        </w:tblPrEx>
        <w:trPr>
          <w:cantSplit/>
          <w:trHeight w:hRule="auto" w:val="0"/>
        </w:trPr>
        <w:tc>
          <w:tcPr>
            <w:tcW w:w="30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3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 xml:space="preserve">Total </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3.067.972</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16.428</w:t>
            </w:r>
          </w:p>
        </w:tc>
      </w:tr>
    </w:tbl>
    <w:p>
      <w:pPr>
        <w:keepNext w:val="0"/>
        <w:keepLines/>
        <w:pageBreakBefore w:val="0"/>
        <w:widowControl w:val="0"/>
        <w:numPr>
          <w:ilvl w:val="0"/>
          <w:numId w:val="0"/>
        </w:numPr>
        <w:spacing w:before="0" w:after="0" w:line="288" w:lineRule="auto"/>
        <w:ind w:left="1701"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2126" w:right="0" w:hanging="709"/>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8.1.3.- </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Clases de deudores comerciales y otras cuentas por cobrar, bruto.</w:t>
      </w:r>
    </w:p>
    <w:p>
      <w:pPr>
        <w:keepNext w:val="0"/>
        <w:keepLines/>
        <w:pageBreakBefore w:val="0"/>
        <w:widowControl w:val="0"/>
        <w:numPr>
          <w:ilvl w:val="0"/>
          <w:numId w:val="0"/>
        </w:numPr>
        <w:spacing w:before="0" w:after="0" w:line="288" w:lineRule="auto"/>
        <w:ind w:left="2126" w:right="0" w:hanging="709"/>
        <w:jc w:val="both"/>
        <w:outlineLvl w:val="9"/>
        <w:rPr>
          <w:rFonts w:ascii="Calibri" w:eastAsia="Calibri" w:hAnsi="Calibri" w:cs="Calibri"/>
          <w:b w:val="0"/>
          <w:i w:val="0"/>
          <w:color w:val="000000"/>
          <w:sz w:val="20"/>
          <w:u w:val="none"/>
        </w:rPr>
      </w:pPr>
    </w:p>
    <w:tbl>
      <w:tblPr>
        <w:tblW w:w="7845" w:type="dxa"/>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045"/>
        <w:gridCol w:w="1200"/>
        <w:gridCol w:w="1200"/>
        <w:gridCol w:w="1200"/>
        <w:gridCol w:w="1200"/>
      </w:tblGrid>
      <w:tr>
        <w:tblPrEx>
          <w:tblW w:w="7845" w:type="dxa"/>
          <w:tblInd w:w="2126" w:type="dxa"/>
          <w:tblLayout w:type="fixed"/>
        </w:tblPrEx>
        <w:trPr>
          <w:cantSplit/>
          <w:trHeight w:hRule="auto" w:val="0"/>
        </w:trPr>
        <w:tc>
          <w:tcPr>
            <w:tcW w:w="304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Clases de deudores comerciales y otras cuentas por cobrar, bruto</w:t>
            </w:r>
          </w:p>
        </w:tc>
        <w:tc>
          <w:tcPr>
            <w:tcW w:w="2400" w:type="dxa"/>
            <w:gridSpan w:val="2"/>
            <w:tcBorders>
              <w:top w:val="single" w:sz="2" w:space="0" w:color="000000"/>
              <w:left w:val="single" w:sz="4" w:space="0" w:color="FFFFFF"/>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Corrientes</w:t>
            </w:r>
          </w:p>
        </w:tc>
        <w:tc>
          <w:tcPr>
            <w:tcW w:w="2400" w:type="dxa"/>
            <w:gridSpan w:val="2"/>
            <w:tcBorders>
              <w:top w:val="single" w:sz="2" w:space="0" w:color="000000"/>
              <w:left w:val="single" w:sz="4" w:space="0" w:color="FFFFFF"/>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No corrientes</w:t>
            </w:r>
          </w:p>
        </w:tc>
      </w:tr>
      <w:tr>
        <w:tblPrEx>
          <w:tblW w:w="7845" w:type="dxa"/>
          <w:tblInd w:w="2126" w:type="dxa"/>
          <w:tblLayout w:type="fixed"/>
        </w:tblPrEx>
        <w:trPr>
          <w:cantSplit/>
          <w:trHeight w:hRule="auto" w:val="0"/>
        </w:trPr>
        <w:tc>
          <w:tcPr>
            <w:tcW w:w="3045"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30-06-2026</w:t>
            </w:r>
          </w:p>
        </w:tc>
        <w:tc>
          <w:tcPr>
            <w:tcW w:w="1200" w:type="dxa"/>
            <w:tcBorders>
              <w:top w:val="single" w:sz="4" w:space="0" w:color="FFFFFF"/>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31-12-2025</w:t>
            </w:r>
          </w:p>
        </w:tc>
        <w:tc>
          <w:tcPr>
            <w:tcW w:w="1200"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30-06-2026</w:t>
            </w:r>
          </w:p>
        </w:tc>
        <w:tc>
          <w:tcPr>
            <w:tcW w:w="12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31-12-2025</w:t>
            </w:r>
          </w:p>
        </w:tc>
      </w:tr>
      <w:tr>
        <w:tblPrEx>
          <w:tblW w:w="7845" w:type="dxa"/>
          <w:tblInd w:w="2126" w:type="dxa"/>
          <w:tblLayout w:type="fixed"/>
        </w:tblPrEx>
        <w:trPr>
          <w:cantSplit/>
          <w:trHeight w:hRule="auto" w:val="0"/>
        </w:trPr>
        <w:tc>
          <w:tcPr>
            <w:tcW w:w="3045"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r>
      <w:tr>
        <w:tblPrEx>
          <w:tblW w:w="7845" w:type="dxa"/>
          <w:tblInd w:w="2126" w:type="dxa"/>
          <w:tblLayout w:type="fixed"/>
        </w:tblPrEx>
        <w:trPr>
          <w:cantSplit/>
          <w:trHeight w:hRule="auto" w:val="0"/>
        </w:trPr>
        <w:tc>
          <w:tcPr>
            <w:tcW w:w="3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 xml:space="preserve"> Deudores comerciales, bruto.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53.298.661</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7845" w:type="dxa"/>
          <w:tblInd w:w="2126" w:type="dxa"/>
          <w:tblLayout w:type="fixed"/>
        </w:tblPrEx>
        <w:trPr>
          <w:cantSplit/>
          <w:trHeight w:hRule="auto" w:val="0"/>
        </w:trPr>
        <w:tc>
          <w:tcPr>
            <w:tcW w:w="3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 xml:space="preserve"> Otras cuentas por cobrar, bruto.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3.085.457</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16.428</w:t>
            </w:r>
          </w:p>
        </w:tc>
      </w:tr>
      <w:tr>
        <w:tblPrEx>
          <w:tblW w:w="7845" w:type="dxa"/>
          <w:tblInd w:w="2126" w:type="dxa"/>
          <w:tblLayout w:type="fixed"/>
        </w:tblPrEx>
        <w:trPr>
          <w:cantSplit/>
          <w:trHeight w:hRule="auto" w:val="0"/>
        </w:trPr>
        <w:tc>
          <w:tcPr>
            <w:tcW w:w="3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 xml:space="preserve">Total </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56.384.118</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16.428</w:t>
            </w:r>
          </w:p>
        </w:tc>
      </w:tr>
    </w:tbl>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8.1.4.-</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Deterioro de deudores comerciales y otras cuentas por cobrar.</w:t>
      </w:r>
    </w:p>
    <w:p>
      <w:pPr>
        <w:keepNext w:val="0"/>
        <w:keepLines/>
        <w:pageBreakBefore w:val="0"/>
        <w:widowControl w:val="0"/>
        <w:numPr>
          <w:ilvl w:val="0"/>
          <w:numId w:val="0"/>
        </w:numPr>
        <w:spacing w:before="0" w:after="0" w:line="288" w:lineRule="auto"/>
        <w:ind w:left="2126" w:right="0" w:hanging="709"/>
        <w:jc w:val="both"/>
        <w:outlineLvl w:val="9"/>
        <w:rPr>
          <w:rFonts w:ascii="Calibri" w:eastAsia="Calibri" w:hAnsi="Calibri" w:cs="Calibri"/>
          <w:b w:val="0"/>
          <w:i w:val="0"/>
          <w:color w:val="000000"/>
          <w:sz w:val="20"/>
          <w:u w:val="none"/>
        </w:rPr>
      </w:pPr>
    </w:p>
    <w:tbl>
      <w:tblPr>
        <w:tblW w:w="7845" w:type="dxa"/>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445"/>
        <w:gridCol w:w="1200"/>
        <w:gridCol w:w="1200"/>
      </w:tblGrid>
      <w:tr>
        <w:tblPrEx>
          <w:tblW w:w="7845" w:type="dxa"/>
          <w:tblInd w:w="2126" w:type="dxa"/>
          <w:tblLayout w:type="fixed"/>
        </w:tblPrEx>
        <w:trPr>
          <w:cantSplit/>
          <w:trHeight w:hRule="auto" w:val="0"/>
        </w:trPr>
        <w:tc>
          <w:tcPr>
            <w:tcW w:w="544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Importe en libros de deudores comerciales, otras cuentas por cobrar deteriorados</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6"/>
                <w:u w:val="none"/>
              </w:rPr>
              <w:t>30-06-2026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6"/>
                <w:u w:val="none"/>
              </w:rPr>
              <w:t>31-12-2025</w:t>
            </w:r>
          </w:p>
        </w:tc>
      </w:tr>
      <w:tr>
        <w:tblPrEx>
          <w:tblW w:w="7845" w:type="dxa"/>
          <w:tblInd w:w="2126" w:type="dxa"/>
          <w:tblLayout w:type="fixed"/>
        </w:tblPrEx>
        <w:trPr>
          <w:cantSplit/>
          <w:trHeight w:hRule="auto" w:val="0"/>
        </w:trPr>
        <w:tc>
          <w:tcPr>
            <w:tcW w:w="5445"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Deudores comerciales.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(485.366)</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(962.578)</w:t>
            </w: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Otras cuentas por cobrar.</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(17.485)</w:t>
            </w: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 xml:space="preserve">Total </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(485.366)</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(980.063)</w:t>
            </w:r>
          </w:p>
        </w:tc>
      </w:tr>
    </w:tbl>
    <w:p>
      <w:pPr>
        <w:keepNext w:val="0"/>
        <w:keepLines/>
        <w:pageBreakBefore w:val="0"/>
        <w:widowControl w:val="0"/>
        <w:numPr>
          <w:ilvl w:val="0"/>
          <w:numId w:val="0"/>
        </w:numPr>
        <w:spacing w:before="0" w:after="0" w:line="288" w:lineRule="auto"/>
        <w:ind w:left="2126" w:right="0" w:hanging="709"/>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p>
    <w:p>
      <w:pPr>
        <w:pStyle w:val="Normal-wk"/>
        <w:keepNext w:val="0"/>
        <w:keepLines/>
        <w:pageBreakBefore/>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movimiento de la provisión por deterioro de los deudores comerciales y otras cuentas por cobrar al </w:t>
      </w:r>
      <w:r>
        <w:rPr>
          <w:rFonts w:ascii="Calibri" w:eastAsia="Calibri" w:hAnsi="Calibri" w:cs="Calibri"/>
          <w:b w:val="0"/>
          <w:i w:val="0"/>
          <w:color w:val="000000"/>
          <w:sz w:val="20"/>
          <w:u w:val="none"/>
        </w:rPr>
        <w:t>30 de junio de 2026</w:t>
      </w:r>
      <w:r>
        <w:rPr>
          <w:rFonts w:ascii="Calibri" w:eastAsia="Calibri" w:hAnsi="Calibri" w:cs="Calibri"/>
          <w:b w:val="0"/>
          <w:i w:val="0"/>
          <w:sz w:val="20"/>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 xml:space="preserve"> se muestra en el siguiente cuadro: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7845" w:type="dxa"/>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445"/>
        <w:gridCol w:w="1200"/>
        <w:gridCol w:w="1200"/>
      </w:tblGrid>
      <w:tr>
        <w:tblPrEx>
          <w:tblW w:w="7845" w:type="dxa"/>
          <w:tblInd w:w="2126" w:type="dxa"/>
          <w:tblLayout w:type="fixed"/>
        </w:tblPrEx>
        <w:trPr>
          <w:cantSplit/>
          <w:trHeight w:hRule="auto" w:val="0"/>
        </w:trPr>
        <w:tc>
          <w:tcPr>
            <w:tcW w:w="544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Provisión deudores comerciales y otras cuentas por cobrar vencidos y no pagados con deterioro</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6"/>
                <w:u w:val="none"/>
              </w:rPr>
              <w:t>30-06-2026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6"/>
                <w:u w:val="none"/>
              </w:rPr>
              <w:t>31-12-2025</w:t>
            </w:r>
          </w:p>
        </w:tc>
      </w:tr>
      <w:tr>
        <w:tblPrEx>
          <w:tblW w:w="7845" w:type="dxa"/>
          <w:tblInd w:w="2126" w:type="dxa"/>
          <w:tblLayout w:type="fixed"/>
        </w:tblPrEx>
        <w:trPr>
          <w:cantSplit/>
          <w:trHeight w:hRule="auto" w:val="0"/>
        </w:trPr>
        <w:tc>
          <w:tcPr>
            <w:tcW w:w="5445"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 xml:space="preserve"> Saldo inicial.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(980.063)</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(937.025)</w:t>
            </w: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Baja (reversiones) de deudores comerciales y otras cuentas por cobrar deterioradas del período o ejercicio.</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(63.074)</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41.073</w:t>
            </w: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 xml:space="preserve"> (Aumento) disminución del periodo o ejercicio.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(84.111)</w:t>
            </w: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 xml:space="preserve">Total </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(1.043.137)</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(980.063)</w:t>
            </w:r>
          </w:p>
        </w:tc>
      </w:tr>
    </w:tbl>
    <w:p>
      <w:pPr>
        <w:keepNext w:val="0"/>
        <w:keepLines/>
        <w:pageBreakBefore w:val="0"/>
        <w:widowControl w:val="0"/>
        <w:numPr>
          <w:ilvl w:val="0"/>
          <w:numId w:val="0"/>
        </w:numPr>
        <w:spacing w:before="0" w:after="0" w:line="288" w:lineRule="auto"/>
        <w:ind w:left="1701"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valor justo de los deudores comerciales y otras cuentas por cobrar no difiere significativamente del valor de libros presentado. Asimismo, el valor libros de los deudores y clientes por cobrar en mora no deteriorados y deteriorados representan una aproximación razonable al valor justo de los mismos y consideran una provisión de deterioro cuando existe evidencia objetiva de que CGE Transmisión S.A. y subsidiarias no serán capaces de cobrar el importe que se le adeuda, ello aún luego de aplicar las acciones de cobranza.</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exposición máxima al riesgo de crédito a la fecha de reporte es el valor en libros de cada clase de cuenta por cobrar mencionada. </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Se consideran saldos de dudoso cobro, todos aquellos que se incluyen en la matriz de cálculo de pérdida esperada basado en la experiencia histórica de pérdidas crediticias de CGE Transmisión S.A. y subsidiarias, ajustada por factores prospectivos específicos para los deudores y el entorno económico.</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política de provisión de incobrables de CGE Transmisión S.A. y subsidiarias contempla la actualización de las variables macroeconómicas cuando lo amerite en caso de visualizar un cambio significativo. </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castigos tributarios son realizados en la medida que las deudas son declaradas sin posibilidad alguna de recupero, de acuerdo a las normas tributarias vigentes.</w:t>
      </w:r>
    </w:p>
    <w:p>
      <w:pPr>
        <w:pStyle w:val="Normal-wk"/>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0"/>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111" w:name="Section59"/>
      <w:bookmarkEnd w:id="111"/>
      <w:bookmarkStart w:id="112" w:name="80932c5b3cc14d34b3d6b6f6f4f16e5a"/>
      <w:r>
        <w:rPr>
          <w:rFonts w:ascii="Calibri" w:eastAsia="Calibri" w:hAnsi="Calibri" w:cs="Calibri"/>
          <w:b/>
          <w:i w:val="0"/>
          <w:color w:val="000000"/>
          <w:sz w:val="20"/>
          <w:u w:val="none"/>
        </w:rPr>
        <w:t>8.2.-</w:t>
      </w:r>
      <w:r>
        <w:rPr>
          <w:rFonts w:ascii="Calibri" w:eastAsia="Calibri" w:hAnsi="Calibri" w:cs="Calibri"/>
          <w:b/>
          <w:i w:val="0"/>
          <w:color w:val="000000"/>
          <w:sz w:val="20"/>
          <w:u w:val="none"/>
        </w:rPr>
        <w:tab/>
      </w:r>
      <w:r>
        <w:rPr>
          <w:rFonts w:ascii="Calibri" w:eastAsia="Calibri" w:hAnsi="Calibri" w:cs="Calibri"/>
          <w:b/>
          <w:i w:val="0"/>
          <w:color w:val="000000"/>
          <w:sz w:val="20"/>
          <w:u w:val="none"/>
        </w:rPr>
        <w:t>Estratificación de la cartera.</w:t>
      </w: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bookmarkEnd w:id="112"/>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estratificación de la cartera al </w:t>
      </w:r>
      <w:r>
        <w:rPr>
          <w:rFonts w:ascii="Calibri" w:eastAsia="Calibri" w:hAnsi="Calibri" w:cs="Calibri"/>
          <w:b w:val="0"/>
          <w:i w:val="0"/>
          <w:color w:val="000000"/>
          <w:sz w:val="20"/>
          <w:u w:val="none"/>
        </w:rPr>
        <w:t>30 de junio de 2026</w:t>
      </w:r>
      <w:r>
        <w:rPr>
          <w:rFonts w:ascii="Calibri" w:eastAsia="Calibri" w:hAnsi="Calibri" w:cs="Calibri"/>
          <w:b w:val="0"/>
          <w:i w:val="0"/>
          <w:sz w:val="20"/>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 xml:space="preserve"> es la siguiente: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13845"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560"/>
        <w:gridCol w:w="945"/>
        <w:gridCol w:w="945"/>
        <w:gridCol w:w="945"/>
        <w:gridCol w:w="945"/>
        <w:gridCol w:w="945"/>
        <w:gridCol w:w="945"/>
        <w:gridCol w:w="945"/>
        <w:gridCol w:w="945"/>
        <w:gridCol w:w="945"/>
        <w:gridCol w:w="945"/>
        <w:gridCol w:w="945"/>
        <w:gridCol w:w="945"/>
        <w:gridCol w:w="945"/>
      </w:tblGrid>
      <w:tr>
        <w:tblPrEx>
          <w:tblW w:w="13845" w:type="dxa"/>
          <w:tblInd w:w="709" w:type="dxa"/>
          <w:tblLayout w:type="fixed"/>
        </w:tblPrEx>
        <w:trPr>
          <w:cantSplit/>
          <w:trHeight w:hRule="auto" w:val="0"/>
        </w:trPr>
        <w:tc>
          <w:tcPr>
            <w:tcW w:w="156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30-06-2026</w:t>
            </w:r>
          </w:p>
        </w:tc>
        <w:tc>
          <w:tcPr>
            <w:tcW w:w="94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2"/>
                <w:u w:val="none"/>
              </w:rPr>
              <w:t xml:space="preserve">Cartera </w:t>
            </w:r>
          </w:p>
          <w:p>
            <w:pPr>
              <w:spacing w:after="0" w:line="240" w:lineRule="auto"/>
              <w:jc w:val="center"/>
            </w:pPr>
            <w:r>
              <w:rPr>
                <w:rFonts w:ascii="Calibri" w:eastAsia="Calibri" w:hAnsi="Calibri" w:cs="Calibri"/>
                <w:b/>
                <w:i w:val="0"/>
                <w:color w:val="FFFFFF"/>
                <w:sz w:val="12"/>
                <w:u w:val="none"/>
              </w:rPr>
              <w:t>al día</w:t>
            </w:r>
          </w:p>
        </w:tc>
        <w:tc>
          <w:tcPr>
            <w:tcW w:w="94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2"/>
                <w:u w:val="none"/>
              </w:rPr>
              <w:t xml:space="preserve">Morosidad </w:t>
            </w:r>
          </w:p>
          <w:p>
            <w:pPr>
              <w:spacing w:after="0" w:line="240" w:lineRule="auto"/>
              <w:jc w:val="center"/>
            </w:pPr>
            <w:r>
              <w:rPr>
                <w:rFonts w:ascii="Calibri" w:eastAsia="Calibri" w:hAnsi="Calibri" w:cs="Calibri"/>
                <w:b/>
                <w:i w:val="0"/>
                <w:color w:val="FFFFFF"/>
                <w:sz w:val="12"/>
                <w:u w:val="none"/>
              </w:rPr>
              <w:t>1-30 días</w:t>
            </w:r>
          </w:p>
        </w:tc>
        <w:tc>
          <w:tcPr>
            <w:tcW w:w="94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2"/>
                <w:u w:val="none"/>
              </w:rPr>
              <w:t xml:space="preserve">Morosidad </w:t>
            </w:r>
          </w:p>
          <w:p>
            <w:pPr>
              <w:spacing w:after="0" w:line="240" w:lineRule="auto"/>
              <w:jc w:val="center"/>
            </w:pPr>
            <w:r>
              <w:rPr>
                <w:rFonts w:ascii="Calibri" w:eastAsia="Calibri" w:hAnsi="Calibri" w:cs="Calibri"/>
                <w:b/>
                <w:i w:val="0"/>
                <w:color w:val="FFFFFF"/>
                <w:sz w:val="12"/>
                <w:u w:val="none"/>
              </w:rPr>
              <w:t>31-60 días</w:t>
            </w:r>
          </w:p>
        </w:tc>
        <w:tc>
          <w:tcPr>
            <w:tcW w:w="94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2"/>
                <w:u w:val="none"/>
              </w:rPr>
              <w:t xml:space="preserve">Morosidad </w:t>
            </w:r>
          </w:p>
          <w:p>
            <w:pPr>
              <w:spacing w:after="0" w:line="240" w:lineRule="auto"/>
              <w:jc w:val="center"/>
            </w:pPr>
            <w:r>
              <w:rPr>
                <w:rFonts w:ascii="Calibri" w:eastAsia="Calibri" w:hAnsi="Calibri" w:cs="Calibri"/>
                <w:b/>
                <w:i w:val="0"/>
                <w:color w:val="FFFFFF"/>
                <w:sz w:val="12"/>
                <w:u w:val="none"/>
              </w:rPr>
              <w:t>61-90 días</w:t>
            </w:r>
          </w:p>
        </w:tc>
        <w:tc>
          <w:tcPr>
            <w:tcW w:w="94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2"/>
                <w:u w:val="none"/>
              </w:rPr>
              <w:t xml:space="preserve">Morosidad </w:t>
            </w:r>
          </w:p>
          <w:p>
            <w:pPr>
              <w:spacing w:after="0" w:line="240" w:lineRule="auto"/>
              <w:jc w:val="center"/>
            </w:pPr>
            <w:r>
              <w:rPr>
                <w:rFonts w:ascii="Calibri" w:eastAsia="Calibri" w:hAnsi="Calibri" w:cs="Calibri"/>
                <w:b/>
                <w:i w:val="0"/>
                <w:color w:val="FFFFFF"/>
                <w:sz w:val="12"/>
                <w:u w:val="none"/>
              </w:rPr>
              <w:t>91-120 días</w:t>
            </w:r>
          </w:p>
        </w:tc>
        <w:tc>
          <w:tcPr>
            <w:tcW w:w="94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2"/>
                <w:u w:val="none"/>
              </w:rPr>
              <w:t xml:space="preserve">Morosidad </w:t>
            </w:r>
          </w:p>
          <w:p>
            <w:pPr>
              <w:spacing w:after="0" w:line="240" w:lineRule="auto"/>
              <w:jc w:val="center"/>
            </w:pPr>
            <w:r>
              <w:rPr>
                <w:rFonts w:ascii="Calibri" w:eastAsia="Calibri" w:hAnsi="Calibri" w:cs="Calibri"/>
                <w:b/>
                <w:i w:val="0"/>
                <w:color w:val="FFFFFF"/>
                <w:sz w:val="12"/>
                <w:u w:val="none"/>
              </w:rPr>
              <w:t>121-150 días</w:t>
            </w:r>
          </w:p>
        </w:tc>
        <w:tc>
          <w:tcPr>
            <w:tcW w:w="94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2"/>
                <w:u w:val="none"/>
              </w:rPr>
              <w:t xml:space="preserve">Morosidad </w:t>
            </w:r>
          </w:p>
          <w:p>
            <w:pPr>
              <w:spacing w:after="0" w:line="240" w:lineRule="auto"/>
              <w:jc w:val="center"/>
            </w:pPr>
            <w:r>
              <w:rPr>
                <w:rFonts w:ascii="Calibri" w:eastAsia="Calibri" w:hAnsi="Calibri" w:cs="Calibri"/>
                <w:b/>
                <w:i w:val="0"/>
                <w:color w:val="FFFFFF"/>
                <w:sz w:val="12"/>
                <w:u w:val="none"/>
              </w:rPr>
              <w:t>151-180 días</w:t>
            </w:r>
          </w:p>
        </w:tc>
        <w:tc>
          <w:tcPr>
            <w:tcW w:w="94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2"/>
                <w:u w:val="none"/>
              </w:rPr>
              <w:t xml:space="preserve">Morosidad </w:t>
            </w:r>
          </w:p>
          <w:p>
            <w:pPr>
              <w:spacing w:after="0" w:line="240" w:lineRule="auto"/>
              <w:jc w:val="center"/>
            </w:pPr>
            <w:r>
              <w:rPr>
                <w:rFonts w:ascii="Calibri" w:eastAsia="Calibri" w:hAnsi="Calibri" w:cs="Calibri"/>
                <w:b/>
                <w:i w:val="0"/>
                <w:color w:val="FFFFFF"/>
                <w:sz w:val="12"/>
                <w:u w:val="none"/>
              </w:rPr>
              <w:t>181-210 días</w:t>
            </w:r>
          </w:p>
        </w:tc>
        <w:tc>
          <w:tcPr>
            <w:tcW w:w="94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2"/>
                <w:u w:val="none"/>
              </w:rPr>
              <w:t xml:space="preserve">Morosidad </w:t>
            </w:r>
          </w:p>
          <w:p>
            <w:pPr>
              <w:spacing w:after="0" w:line="240" w:lineRule="auto"/>
              <w:jc w:val="center"/>
            </w:pPr>
            <w:r>
              <w:rPr>
                <w:rFonts w:ascii="Calibri" w:eastAsia="Calibri" w:hAnsi="Calibri" w:cs="Calibri"/>
                <w:b/>
                <w:i w:val="0"/>
                <w:color w:val="FFFFFF"/>
                <w:sz w:val="12"/>
                <w:u w:val="none"/>
              </w:rPr>
              <w:t>211-250 días</w:t>
            </w:r>
          </w:p>
        </w:tc>
        <w:tc>
          <w:tcPr>
            <w:tcW w:w="94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2"/>
                <w:u w:val="none"/>
              </w:rPr>
              <w:t xml:space="preserve">Morosidad </w:t>
            </w:r>
          </w:p>
          <w:p>
            <w:pPr>
              <w:spacing w:after="0" w:line="240" w:lineRule="auto"/>
              <w:jc w:val="center"/>
            </w:pPr>
            <w:r>
              <w:rPr>
                <w:rFonts w:ascii="Calibri" w:eastAsia="Calibri" w:hAnsi="Calibri" w:cs="Calibri"/>
                <w:b/>
                <w:i w:val="0"/>
                <w:color w:val="FFFFFF"/>
                <w:sz w:val="12"/>
                <w:u w:val="none"/>
              </w:rPr>
              <w:t>mayor a 251 días</w:t>
            </w:r>
          </w:p>
        </w:tc>
        <w:tc>
          <w:tcPr>
            <w:tcW w:w="94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Total deudores</w:t>
            </w:r>
          </w:p>
        </w:tc>
        <w:tc>
          <w:tcPr>
            <w:tcW w:w="94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2"/>
                <w:u w:val="none"/>
              </w:rPr>
              <w:t xml:space="preserve">Total </w:t>
            </w:r>
          </w:p>
          <w:p>
            <w:pPr>
              <w:spacing w:after="0" w:line="240" w:lineRule="auto"/>
              <w:jc w:val="center"/>
            </w:pPr>
            <w:r>
              <w:rPr>
                <w:rFonts w:ascii="Calibri" w:eastAsia="Calibri" w:hAnsi="Calibri" w:cs="Calibri"/>
                <w:b/>
                <w:i w:val="0"/>
                <w:color w:val="FFFFFF"/>
                <w:sz w:val="12"/>
                <w:u w:val="none"/>
              </w:rPr>
              <w:t>corrientes</w:t>
            </w:r>
          </w:p>
        </w:tc>
        <w:tc>
          <w:tcPr>
            <w:tcW w:w="945" w:type="dxa"/>
            <w:vMerge w:val="restart"/>
            <w:tcBorders>
              <w:top w:val="single" w:sz="2" w:space="0" w:color="000000"/>
              <w:left w:val="nil"/>
              <w:bottom w:val="nil"/>
              <w:right w:val="single" w:sz="2" w:space="0" w:color="000000"/>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2"/>
                <w:u w:val="none"/>
              </w:rPr>
              <w:t xml:space="preserve">Total </w:t>
            </w:r>
          </w:p>
          <w:p>
            <w:pPr>
              <w:spacing w:after="0" w:line="240" w:lineRule="auto"/>
              <w:jc w:val="center"/>
            </w:pPr>
            <w:r>
              <w:rPr>
                <w:rFonts w:ascii="Calibri" w:eastAsia="Calibri" w:hAnsi="Calibri" w:cs="Calibri"/>
                <w:b/>
                <w:i w:val="0"/>
                <w:color w:val="FFFFFF"/>
                <w:sz w:val="12"/>
                <w:u w:val="none"/>
              </w:rPr>
              <w:t>no corrientes</w:t>
            </w:r>
          </w:p>
        </w:tc>
      </w:tr>
      <w:tr>
        <w:tblPrEx>
          <w:tblW w:w="13845" w:type="dxa"/>
          <w:tblInd w:w="709" w:type="dxa"/>
          <w:tblLayout w:type="fixed"/>
        </w:tblPrEx>
        <w:trPr>
          <w:cantSplit/>
          <w:trHeight w:hRule="auto" w:val="0"/>
        </w:trPr>
        <w:tc>
          <w:tcPr>
            <w:tcW w:w="1560" w:type="dxa"/>
            <w:vMerge/>
            <w:tcBorders>
              <w:top w:val="nil"/>
              <w:left w:val="single" w:sz="2" w:space="0" w:color="000000"/>
              <w:bottom w:val="nil"/>
              <w:right w:val="single" w:sz="4" w:space="0" w:color="FFFFFF"/>
            </w:tcBorders>
          </w:tcPr>
          <w:p>
            <w:pPr>
              <w:keepNext/>
              <w:pageBreakBefore w:val="0"/>
            </w:pPr>
          </w:p>
        </w:tc>
        <w:tc>
          <w:tcPr>
            <w:tcW w:w="945" w:type="dxa"/>
            <w:vMerge/>
            <w:tcBorders>
              <w:top w:val="nil"/>
              <w:left w:val="nil"/>
              <w:bottom w:val="nil"/>
              <w:right w:val="single" w:sz="4" w:space="0" w:color="FFFFFF"/>
            </w:tcBorders>
          </w:tcPr>
          <w:p>
            <w:pPr>
              <w:keepNext/>
              <w:pageBreakBefore w:val="0"/>
            </w:pPr>
          </w:p>
        </w:tc>
        <w:tc>
          <w:tcPr>
            <w:tcW w:w="945" w:type="dxa"/>
            <w:vMerge/>
            <w:tcBorders>
              <w:top w:val="nil"/>
              <w:left w:val="nil"/>
              <w:bottom w:val="nil"/>
              <w:right w:val="single" w:sz="4" w:space="0" w:color="FFFFFF"/>
            </w:tcBorders>
          </w:tcPr>
          <w:p>
            <w:pPr>
              <w:keepNext/>
              <w:pageBreakBefore w:val="0"/>
            </w:pPr>
          </w:p>
        </w:tc>
        <w:tc>
          <w:tcPr>
            <w:tcW w:w="945" w:type="dxa"/>
            <w:vMerge/>
            <w:tcBorders>
              <w:top w:val="nil"/>
              <w:left w:val="nil"/>
              <w:bottom w:val="nil"/>
              <w:right w:val="single" w:sz="4" w:space="0" w:color="FFFFFF"/>
            </w:tcBorders>
          </w:tcPr>
          <w:p>
            <w:pPr>
              <w:keepNext/>
              <w:pageBreakBefore w:val="0"/>
            </w:pPr>
          </w:p>
        </w:tc>
        <w:tc>
          <w:tcPr>
            <w:tcW w:w="945" w:type="dxa"/>
            <w:vMerge/>
            <w:tcBorders>
              <w:top w:val="nil"/>
              <w:left w:val="nil"/>
              <w:bottom w:val="nil"/>
              <w:right w:val="single" w:sz="4" w:space="0" w:color="FFFFFF"/>
            </w:tcBorders>
          </w:tcPr>
          <w:p>
            <w:pPr>
              <w:keepNext/>
              <w:pageBreakBefore w:val="0"/>
            </w:pPr>
          </w:p>
        </w:tc>
        <w:tc>
          <w:tcPr>
            <w:tcW w:w="945" w:type="dxa"/>
            <w:vMerge/>
            <w:tcBorders>
              <w:top w:val="nil"/>
              <w:left w:val="nil"/>
              <w:bottom w:val="nil"/>
              <w:right w:val="single" w:sz="4" w:space="0" w:color="FFFFFF"/>
            </w:tcBorders>
          </w:tcPr>
          <w:p>
            <w:pPr>
              <w:keepNext/>
              <w:pageBreakBefore w:val="0"/>
            </w:pPr>
          </w:p>
        </w:tc>
        <w:tc>
          <w:tcPr>
            <w:tcW w:w="945" w:type="dxa"/>
            <w:vMerge/>
            <w:tcBorders>
              <w:top w:val="nil"/>
              <w:left w:val="nil"/>
              <w:bottom w:val="nil"/>
              <w:right w:val="single" w:sz="4" w:space="0" w:color="FFFFFF"/>
            </w:tcBorders>
          </w:tcPr>
          <w:p>
            <w:pPr>
              <w:keepNext/>
              <w:pageBreakBefore w:val="0"/>
            </w:pPr>
          </w:p>
        </w:tc>
        <w:tc>
          <w:tcPr>
            <w:tcW w:w="945" w:type="dxa"/>
            <w:vMerge/>
            <w:tcBorders>
              <w:top w:val="nil"/>
              <w:left w:val="nil"/>
              <w:bottom w:val="nil"/>
              <w:right w:val="single" w:sz="4" w:space="0" w:color="FFFFFF"/>
            </w:tcBorders>
          </w:tcPr>
          <w:p>
            <w:pPr>
              <w:keepNext/>
              <w:pageBreakBefore w:val="0"/>
            </w:pPr>
          </w:p>
        </w:tc>
        <w:tc>
          <w:tcPr>
            <w:tcW w:w="945" w:type="dxa"/>
            <w:vMerge/>
            <w:tcBorders>
              <w:top w:val="nil"/>
              <w:left w:val="nil"/>
              <w:bottom w:val="nil"/>
              <w:right w:val="single" w:sz="4" w:space="0" w:color="FFFFFF"/>
            </w:tcBorders>
          </w:tcPr>
          <w:p>
            <w:pPr>
              <w:keepNext/>
              <w:pageBreakBefore w:val="0"/>
            </w:pPr>
          </w:p>
        </w:tc>
        <w:tc>
          <w:tcPr>
            <w:tcW w:w="945" w:type="dxa"/>
            <w:vMerge/>
            <w:tcBorders>
              <w:top w:val="nil"/>
              <w:left w:val="nil"/>
              <w:bottom w:val="nil"/>
              <w:right w:val="single" w:sz="4" w:space="0" w:color="FFFFFF"/>
            </w:tcBorders>
          </w:tcPr>
          <w:p>
            <w:pPr>
              <w:keepNext/>
              <w:pageBreakBefore w:val="0"/>
            </w:pPr>
          </w:p>
        </w:tc>
        <w:tc>
          <w:tcPr>
            <w:tcW w:w="945" w:type="dxa"/>
            <w:vMerge/>
            <w:tcBorders>
              <w:top w:val="nil"/>
              <w:left w:val="nil"/>
              <w:bottom w:val="nil"/>
              <w:right w:val="single" w:sz="4" w:space="0" w:color="FFFFFF"/>
            </w:tcBorders>
          </w:tcPr>
          <w:p>
            <w:pPr>
              <w:keepNext/>
              <w:pageBreakBefore w:val="0"/>
            </w:pPr>
          </w:p>
        </w:tc>
        <w:tc>
          <w:tcPr>
            <w:tcW w:w="945" w:type="dxa"/>
            <w:vMerge/>
            <w:tcBorders>
              <w:top w:val="nil"/>
              <w:left w:val="nil"/>
              <w:bottom w:val="nil"/>
              <w:right w:val="single" w:sz="4" w:space="0" w:color="FFFFFF"/>
            </w:tcBorders>
          </w:tcPr>
          <w:p>
            <w:pPr>
              <w:keepNext/>
              <w:pageBreakBefore w:val="0"/>
            </w:pPr>
          </w:p>
        </w:tc>
        <w:tc>
          <w:tcPr>
            <w:tcW w:w="945" w:type="dxa"/>
            <w:vMerge/>
            <w:tcBorders>
              <w:top w:val="nil"/>
              <w:left w:val="nil"/>
              <w:bottom w:val="nil"/>
              <w:right w:val="single" w:sz="4" w:space="0" w:color="FFFFFF"/>
            </w:tcBorders>
          </w:tcPr>
          <w:p>
            <w:pPr>
              <w:keepNext/>
              <w:pageBreakBefore w:val="0"/>
            </w:pPr>
          </w:p>
        </w:tc>
        <w:tc>
          <w:tcPr>
            <w:tcW w:w="945" w:type="dxa"/>
            <w:vMerge/>
            <w:tcBorders>
              <w:top w:val="nil"/>
              <w:left w:val="nil"/>
              <w:bottom w:val="nil"/>
              <w:right w:val="single" w:sz="2" w:space="0" w:color="000000"/>
            </w:tcBorders>
          </w:tcPr>
          <w:p>
            <w:pPr>
              <w:keepNext/>
              <w:pageBreakBefore w:val="0"/>
            </w:pPr>
          </w:p>
        </w:tc>
      </w:tr>
      <w:tr>
        <w:tblPrEx>
          <w:tblW w:w="13845" w:type="dxa"/>
          <w:tblInd w:w="709" w:type="dxa"/>
          <w:tblLayout w:type="fixed"/>
        </w:tblPrEx>
        <w:trPr>
          <w:cantSplit/>
          <w:trHeight w:hRule="auto" w:val="0"/>
        </w:trPr>
        <w:tc>
          <w:tcPr>
            <w:tcW w:w="1560" w:type="dxa"/>
            <w:vMerge/>
            <w:tcBorders>
              <w:top w:val="nil"/>
              <w:left w:val="single" w:sz="2" w:space="0" w:color="000000"/>
              <w:bottom w:val="single" w:sz="2" w:space="0" w:color="000000"/>
              <w:right w:val="nil"/>
            </w:tcBorders>
          </w:tcPr>
          <w:p>
            <w:pPr>
              <w:keepNext/>
              <w:pageBreakBefore w:val="0"/>
            </w:pPr>
          </w:p>
        </w:tc>
        <w:tc>
          <w:tcPr>
            <w:tcW w:w="9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4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r>
      <w:tr>
        <w:tblPrEx>
          <w:tblW w:w="13845" w:type="dxa"/>
          <w:tblInd w:w="709" w:type="dxa"/>
          <w:tblLayout w:type="fixed"/>
        </w:tblPrEx>
        <w:trPr>
          <w:cantSplit/>
          <w:trHeight w:hRule="auto" w:val="0"/>
        </w:trPr>
        <w:tc>
          <w:tcPr>
            <w:tcW w:w="1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2"/>
                <w:u w:val="none"/>
              </w:rPr>
              <w:t xml:space="preserve"> Deudores comerciales, bruto. </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50.920.465</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1.298.623</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778.850</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1.084.996</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626.608</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326.904</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100.356</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22.808</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31.343</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724.645</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55.915.598</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55.915.598</w:t>
            </w:r>
          </w:p>
        </w:tc>
        <w:tc>
          <w:tcPr>
            <w:tcW w:w="94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13845" w:type="dxa"/>
          <w:tblInd w:w="709" w:type="dxa"/>
          <w:tblLayout w:type="fixed"/>
        </w:tblPrEx>
        <w:trPr>
          <w:cantSplit/>
          <w:trHeight w:hRule="auto" w:val="0"/>
        </w:trPr>
        <w:tc>
          <w:tcPr>
            <w:tcW w:w="1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2"/>
                <w:u w:val="none"/>
              </w:rPr>
              <w:t xml:space="preserve"> Otras cuentas por cobrar, bruto. </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252.465</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252.465</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235.989</w:t>
            </w:r>
          </w:p>
        </w:tc>
        <w:tc>
          <w:tcPr>
            <w:tcW w:w="94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7.350</w:t>
            </w:r>
          </w:p>
        </w:tc>
      </w:tr>
      <w:tr>
        <w:tblPrEx>
          <w:tblW w:w="13845" w:type="dxa"/>
          <w:tblInd w:w="709" w:type="dxa"/>
          <w:tblLayout w:type="fixed"/>
        </w:tblPrEx>
        <w:trPr>
          <w:cantSplit/>
          <w:trHeight w:hRule="auto" w:val="0"/>
        </w:trPr>
        <w:tc>
          <w:tcPr>
            <w:tcW w:w="1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2"/>
                <w:u w:val="none"/>
              </w:rPr>
              <w:t xml:space="preserve"> Provisión deterioro Deudores Comerciales.</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(34.996)</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(29.920)</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(44.633)</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(114.041)</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(87.706)</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(62.502)</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(24.745)</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(8.304)</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(11.777)</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(567.883)</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(986.507)</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(986.507)</w:t>
            </w:r>
          </w:p>
        </w:tc>
        <w:tc>
          <w:tcPr>
            <w:tcW w:w="94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13845" w:type="dxa"/>
          <w:tblInd w:w="709" w:type="dxa"/>
          <w:tblLayout w:type="fixed"/>
        </w:tblPrEx>
        <w:trPr>
          <w:cantSplit/>
          <w:trHeight w:hRule="auto" w:val="0"/>
        </w:trPr>
        <w:tc>
          <w:tcPr>
            <w:tcW w:w="1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2"/>
                <w:u w:val="none"/>
              </w:rPr>
              <w:t xml:space="preserve"> Provisión deterioro otras cuentas por cobrar.</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13845" w:type="dxa"/>
          <w:tblInd w:w="709" w:type="dxa"/>
          <w:tblLayout w:type="fixed"/>
        </w:tblPrEx>
        <w:trPr>
          <w:cantSplit/>
          <w:trHeight w:hRule="auto" w:val="0"/>
        </w:trPr>
        <w:tc>
          <w:tcPr>
            <w:tcW w:w="1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2"/>
                <w:u w:val="none"/>
              </w:rPr>
              <w:t xml:space="preserve">Total </w:t>
            </w:r>
          </w:p>
        </w:tc>
        <w:tc>
          <w:tcPr>
            <w:tcW w:w="9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51.137.934</w:t>
            </w:r>
          </w:p>
        </w:tc>
        <w:tc>
          <w:tcPr>
            <w:tcW w:w="9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1.268.703</w:t>
            </w:r>
          </w:p>
        </w:tc>
        <w:tc>
          <w:tcPr>
            <w:tcW w:w="9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734.217</w:t>
            </w:r>
          </w:p>
        </w:tc>
        <w:tc>
          <w:tcPr>
            <w:tcW w:w="9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970.955</w:t>
            </w:r>
          </w:p>
        </w:tc>
        <w:tc>
          <w:tcPr>
            <w:tcW w:w="9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538.902</w:t>
            </w:r>
          </w:p>
        </w:tc>
        <w:tc>
          <w:tcPr>
            <w:tcW w:w="9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264.402</w:t>
            </w:r>
          </w:p>
        </w:tc>
        <w:tc>
          <w:tcPr>
            <w:tcW w:w="9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75.611</w:t>
            </w:r>
          </w:p>
        </w:tc>
        <w:tc>
          <w:tcPr>
            <w:tcW w:w="9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14.504</w:t>
            </w:r>
          </w:p>
        </w:tc>
        <w:tc>
          <w:tcPr>
            <w:tcW w:w="9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19.566</w:t>
            </w:r>
          </w:p>
        </w:tc>
        <w:tc>
          <w:tcPr>
            <w:tcW w:w="9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156.762</w:t>
            </w:r>
          </w:p>
        </w:tc>
        <w:tc>
          <w:tcPr>
            <w:tcW w:w="9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55.181.556</w:t>
            </w:r>
          </w:p>
        </w:tc>
        <w:tc>
          <w:tcPr>
            <w:tcW w:w="9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55.165.080</w:t>
            </w:r>
          </w:p>
        </w:tc>
        <w:tc>
          <w:tcPr>
            <w:tcW w:w="94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7.350</w:t>
            </w:r>
          </w:p>
        </w:tc>
      </w:tr>
    </w:tbl>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tbl>
      <w:tblPr>
        <w:tblW w:w="13845"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560"/>
        <w:gridCol w:w="945"/>
        <w:gridCol w:w="945"/>
        <w:gridCol w:w="945"/>
        <w:gridCol w:w="945"/>
        <w:gridCol w:w="945"/>
        <w:gridCol w:w="945"/>
        <w:gridCol w:w="945"/>
        <w:gridCol w:w="945"/>
        <w:gridCol w:w="945"/>
        <w:gridCol w:w="945"/>
        <w:gridCol w:w="945"/>
        <w:gridCol w:w="945"/>
        <w:gridCol w:w="945"/>
      </w:tblGrid>
      <w:tr>
        <w:tblPrEx>
          <w:tblW w:w="13845" w:type="dxa"/>
          <w:tblInd w:w="709" w:type="dxa"/>
          <w:tblLayout w:type="fixed"/>
        </w:tblPrEx>
        <w:trPr>
          <w:cantSplit/>
          <w:trHeight w:hRule="auto" w:val="0"/>
        </w:trPr>
        <w:tc>
          <w:tcPr>
            <w:tcW w:w="156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31-12-2025</w:t>
            </w:r>
          </w:p>
        </w:tc>
        <w:tc>
          <w:tcPr>
            <w:tcW w:w="94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2"/>
                <w:u w:val="none"/>
              </w:rPr>
              <w:t xml:space="preserve">Cartera </w:t>
            </w:r>
          </w:p>
          <w:p>
            <w:pPr>
              <w:spacing w:after="0" w:line="240" w:lineRule="auto"/>
              <w:jc w:val="center"/>
            </w:pPr>
            <w:r>
              <w:rPr>
                <w:rFonts w:ascii="Calibri" w:eastAsia="Calibri" w:hAnsi="Calibri" w:cs="Calibri"/>
                <w:b/>
                <w:i w:val="0"/>
                <w:color w:val="FFFFFF"/>
                <w:sz w:val="12"/>
                <w:u w:val="none"/>
              </w:rPr>
              <w:t>al día</w:t>
            </w:r>
          </w:p>
        </w:tc>
        <w:tc>
          <w:tcPr>
            <w:tcW w:w="94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2"/>
                <w:u w:val="none"/>
              </w:rPr>
              <w:t xml:space="preserve">Morosidad </w:t>
            </w:r>
          </w:p>
          <w:p>
            <w:pPr>
              <w:spacing w:after="0" w:line="240" w:lineRule="auto"/>
              <w:jc w:val="center"/>
            </w:pPr>
            <w:r>
              <w:rPr>
                <w:rFonts w:ascii="Calibri" w:eastAsia="Calibri" w:hAnsi="Calibri" w:cs="Calibri"/>
                <w:b/>
                <w:i w:val="0"/>
                <w:color w:val="FFFFFF"/>
                <w:sz w:val="12"/>
                <w:u w:val="none"/>
              </w:rPr>
              <w:t>1-30 días</w:t>
            </w:r>
          </w:p>
        </w:tc>
        <w:tc>
          <w:tcPr>
            <w:tcW w:w="94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2"/>
                <w:u w:val="none"/>
              </w:rPr>
              <w:t xml:space="preserve">Morosidad </w:t>
            </w:r>
          </w:p>
          <w:p>
            <w:pPr>
              <w:spacing w:after="0" w:line="240" w:lineRule="auto"/>
              <w:jc w:val="center"/>
            </w:pPr>
            <w:r>
              <w:rPr>
                <w:rFonts w:ascii="Calibri" w:eastAsia="Calibri" w:hAnsi="Calibri" w:cs="Calibri"/>
                <w:b/>
                <w:i w:val="0"/>
                <w:color w:val="FFFFFF"/>
                <w:sz w:val="12"/>
                <w:u w:val="none"/>
              </w:rPr>
              <w:t>31-60 días</w:t>
            </w:r>
          </w:p>
        </w:tc>
        <w:tc>
          <w:tcPr>
            <w:tcW w:w="94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2"/>
                <w:u w:val="none"/>
              </w:rPr>
              <w:t xml:space="preserve">Morosidad </w:t>
            </w:r>
          </w:p>
          <w:p>
            <w:pPr>
              <w:spacing w:after="0" w:line="240" w:lineRule="auto"/>
              <w:jc w:val="center"/>
            </w:pPr>
            <w:r>
              <w:rPr>
                <w:rFonts w:ascii="Calibri" w:eastAsia="Calibri" w:hAnsi="Calibri" w:cs="Calibri"/>
                <w:b/>
                <w:i w:val="0"/>
                <w:color w:val="FFFFFF"/>
                <w:sz w:val="12"/>
                <w:u w:val="none"/>
              </w:rPr>
              <w:t>61-90 días</w:t>
            </w:r>
          </w:p>
        </w:tc>
        <w:tc>
          <w:tcPr>
            <w:tcW w:w="94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2"/>
                <w:u w:val="none"/>
              </w:rPr>
              <w:t xml:space="preserve">Morosidad </w:t>
            </w:r>
          </w:p>
          <w:p>
            <w:pPr>
              <w:spacing w:after="0" w:line="240" w:lineRule="auto"/>
              <w:jc w:val="center"/>
            </w:pPr>
            <w:r>
              <w:rPr>
                <w:rFonts w:ascii="Calibri" w:eastAsia="Calibri" w:hAnsi="Calibri" w:cs="Calibri"/>
                <w:b/>
                <w:i w:val="0"/>
                <w:color w:val="FFFFFF"/>
                <w:sz w:val="12"/>
                <w:u w:val="none"/>
              </w:rPr>
              <w:t>91-120 días</w:t>
            </w:r>
          </w:p>
        </w:tc>
        <w:tc>
          <w:tcPr>
            <w:tcW w:w="94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2"/>
                <w:u w:val="none"/>
              </w:rPr>
              <w:t xml:space="preserve">Morosidad </w:t>
            </w:r>
          </w:p>
          <w:p>
            <w:pPr>
              <w:spacing w:after="0" w:line="240" w:lineRule="auto"/>
              <w:jc w:val="center"/>
            </w:pPr>
            <w:r>
              <w:rPr>
                <w:rFonts w:ascii="Calibri" w:eastAsia="Calibri" w:hAnsi="Calibri" w:cs="Calibri"/>
                <w:b/>
                <w:i w:val="0"/>
                <w:color w:val="FFFFFF"/>
                <w:sz w:val="12"/>
                <w:u w:val="none"/>
              </w:rPr>
              <w:t>121-150 días</w:t>
            </w:r>
          </w:p>
        </w:tc>
        <w:tc>
          <w:tcPr>
            <w:tcW w:w="94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2"/>
                <w:u w:val="none"/>
              </w:rPr>
              <w:t xml:space="preserve">Morosidad </w:t>
            </w:r>
          </w:p>
          <w:p>
            <w:pPr>
              <w:spacing w:after="0" w:line="240" w:lineRule="auto"/>
              <w:jc w:val="center"/>
            </w:pPr>
            <w:r>
              <w:rPr>
                <w:rFonts w:ascii="Calibri" w:eastAsia="Calibri" w:hAnsi="Calibri" w:cs="Calibri"/>
                <w:b/>
                <w:i w:val="0"/>
                <w:color w:val="FFFFFF"/>
                <w:sz w:val="12"/>
                <w:u w:val="none"/>
              </w:rPr>
              <w:t>151-180 días</w:t>
            </w:r>
          </w:p>
        </w:tc>
        <w:tc>
          <w:tcPr>
            <w:tcW w:w="94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2"/>
                <w:u w:val="none"/>
              </w:rPr>
              <w:t xml:space="preserve">Morosidad </w:t>
            </w:r>
          </w:p>
          <w:p>
            <w:pPr>
              <w:spacing w:after="0" w:line="240" w:lineRule="auto"/>
              <w:jc w:val="center"/>
            </w:pPr>
            <w:r>
              <w:rPr>
                <w:rFonts w:ascii="Calibri" w:eastAsia="Calibri" w:hAnsi="Calibri" w:cs="Calibri"/>
                <w:b/>
                <w:i w:val="0"/>
                <w:color w:val="FFFFFF"/>
                <w:sz w:val="12"/>
                <w:u w:val="none"/>
              </w:rPr>
              <w:t>181-210 días</w:t>
            </w:r>
          </w:p>
        </w:tc>
        <w:tc>
          <w:tcPr>
            <w:tcW w:w="94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2"/>
                <w:u w:val="none"/>
              </w:rPr>
              <w:t xml:space="preserve">Morosidad </w:t>
            </w:r>
          </w:p>
          <w:p>
            <w:pPr>
              <w:spacing w:after="0" w:line="240" w:lineRule="auto"/>
              <w:jc w:val="center"/>
            </w:pPr>
            <w:r>
              <w:rPr>
                <w:rFonts w:ascii="Calibri" w:eastAsia="Calibri" w:hAnsi="Calibri" w:cs="Calibri"/>
                <w:b/>
                <w:i w:val="0"/>
                <w:color w:val="FFFFFF"/>
                <w:sz w:val="12"/>
                <w:u w:val="none"/>
              </w:rPr>
              <w:t>211-250 días</w:t>
            </w:r>
          </w:p>
        </w:tc>
        <w:tc>
          <w:tcPr>
            <w:tcW w:w="94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2"/>
                <w:u w:val="none"/>
              </w:rPr>
              <w:t xml:space="preserve">Morosidad </w:t>
            </w:r>
          </w:p>
          <w:p>
            <w:pPr>
              <w:spacing w:after="0" w:line="240" w:lineRule="auto"/>
              <w:jc w:val="center"/>
            </w:pPr>
            <w:r>
              <w:rPr>
                <w:rFonts w:ascii="Calibri" w:eastAsia="Calibri" w:hAnsi="Calibri" w:cs="Calibri"/>
                <w:b/>
                <w:i w:val="0"/>
                <w:color w:val="FFFFFF"/>
                <w:sz w:val="12"/>
                <w:u w:val="none"/>
              </w:rPr>
              <w:t>mayor a 251 días</w:t>
            </w:r>
          </w:p>
        </w:tc>
        <w:tc>
          <w:tcPr>
            <w:tcW w:w="94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Total deudores</w:t>
            </w:r>
          </w:p>
        </w:tc>
        <w:tc>
          <w:tcPr>
            <w:tcW w:w="94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Total corrientes</w:t>
            </w:r>
          </w:p>
        </w:tc>
        <w:tc>
          <w:tcPr>
            <w:tcW w:w="945" w:type="dxa"/>
            <w:vMerge w:val="restart"/>
            <w:tcBorders>
              <w:top w:val="single" w:sz="2" w:space="0" w:color="000000"/>
              <w:left w:val="nil"/>
              <w:bottom w:val="nil"/>
              <w:right w:val="single" w:sz="2" w:space="0" w:color="000000"/>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2"/>
                <w:u w:val="none"/>
              </w:rPr>
              <w:t xml:space="preserve">Total </w:t>
            </w:r>
          </w:p>
          <w:p>
            <w:pPr>
              <w:spacing w:after="0" w:line="240" w:lineRule="auto"/>
              <w:jc w:val="center"/>
            </w:pPr>
            <w:r>
              <w:rPr>
                <w:rFonts w:ascii="Calibri" w:eastAsia="Calibri" w:hAnsi="Calibri" w:cs="Calibri"/>
                <w:b/>
                <w:i w:val="0"/>
                <w:color w:val="FFFFFF"/>
                <w:sz w:val="12"/>
                <w:u w:val="none"/>
              </w:rPr>
              <w:t>no corrientes</w:t>
            </w:r>
          </w:p>
        </w:tc>
      </w:tr>
      <w:tr>
        <w:tblPrEx>
          <w:tblW w:w="13845" w:type="dxa"/>
          <w:tblInd w:w="709" w:type="dxa"/>
          <w:tblLayout w:type="fixed"/>
        </w:tblPrEx>
        <w:trPr>
          <w:cantSplit/>
          <w:trHeight w:hRule="auto" w:val="0"/>
        </w:trPr>
        <w:tc>
          <w:tcPr>
            <w:tcW w:w="1560" w:type="dxa"/>
            <w:vMerge/>
            <w:tcBorders>
              <w:top w:val="nil"/>
              <w:left w:val="single" w:sz="2" w:space="0" w:color="000000"/>
              <w:bottom w:val="nil"/>
              <w:right w:val="single" w:sz="4" w:space="0" w:color="FFFFFF"/>
            </w:tcBorders>
          </w:tcPr>
          <w:p>
            <w:pPr>
              <w:keepNext/>
              <w:pageBreakBefore w:val="0"/>
            </w:pPr>
          </w:p>
        </w:tc>
        <w:tc>
          <w:tcPr>
            <w:tcW w:w="945" w:type="dxa"/>
            <w:vMerge/>
            <w:tcBorders>
              <w:top w:val="nil"/>
              <w:left w:val="nil"/>
              <w:bottom w:val="nil"/>
              <w:right w:val="single" w:sz="4" w:space="0" w:color="FFFFFF"/>
            </w:tcBorders>
          </w:tcPr>
          <w:p>
            <w:pPr>
              <w:keepNext/>
              <w:pageBreakBefore w:val="0"/>
            </w:pPr>
          </w:p>
        </w:tc>
        <w:tc>
          <w:tcPr>
            <w:tcW w:w="945" w:type="dxa"/>
            <w:vMerge/>
            <w:tcBorders>
              <w:top w:val="nil"/>
              <w:left w:val="nil"/>
              <w:bottom w:val="nil"/>
              <w:right w:val="single" w:sz="4" w:space="0" w:color="FFFFFF"/>
            </w:tcBorders>
          </w:tcPr>
          <w:p>
            <w:pPr>
              <w:keepNext/>
              <w:pageBreakBefore w:val="0"/>
            </w:pPr>
          </w:p>
        </w:tc>
        <w:tc>
          <w:tcPr>
            <w:tcW w:w="945" w:type="dxa"/>
            <w:vMerge/>
            <w:tcBorders>
              <w:top w:val="nil"/>
              <w:left w:val="nil"/>
              <w:bottom w:val="nil"/>
              <w:right w:val="single" w:sz="4" w:space="0" w:color="FFFFFF"/>
            </w:tcBorders>
          </w:tcPr>
          <w:p>
            <w:pPr>
              <w:keepNext/>
              <w:pageBreakBefore w:val="0"/>
            </w:pPr>
          </w:p>
        </w:tc>
        <w:tc>
          <w:tcPr>
            <w:tcW w:w="945" w:type="dxa"/>
            <w:vMerge/>
            <w:tcBorders>
              <w:top w:val="nil"/>
              <w:left w:val="nil"/>
              <w:bottom w:val="nil"/>
              <w:right w:val="single" w:sz="4" w:space="0" w:color="FFFFFF"/>
            </w:tcBorders>
          </w:tcPr>
          <w:p>
            <w:pPr>
              <w:keepNext/>
              <w:pageBreakBefore w:val="0"/>
            </w:pPr>
          </w:p>
        </w:tc>
        <w:tc>
          <w:tcPr>
            <w:tcW w:w="945" w:type="dxa"/>
            <w:vMerge/>
            <w:tcBorders>
              <w:top w:val="nil"/>
              <w:left w:val="nil"/>
              <w:bottom w:val="nil"/>
              <w:right w:val="single" w:sz="4" w:space="0" w:color="FFFFFF"/>
            </w:tcBorders>
          </w:tcPr>
          <w:p>
            <w:pPr>
              <w:keepNext/>
              <w:pageBreakBefore w:val="0"/>
            </w:pPr>
          </w:p>
        </w:tc>
        <w:tc>
          <w:tcPr>
            <w:tcW w:w="945" w:type="dxa"/>
            <w:vMerge/>
            <w:tcBorders>
              <w:top w:val="nil"/>
              <w:left w:val="nil"/>
              <w:bottom w:val="nil"/>
              <w:right w:val="single" w:sz="4" w:space="0" w:color="FFFFFF"/>
            </w:tcBorders>
          </w:tcPr>
          <w:p>
            <w:pPr>
              <w:keepNext/>
              <w:pageBreakBefore w:val="0"/>
            </w:pPr>
          </w:p>
        </w:tc>
        <w:tc>
          <w:tcPr>
            <w:tcW w:w="945" w:type="dxa"/>
            <w:vMerge/>
            <w:tcBorders>
              <w:top w:val="nil"/>
              <w:left w:val="nil"/>
              <w:bottom w:val="nil"/>
              <w:right w:val="single" w:sz="4" w:space="0" w:color="FFFFFF"/>
            </w:tcBorders>
          </w:tcPr>
          <w:p>
            <w:pPr>
              <w:keepNext/>
              <w:pageBreakBefore w:val="0"/>
            </w:pPr>
          </w:p>
        </w:tc>
        <w:tc>
          <w:tcPr>
            <w:tcW w:w="945" w:type="dxa"/>
            <w:vMerge/>
            <w:tcBorders>
              <w:top w:val="nil"/>
              <w:left w:val="nil"/>
              <w:bottom w:val="nil"/>
              <w:right w:val="single" w:sz="4" w:space="0" w:color="FFFFFF"/>
            </w:tcBorders>
          </w:tcPr>
          <w:p>
            <w:pPr>
              <w:keepNext/>
              <w:pageBreakBefore w:val="0"/>
            </w:pPr>
          </w:p>
        </w:tc>
        <w:tc>
          <w:tcPr>
            <w:tcW w:w="945" w:type="dxa"/>
            <w:vMerge/>
            <w:tcBorders>
              <w:top w:val="nil"/>
              <w:left w:val="nil"/>
              <w:bottom w:val="nil"/>
              <w:right w:val="single" w:sz="4" w:space="0" w:color="FFFFFF"/>
            </w:tcBorders>
          </w:tcPr>
          <w:p>
            <w:pPr>
              <w:keepNext/>
              <w:pageBreakBefore w:val="0"/>
            </w:pPr>
          </w:p>
        </w:tc>
        <w:tc>
          <w:tcPr>
            <w:tcW w:w="945" w:type="dxa"/>
            <w:vMerge/>
            <w:tcBorders>
              <w:top w:val="nil"/>
              <w:left w:val="nil"/>
              <w:bottom w:val="nil"/>
              <w:right w:val="single" w:sz="4" w:space="0" w:color="FFFFFF"/>
            </w:tcBorders>
          </w:tcPr>
          <w:p>
            <w:pPr>
              <w:keepNext/>
              <w:pageBreakBefore w:val="0"/>
            </w:pPr>
          </w:p>
        </w:tc>
        <w:tc>
          <w:tcPr>
            <w:tcW w:w="945" w:type="dxa"/>
            <w:vMerge/>
            <w:tcBorders>
              <w:top w:val="nil"/>
              <w:left w:val="nil"/>
              <w:bottom w:val="nil"/>
              <w:right w:val="single" w:sz="4" w:space="0" w:color="FFFFFF"/>
            </w:tcBorders>
          </w:tcPr>
          <w:p>
            <w:pPr>
              <w:keepNext/>
              <w:pageBreakBefore w:val="0"/>
            </w:pPr>
          </w:p>
        </w:tc>
        <w:tc>
          <w:tcPr>
            <w:tcW w:w="945" w:type="dxa"/>
            <w:vMerge/>
            <w:tcBorders>
              <w:top w:val="nil"/>
              <w:left w:val="nil"/>
              <w:bottom w:val="nil"/>
              <w:right w:val="single" w:sz="4" w:space="0" w:color="FFFFFF"/>
            </w:tcBorders>
          </w:tcPr>
          <w:p>
            <w:pPr>
              <w:keepNext/>
              <w:pageBreakBefore w:val="0"/>
            </w:pPr>
          </w:p>
        </w:tc>
        <w:tc>
          <w:tcPr>
            <w:tcW w:w="945" w:type="dxa"/>
            <w:vMerge/>
            <w:tcBorders>
              <w:top w:val="nil"/>
              <w:left w:val="nil"/>
              <w:bottom w:val="nil"/>
              <w:right w:val="single" w:sz="2" w:space="0" w:color="000000"/>
            </w:tcBorders>
          </w:tcPr>
          <w:p>
            <w:pPr>
              <w:keepNext/>
              <w:pageBreakBefore w:val="0"/>
            </w:pPr>
          </w:p>
        </w:tc>
      </w:tr>
      <w:tr>
        <w:tblPrEx>
          <w:tblW w:w="13845" w:type="dxa"/>
          <w:tblInd w:w="709" w:type="dxa"/>
          <w:tblLayout w:type="fixed"/>
        </w:tblPrEx>
        <w:trPr>
          <w:cantSplit/>
          <w:trHeight w:hRule="auto" w:val="0"/>
        </w:trPr>
        <w:tc>
          <w:tcPr>
            <w:tcW w:w="1560" w:type="dxa"/>
            <w:vMerge/>
            <w:tcBorders>
              <w:top w:val="nil"/>
              <w:left w:val="single" w:sz="2" w:space="0" w:color="000000"/>
              <w:bottom w:val="single" w:sz="2" w:space="0" w:color="000000"/>
              <w:right w:val="nil"/>
            </w:tcBorders>
          </w:tcPr>
          <w:p>
            <w:pPr>
              <w:keepNext/>
              <w:pageBreakBefore w:val="0"/>
            </w:pPr>
          </w:p>
        </w:tc>
        <w:tc>
          <w:tcPr>
            <w:tcW w:w="9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4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r>
      <w:tr>
        <w:tblPrEx>
          <w:tblW w:w="13845" w:type="dxa"/>
          <w:tblInd w:w="709" w:type="dxa"/>
          <w:tblLayout w:type="fixed"/>
        </w:tblPrEx>
        <w:trPr>
          <w:cantSplit/>
          <w:trHeight w:hRule="auto" w:val="0"/>
        </w:trPr>
        <w:tc>
          <w:tcPr>
            <w:tcW w:w="1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2"/>
                <w:u w:val="none"/>
              </w:rPr>
              <w:t xml:space="preserve"> Deudores comerciales, bruto. </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45.768.442</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3.257.951</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1.688.939</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596.392</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362.756</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120.198</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268.815</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38.949</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196.983</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999.236</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53.298.661</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53.298.661</w:t>
            </w:r>
          </w:p>
        </w:tc>
        <w:tc>
          <w:tcPr>
            <w:tcW w:w="94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13845" w:type="dxa"/>
          <w:tblInd w:w="709" w:type="dxa"/>
          <w:tblLayout w:type="fixed"/>
        </w:tblPrEx>
        <w:trPr>
          <w:cantSplit/>
          <w:trHeight w:hRule="auto" w:val="0"/>
        </w:trPr>
        <w:tc>
          <w:tcPr>
            <w:tcW w:w="1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2"/>
                <w:u w:val="none"/>
              </w:rPr>
              <w:t xml:space="preserve"> Otras cuentas por cobrar, bruto. </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3.101.885</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3.101.885</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3.085.457</w:t>
            </w:r>
          </w:p>
        </w:tc>
        <w:tc>
          <w:tcPr>
            <w:tcW w:w="94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16.428</w:t>
            </w:r>
          </w:p>
        </w:tc>
      </w:tr>
      <w:tr>
        <w:tblPrEx>
          <w:tblW w:w="13845" w:type="dxa"/>
          <w:tblInd w:w="709" w:type="dxa"/>
          <w:tblLayout w:type="fixed"/>
        </w:tblPrEx>
        <w:trPr>
          <w:cantSplit/>
          <w:trHeight w:hRule="auto" w:val="0"/>
        </w:trPr>
        <w:tc>
          <w:tcPr>
            <w:tcW w:w="1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2"/>
                <w:u w:val="none"/>
              </w:rPr>
              <w:t xml:space="preserve"> Provisión deterioro Deudores Comerciales.</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(74.069)</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(81.580)</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(67.603)</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(38.536)</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(48.892)</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(9.533)</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(11.639)</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(10.213)</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(36.839)</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(583.674)</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(962.578)</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(962.578)</w:t>
            </w:r>
          </w:p>
        </w:tc>
        <w:tc>
          <w:tcPr>
            <w:tcW w:w="94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13845" w:type="dxa"/>
          <w:tblInd w:w="709" w:type="dxa"/>
          <w:tblLayout w:type="fixed"/>
        </w:tblPrEx>
        <w:trPr>
          <w:cantSplit/>
          <w:trHeight w:hRule="auto" w:val="0"/>
        </w:trPr>
        <w:tc>
          <w:tcPr>
            <w:tcW w:w="1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2"/>
                <w:u w:val="none"/>
              </w:rPr>
              <w:t xml:space="preserve"> Provisión deterioro otras cuentas por cobrar.</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(17.485)</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(17.485)</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(17.485)</w:t>
            </w:r>
          </w:p>
        </w:tc>
        <w:tc>
          <w:tcPr>
            <w:tcW w:w="94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13845" w:type="dxa"/>
          <w:tblInd w:w="709" w:type="dxa"/>
          <w:tblLayout w:type="fixed"/>
        </w:tblPrEx>
        <w:trPr>
          <w:cantSplit/>
          <w:trHeight w:hRule="auto" w:val="0"/>
        </w:trPr>
        <w:tc>
          <w:tcPr>
            <w:tcW w:w="1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2"/>
                <w:u w:val="none"/>
              </w:rPr>
              <w:t xml:space="preserve">Total </w:t>
            </w:r>
          </w:p>
        </w:tc>
        <w:tc>
          <w:tcPr>
            <w:tcW w:w="9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48.778.773</w:t>
            </w:r>
          </w:p>
        </w:tc>
        <w:tc>
          <w:tcPr>
            <w:tcW w:w="9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3.176.371</w:t>
            </w:r>
          </w:p>
        </w:tc>
        <w:tc>
          <w:tcPr>
            <w:tcW w:w="9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1.621.336</w:t>
            </w:r>
          </w:p>
        </w:tc>
        <w:tc>
          <w:tcPr>
            <w:tcW w:w="9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557.856</w:t>
            </w:r>
          </w:p>
        </w:tc>
        <w:tc>
          <w:tcPr>
            <w:tcW w:w="9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313.864</w:t>
            </w:r>
          </w:p>
        </w:tc>
        <w:tc>
          <w:tcPr>
            <w:tcW w:w="9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110.665</w:t>
            </w:r>
          </w:p>
        </w:tc>
        <w:tc>
          <w:tcPr>
            <w:tcW w:w="9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257.176</w:t>
            </w:r>
          </w:p>
        </w:tc>
        <w:tc>
          <w:tcPr>
            <w:tcW w:w="9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28.736</w:t>
            </w:r>
          </w:p>
        </w:tc>
        <w:tc>
          <w:tcPr>
            <w:tcW w:w="9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160.144</w:t>
            </w:r>
          </w:p>
        </w:tc>
        <w:tc>
          <w:tcPr>
            <w:tcW w:w="9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415.562</w:t>
            </w:r>
          </w:p>
        </w:tc>
        <w:tc>
          <w:tcPr>
            <w:tcW w:w="9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55.420.483</w:t>
            </w:r>
          </w:p>
        </w:tc>
        <w:tc>
          <w:tcPr>
            <w:tcW w:w="9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55.404.055</w:t>
            </w:r>
          </w:p>
        </w:tc>
        <w:tc>
          <w:tcPr>
            <w:tcW w:w="94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16.428</w:t>
            </w:r>
          </w:p>
        </w:tc>
      </w:tr>
    </w:tbl>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
          <w:u w:val="none"/>
        </w:rPr>
      </w:pP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
          <w:u w:val="none"/>
        </w:rPr>
        <w:sectPr>
          <w:headerReference w:type="default" r:id="rId27"/>
          <w:footerReference w:type="default" r:id="rId28"/>
          <w:type w:val="continuous"/>
          <w:pgSz w:w="16834" w:h="11909" w:orient="landscape"/>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113" w:name="Section60"/>
      <w:bookmarkEnd w:id="113"/>
      <w:bookmarkStart w:id="114" w:name="a82a8f17ddb54c689c2513ce0d8c99e1"/>
      <w:r>
        <w:rPr>
          <w:rFonts w:ascii="Calibri" w:eastAsia="Calibri" w:hAnsi="Calibri" w:cs="Calibri"/>
          <w:b/>
          <w:i w:val="0"/>
          <w:color w:val="000000"/>
          <w:sz w:val="20"/>
          <w:u w:val="none"/>
        </w:rPr>
        <w:t>8.3.-</w:t>
      </w:r>
      <w:r>
        <w:rPr>
          <w:rFonts w:ascii="Calibri" w:eastAsia="Calibri" w:hAnsi="Calibri" w:cs="Calibri"/>
          <w:b/>
          <w:i w:val="0"/>
          <w:color w:val="000000"/>
          <w:sz w:val="20"/>
          <w:u w:val="none"/>
        </w:rPr>
        <w:tab/>
      </w:r>
      <w:r>
        <w:rPr>
          <w:rFonts w:ascii="Calibri" w:eastAsia="Calibri" w:hAnsi="Calibri" w:cs="Calibri"/>
          <w:b/>
          <w:i w:val="0"/>
          <w:color w:val="000000"/>
          <w:sz w:val="20"/>
          <w:highlight w:val="white"/>
          <w:u w:val="none"/>
        </w:rPr>
        <w:t>Resumen de estratificación de la cartera deudores comerciales.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14"/>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resumen de estratificación de cartera al </w:t>
      </w:r>
      <w:r>
        <w:rPr>
          <w:rFonts w:ascii="Calibri" w:eastAsia="Calibri" w:hAnsi="Calibri" w:cs="Calibri"/>
          <w:b w:val="0"/>
          <w:i w:val="0"/>
          <w:color w:val="000000"/>
          <w:sz w:val="20"/>
          <w:u w:val="none"/>
        </w:rPr>
        <w:t>30 de junio de 2026</w:t>
      </w:r>
      <w:r>
        <w:rPr>
          <w:rFonts w:ascii="Calibri" w:eastAsia="Calibri" w:hAnsi="Calibri" w:cs="Calibri"/>
          <w:b w:val="0"/>
          <w:i w:val="0"/>
          <w:sz w:val="20"/>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sz w:val="20"/>
        </w:rPr>
        <w:t xml:space="preserve"> </w:t>
      </w:r>
      <w:r>
        <w:rPr>
          <w:rFonts w:ascii="Calibri" w:eastAsia="Calibri" w:hAnsi="Calibri" w:cs="Calibri"/>
          <w:b w:val="0"/>
          <w:i w:val="0"/>
          <w:color w:val="000000"/>
          <w:sz w:val="20"/>
          <w:u w:val="none"/>
        </w:rPr>
        <w:t>es el siguiente: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165"/>
        <w:gridCol w:w="1005"/>
        <w:gridCol w:w="1095"/>
        <w:gridCol w:w="1095"/>
        <w:gridCol w:w="1095"/>
        <w:gridCol w:w="1095"/>
      </w:tblGrid>
      <w:tr>
        <w:tblPrEx>
          <w:tblW w:w="8550" w:type="dxa"/>
          <w:tblInd w:w="1417" w:type="dxa"/>
          <w:tblLayout w:type="fixed"/>
        </w:tblPrEx>
        <w:trPr>
          <w:cantSplit/>
          <w:trHeight w:hRule="auto" w:val="0"/>
        </w:trPr>
        <w:tc>
          <w:tcPr>
            <w:tcW w:w="8550" w:type="dxa"/>
            <w:gridSpan w:val="6"/>
            <w:tcBorders>
              <w:top w:val="single" w:sz="2" w:space="0" w:color="000000"/>
              <w:left w:val="single" w:sz="2" w:space="0" w:color="000000"/>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30-06-2026</w:t>
            </w:r>
          </w:p>
        </w:tc>
      </w:tr>
      <w:tr>
        <w:tblPrEx>
          <w:tblW w:w="8550" w:type="dxa"/>
          <w:tblInd w:w="1417" w:type="dxa"/>
          <w:tblLayout w:type="fixed"/>
        </w:tblPrEx>
        <w:trPr>
          <w:cantSplit/>
          <w:trHeight w:hRule="auto" w:val="0"/>
        </w:trPr>
        <w:tc>
          <w:tcPr>
            <w:tcW w:w="3165" w:type="dxa"/>
            <w:vMerge w:val="restart"/>
            <w:tcBorders>
              <w:top w:val="nil"/>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Tramos de deudas</w:t>
            </w:r>
          </w:p>
        </w:tc>
        <w:tc>
          <w:tcPr>
            <w:tcW w:w="10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Clientes de cartera no repactada</w:t>
            </w:r>
          </w:p>
        </w:tc>
        <w:tc>
          <w:tcPr>
            <w:tcW w:w="109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Cartera no repactada, bruta</w:t>
            </w:r>
          </w:p>
        </w:tc>
        <w:tc>
          <w:tcPr>
            <w:tcW w:w="109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Provisión deterioro</w:t>
            </w:r>
          </w:p>
        </w:tc>
        <w:tc>
          <w:tcPr>
            <w:tcW w:w="109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Total cartera, bruta</w:t>
            </w:r>
          </w:p>
        </w:tc>
        <w:tc>
          <w:tcPr>
            <w:tcW w:w="109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Total provisión deterioro</w:t>
            </w:r>
          </w:p>
        </w:tc>
      </w:tr>
      <w:tr>
        <w:tblPrEx>
          <w:tblW w:w="8550" w:type="dxa"/>
          <w:tblInd w:w="1417" w:type="dxa"/>
          <w:tblLayout w:type="fixed"/>
        </w:tblPrEx>
        <w:trPr>
          <w:cantSplit/>
          <w:trHeight w:hRule="auto" w:val="0"/>
        </w:trPr>
        <w:tc>
          <w:tcPr>
            <w:tcW w:w="3165" w:type="dxa"/>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w:t>
            </w: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9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exact" w:val="60"/>
        </w:trPr>
        <w:tc>
          <w:tcPr>
            <w:tcW w:w="31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31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Por vencer</w:t>
            </w:r>
          </w:p>
        </w:tc>
        <w:tc>
          <w:tcPr>
            <w:tcW w:w="100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31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Vendida y no facturada (1).</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44.020.093</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44.020.093</w:t>
            </w: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8550" w:type="dxa"/>
          <w:tblInd w:w="1417" w:type="dxa"/>
          <w:tblLayout w:type="fixed"/>
        </w:tblPrEx>
        <w:trPr>
          <w:cantSplit/>
          <w:trHeight w:hRule="auto" w:val="0"/>
        </w:trPr>
        <w:tc>
          <w:tcPr>
            <w:tcW w:w="31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Por vencer (2).</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65</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2.769.010</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(6.305)</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2.769.010</w:t>
            </w: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(6.305)</w:t>
            </w:r>
          </w:p>
        </w:tc>
      </w:tr>
      <w:tr>
        <w:tblPrEx>
          <w:tblW w:w="8550" w:type="dxa"/>
          <w:tblInd w:w="1417" w:type="dxa"/>
          <w:tblLayout w:type="fixed"/>
        </w:tblPrEx>
        <w:trPr>
          <w:cantSplit/>
          <w:trHeight w:hRule="auto" w:val="0"/>
        </w:trPr>
        <w:tc>
          <w:tcPr>
            <w:tcW w:w="31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Sub total por vencer</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65</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46.789.103</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(6.305)</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46.789.103</w:t>
            </w:r>
          </w:p>
        </w:tc>
        <w:tc>
          <w:tcPr>
            <w:tcW w:w="10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(6.305)</w:t>
            </w:r>
          </w:p>
        </w:tc>
      </w:tr>
      <w:tr>
        <w:tblPrEx>
          <w:tblW w:w="8550" w:type="dxa"/>
          <w:tblInd w:w="1417" w:type="dxa"/>
          <w:tblLayout w:type="fixed"/>
        </w:tblPrEx>
        <w:trPr>
          <w:cantSplit/>
          <w:trHeight w:hRule="exact" w:val="60"/>
        </w:trPr>
        <w:tc>
          <w:tcPr>
            <w:tcW w:w="31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31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Vencidos (3)</w:t>
            </w:r>
          </w:p>
        </w:tc>
        <w:tc>
          <w:tcPr>
            <w:tcW w:w="100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31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Entre 1 y 30 días.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39</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759.784</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(14.159)</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759.784</w:t>
            </w: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(14.159)</w:t>
            </w:r>
          </w:p>
        </w:tc>
      </w:tr>
      <w:tr>
        <w:tblPrEx>
          <w:tblW w:w="8550" w:type="dxa"/>
          <w:tblInd w:w="1417" w:type="dxa"/>
          <w:tblLayout w:type="fixed"/>
        </w:tblPrEx>
        <w:trPr>
          <w:cantSplit/>
          <w:trHeight w:hRule="auto" w:val="0"/>
        </w:trPr>
        <w:tc>
          <w:tcPr>
            <w:tcW w:w="31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Entre 31 y 60 días.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21</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375.218</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(22.030)</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375.218</w:t>
            </w: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(22.030)</w:t>
            </w:r>
          </w:p>
        </w:tc>
      </w:tr>
      <w:tr>
        <w:tblPrEx>
          <w:tblW w:w="8550" w:type="dxa"/>
          <w:tblInd w:w="1417" w:type="dxa"/>
          <w:tblLayout w:type="fixed"/>
        </w:tblPrEx>
        <w:trPr>
          <w:cantSplit/>
          <w:trHeight w:hRule="auto" w:val="0"/>
        </w:trPr>
        <w:tc>
          <w:tcPr>
            <w:tcW w:w="31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Entre 61 y 90 días.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28</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735.436</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(81.091)</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735.436</w:t>
            </w: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(81.091)</w:t>
            </w:r>
          </w:p>
        </w:tc>
      </w:tr>
      <w:tr>
        <w:tblPrEx>
          <w:tblW w:w="8550" w:type="dxa"/>
          <w:tblInd w:w="1417" w:type="dxa"/>
          <w:tblLayout w:type="fixed"/>
        </w:tblPrEx>
        <w:trPr>
          <w:cantSplit/>
          <w:trHeight w:hRule="auto" w:val="0"/>
        </w:trPr>
        <w:tc>
          <w:tcPr>
            <w:tcW w:w="31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Entre 91 y 120 días.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8</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17.316</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(1.867)</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17.316</w:t>
            </w: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(1.867)</w:t>
            </w:r>
          </w:p>
        </w:tc>
      </w:tr>
      <w:tr>
        <w:tblPrEx>
          <w:tblW w:w="8550" w:type="dxa"/>
          <w:tblInd w:w="1417" w:type="dxa"/>
          <w:tblLayout w:type="fixed"/>
        </w:tblPrEx>
        <w:trPr>
          <w:cantSplit/>
          <w:trHeight w:hRule="auto" w:val="0"/>
        </w:trPr>
        <w:tc>
          <w:tcPr>
            <w:tcW w:w="31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Entre 121 y 150 días.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7</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18.336</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(4.119)</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18.336</w:t>
            </w: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(4.119)</w:t>
            </w:r>
          </w:p>
        </w:tc>
      </w:tr>
      <w:tr>
        <w:tblPrEx>
          <w:tblW w:w="8550" w:type="dxa"/>
          <w:tblInd w:w="1417" w:type="dxa"/>
          <w:tblLayout w:type="fixed"/>
        </w:tblPrEx>
        <w:trPr>
          <w:cantSplit/>
          <w:trHeight w:hRule="auto" w:val="0"/>
        </w:trPr>
        <w:tc>
          <w:tcPr>
            <w:tcW w:w="31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Entre 151 y 180 días.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13</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38.860</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(10.160)</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38.860</w:t>
            </w: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(10.160)</w:t>
            </w:r>
          </w:p>
        </w:tc>
      </w:tr>
      <w:tr>
        <w:tblPrEx>
          <w:tblW w:w="8550" w:type="dxa"/>
          <w:tblInd w:w="1417" w:type="dxa"/>
          <w:tblLayout w:type="fixed"/>
        </w:tblPrEx>
        <w:trPr>
          <w:cantSplit/>
          <w:trHeight w:hRule="auto" w:val="0"/>
        </w:trPr>
        <w:tc>
          <w:tcPr>
            <w:tcW w:w="31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Entre 181 y 210 días.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12</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17.906</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(6.916)</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17.906</w:t>
            </w: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(6.916)</w:t>
            </w:r>
          </w:p>
        </w:tc>
      </w:tr>
      <w:tr>
        <w:tblPrEx>
          <w:tblW w:w="8550" w:type="dxa"/>
          <w:tblInd w:w="1417" w:type="dxa"/>
          <w:tblLayout w:type="fixed"/>
        </w:tblPrEx>
        <w:trPr>
          <w:cantSplit/>
          <w:trHeight w:hRule="auto" w:val="0"/>
        </w:trPr>
        <w:tc>
          <w:tcPr>
            <w:tcW w:w="31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Entre 211 y 250 días.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12</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7.445</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(2.928)</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7.445</w:t>
            </w: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(2.928)</w:t>
            </w:r>
          </w:p>
        </w:tc>
      </w:tr>
      <w:tr>
        <w:tblPrEx>
          <w:tblW w:w="8550" w:type="dxa"/>
          <w:tblInd w:w="1417" w:type="dxa"/>
          <w:tblLayout w:type="fixed"/>
        </w:tblPrEx>
        <w:trPr>
          <w:cantSplit/>
          <w:trHeight w:hRule="auto" w:val="0"/>
        </w:trPr>
        <w:tc>
          <w:tcPr>
            <w:tcW w:w="31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Más de 250 días.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150</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374.223</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(335.791)</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374.223</w:t>
            </w: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(335.791)</w:t>
            </w:r>
          </w:p>
        </w:tc>
      </w:tr>
      <w:tr>
        <w:tblPrEx>
          <w:tblW w:w="8550" w:type="dxa"/>
          <w:tblInd w:w="1417" w:type="dxa"/>
          <w:tblLayout w:type="fixed"/>
        </w:tblPrEx>
        <w:trPr>
          <w:cantSplit/>
          <w:trHeight w:hRule="auto" w:val="0"/>
        </w:trPr>
        <w:tc>
          <w:tcPr>
            <w:tcW w:w="31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Sub total vencidos</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290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2.344.524</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(479.061)</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2.344.524</w:t>
            </w:r>
          </w:p>
        </w:tc>
        <w:tc>
          <w:tcPr>
            <w:tcW w:w="10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(479.061)</w:t>
            </w:r>
          </w:p>
        </w:tc>
      </w:tr>
      <w:tr>
        <w:tblPrEx>
          <w:tblW w:w="8550" w:type="dxa"/>
          <w:tblInd w:w="1417" w:type="dxa"/>
          <w:tblLayout w:type="fixed"/>
        </w:tblPrEx>
        <w:trPr>
          <w:cantSplit/>
          <w:trHeight w:hRule="exact" w:val="60"/>
        </w:trPr>
        <w:tc>
          <w:tcPr>
            <w:tcW w:w="31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31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355</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49.133.627</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(485.366)</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49.133.627</w:t>
            </w:r>
          </w:p>
        </w:tc>
        <w:tc>
          <w:tcPr>
            <w:tcW w:w="10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(485.366)</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165"/>
        <w:gridCol w:w="1005"/>
        <w:gridCol w:w="1095"/>
        <w:gridCol w:w="1095"/>
        <w:gridCol w:w="1095"/>
        <w:gridCol w:w="1095"/>
      </w:tblGrid>
      <w:tr>
        <w:tblPrEx>
          <w:tblW w:w="8550" w:type="dxa"/>
          <w:tblInd w:w="1417" w:type="dxa"/>
          <w:tblLayout w:type="fixed"/>
        </w:tblPrEx>
        <w:trPr>
          <w:cantSplit/>
          <w:trHeight w:hRule="auto" w:val="0"/>
        </w:trPr>
        <w:tc>
          <w:tcPr>
            <w:tcW w:w="8550" w:type="dxa"/>
            <w:gridSpan w:val="6"/>
            <w:tcBorders>
              <w:top w:val="single" w:sz="2" w:space="0" w:color="000000"/>
              <w:left w:val="single" w:sz="2" w:space="0" w:color="000000"/>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8550" w:type="dxa"/>
          <w:tblInd w:w="1417" w:type="dxa"/>
          <w:tblLayout w:type="fixed"/>
        </w:tblPrEx>
        <w:trPr>
          <w:cantSplit/>
          <w:trHeight w:hRule="auto" w:val="0"/>
        </w:trPr>
        <w:tc>
          <w:tcPr>
            <w:tcW w:w="3165" w:type="dxa"/>
            <w:vMerge w:val="restart"/>
            <w:tcBorders>
              <w:top w:val="nil"/>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Tramos de deudas</w:t>
            </w:r>
          </w:p>
        </w:tc>
        <w:tc>
          <w:tcPr>
            <w:tcW w:w="10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Clientes de cartera no repactada</w:t>
            </w:r>
          </w:p>
        </w:tc>
        <w:tc>
          <w:tcPr>
            <w:tcW w:w="109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Cartera no repactada, bruta</w:t>
            </w:r>
          </w:p>
        </w:tc>
        <w:tc>
          <w:tcPr>
            <w:tcW w:w="109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Provisión deterioro</w:t>
            </w:r>
          </w:p>
        </w:tc>
        <w:tc>
          <w:tcPr>
            <w:tcW w:w="109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Total cartera, bruta</w:t>
            </w:r>
          </w:p>
        </w:tc>
        <w:tc>
          <w:tcPr>
            <w:tcW w:w="109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Total provisión deterioro</w:t>
            </w:r>
          </w:p>
        </w:tc>
      </w:tr>
      <w:tr>
        <w:tblPrEx>
          <w:tblW w:w="8550" w:type="dxa"/>
          <w:tblInd w:w="1417" w:type="dxa"/>
          <w:tblLayout w:type="fixed"/>
        </w:tblPrEx>
        <w:trPr>
          <w:cantSplit/>
          <w:trHeight w:hRule="auto" w:val="0"/>
        </w:trPr>
        <w:tc>
          <w:tcPr>
            <w:tcW w:w="3165" w:type="dxa"/>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w:t>
            </w: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9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exact" w:val="60"/>
        </w:trPr>
        <w:tc>
          <w:tcPr>
            <w:tcW w:w="31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31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Por vencer</w:t>
            </w:r>
          </w:p>
        </w:tc>
        <w:tc>
          <w:tcPr>
            <w:tcW w:w="100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31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Vendida y no facturada (1).</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39.783.257</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39.783.257</w:t>
            </w: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8550" w:type="dxa"/>
          <w:tblInd w:w="1417" w:type="dxa"/>
          <w:tblLayout w:type="fixed"/>
        </w:tblPrEx>
        <w:trPr>
          <w:cantSplit/>
          <w:trHeight w:hRule="auto" w:val="0"/>
        </w:trPr>
        <w:tc>
          <w:tcPr>
            <w:tcW w:w="31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Por vencer (2).</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289</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5.985.185</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(74.069)</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5.985.185</w:t>
            </w: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(74.069)</w:t>
            </w:r>
          </w:p>
        </w:tc>
      </w:tr>
      <w:tr>
        <w:tblPrEx>
          <w:tblW w:w="8550" w:type="dxa"/>
          <w:tblInd w:w="1417" w:type="dxa"/>
          <w:tblLayout w:type="fixed"/>
        </w:tblPrEx>
        <w:trPr>
          <w:cantSplit/>
          <w:trHeight w:hRule="auto" w:val="0"/>
        </w:trPr>
        <w:tc>
          <w:tcPr>
            <w:tcW w:w="31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Sub total por vencer</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289</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45.768.442</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(74.069)</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45.768.442</w:t>
            </w:r>
          </w:p>
        </w:tc>
        <w:tc>
          <w:tcPr>
            <w:tcW w:w="10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(74.069)</w:t>
            </w:r>
          </w:p>
        </w:tc>
      </w:tr>
      <w:tr>
        <w:tblPrEx>
          <w:tblW w:w="8550" w:type="dxa"/>
          <w:tblInd w:w="1417" w:type="dxa"/>
          <w:tblLayout w:type="fixed"/>
        </w:tblPrEx>
        <w:trPr>
          <w:cantSplit/>
          <w:trHeight w:hRule="exact" w:val="60"/>
        </w:trPr>
        <w:tc>
          <w:tcPr>
            <w:tcW w:w="31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31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Vencidos (3)</w:t>
            </w:r>
          </w:p>
        </w:tc>
        <w:tc>
          <w:tcPr>
            <w:tcW w:w="100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31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Entre 1 y 30 días.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99</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3.257.951</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(81.580)</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3.257.951</w:t>
            </w: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(81.580)</w:t>
            </w:r>
          </w:p>
        </w:tc>
      </w:tr>
      <w:tr>
        <w:tblPrEx>
          <w:tblW w:w="8550" w:type="dxa"/>
          <w:tblInd w:w="1417" w:type="dxa"/>
          <w:tblLayout w:type="fixed"/>
        </w:tblPrEx>
        <w:trPr>
          <w:cantSplit/>
          <w:trHeight w:hRule="auto" w:val="0"/>
        </w:trPr>
        <w:tc>
          <w:tcPr>
            <w:tcW w:w="31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Entre 31 y 60 días.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74</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1.688.939</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(67.603)</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1.688.939</w:t>
            </w: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(67.603)</w:t>
            </w:r>
          </w:p>
        </w:tc>
      </w:tr>
      <w:tr>
        <w:tblPrEx>
          <w:tblW w:w="8550" w:type="dxa"/>
          <w:tblInd w:w="1417" w:type="dxa"/>
          <w:tblLayout w:type="fixed"/>
        </w:tblPrEx>
        <w:trPr>
          <w:cantSplit/>
          <w:trHeight w:hRule="auto" w:val="0"/>
        </w:trPr>
        <w:tc>
          <w:tcPr>
            <w:tcW w:w="31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Entre 61 y 90 días.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107</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596.392</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(38.536)</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596.392</w:t>
            </w: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(38.536)</w:t>
            </w:r>
          </w:p>
        </w:tc>
      </w:tr>
      <w:tr>
        <w:tblPrEx>
          <w:tblW w:w="8550" w:type="dxa"/>
          <w:tblInd w:w="1417" w:type="dxa"/>
          <w:tblLayout w:type="fixed"/>
        </w:tblPrEx>
        <w:trPr>
          <w:cantSplit/>
          <w:trHeight w:hRule="auto" w:val="0"/>
        </w:trPr>
        <w:tc>
          <w:tcPr>
            <w:tcW w:w="31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Entre 91 y 120 días.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18</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362.756</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(48.892)</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362.756</w:t>
            </w: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(48.892)</w:t>
            </w:r>
          </w:p>
        </w:tc>
      </w:tr>
      <w:tr>
        <w:tblPrEx>
          <w:tblW w:w="8550" w:type="dxa"/>
          <w:tblInd w:w="1417" w:type="dxa"/>
          <w:tblLayout w:type="fixed"/>
        </w:tblPrEx>
        <w:trPr>
          <w:cantSplit/>
          <w:trHeight w:hRule="auto" w:val="0"/>
        </w:trPr>
        <w:tc>
          <w:tcPr>
            <w:tcW w:w="31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Entre 121 y 150 días.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32</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120.198</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(9.533)</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120.198</w:t>
            </w: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(9.533)</w:t>
            </w:r>
          </w:p>
        </w:tc>
      </w:tr>
      <w:tr>
        <w:tblPrEx>
          <w:tblW w:w="8550" w:type="dxa"/>
          <w:tblInd w:w="1417" w:type="dxa"/>
          <w:tblLayout w:type="fixed"/>
        </w:tblPrEx>
        <w:trPr>
          <w:cantSplit/>
          <w:trHeight w:hRule="auto" w:val="0"/>
        </w:trPr>
        <w:tc>
          <w:tcPr>
            <w:tcW w:w="31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Entre 151 y 180 días.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29</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268.815</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(11.639)</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268.815</w:t>
            </w: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(11.639)</w:t>
            </w:r>
          </w:p>
        </w:tc>
      </w:tr>
      <w:tr>
        <w:tblPrEx>
          <w:tblW w:w="8550" w:type="dxa"/>
          <w:tblInd w:w="1417" w:type="dxa"/>
          <w:tblLayout w:type="fixed"/>
        </w:tblPrEx>
        <w:trPr>
          <w:cantSplit/>
          <w:trHeight w:hRule="auto" w:val="0"/>
        </w:trPr>
        <w:tc>
          <w:tcPr>
            <w:tcW w:w="31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Entre 181 y 210 días.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23</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38.949</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(10.213)</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38.949</w:t>
            </w: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(10.213)</w:t>
            </w:r>
          </w:p>
        </w:tc>
      </w:tr>
      <w:tr>
        <w:tblPrEx>
          <w:tblW w:w="8550" w:type="dxa"/>
          <w:tblInd w:w="1417" w:type="dxa"/>
          <w:tblLayout w:type="fixed"/>
        </w:tblPrEx>
        <w:trPr>
          <w:cantSplit/>
          <w:trHeight w:hRule="auto" w:val="0"/>
        </w:trPr>
        <w:tc>
          <w:tcPr>
            <w:tcW w:w="31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Entre 211 y 250 días.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27</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196.983</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(36.839)</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196.983</w:t>
            </w: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(36.839)</w:t>
            </w:r>
          </w:p>
        </w:tc>
      </w:tr>
      <w:tr>
        <w:tblPrEx>
          <w:tblW w:w="8550" w:type="dxa"/>
          <w:tblInd w:w="1417" w:type="dxa"/>
          <w:tblLayout w:type="fixed"/>
        </w:tblPrEx>
        <w:trPr>
          <w:cantSplit/>
          <w:trHeight w:hRule="auto" w:val="0"/>
        </w:trPr>
        <w:tc>
          <w:tcPr>
            <w:tcW w:w="31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Más de 250 días.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241</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999.236</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(583.674)</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999.236</w:t>
            </w: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(583.674)</w:t>
            </w:r>
          </w:p>
        </w:tc>
      </w:tr>
      <w:tr>
        <w:tblPrEx>
          <w:tblW w:w="8550" w:type="dxa"/>
          <w:tblInd w:w="1417" w:type="dxa"/>
          <w:tblLayout w:type="fixed"/>
        </w:tblPrEx>
        <w:trPr>
          <w:cantSplit/>
          <w:trHeight w:hRule="auto" w:val="0"/>
        </w:trPr>
        <w:tc>
          <w:tcPr>
            <w:tcW w:w="31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Sub total vencidos</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650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7.530.219</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(888.509)</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7.530.219</w:t>
            </w:r>
          </w:p>
        </w:tc>
        <w:tc>
          <w:tcPr>
            <w:tcW w:w="10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(888.509)</w:t>
            </w:r>
          </w:p>
        </w:tc>
      </w:tr>
      <w:tr>
        <w:tblPrEx>
          <w:tblW w:w="8550" w:type="dxa"/>
          <w:tblInd w:w="1417" w:type="dxa"/>
          <w:tblLayout w:type="fixed"/>
        </w:tblPrEx>
        <w:trPr>
          <w:cantSplit/>
          <w:trHeight w:hRule="exact" w:val="60"/>
        </w:trPr>
        <w:tc>
          <w:tcPr>
            <w:tcW w:w="31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31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939</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53.298.661</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(962.578)</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53.298.661</w:t>
            </w:r>
          </w:p>
        </w:tc>
        <w:tc>
          <w:tcPr>
            <w:tcW w:w="10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(962.578)</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701" w:right="0" w:hanging="284"/>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(1) Vendida y no facturada: Corresponde a la estimación de energía y servicio de transporte de energía por facturar que ha sido suministrada hasta la fecha de cierre de los estados financieros.</w:t>
      </w:r>
    </w:p>
    <w:p>
      <w:pPr>
        <w:keepNext w:val="0"/>
        <w:keepLines/>
        <w:pageBreakBefore w:val="0"/>
        <w:widowControl w:val="0"/>
        <w:numPr>
          <w:ilvl w:val="0"/>
          <w:numId w:val="0"/>
        </w:numPr>
        <w:spacing w:before="0" w:after="0" w:line="288" w:lineRule="auto"/>
        <w:ind w:left="1985"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1701" w:right="0" w:hanging="284"/>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(2) Por vencer: Corresponde a las facturas emitidas que al cierre de los estados financieros se encuentran sin vencer su fecha de pago.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701" w:right="0" w:hanging="284"/>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(3) </w:t>
      </w:r>
      <w:r>
        <w:rPr>
          <w:rFonts w:ascii="Calibri" w:eastAsia="Calibri" w:hAnsi="Calibri" w:cs="Calibri"/>
          <w:b w:val="0"/>
          <w:i w:val="0"/>
          <w:color w:val="000000"/>
          <w:sz w:val="20"/>
          <w:u w:val="none"/>
        </w:rPr>
        <w:t>Vencidos</w:t>
      </w:r>
      <w:r>
        <w:rPr>
          <w:rFonts w:ascii="Calibri" w:eastAsia="Calibri" w:hAnsi="Calibri" w:cs="Calibri"/>
          <w:b w:val="0"/>
          <w:i w:val="0"/>
          <w:color w:val="000000"/>
          <w:sz w:val="20"/>
          <w:u w:val="none"/>
        </w:rPr>
        <w:t>: Corresponde a las facturas emitidas que al cierre de los estados financieros tienen como mínimo un día de morosidad con respecto a su fecha de vencimiento.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8.3.1.-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Resumen de estratificación de la cartera deudores comerciales segmento eléctrico Chile.</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p>
    <w:tbl>
      <w:tblPr>
        <w:tblW w:w="7845" w:type="dxa"/>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2820"/>
        <w:gridCol w:w="1005"/>
        <w:gridCol w:w="1005"/>
        <w:gridCol w:w="1005"/>
        <w:gridCol w:w="1005"/>
        <w:gridCol w:w="1005"/>
      </w:tblGrid>
      <w:tr>
        <w:tblPrEx>
          <w:tblW w:w="7845" w:type="dxa"/>
          <w:tblInd w:w="2126" w:type="dxa"/>
          <w:tblLayout w:type="fixed"/>
        </w:tblPrEx>
        <w:trPr>
          <w:cantSplit/>
          <w:trHeight w:hRule="auto" w:val="0"/>
        </w:trPr>
        <w:tc>
          <w:tcPr>
            <w:tcW w:w="7845" w:type="dxa"/>
            <w:gridSpan w:val="6"/>
            <w:tcBorders>
              <w:top w:val="single" w:sz="2" w:space="0" w:color="000000"/>
              <w:left w:val="single" w:sz="2" w:space="0" w:color="000000"/>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r>
      <w:tr>
        <w:tblPrEx>
          <w:tblW w:w="7845" w:type="dxa"/>
          <w:tblInd w:w="2126" w:type="dxa"/>
          <w:tblLayout w:type="fixed"/>
        </w:tblPrEx>
        <w:trPr>
          <w:cantSplit/>
          <w:trHeight w:hRule="auto" w:val="0"/>
        </w:trPr>
        <w:tc>
          <w:tcPr>
            <w:tcW w:w="2820" w:type="dxa"/>
            <w:vMerge w:val="restart"/>
            <w:tcBorders>
              <w:top w:val="nil"/>
              <w:left w:val="single" w:sz="2" w:space="0" w:color="000000"/>
              <w:bottom w:val="nil"/>
              <w:right w:val="nil"/>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6"/>
                <w:u w:val="none"/>
              </w:rPr>
              <w:t>Tramos de deudas</w:t>
            </w:r>
          </w:p>
          <w:p>
            <w:pPr>
              <w:spacing w:after="0" w:line="240" w:lineRule="auto"/>
              <w:jc w:val="center"/>
            </w:pPr>
            <w:r>
              <w:rPr>
                <w:rFonts w:ascii="Calibri" w:eastAsia="Calibri" w:hAnsi="Calibri" w:cs="Calibri"/>
                <w:b/>
                <w:i w:val="0"/>
                <w:color w:val="FFFFFF"/>
                <w:sz w:val="16"/>
                <w:u w:val="none"/>
              </w:rPr>
              <w:t>Segmento Eléctrico Chile</w:t>
            </w:r>
          </w:p>
        </w:tc>
        <w:tc>
          <w:tcPr>
            <w:tcW w:w="10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Clientes de cartera no repactada</w:t>
            </w:r>
          </w:p>
        </w:tc>
        <w:tc>
          <w:tcPr>
            <w:tcW w:w="10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Cartera no repactada, bruta</w:t>
            </w:r>
          </w:p>
        </w:tc>
        <w:tc>
          <w:tcPr>
            <w:tcW w:w="10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Provisión deterioro</w:t>
            </w:r>
          </w:p>
        </w:tc>
        <w:tc>
          <w:tcPr>
            <w:tcW w:w="10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Total cartera, bruta</w:t>
            </w:r>
          </w:p>
        </w:tc>
        <w:tc>
          <w:tcPr>
            <w:tcW w:w="100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Total provisión deterioro</w:t>
            </w:r>
          </w:p>
        </w:tc>
      </w:tr>
      <w:tr>
        <w:tblPrEx>
          <w:tblW w:w="7845" w:type="dxa"/>
          <w:tblInd w:w="2126" w:type="dxa"/>
          <w:tblLayout w:type="fixed"/>
        </w:tblPrEx>
        <w:trPr>
          <w:cantSplit/>
          <w:trHeight w:hRule="auto" w:val="0"/>
        </w:trPr>
        <w:tc>
          <w:tcPr>
            <w:tcW w:w="2820" w:type="dxa"/>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7845" w:type="dxa"/>
          <w:tblInd w:w="2126" w:type="dxa"/>
          <w:tblLayout w:type="fixed"/>
        </w:tblPrEx>
        <w:trPr>
          <w:cantSplit/>
          <w:trHeight w:hRule="exact" w:val="60"/>
        </w:trPr>
        <w:tc>
          <w:tcPr>
            <w:tcW w:w="28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28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Por vencer</w:t>
            </w:r>
          </w:p>
        </w:tc>
        <w:tc>
          <w:tcPr>
            <w:tcW w:w="100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28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Vendida y no facturada (1).</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44.020.093</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44.020.093</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7845" w:type="dxa"/>
          <w:tblInd w:w="2126" w:type="dxa"/>
          <w:tblLayout w:type="fixed"/>
        </w:tblPrEx>
        <w:trPr>
          <w:cantSplit/>
          <w:trHeight w:hRule="auto" w:val="0"/>
        </w:trPr>
        <w:tc>
          <w:tcPr>
            <w:tcW w:w="28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Por vencer (2).</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65</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2.769.009</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(6.305)</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2.769.009</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(6.305)</w:t>
            </w:r>
          </w:p>
        </w:tc>
      </w:tr>
      <w:tr>
        <w:tblPrEx>
          <w:tblW w:w="7845" w:type="dxa"/>
          <w:tblInd w:w="2126" w:type="dxa"/>
          <w:tblLayout w:type="fixed"/>
        </w:tblPrEx>
        <w:trPr>
          <w:cantSplit/>
          <w:trHeight w:hRule="auto" w:val="0"/>
        </w:trPr>
        <w:tc>
          <w:tcPr>
            <w:tcW w:w="28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Sub total por vencer</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65</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46.789.102</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(6.305)</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46.789.102</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(6.305)</w:t>
            </w:r>
          </w:p>
        </w:tc>
      </w:tr>
      <w:tr>
        <w:tblPrEx>
          <w:tblW w:w="7845" w:type="dxa"/>
          <w:tblInd w:w="2126" w:type="dxa"/>
          <w:tblLayout w:type="fixed"/>
        </w:tblPrEx>
        <w:trPr>
          <w:cantSplit/>
          <w:trHeight w:hRule="exact" w:val="60"/>
        </w:trPr>
        <w:tc>
          <w:tcPr>
            <w:tcW w:w="28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28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Vencidos (3)</w:t>
            </w:r>
          </w:p>
        </w:tc>
        <w:tc>
          <w:tcPr>
            <w:tcW w:w="100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28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Entre 1 y 30 días.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39</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759.784</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(14.159)</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759.784</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(14.159)</w:t>
            </w:r>
          </w:p>
        </w:tc>
      </w:tr>
      <w:tr>
        <w:tblPrEx>
          <w:tblW w:w="7845" w:type="dxa"/>
          <w:tblInd w:w="2126" w:type="dxa"/>
          <w:tblLayout w:type="fixed"/>
        </w:tblPrEx>
        <w:trPr>
          <w:cantSplit/>
          <w:trHeight w:hRule="auto" w:val="0"/>
        </w:trPr>
        <w:tc>
          <w:tcPr>
            <w:tcW w:w="28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Entre 31 y 60 días.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21</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375.218</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(22.030)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375.218</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(22.030)</w:t>
            </w:r>
          </w:p>
        </w:tc>
      </w:tr>
      <w:tr>
        <w:tblPrEx>
          <w:tblW w:w="7845" w:type="dxa"/>
          <w:tblInd w:w="2126" w:type="dxa"/>
          <w:tblLayout w:type="fixed"/>
        </w:tblPrEx>
        <w:trPr>
          <w:cantSplit/>
          <w:trHeight w:hRule="auto" w:val="0"/>
        </w:trPr>
        <w:tc>
          <w:tcPr>
            <w:tcW w:w="28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Entre 61 y 90 días.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28</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735.436</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(81.091)</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735.436</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(81.091)</w:t>
            </w:r>
          </w:p>
        </w:tc>
      </w:tr>
      <w:tr>
        <w:tblPrEx>
          <w:tblW w:w="7845" w:type="dxa"/>
          <w:tblInd w:w="2126" w:type="dxa"/>
          <w:tblLayout w:type="fixed"/>
        </w:tblPrEx>
        <w:trPr>
          <w:cantSplit/>
          <w:trHeight w:hRule="auto" w:val="0"/>
        </w:trPr>
        <w:tc>
          <w:tcPr>
            <w:tcW w:w="28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Entre 91 y 120 días.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8</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17.316</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(1.867)</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17.316</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(1.867)</w:t>
            </w:r>
          </w:p>
        </w:tc>
      </w:tr>
      <w:tr>
        <w:tblPrEx>
          <w:tblW w:w="7845" w:type="dxa"/>
          <w:tblInd w:w="2126" w:type="dxa"/>
          <w:tblLayout w:type="fixed"/>
        </w:tblPrEx>
        <w:trPr>
          <w:cantSplit/>
          <w:trHeight w:hRule="auto" w:val="0"/>
        </w:trPr>
        <w:tc>
          <w:tcPr>
            <w:tcW w:w="28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Entre 121 y 150 días.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7</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18.336</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(4.119)</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18.336</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(4.119)</w:t>
            </w:r>
          </w:p>
        </w:tc>
      </w:tr>
      <w:tr>
        <w:tblPrEx>
          <w:tblW w:w="7845" w:type="dxa"/>
          <w:tblInd w:w="2126" w:type="dxa"/>
          <w:tblLayout w:type="fixed"/>
        </w:tblPrEx>
        <w:trPr>
          <w:cantSplit/>
          <w:trHeight w:hRule="auto" w:val="0"/>
        </w:trPr>
        <w:tc>
          <w:tcPr>
            <w:tcW w:w="28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Entre 151 y 180 días.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13</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38.860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(10.160)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38.860</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(10.160)</w:t>
            </w:r>
          </w:p>
        </w:tc>
      </w:tr>
      <w:tr>
        <w:tblPrEx>
          <w:tblW w:w="7845" w:type="dxa"/>
          <w:tblInd w:w="2126" w:type="dxa"/>
          <w:tblLayout w:type="fixed"/>
        </w:tblPrEx>
        <w:trPr>
          <w:cantSplit/>
          <w:trHeight w:hRule="auto" w:val="0"/>
        </w:trPr>
        <w:tc>
          <w:tcPr>
            <w:tcW w:w="28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Entre 181 y 210 días.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12</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17.906</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(6.916)</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17.906</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(6.916)</w:t>
            </w:r>
          </w:p>
        </w:tc>
      </w:tr>
      <w:tr>
        <w:tblPrEx>
          <w:tblW w:w="7845" w:type="dxa"/>
          <w:tblInd w:w="2126" w:type="dxa"/>
          <w:tblLayout w:type="fixed"/>
        </w:tblPrEx>
        <w:trPr>
          <w:cantSplit/>
          <w:trHeight w:hRule="auto" w:val="0"/>
        </w:trPr>
        <w:tc>
          <w:tcPr>
            <w:tcW w:w="28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Entre 211 y 250 días.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12</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7.445</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(2.928)</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7.445</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(2.928)</w:t>
            </w:r>
          </w:p>
        </w:tc>
      </w:tr>
      <w:tr>
        <w:tblPrEx>
          <w:tblW w:w="7845" w:type="dxa"/>
          <w:tblInd w:w="2126" w:type="dxa"/>
          <w:tblLayout w:type="fixed"/>
        </w:tblPrEx>
        <w:trPr>
          <w:cantSplit/>
          <w:trHeight w:hRule="auto" w:val="0"/>
        </w:trPr>
        <w:tc>
          <w:tcPr>
            <w:tcW w:w="28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Más de 250 días.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150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374.223</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(297.191)</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374.223</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(297.191)</w:t>
            </w:r>
          </w:p>
        </w:tc>
      </w:tr>
      <w:tr>
        <w:tblPrEx>
          <w:tblW w:w="7845" w:type="dxa"/>
          <w:tblInd w:w="2126" w:type="dxa"/>
          <w:tblLayout w:type="fixed"/>
        </w:tblPrEx>
        <w:trPr>
          <w:cantSplit/>
          <w:trHeight w:hRule="auto" w:val="0"/>
        </w:trPr>
        <w:tc>
          <w:tcPr>
            <w:tcW w:w="28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Sub total vencidos</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290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2.344.524</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(440.461)</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2.344.524</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(440.461)</w:t>
            </w:r>
          </w:p>
        </w:tc>
      </w:tr>
      <w:tr>
        <w:tblPrEx>
          <w:tblW w:w="7845" w:type="dxa"/>
          <w:tblInd w:w="2126" w:type="dxa"/>
          <w:tblLayout w:type="fixed"/>
        </w:tblPrEx>
        <w:trPr>
          <w:cantSplit/>
          <w:trHeight w:hRule="exact" w:val="60"/>
        </w:trPr>
        <w:tc>
          <w:tcPr>
            <w:tcW w:w="28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28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355</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49.133.626</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(446.766)</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49.133.626</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(446.766)</w:t>
            </w:r>
          </w:p>
        </w:tc>
      </w:tr>
    </w:tbl>
    <w:p>
      <w:pPr>
        <w:keepNext w:val="0"/>
        <w:keepLines/>
        <w:pageBreakBefore w:val="0"/>
        <w:widowControl w:val="0"/>
        <w:numPr>
          <w:ilvl w:val="0"/>
          <w:numId w:val="0"/>
        </w:numPr>
        <w:tabs>
          <w:tab w:val="left" w:pos="700"/>
        </w:tabs>
        <w:spacing w:before="0" w:after="0" w:line="288" w:lineRule="auto"/>
        <w:ind w:left="720" w:right="0" w:firstLine="720"/>
        <w:jc w:val="both"/>
        <w:outlineLvl w:val="9"/>
        <w:rPr>
          <w:rFonts w:ascii="Calibri" w:eastAsia="Calibri" w:hAnsi="Calibri" w:cs="Calibri"/>
          <w:b w:val="0"/>
          <w:i w:val="0"/>
          <w:sz w:val="20"/>
        </w:rPr>
      </w:pPr>
    </w:p>
    <w:tbl>
      <w:tblPr>
        <w:tblW w:w="7845" w:type="dxa"/>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2820"/>
        <w:gridCol w:w="1005"/>
        <w:gridCol w:w="1005"/>
        <w:gridCol w:w="1005"/>
        <w:gridCol w:w="1005"/>
        <w:gridCol w:w="1005"/>
      </w:tblGrid>
      <w:tr>
        <w:tblPrEx>
          <w:tblW w:w="7845" w:type="dxa"/>
          <w:tblInd w:w="2126" w:type="dxa"/>
          <w:tblLayout w:type="fixed"/>
        </w:tblPrEx>
        <w:trPr>
          <w:cantSplit/>
          <w:trHeight w:hRule="auto" w:val="0"/>
        </w:trPr>
        <w:tc>
          <w:tcPr>
            <w:tcW w:w="7845" w:type="dxa"/>
            <w:gridSpan w:val="6"/>
            <w:tcBorders>
              <w:top w:val="single" w:sz="2" w:space="0" w:color="000000"/>
              <w:left w:val="single" w:sz="2" w:space="0" w:color="000000"/>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7845" w:type="dxa"/>
          <w:tblInd w:w="2126" w:type="dxa"/>
          <w:tblLayout w:type="fixed"/>
        </w:tblPrEx>
        <w:trPr>
          <w:cantSplit/>
          <w:trHeight w:hRule="auto" w:val="0"/>
        </w:trPr>
        <w:tc>
          <w:tcPr>
            <w:tcW w:w="2820" w:type="dxa"/>
            <w:vMerge w:val="restart"/>
            <w:tcBorders>
              <w:top w:val="nil"/>
              <w:left w:val="single" w:sz="2" w:space="0" w:color="000000"/>
              <w:bottom w:val="nil"/>
              <w:right w:val="nil"/>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6"/>
                <w:u w:val="none"/>
              </w:rPr>
              <w:t>Tramos de deudas</w:t>
            </w:r>
          </w:p>
          <w:p>
            <w:pPr>
              <w:spacing w:after="0" w:line="240" w:lineRule="auto"/>
              <w:jc w:val="center"/>
            </w:pPr>
            <w:r>
              <w:rPr>
                <w:rFonts w:ascii="Calibri" w:eastAsia="Calibri" w:hAnsi="Calibri" w:cs="Calibri"/>
                <w:b/>
                <w:i w:val="0"/>
                <w:color w:val="FFFFFF"/>
                <w:sz w:val="16"/>
                <w:u w:val="none"/>
              </w:rPr>
              <w:t>Segmento Eléctrico Chile</w:t>
            </w:r>
          </w:p>
        </w:tc>
        <w:tc>
          <w:tcPr>
            <w:tcW w:w="10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Clientes de cartera no repactada</w:t>
            </w:r>
          </w:p>
        </w:tc>
        <w:tc>
          <w:tcPr>
            <w:tcW w:w="10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Cartera no repactada, bruta</w:t>
            </w:r>
          </w:p>
        </w:tc>
        <w:tc>
          <w:tcPr>
            <w:tcW w:w="10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Provisión deterioro</w:t>
            </w:r>
          </w:p>
        </w:tc>
        <w:tc>
          <w:tcPr>
            <w:tcW w:w="10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Total cartera, bruta</w:t>
            </w:r>
          </w:p>
        </w:tc>
        <w:tc>
          <w:tcPr>
            <w:tcW w:w="100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Total provisión deterioro</w:t>
            </w:r>
          </w:p>
        </w:tc>
      </w:tr>
      <w:tr>
        <w:tblPrEx>
          <w:tblW w:w="7845" w:type="dxa"/>
          <w:tblInd w:w="2126" w:type="dxa"/>
          <w:tblLayout w:type="fixed"/>
        </w:tblPrEx>
        <w:trPr>
          <w:cantSplit/>
          <w:trHeight w:hRule="auto" w:val="0"/>
        </w:trPr>
        <w:tc>
          <w:tcPr>
            <w:tcW w:w="2820" w:type="dxa"/>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7845" w:type="dxa"/>
          <w:tblInd w:w="2126" w:type="dxa"/>
          <w:tblLayout w:type="fixed"/>
        </w:tblPrEx>
        <w:trPr>
          <w:cantSplit/>
          <w:trHeight w:hRule="exact" w:val="60"/>
        </w:trPr>
        <w:tc>
          <w:tcPr>
            <w:tcW w:w="28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28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Por vencer</w:t>
            </w:r>
          </w:p>
        </w:tc>
        <w:tc>
          <w:tcPr>
            <w:tcW w:w="100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28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Vendida y no facturada (1).</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39.783.257</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39.783.257</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7845" w:type="dxa"/>
          <w:tblInd w:w="2126" w:type="dxa"/>
          <w:tblLayout w:type="fixed"/>
        </w:tblPrEx>
        <w:trPr>
          <w:cantSplit/>
          <w:trHeight w:hRule="auto" w:val="0"/>
        </w:trPr>
        <w:tc>
          <w:tcPr>
            <w:tcW w:w="28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Por vencer (2).</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217</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4.152.910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(60.293)</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4.152.910</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(60.293)</w:t>
            </w:r>
          </w:p>
        </w:tc>
      </w:tr>
      <w:tr>
        <w:tblPrEx>
          <w:tblW w:w="7845" w:type="dxa"/>
          <w:tblInd w:w="2126" w:type="dxa"/>
          <w:tblLayout w:type="fixed"/>
        </w:tblPrEx>
        <w:trPr>
          <w:cantSplit/>
          <w:trHeight w:hRule="auto" w:val="0"/>
        </w:trPr>
        <w:tc>
          <w:tcPr>
            <w:tcW w:w="28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Sub total por vencer</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217</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43.936.167</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(60.293)</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43.936.167</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(60.293)</w:t>
            </w:r>
          </w:p>
        </w:tc>
      </w:tr>
      <w:tr>
        <w:tblPrEx>
          <w:tblW w:w="7845" w:type="dxa"/>
          <w:tblInd w:w="2126" w:type="dxa"/>
          <w:tblLayout w:type="fixed"/>
        </w:tblPrEx>
        <w:trPr>
          <w:cantSplit/>
          <w:trHeight w:hRule="exact" w:val="60"/>
        </w:trPr>
        <w:tc>
          <w:tcPr>
            <w:tcW w:w="28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28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Vencidos (3)</w:t>
            </w:r>
          </w:p>
        </w:tc>
        <w:tc>
          <w:tcPr>
            <w:tcW w:w="100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28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Entre 1 y 30 días.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70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2.853.214</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(76.851)</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2.853.214</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(76.851)</w:t>
            </w:r>
          </w:p>
        </w:tc>
      </w:tr>
      <w:tr>
        <w:tblPrEx>
          <w:tblW w:w="7845" w:type="dxa"/>
          <w:tblInd w:w="2126" w:type="dxa"/>
          <w:tblLayout w:type="fixed"/>
        </w:tblPrEx>
        <w:trPr>
          <w:cantSplit/>
          <w:trHeight w:hRule="auto" w:val="0"/>
        </w:trPr>
        <w:tc>
          <w:tcPr>
            <w:tcW w:w="28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Entre 31 y 60 días.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60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1.204.102</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(61.208)</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1.204.102</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(61.208)</w:t>
            </w:r>
          </w:p>
        </w:tc>
      </w:tr>
      <w:tr>
        <w:tblPrEx>
          <w:tblW w:w="7845" w:type="dxa"/>
          <w:tblInd w:w="2126" w:type="dxa"/>
          <w:tblLayout w:type="fixed"/>
        </w:tblPrEx>
        <w:trPr>
          <w:cantSplit/>
          <w:trHeight w:hRule="auto" w:val="0"/>
        </w:trPr>
        <w:tc>
          <w:tcPr>
            <w:tcW w:w="28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Entre 61 y 90 días.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101</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346.330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(35.273)</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346.330</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(35.273)</w:t>
            </w:r>
          </w:p>
        </w:tc>
      </w:tr>
      <w:tr>
        <w:tblPrEx>
          <w:tblW w:w="7845" w:type="dxa"/>
          <w:tblInd w:w="2126" w:type="dxa"/>
          <w:tblLayout w:type="fixed"/>
        </w:tblPrEx>
        <w:trPr>
          <w:cantSplit/>
          <w:trHeight w:hRule="auto" w:val="0"/>
        </w:trPr>
        <w:tc>
          <w:tcPr>
            <w:tcW w:w="28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Entre 91 y 120 días.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11</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331.381</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(48.476)</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331.381</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(48.476)</w:t>
            </w:r>
          </w:p>
        </w:tc>
      </w:tr>
      <w:tr>
        <w:tblPrEx>
          <w:tblW w:w="7845" w:type="dxa"/>
          <w:tblInd w:w="2126" w:type="dxa"/>
          <w:tblLayout w:type="fixed"/>
        </w:tblPrEx>
        <w:trPr>
          <w:cantSplit/>
          <w:trHeight w:hRule="auto" w:val="0"/>
        </w:trPr>
        <w:tc>
          <w:tcPr>
            <w:tcW w:w="28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Entre 121 y 150 días.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23</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40.572</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(8.475)</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40.572</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(8.475)</w:t>
            </w:r>
          </w:p>
        </w:tc>
      </w:tr>
      <w:tr>
        <w:tblPrEx>
          <w:tblW w:w="7845" w:type="dxa"/>
          <w:tblInd w:w="2126" w:type="dxa"/>
          <w:tblLayout w:type="fixed"/>
        </w:tblPrEx>
        <w:trPr>
          <w:cantSplit/>
          <w:trHeight w:hRule="auto" w:val="0"/>
        </w:trPr>
        <w:tc>
          <w:tcPr>
            <w:tcW w:w="28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Entre 151 y 180 días.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25</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29.914</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(8.460)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29.914</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(8.460)</w:t>
            </w:r>
          </w:p>
        </w:tc>
      </w:tr>
      <w:tr>
        <w:tblPrEx>
          <w:tblW w:w="7845" w:type="dxa"/>
          <w:tblInd w:w="2126" w:type="dxa"/>
          <w:tblLayout w:type="fixed"/>
        </w:tblPrEx>
        <w:trPr>
          <w:cantSplit/>
          <w:trHeight w:hRule="auto" w:val="0"/>
        </w:trPr>
        <w:tc>
          <w:tcPr>
            <w:tcW w:w="28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Entre 181 y 210 días.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29.232</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(10.085)</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29.232</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(10.085)</w:t>
            </w:r>
          </w:p>
        </w:tc>
      </w:tr>
      <w:tr>
        <w:tblPrEx>
          <w:tblW w:w="7845" w:type="dxa"/>
          <w:tblInd w:w="2126" w:type="dxa"/>
          <w:tblLayout w:type="fixed"/>
        </w:tblPrEx>
        <w:trPr>
          <w:cantSplit/>
          <w:trHeight w:hRule="auto" w:val="0"/>
        </w:trPr>
        <w:tc>
          <w:tcPr>
            <w:tcW w:w="28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Entre 211 y 250 días.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89.374</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(35.408)</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89.374</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(35.408)</w:t>
            </w:r>
          </w:p>
        </w:tc>
      </w:tr>
      <w:tr>
        <w:tblPrEx>
          <w:tblW w:w="7845" w:type="dxa"/>
          <w:tblInd w:w="2126" w:type="dxa"/>
          <w:tblLayout w:type="fixed"/>
        </w:tblPrEx>
        <w:trPr>
          <w:cantSplit/>
          <w:trHeight w:hRule="auto" w:val="0"/>
        </w:trPr>
        <w:tc>
          <w:tcPr>
            <w:tcW w:w="28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Más de 250 días.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164</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698.899</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(541.629)</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698.899</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(541.629)</w:t>
            </w:r>
          </w:p>
        </w:tc>
      </w:tr>
      <w:tr>
        <w:tblPrEx>
          <w:tblW w:w="7845" w:type="dxa"/>
          <w:tblInd w:w="2126" w:type="dxa"/>
          <w:tblLayout w:type="fixed"/>
        </w:tblPrEx>
        <w:trPr>
          <w:cantSplit/>
          <w:trHeight w:hRule="auto" w:val="0"/>
        </w:trPr>
        <w:tc>
          <w:tcPr>
            <w:tcW w:w="28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Sub total vencidos</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494</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5.623.018</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(825.865)</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5.623.018</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(825.865)</w:t>
            </w:r>
          </w:p>
        </w:tc>
      </w:tr>
      <w:tr>
        <w:tblPrEx>
          <w:tblW w:w="7845" w:type="dxa"/>
          <w:tblInd w:w="2126" w:type="dxa"/>
          <w:tblLayout w:type="fixed"/>
        </w:tblPrEx>
        <w:trPr>
          <w:cantSplit/>
          <w:trHeight w:hRule="exact" w:val="60"/>
        </w:trPr>
        <w:tc>
          <w:tcPr>
            <w:tcW w:w="28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28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711</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49.559.185</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(886.158)</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49.559.185</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(886.158)</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8.3.2.-</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Resumen de estratificación de la cartera deudores comerciales segmento servicios.</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p>
    <w:tbl>
      <w:tblPr>
        <w:tblW w:w="7845" w:type="dxa"/>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2820"/>
        <w:gridCol w:w="1005"/>
        <w:gridCol w:w="1005"/>
        <w:gridCol w:w="1005"/>
        <w:gridCol w:w="1005"/>
        <w:gridCol w:w="1005"/>
      </w:tblGrid>
      <w:tr>
        <w:tblPrEx>
          <w:tblW w:w="7845" w:type="dxa"/>
          <w:tblInd w:w="2126" w:type="dxa"/>
          <w:tblLayout w:type="fixed"/>
        </w:tblPrEx>
        <w:trPr>
          <w:cantSplit/>
          <w:trHeight w:hRule="auto" w:val="0"/>
        </w:trPr>
        <w:tc>
          <w:tcPr>
            <w:tcW w:w="7845" w:type="dxa"/>
            <w:gridSpan w:val="6"/>
            <w:tcBorders>
              <w:top w:val="single" w:sz="2" w:space="0" w:color="000000"/>
              <w:left w:val="single" w:sz="2" w:space="0" w:color="000000"/>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r>
      <w:tr>
        <w:tblPrEx>
          <w:tblW w:w="7845" w:type="dxa"/>
          <w:tblInd w:w="2126" w:type="dxa"/>
          <w:tblLayout w:type="fixed"/>
        </w:tblPrEx>
        <w:trPr>
          <w:cantSplit/>
          <w:trHeight w:hRule="auto" w:val="0"/>
        </w:trPr>
        <w:tc>
          <w:tcPr>
            <w:tcW w:w="2820" w:type="dxa"/>
            <w:vMerge w:val="restart"/>
            <w:tcBorders>
              <w:top w:val="nil"/>
              <w:left w:val="single" w:sz="2" w:space="0" w:color="000000"/>
              <w:bottom w:val="nil"/>
              <w:right w:val="nil"/>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6"/>
                <w:u w:val="none"/>
              </w:rPr>
              <w:t>Tramos de deudas</w:t>
            </w:r>
          </w:p>
          <w:p>
            <w:pPr>
              <w:spacing w:after="0" w:line="240" w:lineRule="auto"/>
              <w:jc w:val="center"/>
            </w:pPr>
            <w:r>
              <w:rPr>
                <w:rFonts w:ascii="Calibri" w:eastAsia="Calibri" w:hAnsi="Calibri" w:cs="Calibri"/>
                <w:b/>
                <w:i w:val="0"/>
                <w:color w:val="FFFFFF"/>
                <w:sz w:val="16"/>
                <w:u w:val="none"/>
              </w:rPr>
              <w:t>Segmento Servicios</w:t>
            </w:r>
          </w:p>
        </w:tc>
        <w:tc>
          <w:tcPr>
            <w:tcW w:w="10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Clientes de cartera no repactada</w:t>
            </w:r>
          </w:p>
        </w:tc>
        <w:tc>
          <w:tcPr>
            <w:tcW w:w="10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Cartera no repactada, bruta</w:t>
            </w:r>
          </w:p>
        </w:tc>
        <w:tc>
          <w:tcPr>
            <w:tcW w:w="10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Provisión deterioro</w:t>
            </w:r>
          </w:p>
        </w:tc>
        <w:tc>
          <w:tcPr>
            <w:tcW w:w="10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Total cartera, bruta</w:t>
            </w:r>
          </w:p>
        </w:tc>
        <w:tc>
          <w:tcPr>
            <w:tcW w:w="100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Total provisión deterioro</w:t>
            </w:r>
          </w:p>
        </w:tc>
      </w:tr>
      <w:tr>
        <w:tblPrEx>
          <w:tblW w:w="7845" w:type="dxa"/>
          <w:tblInd w:w="2126" w:type="dxa"/>
          <w:tblLayout w:type="fixed"/>
        </w:tblPrEx>
        <w:trPr>
          <w:cantSplit/>
          <w:trHeight w:hRule="auto" w:val="0"/>
        </w:trPr>
        <w:tc>
          <w:tcPr>
            <w:tcW w:w="2820" w:type="dxa"/>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7845" w:type="dxa"/>
          <w:tblInd w:w="2126" w:type="dxa"/>
          <w:tblLayout w:type="fixed"/>
        </w:tblPrEx>
        <w:trPr>
          <w:cantSplit/>
          <w:trHeight w:hRule="exact" w:val="60"/>
        </w:trPr>
        <w:tc>
          <w:tcPr>
            <w:tcW w:w="28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28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Por vencer</w:t>
            </w:r>
          </w:p>
        </w:tc>
        <w:tc>
          <w:tcPr>
            <w:tcW w:w="100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28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Por vencer (2).</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7845" w:type="dxa"/>
          <w:tblInd w:w="2126" w:type="dxa"/>
          <w:tblLayout w:type="fixed"/>
        </w:tblPrEx>
        <w:trPr>
          <w:cantSplit/>
          <w:trHeight w:hRule="auto" w:val="0"/>
        </w:trPr>
        <w:tc>
          <w:tcPr>
            <w:tcW w:w="28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Sub total por vencer</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3</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3</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r>
      <w:tr>
        <w:tblPrEx>
          <w:tblW w:w="7845" w:type="dxa"/>
          <w:tblInd w:w="2126" w:type="dxa"/>
          <w:tblLayout w:type="fixed"/>
        </w:tblPrEx>
        <w:trPr>
          <w:cantSplit/>
          <w:trHeight w:hRule="auto" w:val="0"/>
        </w:trPr>
        <w:tc>
          <w:tcPr>
            <w:tcW w:w="28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exact" w:val="255"/>
        </w:trPr>
        <w:tc>
          <w:tcPr>
            <w:tcW w:w="28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Vencidos (3)</w:t>
            </w:r>
          </w:p>
        </w:tc>
        <w:tc>
          <w:tcPr>
            <w:tcW w:w="100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28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Entre 1 y 30 días.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7845" w:type="dxa"/>
          <w:tblInd w:w="2126" w:type="dxa"/>
          <w:tblLayout w:type="fixed"/>
        </w:tblPrEx>
        <w:trPr>
          <w:cantSplit/>
          <w:trHeight w:hRule="auto" w:val="0"/>
        </w:trPr>
        <w:tc>
          <w:tcPr>
            <w:tcW w:w="28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Entre 31 y 60 días.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7845" w:type="dxa"/>
          <w:tblInd w:w="2126" w:type="dxa"/>
          <w:tblLayout w:type="fixed"/>
        </w:tblPrEx>
        <w:trPr>
          <w:cantSplit/>
          <w:trHeight w:hRule="auto" w:val="0"/>
        </w:trPr>
        <w:tc>
          <w:tcPr>
            <w:tcW w:w="28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Entre 61 y 90 días.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7845" w:type="dxa"/>
          <w:tblInd w:w="2126" w:type="dxa"/>
          <w:tblLayout w:type="fixed"/>
        </w:tblPrEx>
        <w:trPr>
          <w:cantSplit/>
          <w:trHeight w:hRule="auto" w:val="0"/>
        </w:trPr>
        <w:tc>
          <w:tcPr>
            <w:tcW w:w="28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Entre 91 y 120 días.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7845" w:type="dxa"/>
          <w:tblInd w:w="2126" w:type="dxa"/>
          <w:tblLayout w:type="fixed"/>
        </w:tblPrEx>
        <w:trPr>
          <w:cantSplit/>
          <w:trHeight w:hRule="auto" w:val="0"/>
        </w:trPr>
        <w:tc>
          <w:tcPr>
            <w:tcW w:w="28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Entre 121 y 150 días.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7845" w:type="dxa"/>
          <w:tblInd w:w="2126" w:type="dxa"/>
          <w:tblLayout w:type="fixed"/>
        </w:tblPrEx>
        <w:trPr>
          <w:cantSplit/>
          <w:trHeight w:hRule="auto" w:val="0"/>
        </w:trPr>
        <w:tc>
          <w:tcPr>
            <w:tcW w:w="28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Entre 151 y 180 días.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7845" w:type="dxa"/>
          <w:tblInd w:w="2126" w:type="dxa"/>
          <w:tblLayout w:type="fixed"/>
        </w:tblPrEx>
        <w:trPr>
          <w:cantSplit/>
          <w:trHeight w:hRule="auto" w:val="0"/>
        </w:trPr>
        <w:tc>
          <w:tcPr>
            <w:tcW w:w="28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Entre 181 y 210 días.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7845" w:type="dxa"/>
          <w:tblInd w:w="2126" w:type="dxa"/>
          <w:tblLayout w:type="fixed"/>
        </w:tblPrEx>
        <w:trPr>
          <w:cantSplit/>
          <w:trHeight w:hRule="auto" w:val="0"/>
        </w:trPr>
        <w:tc>
          <w:tcPr>
            <w:tcW w:w="28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Entre 211 y 250 días.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7845" w:type="dxa"/>
          <w:tblInd w:w="2126" w:type="dxa"/>
          <w:tblLayout w:type="fixed"/>
        </w:tblPrEx>
        <w:trPr>
          <w:cantSplit/>
          <w:trHeight w:hRule="auto" w:val="0"/>
        </w:trPr>
        <w:tc>
          <w:tcPr>
            <w:tcW w:w="28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Más de 250 días.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(38.600)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(38.600)</w:t>
            </w:r>
          </w:p>
        </w:tc>
      </w:tr>
      <w:tr>
        <w:tblPrEx>
          <w:tblW w:w="7845" w:type="dxa"/>
          <w:tblInd w:w="2126" w:type="dxa"/>
          <w:tblLayout w:type="fixed"/>
        </w:tblPrEx>
        <w:trPr>
          <w:cantSplit/>
          <w:trHeight w:hRule="auto" w:val="0"/>
        </w:trPr>
        <w:tc>
          <w:tcPr>
            <w:tcW w:w="28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Sub total vencidos</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(38.600)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(38.600)</w:t>
            </w:r>
          </w:p>
        </w:tc>
      </w:tr>
      <w:tr>
        <w:tblPrEx>
          <w:tblW w:w="7845" w:type="dxa"/>
          <w:tblInd w:w="2126" w:type="dxa"/>
          <w:tblLayout w:type="fixed"/>
        </w:tblPrEx>
        <w:trPr>
          <w:cantSplit/>
          <w:trHeight w:hRule="auto" w:val="0"/>
        </w:trPr>
        <w:tc>
          <w:tcPr>
            <w:tcW w:w="28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exact" w:val="255"/>
        </w:trPr>
        <w:tc>
          <w:tcPr>
            <w:tcW w:w="28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3</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(38.600)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3</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(38.600)</w:t>
            </w:r>
          </w:p>
        </w:tc>
      </w:tr>
    </w:tbl>
    <w:p>
      <w:pPr>
        <w:keepNext w:val="0"/>
        <w:keepLines/>
        <w:pageBreakBefore w:val="0"/>
        <w:widowControl w:val="0"/>
        <w:numPr>
          <w:ilvl w:val="0"/>
          <w:numId w:val="0"/>
        </w:numPr>
        <w:tabs>
          <w:tab w:val="left" w:pos="700"/>
        </w:tabs>
        <w:spacing w:before="0" w:after="0" w:line="288" w:lineRule="auto"/>
        <w:ind w:left="720" w:right="0" w:firstLine="720"/>
        <w:jc w:val="both"/>
        <w:outlineLvl w:val="9"/>
        <w:rPr>
          <w:rFonts w:ascii="Calibri" w:eastAsia="Calibri" w:hAnsi="Calibri" w:cs="Calibri"/>
          <w:b w:val="0"/>
          <w:i w:val="0"/>
          <w:sz w:val="20"/>
        </w:rPr>
      </w:pPr>
    </w:p>
    <w:tbl>
      <w:tblPr>
        <w:tblW w:w="7845" w:type="dxa"/>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2820"/>
        <w:gridCol w:w="1005"/>
        <w:gridCol w:w="1005"/>
        <w:gridCol w:w="1005"/>
        <w:gridCol w:w="1005"/>
        <w:gridCol w:w="1005"/>
      </w:tblGrid>
      <w:tr>
        <w:tblPrEx>
          <w:tblW w:w="7845" w:type="dxa"/>
          <w:tblInd w:w="2126" w:type="dxa"/>
          <w:tblLayout w:type="fixed"/>
        </w:tblPrEx>
        <w:trPr>
          <w:cantSplit/>
          <w:trHeight w:hRule="auto" w:val="0"/>
        </w:trPr>
        <w:tc>
          <w:tcPr>
            <w:tcW w:w="7845" w:type="dxa"/>
            <w:gridSpan w:val="6"/>
            <w:tcBorders>
              <w:top w:val="single" w:sz="2" w:space="0" w:color="000000"/>
              <w:left w:val="single" w:sz="2" w:space="0" w:color="000000"/>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7845" w:type="dxa"/>
          <w:tblInd w:w="2126" w:type="dxa"/>
          <w:tblLayout w:type="fixed"/>
        </w:tblPrEx>
        <w:trPr>
          <w:cantSplit/>
          <w:trHeight w:hRule="auto" w:val="0"/>
        </w:trPr>
        <w:tc>
          <w:tcPr>
            <w:tcW w:w="2820" w:type="dxa"/>
            <w:vMerge w:val="restart"/>
            <w:tcBorders>
              <w:top w:val="nil"/>
              <w:left w:val="single" w:sz="2" w:space="0" w:color="000000"/>
              <w:bottom w:val="nil"/>
              <w:right w:val="nil"/>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6"/>
                <w:u w:val="none"/>
              </w:rPr>
              <w:t>Tramos de deudas</w:t>
            </w:r>
          </w:p>
          <w:p>
            <w:pPr>
              <w:spacing w:after="0" w:line="240" w:lineRule="auto"/>
              <w:jc w:val="center"/>
            </w:pPr>
            <w:r>
              <w:rPr>
                <w:rFonts w:ascii="Calibri" w:eastAsia="Calibri" w:hAnsi="Calibri" w:cs="Calibri"/>
                <w:b/>
                <w:i w:val="0"/>
                <w:color w:val="FFFFFF"/>
                <w:sz w:val="16"/>
                <w:u w:val="none"/>
              </w:rPr>
              <w:t>Segmento Servicios</w:t>
            </w:r>
          </w:p>
        </w:tc>
        <w:tc>
          <w:tcPr>
            <w:tcW w:w="10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Clientes de cartera no repactada</w:t>
            </w:r>
          </w:p>
        </w:tc>
        <w:tc>
          <w:tcPr>
            <w:tcW w:w="10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Cartera no repactada, bruta</w:t>
            </w:r>
          </w:p>
        </w:tc>
        <w:tc>
          <w:tcPr>
            <w:tcW w:w="10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Provisión deterioro</w:t>
            </w:r>
          </w:p>
        </w:tc>
        <w:tc>
          <w:tcPr>
            <w:tcW w:w="10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Total cartera, bruta</w:t>
            </w:r>
          </w:p>
        </w:tc>
        <w:tc>
          <w:tcPr>
            <w:tcW w:w="100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Total provisión deterioro</w:t>
            </w:r>
          </w:p>
        </w:tc>
      </w:tr>
      <w:tr>
        <w:tblPrEx>
          <w:tblW w:w="7845" w:type="dxa"/>
          <w:tblInd w:w="2126" w:type="dxa"/>
          <w:tblLayout w:type="fixed"/>
        </w:tblPrEx>
        <w:trPr>
          <w:cantSplit/>
          <w:trHeight w:hRule="auto" w:val="0"/>
        </w:trPr>
        <w:tc>
          <w:tcPr>
            <w:tcW w:w="2820" w:type="dxa"/>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7845" w:type="dxa"/>
          <w:tblInd w:w="2126" w:type="dxa"/>
          <w:tblLayout w:type="fixed"/>
        </w:tblPrEx>
        <w:trPr>
          <w:cantSplit/>
          <w:trHeight w:hRule="exact" w:val="60"/>
        </w:trPr>
        <w:tc>
          <w:tcPr>
            <w:tcW w:w="28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28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Por vencer</w:t>
            </w:r>
          </w:p>
        </w:tc>
        <w:tc>
          <w:tcPr>
            <w:tcW w:w="100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28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Por vencer (2).</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72</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1.832.277</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(13.777)</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1.832.277</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(13.777)</w:t>
            </w:r>
          </w:p>
        </w:tc>
      </w:tr>
      <w:tr>
        <w:tblPrEx>
          <w:tblW w:w="7845" w:type="dxa"/>
          <w:tblInd w:w="2126" w:type="dxa"/>
          <w:tblLayout w:type="fixed"/>
        </w:tblPrEx>
        <w:trPr>
          <w:cantSplit/>
          <w:trHeight w:hRule="auto" w:val="0"/>
        </w:trPr>
        <w:tc>
          <w:tcPr>
            <w:tcW w:w="28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Sub total por vencer</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72</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1.832.277</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(13.777)</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1.832.277</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(13.777)</w:t>
            </w:r>
          </w:p>
        </w:tc>
      </w:tr>
      <w:tr>
        <w:tblPrEx>
          <w:tblW w:w="7845" w:type="dxa"/>
          <w:tblInd w:w="2126" w:type="dxa"/>
          <w:tblLayout w:type="fixed"/>
        </w:tblPrEx>
        <w:trPr>
          <w:cantSplit/>
          <w:trHeight w:hRule="auto" w:val="0"/>
        </w:trPr>
        <w:tc>
          <w:tcPr>
            <w:tcW w:w="28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exact" w:val="255"/>
        </w:trPr>
        <w:tc>
          <w:tcPr>
            <w:tcW w:w="28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Vencidos (3)</w:t>
            </w:r>
          </w:p>
        </w:tc>
        <w:tc>
          <w:tcPr>
            <w:tcW w:w="100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28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Entre 1 y 30 días.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29</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404.737</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(4.729)</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404.737</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(4.729)</w:t>
            </w:r>
          </w:p>
        </w:tc>
      </w:tr>
      <w:tr>
        <w:tblPrEx>
          <w:tblW w:w="7845" w:type="dxa"/>
          <w:tblInd w:w="2126" w:type="dxa"/>
          <w:tblLayout w:type="fixed"/>
        </w:tblPrEx>
        <w:trPr>
          <w:cantSplit/>
          <w:trHeight w:hRule="auto" w:val="0"/>
        </w:trPr>
        <w:tc>
          <w:tcPr>
            <w:tcW w:w="28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Entre 31 y 60 días.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14</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484.837</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(6.395)</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484.837</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(6.395)</w:t>
            </w:r>
          </w:p>
        </w:tc>
      </w:tr>
      <w:tr>
        <w:tblPrEx>
          <w:tblW w:w="7845" w:type="dxa"/>
          <w:tblInd w:w="2126" w:type="dxa"/>
          <w:tblLayout w:type="fixed"/>
        </w:tblPrEx>
        <w:trPr>
          <w:cantSplit/>
          <w:trHeight w:hRule="auto" w:val="0"/>
        </w:trPr>
        <w:tc>
          <w:tcPr>
            <w:tcW w:w="28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Entre 61 y 90 días.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6</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250.062</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(3.263)</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250.062</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(3.263)</w:t>
            </w:r>
          </w:p>
        </w:tc>
      </w:tr>
      <w:tr>
        <w:tblPrEx>
          <w:tblW w:w="7845" w:type="dxa"/>
          <w:tblInd w:w="2126" w:type="dxa"/>
          <w:tblLayout w:type="fixed"/>
        </w:tblPrEx>
        <w:trPr>
          <w:cantSplit/>
          <w:trHeight w:hRule="auto" w:val="0"/>
        </w:trPr>
        <w:tc>
          <w:tcPr>
            <w:tcW w:w="28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Entre 91 y 120 días.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7</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31.375</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(416)</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31.375</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(416)</w:t>
            </w:r>
          </w:p>
        </w:tc>
      </w:tr>
      <w:tr>
        <w:tblPrEx>
          <w:tblW w:w="7845" w:type="dxa"/>
          <w:tblInd w:w="2126" w:type="dxa"/>
          <w:tblLayout w:type="fixed"/>
        </w:tblPrEx>
        <w:trPr>
          <w:cantSplit/>
          <w:trHeight w:hRule="auto" w:val="0"/>
        </w:trPr>
        <w:tc>
          <w:tcPr>
            <w:tcW w:w="28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Entre 121 y 150 días.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9</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79.626</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(1.058)</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79.626</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(1.058)</w:t>
            </w:r>
          </w:p>
        </w:tc>
      </w:tr>
      <w:tr>
        <w:tblPrEx>
          <w:tblW w:w="7845" w:type="dxa"/>
          <w:tblInd w:w="2126" w:type="dxa"/>
          <w:tblLayout w:type="fixed"/>
        </w:tblPrEx>
        <w:trPr>
          <w:cantSplit/>
          <w:trHeight w:hRule="auto" w:val="0"/>
        </w:trPr>
        <w:tc>
          <w:tcPr>
            <w:tcW w:w="28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Entre 151 y 180 días.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238.901</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(3.179)</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238.901</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(3.179)</w:t>
            </w:r>
          </w:p>
        </w:tc>
      </w:tr>
      <w:tr>
        <w:tblPrEx>
          <w:tblW w:w="7845" w:type="dxa"/>
          <w:tblInd w:w="2126" w:type="dxa"/>
          <w:tblLayout w:type="fixed"/>
        </w:tblPrEx>
        <w:trPr>
          <w:cantSplit/>
          <w:trHeight w:hRule="auto" w:val="0"/>
        </w:trPr>
        <w:tc>
          <w:tcPr>
            <w:tcW w:w="28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Entre 181 y 210 días.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9.717</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(128)</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9.717</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(128)</w:t>
            </w:r>
          </w:p>
        </w:tc>
      </w:tr>
      <w:tr>
        <w:tblPrEx>
          <w:tblW w:w="7845" w:type="dxa"/>
          <w:tblInd w:w="2126" w:type="dxa"/>
          <w:tblLayout w:type="fixed"/>
        </w:tblPrEx>
        <w:trPr>
          <w:cantSplit/>
          <w:trHeight w:hRule="auto" w:val="0"/>
        </w:trPr>
        <w:tc>
          <w:tcPr>
            <w:tcW w:w="28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Entre 211 y 250 días.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7</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107.609</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(1.431)</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107.609</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(1.431)</w:t>
            </w:r>
          </w:p>
        </w:tc>
      </w:tr>
      <w:tr>
        <w:tblPrEx>
          <w:tblW w:w="7845" w:type="dxa"/>
          <w:tblInd w:w="2126" w:type="dxa"/>
          <w:tblLayout w:type="fixed"/>
        </w:tblPrEx>
        <w:trPr>
          <w:cantSplit/>
          <w:trHeight w:hRule="auto" w:val="0"/>
        </w:trPr>
        <w:tc>
          <w:tcPr>
            <w:tcW w:w="28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Más de 250 días.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77</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300.337</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(42.045)</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300.337</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(42.045)</w:t>
            </w:r>
          </w:p>
        </w:tc>
      </w:tr>
      <w:tr>
        <w:tblPrEx>
          <w:tblW w:w="7845" w:type="dxa"/>
          <w:tblInd w:w="2126" w:type="dxa"/>
          <w:tblLayout w:type="fixed"/>
        </w:tblPrEx>
        <w:trPr>
          <w:cantSplit/>
          <w:trHeight w:hRule="auto" w:val="0"/>
        </w:trPr>
        <w:tc>
          <w:tcPr>
            <w:tcW w:w="28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Sub total vencidos</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156</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1.907.201</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(62.644)</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1.907.201</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(62.644)</w:t>
            </w:r>
          </w:p>
        </w:tc>
      </w:tr>
      <w:tr>
        <w:tblPrEx>
          <w:tblW w:w="7845" w:type="dxa"/>
          <w:tblInd w:w="2126" w:type="dxa"/>
          <w:tblLayout w:type="fixed"/>
        </w:tblPrEx>
        <w:trPr>
          <w:cantSplit/>
          <w:trHeight w:hRule="auto" w:val="0"/>
        </w:trPr>
        <w:tc>
          <w:tcPr>
            <w:tcW w:w="28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exact" w:val="255"/>
        </w:trPr>
        <w:tc>
          <w:tcPr>
            <w:tcW w:w="28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228</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3.739.478</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(76.421)</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3.739.478</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(76.421)</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headerReference w:type="default" r:id="rId29"/>
          <w:footerReference w:type="default" r:id="rId30"/>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9"/>
        <w:jc w:val="both"/>
        <w:outlineLvl w:val="1"/>
        <w:rPr>
          <w:rFonts w:ascii="Times New Roman" w:eastAsia="Times New Roman" w:hAnsi="Times New Roman" w:cs="Times New Roman"/>
          <w:b/>
          <w:i w:val="0"/>
          <w:color w:val="000000"/>
          <w:sz w:val="24"/>
          <w:u w:val="none"/>
        </w:rPr>
      </w:pPr>
      <w:bookmarkStart w:id="115" w:name="Section61"/>
      <w:bookmarkEnd w:id="115"/>
      <w:bookmarkStart w:id="116" w:name="d261dd71a67543389207bf3e77cd018e"/>
      <w:r>
        <w:rPr>
          <w:rFonts w:ascii="Calibri" w:eastAsia="Calibri" w:hAnsi="Calibri" w:cs="Calibri"/>
          <w:b/>
          <w:i w:val="0"/>
          <w:color w:val="000000"/>
          <w:sz w:val="20"/>
          <w:u w:val="none"/>
        </w:rPr>
        <w:t>8.4.-</w:t>
      </w:r>
      <w:r>
        <w:rPr>
          <w:rFonts w:ascii="Calibri" w:eastAsia="Calibri" w:hAnsi="Calibri" w:cs="Calibri"/>
          <w:b/>
          <w:i w:val="0"/>
          <w:color w:val="000000"/>
          <w:sz w:val="20"/>
          <w:u w:val="none"/>
        </w:rPr>
        <w:tab/>
      </w:r>
      <w:r>
        <w:rPr>
          <w:rFonts w:ascii="Calibri" w:eastAsia="Calibri" w:hAnsi="Calibri" w:cs="Calibri"/>
          <w:b/>
          <w:i w:val="0"/>
          <w:color w:val="000000"/>
          <w:sz w:val="20"/>
          <w:u w:val="none"/>
        </w:rPr>
        <w:t>Cartera protestada y en cobranza judicial.</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16"/>
    </w:p>
    <w:p>
      <w:pPr>
        <w:pStyle w:val="Normal-wk"/>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cartera protestada y en cobranza judicial al </w:t>
      </w:r>
      <w:r>
        <w:rPr>
          <w:rFonts w:ascii="Calibri" w:eastAsia="Calibri" w:hAnsi="Calibri" w:cs="Calibri"/>
          <w:b w:val="0"/>
          <w:i w:val="0"/>
          <w:color w:val="000000"/>
          <w:sz w:val="20"/>
          <w:u w:val="none"/>
        </w:rPr>
        <w:t>30 de junio de 2026</w:t>
      </w:r>
      <w:r>
        <w:rPr>
          <w:rFonts w:ascii="Calibri" w:eastAsia="Calibri" w:hAnsi="Calibri" w:cs="Calibri"/>
          <w:b w:val="0"/>
          <w:i w:val="0"/>
          <w:sz w:val="20"/>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 xml:space="preserve"> es la siguiente, las cuales forman parte de la cartera morosa: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530"/>
        <w:gridCol w:w="1005"/>
        <w:gridCol w:w="1005"/>
        <w:gridCol w:w="1005"/>
        <w:gridCol w:w="1005"/>
      </w:tblGrid>
      <w:tr>
        <w:tblPrEx>
          <w:tblW w:w="8550" w:type="dxa"/>
          <w:tblInd w:w="1417" w:type="dxa"/>
          <w:tblLayout w:type="fixed"/>
        </w:tblPrEx>
        <w:trPr>
          <w:cantSplit/>
          <w:trHeight w:hRule="auto" w:val="0"/>
        </w:trPr>
        <w:tc>
          <w:tcPr>
            <w:tcW w:w="8550" w:type="dxa"/>
            <w:gridSpan w:val="5"/>
            <w:tcBorders>
              <w:top w:val="single" w:sz="2" w:space="0" w:color="000000"/>
              <w:left w:val="single" w:sz="2" w:space="0" w:color="000000"/>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r>
      <w:tr>
        <w:tblPrEx>
          <w:tblW w:w="8550" w:type="dxa"/>
          <w:tblInd w:w="1417" w:type="dxa"/>
          <w:tblLayout w:type="fixed"/>
        </w:tblPrEx>
        <w:trPr>
          <w:cantSplit/>
          <w:trHeight w:hRule="auto" w:val="0"/>
        </w:trPr>
        <w:tc>
          <w:tcPr>
            <w:tcW w:w="4530" w:type="dxa"/>
            <w:vMerge w:val="restart"/>
            <w:tcBorders>
              <w:top w:val="nil"/>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Cartera en cobranza judicial</w:t>
            </w:r>
          </w:p>
        </w:tc>
        <w:tc>
          <w:tcPr>
            <w:tcW w:w="2010" w:type="dxa"/>
            <w:gridSpan w:val="2"/>
            <w:tcBorders>
              <w:top w:val="nil"/>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Documentos por cobrar en cartera protestada, cartera no securitizada</w:t>
            </w:r>
          </w:p>
        </w:tc>
        <w:tc>
          <w:tcPr>
            <w:tcW w:w="2010" w:type="dxa"/>
            <w:gridSpan w:val="2"/>
            <w:tcBorders>
              <w:top w:val="nil"/>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Documentos por cobrar en cobranza judicial, cartera no securitizada</w:t>
            </w:r>
          </w:p>
        </w:tc>
      </w:tr>
      <w:tr>
        <w:tblPrEx>
          <w:tblW w:w="8550" w:type="dxa"/>
          <w:tblInd w:w="1417" w:type="dxa"/>
          <w:tblLayout w:type="fixed"/>
        </w:tblPrEx>
        <w:trPr>
          <w:cantSplit/>
          <w:trHeight w:hRule="auto" w:val="0"/>
        </w:trPr>
        <w:tc>
          <w:tcPr>
            <w:tcW w:w="4530" w:type="dxa"/>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N°</w:t>
            </w:r>
          </w:p>
        </w:tc>
        <w:tc>
          <w:tcPr>
            <w:tcW w:w="1005" w:type="dxa"/>
            <w:tcBorders>
              <w:top w:val="single" w:sz="4" w:space="0" w:color="FFFFFF"/>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N°</w:t>
            </w:r>
          </w:p>
        </w:tc>
        <w:tc>
          <w:tcPr>
            <w:tcW w:w="1005" w:type="dxa"/>
            <w:tcBorders>
              <w:top w:val="single" w:sz="4" w:space="0" w:color="FFFFFF"/>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8550" w:type="dxa"/>
          <w:tblInd w:w="1417" w:type="dxa"/>
          <w:tblLayout w:type="fixed"/>
        </w:tblPrEx>
        <w:trPr>
          <w:cantSplit/>
          <w:trHeight w:hRule="exact" w:val="255"/>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48" w:after="30" w:line="240" w:lineRule="auto"/>
              <w:jc w:val="left"/>
            </w:pPr>
            <w:r>
              <w:rPr>
                <w:rFonts w:ascii="Calibri" w:eastAsia="Calibri" w:hAnsi="Calibri" w:cs="Calibri"/>
                <w:b w:val="0"/>
                <w:i w:val="0"/>
                <w:color w:val="000000"/>
                <w:sz w:val="14"/>
                <w:u w:val="none"/>
              </w:rPr>
              <w:t>Cartera protestada o en cobranza judicial.</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val="0"/>
                <w:i w:val="0"/>
                <w:color w:val="000000"/>
                <w:sz w:val="14"/>
                <w:u w:val="none"/>
              </w:rPr>
              <w:t>78</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val="0"/>
                <w:i w:val="0"/>
                <w:color w:val="000000"/>
                <w:sz w:val="14"/>
                <w:u w:val="none"/>
              </w:rPr>
              <w:t>371.305</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48" w:after="30" w:line="240" w:lineRule="auto"/>
              <w:jc w:val="right"/>
            </w:pPr>
          </w:p>
        </w:tc>
      </w:tr>
      <w:tr>
        <w:tblPrEx>
          <w:tblW w:w="8550" w:type="dxa"/>
          <w:tblInd w:w="1417" w:type="dxa"/>
          <w:tblLayout w:type="fixed"/>
        </w:tblPrEx>
        <w:trPr>
          <w:cantSplit/>
          <w:trHeight w:hRule="exact" w:val="225"/>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Total</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i w:val="0"/>
                <w:color w:val="FFFFFF"/>
                <w:sz w:val="14"/>
                <w:u w:val="none"/>
              </w:rPr>
              <w:t>78</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i w:val="0"/>
                <w:color w:val="FFFFFF"/>
                <w:sz w:val="14"/>
                <w:u w:val="none"/>
              </w:rPr>
              <w:t>371.305</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i w:val="0"/>
                <w:color w:val="FFFFFF"/>
                <w:sz w:val="14"/>
                <w:u w:val="none"/>
              </w:rPr>
              <w:t>0</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530"/>
        <w:gridCol w:w="1005"/>
        <w:gridCol w:w="1005"/>
        <w:gridCol w:w="1005"/>
        <w:gridCol w:w="1005"/>
      </w:tblGrid>
      <w:tr>
        <w:tblPrEx>
          <w:tblW w:w="8550" w:type="dxa"/>
          <w:tblInd w:w="1417" w:type="dxa"/>
          <w:tblLayout w:type="fixed"/>
        </w:tblPrEx>
        <w:trPr>
          <w:cantSplit/>
          <w:trHeight w:hRule="auto" w:val="0"/>
        </w:trPr>
        <w:tc>
          <w:tcPr>
            <w:tcW w:w="8550" w:type="dxa"/>
            <w:gridSpan w:val="5"/>
            <w:tcBorders>
              <w:top w:val="single" w:sz="2" w:space="0" w:color="000000"/>
              <w:left w:val="single" w:sz="2" w:space="0" w:color="000000"/>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31-12-2025</w:t>
            </w:r>
          </w:p>
        </w:tc>
      </w:tr>
      <w:tr>
        <w:tblPrEx>
          <w:tblW w:w="8550" w:type="dxa"/>
          <w:tblInd w:w="1417" w:type="dxa"/>
          <w:tblLayout w:type="fixed"/>
        </w:tblPrEx>
        <w:trPr>
          <w:cantSplit/>
          <w:trHeight w:hRule="auto" w:val="0"/>
        </w:trPr>
        <w:tc>
          <w:tcPr>
            <w:tcW w:w="4530" w:type="dxa"/>
            <w:vMerge w:val="restart"/>
            <w:tcBorders>
              <w:top w:val="nil"/>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Cartera en cobranza judicial</w:t>
            </w:r>
          </w:p>
        </w:tc>
        <w:tc>
          <w:tcPr>
            <w:tcW w:w="2010" w:type="dxa"/>
            <w:gridSpan w:val="2"/>
            <w:tcBorders>
              <w:top w:val="nil"/>
              <w:left w:val="single" w:sz="4" w:space="0" w:color="FFFFFF"/>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Documentos por cobrar en cartera protestada, cartera no securitizada</w:t>
            </w:r>
          </w:p>
        </w:tc>
        <w:tc>
          <w:tcPr>
            <w:tcW w:w="2010" w:type="dxa"/>
            <w:gridSpan w:val="2"/>
            <w:tcBorders>
              <w:top w:val="nil"/>
              <w:left w:val="single" w:sz="4" w:space="0" w:color="FFFFFF"/>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Documentos por cobrar en cobranza judicial, cartera no securitizada</w:t>
            </w:r>
          </w:p>
        </w:tc>
      </w:tr>
      <w:tr>
        <w:tblPrEx>
          <w:tblW w:w="8550" w:type="dxa"/>
          <w:tblInd w:w="1417" w:type="dxa"/>
          <w:tblLayout w:type="fixed"/>
        </w:tblPrEx>
        <w:trPr>
          <w:cantSplit/>
          <w:trHeight w:hRule="auto" w:val="0"/>
        </w:trPr>
        <w:tc>
          <w:tcPr>
            <w:tcW w:w="4530" w:type="dxa"/>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N°</w:t>
            </w:r>
          </w:p>
        </w:tc>
        <w:tc>
          <w:tcPr>
            <w:tcW w:w="1005" w:type="dxa"/>
            <w:tcBorders>
              <w:top w:val="single" w:sz="4" w:space="0" w:color="FFFFFF"/>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N°</w:t>
            </w:r>
          </w:p>
        </w:tc>
        <w:tc>
          <w:tcPr>
            <w:tcW w:w="1005" w:type="dxa"/>
            <w:tcBorders>
              <w:top w:val="single" w:sz="4" w:space="0" w:color="FFFFFF"/>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8550" w:type="dxa"/>
          <w:tblInd w:w="1417" w:type="dxa"/>
          <w:tblLayout w:type="fixed"/>
        </w:tblPrEx>
        <w:trPr>
          <w:cantSplit/>
          <w:trHeight w:hRule="auto" w:val="0"/>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Cartera protestada o en cobranza judicial.</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78</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1.010.785</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8550" w:type="dxa"/>
          <w:tblInd w:w="1417" w:type="dxa"/>
          <w:tblLayout w:type="fixed"/>
        </w:tblPrEx>
        <w:trPr>
          <w:cantSplit/>
          <w:trHeight w:hRule="exact" w:val="225"/>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Total</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i w:val="0"/>
                <w:color w:val="FFFFFF"/>
                <w:sz w:val="14"/>
                <w:u w:val="none"/>
              </w:rPr>
              <w:t>78</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i w:val="0"/>
                <w:color w:val="FFFFFF"/>
                <w:sz w:val="14"/>
                <w:u w:val="none"/>
              </w:rPr>
              <w:t>1.010.785</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i w:val="0"/>
                <w:color w:val="FFFFFF"/>
                <w:sz w:val="14"/>
                <w:u w:val="none"/>
              </w:rPr>
              <w:t>0</w:t>
            </w:r>
          </w:p>
        </w:tc>
      </w:tr>
    </w:tbl>
    <w:p>
      <w:pPr>
        <w:keepNext w:val="0"/>
        <w:keepLines/>
        <w:pageBreakBefore w:val="0"/>
        <w:widowControl w:val="0"/>
        <w:numPr>
          <w:ilvl w:val="0"/>
          <w:numId w:val="0"/>
        </w:numPr>
        <w:spacing w:before="0" w:after="0" w:line="288" w:lineRule="auto"/>
        <w:ind w:left="720" w:right="0" w:firstLine="72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720" w:right="0" w:firstLine="720"/>
        <w:jc w:val="both"/>
        <w:outlineLvl w:val="9"/>
        <w:rPr>
          <w:rFonts w:ascii="Calibri" w:eastAsia="Calibri" w:hAnsi="Calibri" w:cs="Calibri"/>
          <w:b w:val="0"/>
          <w:i w:val="0"/>
          <w:color w:val="000000"/>
          <w:sz w:val="20"/>
          <w:u w:val="none"/>
        </w:rPr>
        <w:sectPr>
          <w:headerReference w:type="default" r:id="rId31"/>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117" w:name="Section62"/>
      <w:bookmarkEnd w:id="117"/>
      <w:bookmarkStart w:id="118" w:name="074a0312431f4ee78ee8de0443aa37e6"/>
      <w:r>
        <w:rPr>
          <w:rFonts w:ascii="Calibri" w:eastAsia="Calibri" w:hAnsi="Calibri" w:cs="Calibri"/>
          <w:b/>
          <w:i w:val="0"/>
          <w:color w:val="000000"/>
          <w:sz w:val="20"/>
          <w:u w:val="none"/>
        </w:rPr>
        <w:t>8.5.-</w:t>
      </w:r>
      <w:r>
        <w:rPr>
          <w:rFonts w:ascii="Calibri" w:eastAsia="Calibri" w:hAnsi="Calibri" w:cs="Calibri"/>
          <w:b/>
          <w:i w:val="0"/>
          <w:color w:val="000000"/>
          <w:sz w:val="20"/>
          <w:u w:val="none"/>
        </w:rPr>
        <w:tab/>
      </w:r>
      <w:r>
        <w:rPr>
          <w:rFonts w:ascii="Calibri" w:eastAsia="Calibri" w:hAnsi="Calibri" w:cs="Calibri"/>
          <w:b/>
          <w:i w:val="0"/>
          <w:color w:val="000000"/>
          <w:sz w:val="20"/>
          <w:u w:val="none"/>
        </w:rPr>
        <w:t>Provisión y castigos.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18"/>
    </w:p>
    <w:p>
      <w:pPr>
        <w:pStyle w:val="Normal-wk"/>
        <w:keepNext w:val="0"/>
        <w:keepLines/>
        <w:pageBreakBefore w:val="0"/>
        <w:widowControl w:val="0"/>
        <w:numPr>
          <w:ilvl w:val="0"/>
          <w:numId w:val="0"/>
        </w:numPr>
        <w:tabs>
          <w:tab w:val="left" w:pos="700"/>
        </w:tabs>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detalle de la provisión y castigo de la cartera no repactada y repactada,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es la siguiente:</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530"/>
        <w:gridCol w:w="1005"/>
        <w:gridCol w:w="1005"/>
        <w:gridCol w:w="1005"/>
        <w:gridCol w:w="1005"/>
      </w:tblGrid>
      <w:tr>
        <w:tblPrEx>
          <w:tblW w:w="8550" w:type="dxa"/>
          <w:tblInd w:w="1417" w:type="dxa"/>
          <w:tblLayout w:type="fixed"/>
        </w:tblPrEx>
        <w:trPr>
          <w:cantSplit/>
          <w:trHeight w:hRule="auto" w:val="0"/>
        </w:trPr>
        <w:tc>
          <w:tcPr>
            <w:tcW w:w="453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Provisión y castigos</w:t>
            </w:r>
          </w:p>
        </w:tc>
        <w:tc>
          <w:tcPr>
            <w:tcW w:w="100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01-01-2026</w:t>
            </w:r>
          </w:p>
        </w:tc>
        <w:tc>
          <w:tcPr>
            <w:tcW w:w="100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01-01-2025</w:t>
            </w:r>
          </w:p>
        </w:tc>
        <w:tc>
          <w:tcPr>
            <w:tcW w:w="1005" w:type="dxa"/>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01-04-2026</w:t>
            </w:r>
          </w:p>
        </w:tc>
        <w:tc>
          <w:tcPr>
            <w:tcW w:w="1005" w:type="dxa"/>
            <w:tcBorders>
              <w:top w:val="single" w:sz="2" w:space="0" w:color="000000"/>
              <w:left w:val="single" w:sz="8"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01-04-2025</w:t>
            </w:r>
          </w:p>
        </w:tc>
      </w:tr>
      <w:tr>
        <w:tblPrEx>
          <w:tblW w:w="8550" w:type="dxa"/>
          <w:tblInd w:w="1417" w:type="dxa"/>
          <w:tblLayout w:type="fixed"/>
        </w:tblPrEx>
        <w:trPr>
          <w:cantSplit/>
          <w:trHeight w:hRule="auto" w:val="0"/>
        </w:trPr>
        <w:tc>
          <w:tcPr>
            <w:tcW w:w="4530" w:type="dxa"/>
            <w:vMerge/>
            <w:tcBorders>
              <w:top w:val="nil"/>
              <w:left w:val="single" w:sz="2" w:space="0" w:color="000000"/>
              <w:bottom w:val="nil"/>
              <w:right w:val="nil"/>
            </w:tcBorders>
          </w:tcPr>
          <w:p>
            <w:pPr>
              <w:keepNext/>
              <w:pageBreakBefore w:val="0"/>
            </w:pP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30-06-2025</w:t>
            </w:r>
          </w:p>
        </w:tc>
        <w:tc>
          <w:tcPr>
            <w:tcW w:w="1005" w:type="dxa"/>
            <w:tcBorders>
              <w:top w:val="nil"/>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1005" w:type="dxa"/>
            <w:tcBorders>
              <w:top w:val="nil"/>
              <w:left w:val="single" w:sz="8"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30-06-2025</w:t>
            </w:r>
          </w:p>
        </w:tc>
      </w:tr>
      <w:tr>
        <w:tblPrEx>
          <w:tblW w:w="8550" w:type="dxa"/>
          <w:tblInd w:w="1417" w:type="dxa"/>
          <w:tblLayout w:type="fixed"/>
        </w:tblPrEx>
        <w:trPr>
          <w:cantSplit/>
          <w:trHeight w:hRule="auto" w:val="0"/>
        </w:trPr>
        <w:tc>
          <w:tcPr>
            <w:tcW w:w="4530" w:type="dxa"/>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05" w:type="dxa"/>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05" w:type="dxa"/>
            <w:tcBorders>
              <w:top w:val="nil"/>
              <w:left w:val="single" w:sz="8"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8550" w:type="dxa"/>
          <w:tblInd w:w="1417" w:type="dxa"/>
          <w:tblLayout w:type="fixed"/>
        </w:tblPrEx>
        <w:trPr>
          <w:cantSplit/>
          <w:trHeight w:hRule="auto" w:val="0"/>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Provisión cartera no repactada.</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540.287</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(18.302)</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640.632</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68.193</w:t>
            </w:r>
          </w:p>
        </w:tc>
      </w:tr>
      <w:tr>
        <w:tblPrEx>
          <w:tblW w:w="8550" w:type="dxa"/>
          <w:tblInd w:w="1417" w:type="dxa"/>
          <w:tblLayout w:type="fixed"/>
        </w:tblPrEx>
        <w:trPr>
          <w:cantSplit/>
          <w:trHeight w:hRule="auto" w:val="0"/>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 xml:space="preserve">Total </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540.287</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(18.302)</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640.632</w:t>
            </w:r>
          </w:p>
        </w:tc>
        <w:tc>
          <w:tcPr>
            <w:tcW w:w="1005" w:type="dxa"/>
            <w:tcBorders>
              <w:top w:val="single" w:sz="2" w:space="0" w:color="000000"/>
              <w:left w:val="single" w:sz="8"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68.193</w:t>
            </w:r>
          </w:p>
        </w:tc>
      </w:tr>
    </w:tbl>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119" w:name="Section63"/>
      <w:bookmarkEnd w:id="119"/>
      <w:bookmarkStart w:id="120" w:name="f75972f71c3346b3a04f00fa0729d5a0"/>
      <w:r>
        <w:rPr>
          <w:rFonts w:ascii="Calibri" w:eastAsia="Calibri" w:hAnsi="Calibri" w:cs="Calibri"/>
          <w:b/>
          <w:i w:val="0"/>
          <w:color w:val="000000"/>
          <w:sz w:val="20"/>
          <w:u w:val="none"/>
        </w:rPr>
        <w:t xml:space="preserve">8.6.- </w:t>
      </w:r>
      <w:r>
        <w:rPr>
          <w:rFonts w:ascii="Calibri" w:eastAsia="Calibri" w:hAnsi="Calibri" w:cs="Calibri"/>
          <w:b/>
          <w:i w:val="0"/>
          <w:color w:val="000000"/>
          <w:sz w:val="20"/>
          <w:u w:val="none"/>
        </w:rPr>
        <w:tab/>
      </w:r>
      <w:r>
        <w:rPr>
          <w:rFonts w:ascii="Calibri" w:eastAsia="Calibri" w:hAnsi="Calibri" w:cs="Calibri"/>
          <w:b/>
          <w:i w:val="0"/>
          <w:color w:val="000000"/>
          <w:sz w:val="20"/>
          <w:u w:val="none"/>
        </w:rPr>
        <w:t>Número y monto de operaciones.</w:t>
      </w: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bookmarkEnd w:id="120"/>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número y monto de operaciones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es el siguiente por venta y transporte de energía y servicios: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170"/>
        <w:gridCol w:w="1005"/>
        <w:gridCol w:w="1005"/>
        <w:gridCol w:w="1185"/>
        <w:gridCol w:w="1185"/>
      </w:tblGrid>
      <w:tr>
        <w:tblPrEx>
          <w:tblW w:w="8550" w:type="dxa"/>
          <w:tblInd w:w="1417" w:type="dxa"/>
          <w:tblLayout w:type="fixed"/>
        </w:tblPrEx>
        <w:trPr>
          <w:cantSplit/>
          <w:trHeight w:hRule="auto" w:val="0"/>
        </w:trPr>
        <w:tc>
          <w:tcPr>
            <w:tcW w:w="417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Segmentos de ventas</w:t>
            </w:r>
          </w:p>
        </w:tc>
        <w:tc>
          <w:tcPr>
            <w:tcW w:w="1005" w:type="dxa"/>
            <w:vMerge w:val="restart"/>
            <w:tcBorders>
              <w:top w:val="single" w:sz="2" w:space="0" w:color="000000"/>
              <w:left w:val="nil"/>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Operaciones</w:t>
            </w:r>
          </w:p>
        </w:tc>
        <w:tc>
          <w:tcPr>
            <w:tcW w:w="1005"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01-01-2026</w:t>
            </w:r>
          </w:p>
        </w:tc>
        <w:tc>
          <w:tcPr>
            <w:tcW w:w="1185" w:type="dxa"/>
            <w:vMerge w:val="restart"/>
            <w:tcBorders>
              <w:top w:val="single" w:sz="2" w:space="0" w:color="000000"/>
              <w:left w:val="nil"/>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Operaciones</w:t>
            </w:r>
          </w:p>
        </w:tc>
        <w:tc>
          <w:tcPr>
            <w:tcW w:w="1185" w:type="dxa"/>
            <w:tcBorders>
              <w:top w:val="single" w:sz="2" w:space="0" w:color="000000"/>
              <w:left w:val="single" w:sz="8"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01-04-2026</w:t>
            </w:r>
          </w:p>
        </w:tc>
      </w:tr>
      <w:tr>
        <w:tblPrEx>
          <w:tblW w:w="8550" w:type="dxa"/>
          <w:tblInd w:w="1417" w:type="dxa"/>
          <w:tblLayout w:type="fixed"/>
        </w:tblPrEx>
        <w:trPr>
          <w:cantSplit/>
          <w:trHeight w:hRule="auto" w:val="0"/>
        </w:trPr>
        <w:tc>
          <w:tcPr>
            <w:tcW w:w="4170" w:type="dxa"/>
            <w:vMerge/>
            <w:tcBorders>
              <w:top w:val="nil"/>
              <w:left w:val="single" w:sz="2" w:space="0" w:color="000000"/>
              <w:bottom w:val="nil"/>
              <w:right w:val="single" w:sz="4" w:space="0" w:color="FFFFFF"/>
            </w:tcBorders>
          </w:tcPr>
          <w:p>
            <w:pPr>
              <w:keepNext/>
              <w:pageBreakBefore w:val="0"/>
            </w:pPr>
          </w:p>
        </w:tc>
        <w:tc>
          <w:tcPr>
            <w:tcW w:w="1005" w:type="dxa"/>
            <w:vMerge/>
            <w:tcBorders>
              <w:top w:val="nil"/>
              <w:left w:val="nil"/>
              <w:bottom w:val="nil"/>
              <w:right w:val="nil"/>
            </w:tcBorders>
          </w:tcPr>
          <w:p>
            <w:pPr>
              <w:keepNext/>
              <w:pageBreakBefore w:val="0"/>
            </w:pPr>
          </w:p>
        </w:tc>
        <w:tc>
          <w:tcPr>
            <w:tcW w:w="1005"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185" w:type="dxa"/>
            <w:vMerge/>
            <w:tcBorders>
              <w:top w:val="nil"/>
              <w:left w:val="nil"/>
              <w:bottom w:val="nil"/>
              <w:right w:val="nil"/>
            </w:tcBorders>
          </w:tcPr>
          <w:p>
            <w:pPr>
              <w:keepNext/>
              <w:pageBreakBefore w:val="0"/>
            </w:pPr>
          </w:p>
        </w:tc>
        <w:tc>
          <w:tcPr>
            <w:tcW w:w="1185" w:type="dxa"/>
            <w:tcBorders>
              <w:top w:val="nil"/>
              <w:left w:val="single" w:sz="8"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r>
      <w:tr>
        <w:tblPrEx>
          <w:tblW w:w="8550" w:type="dxa"/>
          <w:tblInd w:w="1417" w:type="dxa"/>
          <w:tblLayout w:type="fixed"/>
        </w:tblPrEx>
        <w:trPr>
          <w:cantSplit/>
          <w:trHeight w:hRule="auto" w:val="0"/>
        </w:trPr>
        <w:tc>
          <w:tcPr>
            <w:tcW w:w="4170" w:type="dxa"/>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185" w:type="dxa"/>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w:t>
            </w:r>
          </w:p>
        </w:tc>
        <w:tc>
          <w:tcPr>
            <w:tcW w:w="1185" w:type="dxa"/>
            <w:tcBorders>
              <w:top w:val="nil"/>
              <w:left w:val="single" w:sz="8"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auto" w:val="0"/>
        </w:trPr>
        <w:tc>
          <w:tcPr>
            <w:tcW w:w="417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Ventas de energía eléctrica Chile.</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1.761</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1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(914)</w:t>
            </w:r>
          </w:p>
        </w:tc>
        <w:tc>
          <w:tcPr>
            <w:tcW w:w="118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(55.095.179)</w:t>
            </w:r>
          </w:p>
        </w:tc>
      </w:tr>
      <w:tr>
        <w:tblPrEx>
          <w:tblW w:w="8550" w:type="dxa"/>
          <w:tblInd w:w="1417" w:type="dxa"/>
          <w:tblLayout w:type="fixed"/>
        </w:tblPrEx>
        <w:trPr>
          <w:cantSplit/>
          <w:trHeight w:hRule="auto" w:val="0"/>
        </w:trPr>
        <w:tc>
          <w:tcPr>
            <w:tcW w:w="417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Ventas de servicios.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1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(507)</w:t>
            </w:r>
          </w:p>
        </w:tc>
        <w:tc>
          <w:tcPr>
            <w:tcW w:w="118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(9.447.301)</w:t>
            </w:r>
          </w:p>
        </w:tc>
      </w:tr>
      <w:tr>
        <w:tblPrEx>
          <w:tblW w:w="8550" w:type="dxa"/>
          <w:tblInd w:w="1417" w:type="dxa"/>
          <w:tblLayout w:type="fixed"/>
        </w:tblPrEx>
        <w:trPr>
          <w:cantSplit/>
          <w:trHeight w:hRule="auto" w:val="0"/>
        </w:trPr>
        <w:tc>
          <w:tcPr>
            <w:tcW w:w="417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1.761</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11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-1.421</w:t>
            </w:r>
          </w:p>
        </w:tc>
        <w:tc>
          <w:tcPr>
            <w:tcW w:w="1185" w:type="dxa"/>
            <w:tcBorders>
              <w:top w:val="single" w:sz="2" w:space="0" w:color="000000"/>
              <w:left w:val="single" w:sz="8"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(64.542.480)</w:t>
            </w:r>
          </w:p>
        </w:tc>
      </w:tr>
    </w:tbl>
    <w:p>
      <w:pPr>
        <w:keepNext w:val="0"/>
        <w:keepLines/>
        <w:pageBreakBefore w:val="0"/>
        <w:widowControl w:val="0"/>
        <w:numPr>
          <w:ilvl w:val="0"/>
          <w:numId w:val="0"/>
        </w:numPr>
        <w:spacing w:before="0" w:after="0" w:line="288" w:lineRule="auto"/>
        <w:ind w:left="720" w:right="0" w:firstLine="720"/>
        <w:jc w:val="both"/>
        <w:outlineLvl w:val="9"/>
        <w:rPr>
          <w:rFonts w:ascii="Calibri" w:eastAsia="Calibri" w:hAnsi="Calibri" w:cs="Calibri"/>
          <w:b w:val="0"/>
          <w:i w:val="0"/>
          <w:sz w:val="20"/>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170"/>
        <w:gridCol w:w="1005"/>
        <w:gridCol w:w="1005"/>
        <w:gridCol w:w="1185"/>
        <w:gridCol w:w="1185"/>
      </w:tblGrid>
      <w:tr>
        <w:tblPrEx>
          <w:tblW w:w="8550" w:type="dxa"/>
          <w:tblInd w:w="1417" w:type="dxa"/>
          <w:tblLayout w:type="fixed"/>
        </w:tblPrEx>
        <w:trPr>
          <w:cantSplit/>
          <w:trHeight w:hRule="auto" w:val="0"/>
        </w:trPr>
        <w:tc>
          <w:tcPr>
            <w:tcW w:w="417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Segmentos de ventas</w:t>
            </w:r>
          </w:p>
        </w:tc>
        <w:tc>
          <w:tcPr>
            <w:tcW w:w="1005" w:type="dxa"/>
            <w:vMerge w:val="restart"/>
            <w:tcBorders>
              <w:top w:val="single" w:sz="2" w:space="0" w:color="000000"/>
              <w:left w:val="nil"/>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Operaciones</w:t>
            </w:r>
          </w:p>
        </w:tc>
        <w:tc>
          <w:tcPr>
            <w:tcW w:w="1005"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01-01-2025</w:t>
            </w:r>
          </w:p>
        </w:tc>
        <w:tc>
          <w:tcPr>
            <w:tcW w:w="1185" w:type="dxa"/>
            <w:vMerge w:val="restart"/>
            <w:tcBorders>
              <w:top w:val="single" w:sz="2" w:space="0" w:color="000000"/>
              <w:left w:val="nil"/>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Operaciones</w:t>
            </w:r>
          </w:p>
        </w:tc>
        <w:tc>
          <w:tcPr>
            <w:tcW w:w="1185" w:type="dxa"/>
            <w:tcBorders>
              <w:top w:val="single" w:sz="2" w:space="0" w:color="000000"/>
              <w:left w:val="single" w:sz="8"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01-04-2025</w:t>
            </w:r>
          </w:p>
        </w:tc>
      </w:tr>
      <w:tr>
        <w:tblPrEx>
          <w:tblW w:w="8550" w:type="dxa"/>
          <w:tblInd w:w="1417" w:type="dxa"/>
          <w:tblLayout w:type="fixed"/>
        </w:tblPrEx>
        <w:trPr>
          <w:cantSplit/>
          <w:trHeight w:hRule="auto" w:val="0"/>
        </w:trPr>
        <w:tc>
          <w:tcPr>
            <w:tcW w:w="4170" w:type="dxa"/>
            <w:vMerge/>
            <w:tcBorders>
              <w:top w:val="nil"/>
              <w:left w:val="single" w:sz="2" w:space="0" w:color="000000"/>
              <w:bottom w:val="nil"/>
              <w:right w:val="single" w:sz="4" w:space="0" w:color="FFFFFF"/>
            </w:tcBorders>
          </w:tcPr>
          <w:p>
            <w:pPr>
              <w:keepNext/>
              <w:pageBreakBefore w:val="0"/>
            </w:pPr>
          </w:p>
        </w:tc>
        <w:tc>
          <w:tcPr>
            <w:tcW w:w="1005" w:type="dxa"/>
            <w:vMerge/>
            <w:tcBorders>
              <w:top w:val="nil"/>
              <w:left w:val="nil"/>
              <w:bottom w:val="nil"/>
              <w:right w:val="nil"/>
            </w:tcBorders>
          </w:tcPr>
          <w:p>
            <w:pPr>
              <w:keepNext/>
              <w:pageBreakBefore w:val="0"/>
            </w:pPr>
          </w:p>
        </w:tc>
        <w:tc>
          <w:tcPr>
            <w:tcW w:w="1005"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30-06-2025</w:t>
            </w:r>
          </w:p>
        </w:tc>
        <w:tc>
          <w:tcPr>
            <w:tcW w:w="1185" w:type="dxa"/>
            <w:vMerge/>
            <w:tcBorders>
              <w:top w:val="nil"/>
              <w:left w:val="nil"/>
              <w:bottom w:val="nil"/>
              <w:right w:val="nil"/>
            </w:tcBorders>
          </w:tcPr>
          <w:p>
            <w:pPr>
              <w:keepNext/>
              <w:pageBreakBefore w:val="0"/>
            </w:pPr>
          </w:p>
        </w:tc>
        <w:tc>
          <w:tcPr>
            <w:tcW w:w="1185" w:type="dxa"/>
            <w:tcBorders>
              <w:top w:val="nil"/>
              <w:left w:val="single" w:sz="8"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30-06-2025</w:t>
            </w:r>
          </w:p>
        </w:tc>
      </w:tr>
      <w:tr>
        <w:tblPrEx>
          <w:tblW w:w="8550" w:type="dxa"/>
          <w:tblInd w:w="1417" w:type="dxa"/>
          <w:tblLayout w:type="fixed"/>
        </w:tblPrEx>
        <w:trPr>
          <w:cantSplit/>
          <w:trHeight w:hRule="auto" w:val="0"/>
        </w:trPr>
        <w:tc>
          <w:tcPr>
            <w:tcW w:w="4170" w:type="dxa"/>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185" w:type="dxa"/>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w:t>
            </w:r>
          </w:p>
        </w:tc>
        <w:tc>
          <w:tcPr>
            <w:tcW w:w="1185" w:type="dxa"/>
            <w:tcBorders>
              <w:top w:val="nil"/>
              <w:left w:val="single" w:sz="8"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auto" w:val="0"/>
        </w:trPr>
        <w:tc>
          <w:tcPr>
            <w:tcW w:w="417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Ventas de energía eléctrica Chile.</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5.465</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108.516.884</w:t>
            </w:r>
          </w:p>
        </w:tc>
        <w:tc>
          <w:tcPr>
            <w:tcW w:w="11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2.387</w:t>
            </w:r>
          </w:p>
        </w:tc>
        <w:tc>
          <w:tcPr>
            <w:tcW w:w="118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54.939.498</w:t>
            </w:r>
          </w:p>
        </w:tc>
      </w:tr>
      <w:tr>
        <w:tblPrEx>
          <w:tblW w:w="8550" w:type="dxa"/>
          <w:tblInd w:w="1417" w:type="dxa"/>
          <w:tblLayout w:type="fixed"/>
        </w:tblPrEx>
        <w:trPr>
          <w:cantSplit/>
          <w:trHeight w:hRule="auto" w:val="0"/>
        </w:trPr>
        <w:tc>
          <w:tcPr>
            <w:tcW w:w="417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Ventas de servicios.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1.008</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26.343.149</w:t>
            </w:r>
          </w:p>
        </w:tc>
        <w:tc>
          <w:tcPr>
            <w:tcW w:w="11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461</w:t>
            </w:r>
          </w:p>
        </w:tc>
        <w:tc>
          <w:tcPr>
            <w:tcW w:w="118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14.364.178</w:t>
            </w:r>
          </w:p>
        </w:tc>
      </w:tr>
      <w:tr>
        <w:tblPrEx>
          <w:tblW w:w="8550" w:type="dxa"/>
          <w:tblInd w:w="1417" w:type="dxa"/>
          <w:tblLayout w:type="fixed"/>
        </w:tblPrEx>
        <w:trPr>
          <w:cantSplit/>
          <w:trHeight w:hRule="auto" w:val="0"/>
        </w:trPr>
        <w:tc>
          <w:tcPr>
            <w:tcW w:w="417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6.473</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134.860.033</w:t>
            </w:r>
          </w:p>
        </w:tc>
        <w:tc>
          <w:tcPr>
            <w:tcW w:w="11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2.848</w:t>
            </w:r>
          </w:p>
        </w:tc>
        <w:tc>
          <w:tcPr>
            <w:tcW w:w="1185" w:type="dxa"/>
            <w:tcBorders>
              <w:top w:val="single" w:sz="2" w:space="0" w:color="000000"/>
              <w:left w:val="single" w:sz="8"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69.303.676</w:t>
            </w:r>
          </w:p>
        </w:tc>
      </w:tr>
    </w:tbl>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left"/>
        <w:outlineLvl w:val="0"/>
        <w:rPr>
          <w:rFonts w:ascii="Cambria" w:eastAsia="Cambria" w:hAnsi="Cambria" w:cs="Cambria"/>
          <w:b/>
          <w:i w:val="0"/>
          <w:color w:val="365F91"/>
          <w:sz w:val="28"/>
          <w:u w:val="none"/>
        </w:rPr>
      </w:pPr>
      <w:bookmarkStart w:id="121" w:name="Section64"/>
      <w:bookmarkEnd w:id="121"/>
      <w:bookmarkStart w:id="122" w:name="f262f8c949954ff3b91db4f2af223b9d"/>
      <w:r>
        <w:rPr>
          <w:rFonts w:ascii="Calibri" w:eastAsia="Calibri" w:hAnsi="Calibri" w:cs="Calibri"/>
          <w:b/>
          <w:i w:val="0"/>
          <w:color w:val="000000"/>
          <w:sz w:val="20"/>
          <w:u w:val="none"/>
        </w:rPr>
        <w:t>9.-</w:t>
      </w:r>
      <w:r>
        <w:rPr>
          <w:rFonts w:ascii="Calibri" w:eastAsia="Calibri" w:hAnsi="Calibri" w:cs="Calibri"/>
          <w:b/>
          <w:i w:val="0"/>
          <w:color w:val="000000"/>
          <w:sz w:val="20"/>
          <w:u w:val="none"/>
        </w:rPr>
        <w:tab/>
      </w:r>
      <w:r>
        <w:rPr>
          <w:rFonts w:ascii="Calibri" w:eastAsia="Calibri" w:hAnsi="Calibri" w:cs="Calibri"/>
          <w:b/>
          <w:i w:val="0"/>
          <w:color w:val="000000"/>
          <w:sz w:val="20"/>
          <w:u w:val="none"/>
        </w:rPr>
        <w:t>CUENTAS POR COBRAR Y PAGAR A ENTIDADES RELACIONADAS.</w:t>
      </w:r>
    </w:p>
    <w:p>
      <w:pPr>
        <w:keepNext w:val="0"/>
        <w:keepLines/>
        <w:pageBreakBefore w:val="0"/>
        <w:widowControl w:val="0"/>
        <w:numPr>
          <w:ilvl w:val="0"/>
          <w:numId w:val="0"/>
        </w:numPr>
        <w:spacing w:before="0" w:after="0" w:line="288" w:lineRule="auto"/>
        <w:ind w:left="705" w:right="0" w:firstLine="0"/>
        <w:jc w:val="both"/>
        <w:outlineLvl w:val="9"/>
        <w:rPr>
          <w:rFonts w:ascii="Calibri" w:eastAsia="Calibri" w:hAnsi="Calibri" w:cs="Calibri"/>
          <w:b w:val="0"/>
          <w:i w:val="0"/>
          <w:color w:val="000000"/>
          <w:sz w:val="20"/>
          <w:u w:val="none"/>
        </w:rPr>
      </w:pPr>
      <w:bookmarkEnd w:id="122"/>
    </w:p>
    <w:p>
      <w:pPr>
        <w:pStyle w:val="Normal-wk"/>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transacciones con empresas relacionadas son por lo general de pago/cobro inmediato o hasta 90 días, y no están sujetas a condiciones especiales. Estas operaciones se ajustan a lo establecido en el Título XVI de la Ley       N° 18.046, sobre Sociedades Anónimas.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Los traspasos de fondos de corto plazo desde y hacia la relacionada Compañía General de Electricidad S.A., que no correspondan a cobro o pago de servicios, se estructuran bajo un sistema de </w:t>
      </w:r>
      <w:r>
        <w:rPr>
          <w:rFonts w:ascii="Calibri" w:eastAsia="Calibri" w:hAnsi="Calibri" w:cs="Calibri"/>
          <w:b w:val="0"/>
          <w:i w:val="0"/>
          <w:sz w:val="20"/>
        </w:rPr>
        <w:t>tesorería centralizada</w:t>
      </w:r>
      <w:r>
        <w:rPr>
          <w:rFonts w:ascii="Calibri" w:eastAsia="Calibri" w:hAnsi="Calibri" w:cs="Calibri"/>
          <w:b w:val="0"/>
          <w:i w:val="0"/>
          <w:color w:val="000000"/>
          <w:sz w:val="20"/>
          <w:u w:val="none"/>
        </w:rPr>
        <w:t>, estableciéndose para el saldo mensual una tasa de interés variable, de acuerdo a las condiciones del mercado.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Con fecha 15 de noviembre de 2022 la sociedad firmó un contrato de crédito con la relacionada State Grid International Development. Mediante este contrato el acreedor puso a disposición de CGE Transmisión S.A. un préstamo por un monto de MUS$ 100.000, el cual devengará una tasa de interés anual de 5,41%. Los intereses se pagarán trimestralmente los meses de febrero, mayo, agosto y noviembre de cada año. El préstamo tiene fecha de vencimiento el 16 de noviembre de 2024 y posee condiciones de prepago sin penalidad alguna para la Sociedad. En el mes de noviembre de 2024 se amplió el plazo de vencimiento al 16 de febrero de 2025, con la misma tasa de interés y sus fechas de pago. Con fecha 16 de febrero de 2025 se dió por cancelado el crédito a su plazo de vencimiento final.</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Con fecha 17 de febrero de 2025 la sociedad firmó un contrato de crédito con la relacionada State Grid Chile Electricity SpA. Mediante este contrato el acreedor puso a disposición de CGE Transmisión S.A. un préstamo por un monto de MUS$ 100.000, el cual devengará una tasa de interés anual SOFR a Plazo para 3 meses más un spread de 60 puntos bases. Los intereses se pagarán trimestralmente los meses de febrero, mayo, agosto y noviembre de cada año. El préstamo tiene fecha de vencimiento el 16 de febrero de 2027 .</w:t>
      </w:r>
    </w:p>
    <w:p>
      <w:pPr>
        <w:keepNext w:val="0"/>
        <w:keepLines/>
        <w:pageBreakBefore w:val="0"/>
        <w:widowControl w:val="0"/>
        <w:numPr>
          <w:ilvl w:val="0"/>
          <w:numId w:val="0"/>
        </w:numPr>
        <w:spacing w:before="0" w:after="0" w:line="288" w:lineRule="auto"/>
        <w:ind w:left="705"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CGE Transmisión S.A., tiene como política informar todas las transacciones que efectúa con partes relacionadas durante el periodo o ejercicio, con excepción de los dividendos pagados, aportes de capital recibidos, los cuales no se entienden como transacciones.</w:t>
      </w:r>
    </w:p>
    <w:p>
      <w:pPr>
        <w:keepNext w:val="0"/>
        <w:keepLines/>
        <w:pageBreakBefore w:val="0"/>
        <w:widowControl w:val="0"/>
        <w:numPr>
          <w:ilvl w:val="0"/>
          <w:numId w:val="0"/>
        </w:numPr>
        <w:spacing w:before="0" w:after="0" w:line="288" w:lineRule="auto"/>
        <w:ind w:left="705"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Al </w:t>
      </w:r>
      <w:r>
        <w:rPr>
          <w:rFonts w:ascii="Calibri" w:eastAsia="Calibri" w:hAnsi="Calibri" w:cs="Calibri"/>
          <w:b w:val="0"/>
          <w:i w:val="0"/>
          <w:color w:val="000000"/>
          <w:sz w:val="20"/>
          <w:u w:val="none"/>
        </w:rPr>
        <w:t>30 de junio de 2026</w:t>
      </w:r>
      <w:r>
        <w:rPr>
          <w:rFonts w:ascii="Calibri" w:eastAsia="Calibri" w:hAnsi="Calibri" w:cs="Calibri"/>
          <w:b w:val="0"/>
          <w:i w:val="0"/>
          <w:sz w:val="20"/>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 xml:space="preserve"> no existen garantías otorgadas o recibidas en dichas operaciones.</w:t>
      </w:r>
    </w:p>
    <w:p>
      <w:pPr>
        <w:pStyle w:val="Normal-wk"/>
        <w:keepNext w:val="0"/>
        <w:keepLines/>
        <w:pageBreakBefore w:val="0"/>
        <w:widowControl w:val="0"/>
        <w:numPr>
          <w:ilvl w:val="0"/>
          <w:numId w:val="0"/>
        </w:numPr>
        <w:spacing w:before="0" w:after="0" w:line="240" w:lineRule="exact"/>
        <w:ind w:left="709" w:right="0" w:firstLine="0"/>
        <w:jc w:val="both"/>
        <w:outlineLvl w:val="9"/>
        <w:sectPr>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123" w:name="Section65"/>
      <w:bookmarkEnd w:id="123"/>
      <w:bookmarkStart w:id="124" w:name="cf795a9dd25d456f98b5f62460ef64aa"/>
      <w:r>
        <w:rPr>
          <w:rFonts w:ascii="Calibri" w:eastAsia="Calibri" w:hAnsi="Calibri" w:cs="Calibri"/>
          <w:b/>
          <w:i w:val="0"/>
          <w:color w:val="000000"/>
          <w:sz w:val="20"/>
          <w:u w:val="none"/>
        </w:rPr>
        <w:t>9.1.-</w:t>
      </w:r>
      <w:r>
        <w:rPr>
          <w:rFonts w:ascii="Calibri" w:eastAsia="Calibri" w:hAnsi="Calibri" w:cs="Calibri"/>
          <w:b/>
          <w:i w:val="0"/>
          <w:color w:val="000000"/>
          <w:sz w:val="20"/>
          <w:u w:val="none"/>
        </w:rPr>
        <w:tab/>
      </w:r>
      <w:r>
        <w:rPr>
          <w:rFonts w:ascii="Calibri" w:eastAsia="Calibri" w:hAnsi="Calibri" w:cs="Calibri"/>
          <w:b/>
          <w:i w:val="0"/>
          <w:color w:val="000000"/>
          <w:sz w:val="20"/>
          <w:u w:val="none"/>
        </w:rPr>
        <w:t>Saldos y transacciones con entidades relacionadas.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24"/>
    </w:p>
    <w:p>
      <w:pPr>
        <w:pStyle w:val="Normal-wk"/>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9.1.1.-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Cuentas por cobrar a entidades relacionadas.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 xml:space="preserve">La composición del rubro al </w:t>
      </w:r>
      <w:r>
        <w:rPr>
          <w:rFonts w:ascii="Calibri" w:eastAsia="Calibri" w:hAnsi="Calibri" w:cs="Calibri"/>
          <w:b w:val="0"/>
          <w:i w:val="0"/>
          <w:color w:val="000000"/>
          <w:sz w:val="20"/>
          <w:u w:val="none"/>
        </w:rPr>
        <w:t>30 de junio de 2026</w:t>
      </w:r>
      <w:r>
        <w:rPr>
          <w:rFonts w:ascii="Calibri" w:eastAsia="Calibri" w:hAnsi="Calibri" w:cs="Calibri"/>
          <w:b w:val="0"/>
          <w:i w:val="0"/>
          <w:sz w:val="20"/>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sz w:val="20"/>
        </w:rPr>
        <w:t xml:space="preserve"> es la siguiente:</w:t>
      </w:r>
    </w:p>
    <w:p>
      <w:pPr>
        <w:keepNext w:val="0"/>
        <w:keepLines/>
        <w:pageBreakBefore w:val="0"/>
        <w:widowControl w:val="0"/>
        <w:numPr>
          <w:ilvl w:val="0"/>
          <w:numId w:val="0"/>
        </w:numPr>
        <w:spacing w:before="0" w:after="0" w:line="288" w:lineRule="auto"/>
        <w:ind w:left="-11" w:right="0" w:firstLine="77"/>
        <w:jc w:val="both"/>
        <w:outlineLvl w:val="9"/>
        <w:rPr>
          <w:rFonts w:ascii="Calibri" w:eastAsia="Calibri" w:hAnsi="Calibri" w:cs="Calibri"/>
          <w:b w:val="0"/>
          <w:i w:val="0"/>
          <w:sz w:val="20"/>
        </w:rPr>
      </w:pPr>
    </w:p>
    <w:tbl>
      <w:tblPr>
        <w:tblW w:w="11445" w:type="dxa"/>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840"/>
        <w:gridCol w:w="2400"/>
        <w:gridCol w:w="660"/>
        <w:gridCol w:w="1875"/>
        <w:gridCol w:w="900"/>
        <w:gridCol w:w="1005"/>
        <w:gridCol w:w="705"/>
        <w:gridCol w:w="765"/>
        <w:gridCol w:w="765"/>
        <w:gridCol w:w="765"/>
        <w:gridCol w:w="765"/>
      </w:tblGrid>
      <w:tr>
        <w:tblPrEx>
          <w:tblW w:w="11445" w:type="dxa"/>
          <w:tblInd w:w="2126" w:type="dxa"/>
          <w:tblLayout w:type="fixed"/>
        </w:tblPrEx>
        <w:trPr>
          <w:cantSplit/>
          <w:trHeight w:hRule="auto" w:val="0"/>
        </w:trPr>
        <w:tc>
          <w:tcPr>
            <w:tcW w:w="84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R.U.T.</w:t>
            </w:r>
          </w:p>
        </w:tc>
        <w:tc>
          <w:tcPr>
            <w:tcW w:w="2400"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Sociedad</w:t>
            </w:r>
          </w:p>
        </w:tc>
        <w:tc>
          <w:tcPr>
            <w:tcW w:w="660"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País de origen</w:t>
            </w:r>
          </w:p>
        </w:tc>
        <w:tc>
          <w:tcPr>
            <w:tcW w:w="187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Descripción de la transacción</w:t>
            </w:r>
          </w:p>
        </w:tc>
        <w:tc>
          <w:tcPr>
            <w:tcW w:w="900"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Plazo de la transacción</w:t>
            </w:r>
          </w:p>
        </w:tc>
        <w:tc>
          <w:tcPr>
            <w:tcW w:w="100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Naturaleza de la relación</w:t>
            </w:r>
          </w:p>
        </w:tc>
        <w:tc>
          <w:tcPr>
            <w:tcW w:w="705" w:type="dxa"/>
            <w:vMerge w:val="restart"/>
            <w:tcBorders>
              <w:top w:val="single" w:sz="2" w:space="0" w:color="000000"/>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Moneda</w:t>
            </w:r>
          </w:p>
        </w:tc>
        <w:tc>
          <w:tcPr>
            <w:tcW w:w="1530"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Corrientes</w:t>
            </w:r>
          </w:p>
        </w:tc>
        <w:tc>
          <w:tcPr>
            <w:tcW w:w="153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No corrientes</w:t>
            </w:r>
          </w:p>
        </w:tc>
      </w:tr>
      <w:tr>
        <w:tblPrEx>
          <w:tblW w:w="11445" w:type="dxa"/>
          <w:tblInd w:w="2126" w:type="dxa"/>
          <w:tblLayout w:type="fixed"/>
        </w:tblPrEx>
        <w:trPr>
          <w:cantSplit/>
          <w:trHeight w:hRule="auto" w:val="0"/>
        </w:trPr>
        <w:tc>
          <w:tcPr>
            <w:tcW w:w="840" w:type="dxa"/>
            <w:vMerge/>
            <w:tcBorders>
              <w:top w:val="nil"/>
              <w:left w:val="single" w:sz="2" w:space="0" w:color="000000"/>
              <w:bottom w:val="nil"/>
              <w:right w:val="nil"/>
            </w:tcBorders>
          </w:tcPr>
          <w:p>
            <w:pPr>
              <w:keepNext/>
              <w:pageBreakBefore w:val="0"/>
            </w:pPr>
          </w:p>
        </w:tc>
        <w:tc>
          <w:tcPr>
            <w:tcW w:w="2400" w:type="dxa"/>
            <w:vMerge/>
            <w:tcBorders>
              <w:top w:val="nil"/>
              <w:left w:val="single" w:sz="4" w:space="0" w:color="FFFFFF"/>
              <w:bottom w:val="nil"/>
              <w:right w:val="nil"/>
            </w:tcBorders>
          </w:tcPr>
          <w:p>
            <w:pPr>
              <w:keepNext/>
              <w:pageBreakBefore w:val="0"/>
            </w:pPr>
          </w:p>
        </w:tc>
        <w:tc>
          <w:tcPr>
            <w:tcW w:w="660" w:type="dxa"/>
            <w:vMerge/>
            <w:tcBorders>
              <w:top w:val="nil"/>
              <w:left w:val="single" w:sz="4" w:space="0" w:color="FFFFFF"/>
              <w:bottom w:val="nil"/>
              <w:right w:val="nil"/>
            </w:tcBorders>
          </w:tcPr>
          <w:p>
            <w:pPr>
              <w:keepNext/>
              <w:pageBreakBefore w:val="0"/>
            </w:pPr>
          </w:p>
        </w:tc>
        <w:tc>
          <w:tcPr>
            <w:tcW w:w="1875" w:type="dxa"/>
            <w:vMerge/>
            <w:tcBorders>
              <w:top w:val="nil"/>
              <w:left w:val="single" w:sz="4" w:space="0" w:color="FFFFFF"/>
              <w:bottom w:val="nil"/>
              <w:right w:val="nil"/>
            </w:tcBorders>
          </w:tcPr>
          <w:p>
            <w:pPr>
              <w:keepNext/>
              <w:pageBreakBefore w:val="0"/>
            </w:pPr>
          </w:p>
        </w:tc>
        <w:tc>
          <w:tcPr>
            <w:tcW w:w="900" w:type="dxa"/>
            <w:vMerge/>
            <w:tcBorders>
              <w:top w:val="nil"/>
              <w:left w:val="single" w:sz="4" w:space="0" w:color="FFFFFF"/>
              <w:bottom w:val="nil"/>
              <w:right w:val="nil"/>
            </w:tcBorders>
          </w:tcPr>
          <w:p>
            <w:pPr>
              <w:keepNext/>
              <w:pageBreakBefore w:val="0"/>
            </w:pPr>
          </w:p>
        </w:tc>
        <w:tc>
          <w:tcPr>
            <w:tcW w:w="1005" w:type="dxa"/>
            <w:vMerge/>
            <w:tcBorders>
              <w:top w:val="nil"/>
              <w:left w:val="single" w:sz="4" w:space="0" w:color="FFFFFF"/>
              <w:bottom w:val="nil"/>
              <w:right w:val="nil"/>
            </w:tcBorders>
          </w:tcPr>
          <w:p>
            <w:pPr>
              <w:keepNext/>
              <w:pageBreakBefore w:val="0"/>
            </w:pPr>
          </w:p>
        </w:tc>
        <w:tc>
          <w:tcPr>
            <w:tcW w:w="705" w:type="dxa"/>
            <w:vMerge/>
            <w:tcBorders>
              <w:top w:val="nil"/>
              <w:left w:val="single" w:sz="4" w:space="0" w:color="FFFFFF"/>
              <w:bottom w:val="nil"/>
              <w:right w:val="nil"/>
            </w:tcBorders>
          </w:tcPr>
          <w:p>
            <w:pPr>
              <w:keepNext/>
              <w:pageBreakBefore w:val="0"/>
            </w:pPr>
          </w:p>
        </w:tc>
        <w:tc>
          <w:tcPr>
            <w:tcW w:w="76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30-06-2026</w:t>
            </w:r>
          </w:p>
        </w:tc>
        <w:tc>
          <w:tcPr>
            <w:tcW w:w="76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31-12-2025</w:t>
            </w:r>
          </w:p>
        </w:tc>
        <w:tc>
          <w:tcPr>
            <w:tcW w:w="76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30-06-2026</w:t>
            </w:r>
          </w:p>
        </w:tc>
        <w:tc>
          <w:tcPr>
            <w:tcW w:w="76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31-12-2025</w:t>
            </w:r>
          </w:p>
        </w:tc>
      </w:tr>
      <w:tr>
        <w:tblPrEx>
          <w:tblW w:w="11445" w:type="dxa"/>
          <w:tblInd w:w="2126" w:type="dxa"/>
          <w:tblLayout w:type="fixed"/>
        </w:tblPrEx>
        <w:trPr>
          <w:cantSplit/>
          <w:trHeight w:hRule="auto" w:val="0"/>
        </w:trPr>
        <w:tc>
          <w:tcPr>
            <w:tcW w:w="840" w:type="dxa"/>
            <w:vMerge/>
            <w:tcBorders>
              <w:top w:val="nil"/>
              <w:left w:val="single" w:sz="2" w:space="0" w:color="000000"/>
              <w:bottom w:val="single" w:sz="2" w:space="0" w:color="000000"/>
              <w:right w:val="nil"/>
            </w:tcBorders>
          </w:tcPr>
          <w:p>
            <w:pPr>
              <w:keepNext/>
              <w:pageBreakBefore w:val="0"/>
            </w:pPr>
          </w:p>
        </w:tc>
        <w:tc>
          <w:tcPr>
            <w:tcW w:w="2400" w:type="dxa"/>
            <w:vMerge/>
            <w:tcBorders>
              <w:top w:val="nil"/>
              <w:left w:val="single" w:sz="4" w:space="0" w:color="FFFFFF"/>
              <w:bottom w:val="single" w:sz="2" w:space="0" w:color="000000"/>
              <w:right w:val="nil"/>
            </w:tcBorders>
          </w:tcPr>
          <w:p>
            <w:pPr>
              <w:keepNext/>
              <w:pageBreakBefore w:val="0"/>
            </w:pPr>
          </w:p>
        </w:tc>
        <w:tc>
          <w:tcPr>
            <w:tcW w:w="660" w:type="dxa"/>
            <w:vMerge/>
            <w:tcBorders>
              <w:top w:val="nil"/>
              <w:left w:val="single" w:sz="4" w:space="0" w:color="FFFFFF"/>
              <w:bottom w:val="single" w:sz="2" w:space="0" w:color="000000"/>
              <w:right w:val="nil"/>
            </w:tcBorders>
          </w:tcPr>
          <w:p>
            <w:pPr>
              <w:keepNext/>
              <w:pageBreakBefore w:val="0"/>
            </w:pPr>
          </w:p>
        </w:tc>
        <w:tc>
          <w:tcPr>
            <w:tcW w:w="1875" w:type="dxa"/>
            <w:vMerge/>
            <w:tcBorders>
              <w:top w:val="nil"/>
              <w:left w:val="single" w:sz="4" w:space="0" w:color="FFFFFF"/>
              <w:bottom w:val="single" w:sz="2" w:space="0" w:color="000000"/>
              <w:right w:val="nil"/>
            </w:tcBorders>
          </w:tcPr>
          <w:p>
            <w:pPr>
              <w:keepNext/>
              <w:pageBreakBefore w:val="0"/>
            </w:pPr>
          </w:p>
        </w:tc>
        <w:tc>
          <w:tcPr>
            <w:tcW w:w="900" w:type="dxa"/>
            <w:vMerge/>
            <w:tcBorders>
              <w:top w:val="nil"/>
              <w:left w:val="single" w:sz="4" w:space="0" w:color="FFFFFF"/>
              <w:bottom w:val="single" w:sz="2" w:space="0" w:color="000000"/>
              <w:right w:val="nil"/>
            </w:tcBorders>
          </w:tcPr>
          <w:p>
            <w:pPr>
              <w:keepNext/>
              <w:pageBreakBefore w:val="0"/>
            </w:pPr>
          </w:p>
        </w:tc>
        <w:tc>
          <w:tcPr>
            <w:tcW w:w="1005" w:type="dxa"/>
            <w:vMerge/>
            <w:tcBorders>
              <w:top w:val="nil"/>
              <w:left w:val="single" w:sz="4" w:space="0" w:color="FFFFFF"/>
              <w:bottom w:val="single" w:sz="2" w:space="0" w:color="000000"/>
              <w:right w:val="nil"/>
            </w:tcBorders>
          </w:tcPr>
          <w:p>
            <w:pPr>
              <w:keepNext/>
              <w:pageBreakBefore w:val="0"/>
            </w:pPr>
          </w:p>
        </w:tc>
        <w:tc>
          <w:tcPr>
            <w:tcW w:w="705" w:type="dxa"/>
            <w:vMerge/>
            <w:tcBorders>
              <w:top w:val="nil"/>
              <w:left w:val="single" w:sz="4" w:space="0" w:color="FFFFFF"/>
              <w:bottom w:val="single" w:sz="2" w:space="0" w:color="000000"/>
              <w:right w:val="nil"/>
            </w:tcBorders>
          </w:tcPr>
          <w:p>
            <w:pPr>
              <w:keepNext/>
              <w:pageBreakBefore w:val="0"/>
            </w:pPr>
          </w:p>
        </w:tc>
        <w:tc>
          <w:tcPr>
            <w:tcW w:w="76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6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6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6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r>
      <w:tr>
        <w:tblPrEx>
          <w:tblW w:w="11445" w:type="dxa"/>
          <w:tblInd w:w="2126" w:type="dxa"/>
          <w:tblLayout w:type="fixed"/>
        </w:tblPrEx>
        <w:trPr>
          <w:cantSplit/>
          <w:trHeight w:hRule="auto" w:val="0"/>
        </w:trPr>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76.230.505-4</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Eletrans S.A.</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18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Servicios de subtransmisión</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CL $</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53</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1445" w:type="dxa"/>
          <w:tblInd w:w="2126" w:type="dxa"/>
          <w:tblLayout w:type="fixed"/>
        </w:tblPrEx>
        <w:trPr>
          <w:cantSplit/>
          <w:trHeight w:hRule="auto" w:val="0"/>
        </w:trPr>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76.306.442-5</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Eletrans II S.A.</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18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Servicios de subtransmisión</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CL $</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1445" w:type="dxa"/>
          <w:tblInd w:w="2126" w:type="dxa"/>
          <w:tblLayout w:type="fixed"/>
        </w:tblPrEx>
        <w:trPr>
          <w:cantSplit/>
          <w:trHeight w:hRule="auto" w:val="0"/>
        </w:trPr>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76.411.321-7</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Compañía General de Electricidad S.A.</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18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Servicios prestados</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CL $</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3.120.286</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1445" w:type="dxa"/>
          <w:tblInd w:w="2126" w:type="dxa"/>
          <w:tblLayout w:type="fixed"/>
        </w:tblPrEx>
        <w:trPr>
          <w:cantSplit/>
          <w:trHeight w:hRule="auto" w:val="0"/>
        </w:trPr>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76.411.321-7</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Compañía General de Electricidad S.A.</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18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Servicios de subtransmisión</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CL $</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74</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1445" w:type="dxa"/>
          <w:tblInd w:w="2126" w:type="dxa"/>
          <w:tblLayout w:type="fixed"/>
        </w:tblPrEx>
        <w:trPr>
          <w:cantSplit/>
          <w:trHeight w:hRule="auto" w:val="0"/>
        </w:trPr>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76.411.321-7</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Compañía General de Electricidad S.A.</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18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Tesorería centralizada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CL $</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33.950.114</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1445" w:type="dxa"/>
          <w:tblInd w:w="2126" w:type="dxa"/>
          <w:tblLayout w:type="fixed"/>
        </w:tblPrEx>
        <w:trPr>
          <w:cantSplit/>
          <w:trHeight w:hRule="auto" w:val="0"/>
        </w:trPr>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76.411.321-7</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Compañía General de Electricidad S.A.</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18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Recuperación de gastos</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CL $</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110.522</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1445" w:type="dxa"/>
          <w:tblInd w:w="2126" w:type="dxa"/>
          <w:tblLayout w:type="fixed"/>
        </w:tblPrEx>
        <w:trPr>
          <w:cantSplit/>
          <w:trHeight w:hRule="auto" w:val="0"/>
        </w:trPr>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76.411.321-7</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Compañía General de Electricidad S.A.</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18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Venta de materiales</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CL $</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1.413.066</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1445" w:type="dxa"/>
          <w:tblInd w:w="2126" w:type="dxa"/>
          <w:tblLayout w:type="fixed"/>
        </w:tblPrEx>
        <w:trPr>
          <w:cantSplit/>
          <w:trHeight w:hRule="auto" w:val="0"/>
        </w:trPr>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76.411.321-7</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Compañía General de Electricidad S.A.</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18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Arriendo de equipos</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CL $</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213.863</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1445" w:type="dxa"/>
          <w:tblInd w:w="2126" w:type="dxa"/>
          <w:tblLayout w:type="fixed"/>
        </w:tblPrEx>
        <w:trPr>
          <w:cantSplit/>
          <w:trHeight w:hRule="auto" w:val="0"/>
        </w:trPr>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76.412.700-5</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CGE Servicios S.A.</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18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Servicios prestados</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CL $</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10.906</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1445" w:type="dxa"/>
          <w:tblInd w:w="2126" w:type="dxa"/>
          <w:tblLayout w:type="fixed"/>
        </w:tblPrEx>
        <w:trPr>
          <w:cantSplit/>
          <w:trHeight w:hRule="auto" w:val="0"/>
        </w:trPr>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76.412.700-5</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CGE Servicios S.A.</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18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Recuperación de gastos</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CL $</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7.735</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1445" w:type="dxa"/>
          <w:tblInd w:w="2126" w:type="dxa"/>
          <w:tblLayout w:type="fixed"/>
        </w:tblPrEx>
        <w:trPr>
          <w:cantSplit/>
          <w:trHeight w:hRule="auto" w:val="0"/>
        </w:trPr>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76.680.107-2</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Compañía Transmisora del Norte Grande S.A.</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18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Servicios de subtransmisión</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CL $</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33</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1445" w:type="dxa"/>
          <w:tblInd w:w="2126" w:type="dxa"/>
          <w:tblLayout w:type="fixed"/>
        </w:tblPrEx>
        <w:trPr>
          <w:cantSplit/>
          <w:trHeight w:hRule="auto" w:val="0"/>
        </w:trPr>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77.302.440-5</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Tecnored S.A.</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18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Venta de materiales</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CL $</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25.413</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1445" w:type="dxa"/>
          <w:tblInd w:w="2126" w:type="dxa"/>
          <w:tblLayout w:type="fixed"/>
        </w:tblPrEx>
        <w:trPr>
          <w:cantSplit/>
          <w:trHeight w:hRule="auto" w:val="0"/>
        </w:trPr>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77.302.440-5</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Tecnored S.A.</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18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Servicios de subtransmisión</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CL $</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981</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1445" w:type="dxa"/>
          <w:tblInd w:w="2126" w:type="dxa"/>
          <w:tblLayout w:type="fixed"/>
        </w:tblPrEx>
        <w:trPr>
          <w:cantSplit/>
          <w:trHeight w:hRule="auto" w:val="0"/>
        </w:trPr>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77.420.185-K</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Enerquinta S.A.</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18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Servicios de subtransmisión</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CL $</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244</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1445" w:type="dxa"/>
          <w:tblInd w:w="2126" w:type="dxa"/>
          <w:tblLayout w:type="fixed"/>
        </w:tblPrEx>
        <w:trPr>
          <w:cantSplit/>
          <w:trHeight w:hRule="auto" w:val="0"/>
        </w:trPr>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88.221.200-9</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Empresa Eléctrica de Magallanes S.A.</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18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Venta de materiales</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CL $</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57.529</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1445" w:type="dxa"/>
          <w:tblInd w:w="2126" w:type="dxa"/>
          <w:tblLayout w:type="fixed"/>
        </w:tblPrEx>
        <w:trPr>
          <w:cantSplit/>
          <w:trHeight w:hRule="auto" w:val="0"/>
        </w:trPr>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88.221.200-9</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Empresa Eléctrica de Magallanes S.A.</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18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Servicios prestados</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CL $</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12.293</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1445" w:type="dxa"/>
          <w:tblInd w:w="2126" w:type="dxa"/>
          <w:tblLayout w:type="fixed"/>
        </w:tblPrEx>
        <w:trPr>
          <w:cantSplit/>
          <w:trHeight w:hRule="auto" w:val="0"/>
        </w:trPr>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96.813.520-1</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Chilquinta Distribución S.A.</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18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Servicios prestados</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CL $</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1445" w:type="dxa"/>
          <w:tblInd w:w="2126" w:type="dxa"/>
          <w:tblLayout w:type="fixed"/>
        </w:tblPrEx>
        <w:trPr>
          <w:cantSplit/>
          <w:trHeight w:hRule="auto" w:val="0"/>
        </w:trPr>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96.813.520-1</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Chilquinta Distribución S.A.</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18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Servicios de subtransmisión</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CL $</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1445" w:type="dxa"/>
          <w:tblInd w:w="2126" w:type="dxa"/>
          <w:tblLayout w:type="fixed"/>
        </w:tblPrEx>
        <w:trPr>
          <w:cantSplit/>
          <w:trHeight w:hRule="auto" w:val="0"/>
        </w:trPr>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96.884.450-4</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Luz Linares S.A.</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18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Servicios de subtransmisión</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CL $</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26</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1445" w:type="dxa"/>
          <w:tblInd w:w="2126" w:type="dxa"/>
          <w:tblLayout w:type="fixed"/>
        </w:tblPrEx>
        <w:trPr>
          <w:cantSplit/>
          <w:trHeight w:hRule="auto" w:val="0"/>
        </w:trPr>
        <w:tc>
          <w:tcPr>
            <w:tcW w:w="8385" w:type="dxa"/>
            <w:gridSpan w:val="7"/>
            <w:tcBorders>
              <w:top w:val="nil"/>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2"/>
                <w:u w:val="none"/>
              </w:rPr>
              <w:t>TOTALES</w:t>
            </w:r>
          </w:p>
        </w:tc>
        <w:tc>
          <w:tcPr>
            <w:tcW w:w="76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0</w:t>
            </w:r>
          </w:p>
        </w:tc>
        <w:tc>
          <w:tcPr>
            <w:tcW w:w="76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38.923.140</w:t>
            </w:r>
          </w:p>
        </w:tc>
        <w:tc>
          <w:tcPr>
            <w:tcW w:w="76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0</w:t>
            </w:r>
          </w:p>
        </w:tc>
        <w:tc>
          <w:tcPr>
            <w:tcW w:w="76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0</w:t>
            </w:r>
          </w:p>
        </w:tc>
      </w:tr>
    </w:tbl>
    <w:p>
      <w:pPr>
        <w:keepNext w:val="0"/>
        <w:keepLines/>
        <w:pageBreakBefore w:val="0"/>
        <w:widowControl w:val="0"/>
        <w:numPr>
          <w:ilvl w:val="0"/>
          <w:numId w:val="0"/>
        </w:numPr>
        <w:tabs>
          <w:tab w:val="left" w:pos="1400"/>
        </w:tabs>
        <w:spacing w:before="0" w:after="0" w:line="288" w:lineRule="auto"/>
        <w:ind w:left="709" w:right="78" w:firstLine="0"/>
        <w:jc w:val="both"/>
        <w:outlineLvl w:val="9"/>
        <w:rPr>
          <w:rFonts w:ascii="Calibri" w:eastAsia="Calibri" w:hAnsi="Calibri" w:cs="Calibri"/>
          <w:b w:val="0"/>
          <w:i w:val="0"/>
          <w:color w:val="000000"/>
          <w:sz w:val="20"/>
          <w:u w:val="none"/>
        </w:rPr>
      </w:pPr>
    </w:p>
    <w:p>
      <w:pPr>
        <w:pStyle w:val="Normal-wk"/>
        <w:keepNext w:val="0"/>
        <w:keepLines/>
        <w:pageBreakBefore/>
        <w:widowControl w:val="0"/>
        <w:numPr>
          <w:ilvl w:val="0"/>
          <w:numId w:val="0"/>
        </w:numPr>
        <w:tabs>
          <w:tab w:val="left" w:pos="700"/>
        </w:tabs>
        <w:spacing w:before="0" w:after="0" w:line="288" w:lineRule="auto"/>
        <w:ind w:left="709" w:right="0" w:firstLine="709"/>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9.1.2.-</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Cuentas por pagar a entidades relacionadas.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highlight w:val="yellow"/>
          <w:u w:val="none"/>
        </w:rPr>
      </w:pPr>
      <w:r>
        <w:rPr>
          <w:rFonts w:ascii="Calibri" w:eastAsia="Calibri" w:hAnsi="Calibri" w:cs="Calibri"/>
          <w:b w:val="0"/>
          <w:i w:val="0"/>
          <w:sz w:val="20"/>
        </w:rPr>
        <w:t xml:space="preserve">La composición del rubro al </w:t>
      </w:r>
      <w:r>
        <w:rPr>
          <w:rFonts w:ascii="Calibri" w:eastAsia="Calibri" w:hAnsi="Calibri" w:cs="Calibri"/>
          <w:b w:val="0"/>
          <w:i w:val="0"/>
          <w:color w:val="000000"/>
          <w:sz w:val="20"/>
          <w:u w:val="none"/>
        </w:rPr>
        <w:t>30 de junio de 2026</w:t>
      </w:r>
      <w:r>
        <w:rPr>
          <w:rFonts w:ascii="Calibri" w:eastAsia="Calibri" w:hAnsi="Calibri" w:cs="Calibri"/>
          <w:b w:val="0"/>
          <w:i w:val="0"/>
          <w:sz w:val="20"/>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sz w:val="20"/>
        </w:rPr>
        <w:t xml:space="preserve"> es la siguiente:</w:t>
      </w:r>
    </w:p>
    <w:p>
      <w:pPr>
        <w:keepNext w:val="0"/>
        <w:keepLines/>
        <w:pageBreakBefore w:val="0"/>
        <w:widowControl w:val="0"/>
        <w:numPr>
          <w:ilvl w:val="0"/>
          <w:numId w:val="0"/>
        </w:numPr>
        <w:spacing w:before="0" w:after="0" w:line="288" w:lineRule="auto"/>
        <w:ind w:left="1776" w:right="0" w:firstLine="348"/>
        <w:jc w:val="both"/>
        <w:outlineLvl w:val="9"/>
        <w:rPr>
          <w:rFonts w:ascii="Calibri" w:eastAsia="Calibri" w:hAnsi="Calibri" w:cs="Calibri"/>
          <w:b w:val="0"/>
          <w:i w:val="0"/>
          <w:color w:val="000000"/>
          <w:sz w:val="20"/>
          <w:u w:val="none"/>
        </w:rPr>
      </w:pPr>
    </w:p>
    <w:tbl>
      <w:tblPr>
        <w:tblW w:w="11445" w:type="dxa"/>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840"/>
        <w:gridCol w:w="2400"/>
        <w:gridCol w:w="660"/>
        <w:gridCol w:w="1875"/>
        <w:gridCol w:w="900"/>
        <w:gridCol w:w="1005"/>
        <w:gridCol w:w="705"/>
        <w:gridCol w:w="765"/>
        <w:gridCol w:w="765"/>
        <w:gridCol w:w="765"/>
        <w:gridCol w:w="765"/>
      </w:tblGrid>
      <w:tr>
        <w:tblPrEx>
          <w:tblW w:w="11445" w:type="dxa"/>
          <w:tblInd w:w="2126" w:type="dxa"/>
          <w:tblLayout w:type="fixed"/>
        </w:tblPrEx>
        <w:trPr>
          <w:cantSplit/>
          <w:trHeight w:hRule="auto" w:val="0"/>
        </w:trPr>
        <w:tc>
          <w:tcPr>
            <w:tcW w:w="84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R.U.T</w:t>
            </w:r>
          </w:p>
        </w:tc>
        <w:tc>
          <w:tcPr>
            <w:tcW w:w="2400"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Sociedad</w:t>
            </w:r>
          </w:p>
        </w:tc>
        <w:tc>
          <w:tcPr>
            <w:tcW w:w="660"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País de origen</w:t>
            </w:r>
          </w:p>
        </w:tc>
        <w:tc>
          <w:tcPr>
            <w:tcW w:w="187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Descripción de la transacción</w:t>
            </w:r>
          </w:p>
        </w:tc>
        <w:tc>
          <w:tcPr>
            <w:tcW w:w="900"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Plazo de la transacción</w:t>
            </w:r>
          </w:p>
        </w:tc>
        <w:tc>
          <w:tcPr>
            <w:tcW w:w="100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Naturaleza de la relación</w:t>
            </w:r>
          </w:p>
        </w:tc>
        <w:tc>
          <w:tcPr>
            <w:tcW w:w="705" w:type="dxa"/>
            <w:vMerge w:val="restart"/>
            <w:tcBorders>
              <w:top w:val="single" w:sz="2" w:space="0" w:color="000000"/>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Moneda</w:t>
            </w:r>
          </w:p>
        </w:tc>
        <w:tc>
          <w:tcPr>
            <w:tcW w:w="1530"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Corrientes</w:t>
            </w:r>
          </w:p>
        </w:tc>
        <w:tc>
          <w:tcPr>
            <w:tcW w:w="153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No corrientes</w:t>
            </w:r>
          </w:p>
        </w:tc>
      </w:tr>
      <w:tr>
        <w:tblPrEx>
          <w:tblW w:w="11445" w:type="dxa"/>
          <w:tblInd w:w="2126" w:type="dxa"/>
          <w:tblLayout w:type="fixed"/>
        </w:tblPrEx>
        <w:trPr>
          <w:cantSplit/>
          <w:trHeight w:hRule="auto" w:val="0"/>
        </w:trPr>
        <w:tc>
          <w:tcPr>
            <w:tcW w:w="840" w:type="dxa"/>
            <w:vMerge/>
            <w:tcBorders>
              <w:top w:val="nil"/>
              <w:left w:val="single" w:sz="2" w:space="0" w:color="000000"/>
              <w:bottom w:val="nil"/>
              <w:right w:val="nil"/>
            </w:tcBorders>
          </w:tcPr>
          <w:p>
            <w:pPr>
              <w:keepNext/>
              <w:pageBreakBefore w:val="0"/>
            </w:pPr>
          </w:p>
        </w:tc>
        <w:tc>
          <w:tcPr>
            <w:tcW w:w="2400" w:type="dxa"/>
            <w:vMerge/>
            <w:tcBorders>
              <w:top w:val="nil"/>
              <w:left w:val="single" w:sz="4" w:space="0" w:color="FFFFFF"/>
              <w:bottom w:val="nil"/>
              <w:right w:val="nil"/>
            </w:tcBorders>
          </w:tcPr>
          <w:p>
            <w:pPr>
              <w:keepNext/>
              <w:pageBreakBefore w:val="0"/>
            </w:pPr>
          </w:p>
        </w:tc>
        <w:tc>
          <w:tcPr>
            <w:tcW w:w="660" w:type="dxa"/>
            <w:vMerge/>
            <w:tcBorders>
              <w:top w:val="nil"/>
              <w:left w:val="single" w:sz="4" w:space="0" w:color="FFFFFF"/>
              <w:bottom w:val="nil"/>
              <w:right w:val="nil"/>
            </w:tcBorders>
          </w:tcPr>
          <w:p>
            <w:pPr>
              <w:keepNext/>
              <w:pageBreakBefore w:val="0"/>
            </w:pPr>
          </w:p>
        </w:tc>
        <w:tc>
          <w:tcPr>
            <w:tcW w:w="1875" w:type="dxa"/>
            <w:vMerge/>
            <w:tcBorders>
              <w:top w:val="nil"/>
              <w:left w:val="single" w:sz="4" w:space="0" w:color="FFFFFF"/>
              <w:bottom w:val="nil"/>
              <w:right w:val="nil"/>
            </w:tcBorders>
          </w:tcPr>
          <w:p>
            <w:pPr>
              <w:keepNext/>
              <w:pageBreakBefore w:val="0"/>
            </w:pPr>
          </w:p>
        </w:tc>
        <w:tc>
          <w:tcPr>
            <w:tcW w:w="900" w:type="dxa"/>
            <w:vMerge/>
            <w:tcBorders>
              <w:top w:val="nil"/>
              <w:left w:val="single" w:sz="4" w:space="0" w:color="FFFFFF"/>
              <w:bottom w:val="nil"/>
              <w:right w:val="nil"/>
            </w:tcBorders>
          </w:tcPr>
          <w:p>
            <w:pPr>
              <w:keepNext/>
              <w:pageBreakBefore w:val="0"/>
            </w:pPr>
          </w:p>
        </w:tc>
        <w:tc>
          <w:tcPr>
            <w:tcW w:w="1005" w:type="dxa"/>
            <w:vMerge/>
            <w:tcBorders>
              <w:top w:val="nil"/>
              <w:left w:val="single" w:sz="4" w:space="0" w:color="FFFFFF"/>
              <w:bottom w:val="nil"/>
              <w:right w:val="nil"/>
            </w:tcBorders>
          </w:tcPr>
          <w:p>
            <w:pPr>
              <w:keepNext/>
              <w:pageBreakBefore w:val="0"/>
            </w:pPr>
          </w:p>
        </w:tc>
        <w:tc>
          <w:tcPr>
            <w:tcW w:w="705" w:type="dxa"/>
            <w:vMerge/>
            <w:tcBorders>
              <w:top w:val="nil"/>
              <w:left w:val="single" w:sz="4" w:space="0" w:color="FFFFFF"/>
              <w:bottom w:val="nil"/>
              <w:right w:val="nil"/>
            </w:tcBorders>
          </w:tcPr>
          <w:p>
            <w:pPr>
              <w:keepNext/>
              <w:pageBreakBefore w:val="0"/>
            </w:pPr>
          </w:p>
        </w:tc>
        <w:tc>
          <w:tcPr>
            <w:tcW w:w="76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30-06-2026</w:t>
            </w:r>
          </w:p>
        </w:tc>
        <w:tc>
          <w:tcPr>
            <w:tcW w:w="76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31-12-2025</w:t>
            </w:r>
          </w:p>
        </w:tc>
        <w:tc>
          <w:tcPr>
            <w:tcW w:w="76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30-06-2026</w:t>
            </w:r>
          </w:p>
        </w:tc>
        <w:tc>
          <w:tcPr>
            <w:tcW w:w="76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31-12-2025</w:t>
            </w:r>
          </w:p>
        </w:tc>
      </w:tr>
      <w:tr>
        <w:tblPrEx>
          <w:tblW w:w="11445" w:type="dxa"/>
          <w:tblInd w:w="2126" w:type="dxa"/>
          <w:tblLayout w:type="fixed"/>
        </w:tblPrEx>
        <w:trPr>
          <w:cantSplit/>
          <w:trHeight w:hRule="auto" w:val="0"/>
        </w:trPr>
        <w:tc>
          <w:tcPr>
            <w:tcW w:w="840" w:type="dxa"/>
            <w:vMerge/>
            <w:tcBorders>
              <w:top w:val="nil"/>
              <w:left w:val="single" w:sz="2" w:space="0" w:color="000000"/>
              <w:bottom w:val="single" w:sz="2" w:space="0" w:color="000000"/>
              <w:right w:val="nil"/>
            </w:tcBorders>
          </w:tcPr>
          <w:p>
            <w:pPr>
              <w:keepNext/>
              <w:pageBreakBefore w:val="0"/>
            </w:pPr>
          </w:p>
        </w:tc>
        <w:tc>
          <w:tcPr>
            <w:tcW w:w="2400" w:type="dxa"/>
            <w:vMerge/>
            <w:tcBorders>
              <w:top w:val="nil"/>
              <w:left w:val="single" w:sz="4" w:space="0" w:color="FFFFFF"/>
              <w:bottom w:val="single" w:sz="2" w:space="0" w:color="000000"/>
              <w:right w:val="nil"/>
            </w:tcBorders>
          </w:tcPr>
          <w:p>
            <w:pPr>
              <w:keepNext/>
              <w:pageBreakBefore w:val="0"/>
            </w:pPr>
          </w:p>
        </w:tc>
        <w:tc>
          <w:tcPr>
            <w:tcW w:w="660" w:type="dxa"/>
            <w:vMerge/>
            <w:tcBorders>
              <w:top w:val="nil"/>
              <w:left w:val="single" w:sz="4" w:space="0" w:color="FFFFFF"/>
              <w:bottom w:val="single" w:sz="2" w:space="0" w:color="000000"/>
              <w:right w:val="nil"/>
            </w:tcBorders>
          </w:tcPr>
          <w:p>
            <w:pPr>
              <w:keepNext/>
              <w:pageBreakBefore w:val="0"/>
            </w:pPr>
          </w:p>
        </w:tc>
        <w:tc>
          <w:tcPr>
            <w:tcW w:w="1875" w:type="dxa"/>
            <w:vMerge/>
            <w:tcBorders>
              <w:top w:val="nil"/>
              <w:left w:val="single" w:sz="4" w:space="0" w:color="FFFFFF"/>
              <w:bottom w:val="single" w:sz="2" w:space="0" w:color="000000"/>
              <w:right w:val="nil"/>
            </w:tcBorders>
          </w:tcPr>
          <w:p>
            <w:pPr>
              <w:keepNext/>
              <w:pageBreakBefore w:val="0"/>
            </w:pPr>
          </w:p>
        </w:tc>
        <w:tc>
          <w:tcPr>
            <w:tcW w:w="900" w:type="dxa"/>
            <w:vMerge/>
            <w:tcBorders>
              <w:top w:val="nil"/>
              <w:left w:val="single" w:sz="4" w:space="0" w:color="FFFFFF"/>
              <w:bottom w:val="single" w:sz="2" w:space="0" w:color="000000"/>
              <w:right w:val="nil"/>
            </w:tcBorders>
          </w:tcPr>
          <w:p>
            <w:pPr>
              <w:keepNext/>
              <w:pageBreakBefore w:val="0"/>
            </w:pPr>
          </w:p>
        </w:tc>
        <w:tc>
          <w:tcPr>
            <w:tcW w:w="1005" w:type="dxa"/>
            <w:vMerge/>
            <w:tcBorders>
              <w:top w:val="nil"/>
              <w:left w:val="single" w:sz="4" w:space="0" w:color="FFFFFF"/>
              <w:bottom w:val="single" w:sz="2" w:space="0" w:color="000000"/>
              <w:right w:val="nil"/>
            </w:tcBorders>
          </w:tcPr>
          <w:p>
            <w:pPr>
              <w:keepNext/>
              <w:pageBreakBefore w:val="0"/>
            </w:pPr>
          </w:p>
        </w:tc>
        <w:tc>
          <w:tcPr>
            <w:tcW w:w="705" w:type="dxa"/>
            <w:vMerge/>
            <w:tcBorders>
              <w:top w:val="nil"/>
              <w:left w:val="single" w:sz="4" w:space="0" w:color="FFFFFF"/>
              <w:bottom w:val="single" w:sz="2" w:space="0" w:color="000000"/>
              <w:right w:val="nil"/>
            </w:tcBorders>
          </w:tcPr>
          <w:p>
            <w:pPr>
              <w:keepNext/>
              <w:pageBreakBefore w:val="0"/>
            </w:pPr>
          </w:p>
        </w:tc>
        <w:tc>
          <w:tcPr>
            <w:tcW w:w="76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6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6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6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r>
      <w:tr>
        <w:tblPrEx>
          <w:tblW w:w="11445" w:type="dxa"/>
          <w:tblInd w:w="2126" w:type="dxa"/>
          <w:tblLayout w:type="fixed"/>
        </w:tblPrEx>
        <w:trPr>
          <w:cantSplit/>
          <w:trHeight w:hRule="auto" w:val="0"/>
        </w:trPr>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5.333.806-2</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Erich Gruttner Grimal</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18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Dividendos por pagar</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Accionista de Subsidiaria</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CL $</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4.110</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1445" w:type="dxa"/>
          <w:tblInd w:w="2126" w:type="dxa"/>
          <w:tblLayout w:type="fixed"/>
        </w:tblPrEx>
        <w:trPr>
          <w:cantSplit/>
          <w:trHeight w:hRule="auto" w:val="0"/>
        </w:trPr>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6.357.359-0</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Guillermo Hayes Morales</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18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Dividendos por pagar</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Accionista de Subsidiaria</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CL $</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8.220</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1445" w:type="dxa"/>
          <w:tblInd w:w="2126" w:type="dxa"/>
          <w:tblLayout w:type="fixed"/>
        </w:tblPrEx>
        <w:trPr>
          <w:cantSplit/>
          <w:trHeight w:hRule="auto" w:val="0"/>
        </w:trPr>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76.411.321-7</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Compañía General de Electricidad S.A.</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18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Compra de activo fijo</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CL $</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1.377.484</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1445" w:type="dxa"/>
          <w:tblInd w:w="2126" w:type="dxa"/>
          <w:tblLayout w:type="fixed"/>
        </w:tblPrEx>
        <w:trPr>
          <w:cantSplit/>
          <w:trHeight w:hRule="auto" w:val="0"/>
        </w:trPr>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76.411.321-7</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Compañía General de Electricidad S.A.</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18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Servicios recibidos</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CL $</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31.138</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1445" w:type="dxa"/>
          <w:tblInd w:w="2126" w:type="dxa"/>
          <w:tblLayout w:type="fixed"/>
        </w:tblPrEx>
        <w:trPr>
          <w:cantSplit/>
          <w:trHeight w:hRule="auto" w:val="0"/>
        </w:trPr>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76.411.321-7</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Compañía General de Electricidad S.A.</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18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Compra de energía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CL $</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2.044</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1445" w:type="dxa"/>
          <w:tblInd w:w="2126" w:type="dxa"/>
          <w:tblLayout w:type="fixed"/>
        </w:tblPrEx>
        <w:trPr>
          <w:cantSplit/>
          <w:trHeight w:hRule="auto" w:val="0"/>
        </w:trPr>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76.411.321-7</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Compañía General de Electricidad S.A.</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18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Tesorería centralizada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CL $</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1445" w:type="dxa"/>
          <w:tblInd w:w="2126" w:type="dxa"/>
          <w:tblLayout w:type="fixed"/>
        </w:tblPrEx>
        <w:trPr>
          <w:cantSplit/>
          <w:trHeight w:hRule="auto" w:val="0"/>
        </w:trPr>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76.411.321-7</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Compañía General de Electricidad S.A.</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18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Recuperación de gastos</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CL $</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24.874</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1445" w:type="dxa"/>
          <w:tblInd w:w="2126" w:type="dxa"/>
          <w:tblLayout w:type="fixed"/>
        </w:tblPrEx>
        <w:trPr>
          <w:cantSplit/>
          <w:trHeight w:hRule="auto" w:val="0"/>
        </w:trPr>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76.411.321-7</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Compañía General de Electricidad S.A.</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18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Arriendo de equipos</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CL $</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1445" w:type="dxa"/>
          <w:tblInd w:w="2126" w:type="dxa"/>
          <w:tblLayout w:type="fixed"/>
        </w:tblPrEx>
        <w:trPr>
          <w:cantSplit/>
          <w:trHeight w:hRule="auto" w:val="0"/>
        </w:trPr>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76.412.700-5</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CGE Servicios S.A.</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18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Asesorías recibidas</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CL $</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1445" w:type="dxa"/>
          <w:tblInd w:w="2126" w:type="dxa"/>
          <w:tblLayout w:type="fixed"/>
        </w:tblPrEx>
        <w:trPr>
          <w:cantSplit/>
          <w:trHeight w:hRule="auto" w:val="0"/>
        </w:trPr>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76.412.700-5</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CGE Servicios S.A.</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18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Recuperación de gastos</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CL $</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1.770</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1445" w:type="dxa"/>
          <w:tblInd w:w="2126" w:type="dxa"/>
          <w:tblLayout w:type="fixed"/>
        </w:tblPrEx>
        <w:trPr>
          <w:cantSplit/>
          <w:trHeight w:hRule="auto" w:val="0"/>
        </w:trPr>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76.412.700-5</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CGE Servicios S.A.</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18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Dividendos por pagar</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CL $</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9.797</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1445" w:type="dxa"/>
          <w:tblInd w:w="2126" w:type="dxa"/>
          <w:tblLayout w:type="fixed"/>
        </w:tblPrEx>
        <w:trPr>
          <w:cantSplit/>
          <w:trHeight w:hRule="auto" w:val="0"/>
        </w:trPr>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76.412.700-5</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CGE Servicios S.A.</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18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Servicios recibidos</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CL $</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1.358.681</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1445" w:type="dxa"/>
          <w:tblInd w:w="2126" w:type="dxa"/>
          <w:tblLayout w:type="fixed"/>
        </w:tblPrEx>
        <w:trPr>
          <w:cantSplit/>
          <w:trHeight w:hRule="auto" w:val="0"/>
        </w:trPr>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77.302.440-5</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Tecnored S.A.</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18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Servicios recibidos</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CL $</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280.937</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1445" w:type="dxa"/>
          <w:tblInd w:w="2126" w:type="dxa"/>
          <w:tblLayout w:type="fixed"/>
        </w:tblPrEx>
        <w:trPr>
          <w:cantSplit/>
          <w:trHeight w:hRule="auto" w:val="0"/>
        </w:trPr>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77.302.440-5</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Tecnored S.A.</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18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Arriendo de equipos</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CL $</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2.806</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1445" w:type="dxa"/>
          <w:tblInd w:w="2126" w:type="dxa"/>
          <w:tblLayout w:type="fixed"/>
        </w:tblPrEx>
        <w:trPr>
          <w:cantSplit/>
          <w:trHeight w:hRule="auto" w:val="0"/>
        </w:trPr>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77.332.779-3</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State Grid Chile Electricity SpA.</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18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Dividendos por pagar</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Matriz</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CL $</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17.745.751</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1445" w:type="dxa"/>
          <w:tblInd w:w="2126" w:type="dxa"/>
          <w:tblLayout w:type="fixed"/>
        </w:tblPrEx>
        <w:trPr>
          <w:cantSplit/>
          <w:trHeight w:hRule="auto" w:val="0"/>
        </w:trPr>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77.332.779-3</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State Grid Chile Electricity SpA.</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18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Préstamo recibido</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Matriz</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US $</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91.118.000</w:t>
            </w:r>
          </w:p>
        </w:tc>
      </w:tr>
      <w:tr>
        <w:tblPrEx>
          <w:tblW w:w="11445" w:type="dxa"/>
          <w:tblInd w:w="2126" w:type="dxa"/>
          <w:tblLayout w:type="fixed"/>
        </w:tblPrEx>
        <w:trPr>
          <w:cantSplit/>
          <w:trHeight w:hRule="exact" w:val="225"/>
        </w:trPr>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77.332.779-3</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State Grid Chile Electricity SpA.</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18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Intereses devengados</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Matriz</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US $</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495.784</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1445" w:type="dxa"/>
          <w:tblInd w:w="2126" w:type="dxa"/>
          <w:tblLayout w:type="fixed"/>
        </w:tblPrEx>
        <w:trPr>
          <w:cantSplit/>
          <w:trHeight w:hRule="auto" w:val="0"/>
        </w:trPr>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77.470.427-2</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Luz Parral Transmisión S.A.</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18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Servicios recibidos</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CL $</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556</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1445" w:type="dxa"/>
          <w:tblInd w:w="2126" w:type="dxa"/>
          <w:tblLayout w:type="fixed"/>
        </w:tblPrEx>
        <w:trPr>
          <w:cantSplit/>
          <w:trHeight w:hRule="auto" w:val="0"/>
        </w:trPr>
        <w:tc>
          <w:tcPr>
            <w:tcW w:w="8385" w:type="dxa"/>
            <w:gridSpan w:val="7"/>
            <w:tcBorders>
              <w:top w:val="nil"/>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2"/>
                <w:u w:val="none"/>
              </w:rPr>
              <w:t>TOTALES</w:t>
            </w:r>
          </w:p>
        </w:tc>
        <w:tc>
          <w:tcPr>
            <w:tcW w:w="76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0</w:t>
            </w:r>
          </w:p>
        </w:tc>
        <w:tc>
          <w:tcPr>
            <w:tcW w:w="76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21.343.952</w:t>
            </w:r>
          </w:p>
        </w:tc>
        <w:tc>
          <w:tcPr>
            <w:tcW w:w="76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0</w:t>
            </w:r>
          </w:p>
        </w:tc>
        <w:tc>
          <w:tcPr>
            <w:tcW w:w="76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91.118.000</w:t>
            </w:r>
          </w:p>
        </w:tc>
      </w:tr>
    </w:tbl>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p>
    <w:p>
      <w:pPr>
        <w:pStyle w:val="Normal-wk"/>
        <w:keepNext w:val="0"/>
        <w:keepLines/>
        <w:pageBreakBefore/>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9.1.3.-</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Transacciones con relacionadas y sus efectos en resultados.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1418" w:right="0" w:firstLine="706"/>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Se presentan las operaciones y sus efectos en resultados para los periodos terminados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11400" w:type="dxa"/>
        <w:tblInd w:w="2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855"/>
        <w:gridCol w:w="1845"/>
        <w:gridCol w:w="540"/>
        <w:gridCol w:w="795"/>
        <w:gridCol w:w="1380"/>
        <w:gridCol w:w="585"/>
        <w:gridCol w:w="675"/>
        <w:gridCol w:w="675"/>
        <w:gridCol w:w="675"/>
        <w:gridCol w:w="675"/>
        <w:gridCol w:w="675"/>
        <w:gridCol w:w="675"/>
        <w:gridCol w:w="675"/>
        <w:gridCol w:w="675"/>
      </w:tblGrid>
      <w:tr>
        <w:tblPrEx>
          <w:tblW w:w="11400" w:type="dxa"/>
          <w:tblInd w:w="2160" w:type="dxa"/>
          <w:tblLayout w:type="fixed"/>
        </w:tblPrEx>
        <w:trPr>
          <w:cantSplit/>
          <w:trHeight w:hRule="auto" w:val="0"/>
          <w:tblHeader/>
        </w:trPr>
        <w:tc>
          <w:tcPr>
            <w:tcW w:w="85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R.U.T.</w:t>
            </w:r>
          </w:p>
        </w:tc>
        <w:tc>
          <w:tcPr>
            <w:tcW w:w="184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Sociedad</w:t>
            </w:r>
          </w:p>
        </w:tc>
        <w:tc>
          <w:tcPr>
            <w:tcW w:w="540"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País de origen</w:t>
            </w:r>
          </w:p>
        </w:tc>
        <w:tc>
          <w:tcPr>
            <w:tcW w:w="79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Naturaleza de la relación</w:t>
            </w:r>
          </w:p>
        </w:tc>
        <w:tc>
          <w:tcPr>
            <w:tcW w:w="1380"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Descripción de la transacción</w:t>
            </w:r>
          </w:p>
        </w:tc>
        <w:tc>
          <w:tcPr>
            <w:tcW w:w="585" w:type="dxa"/>
            <w:vMerge w:val="restart"/>
            <w:tcBorders>
              <w:top w:val="single" w:sz="2" w:space="0" w:color="000000"/>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Moneda</w:t>
            </w:r>
          </w:p>
        </w:tc>
        <w:tc>
          <w:tcPr>
            <w:tcW w:w="1350" w:type="dxa"/>
            <w:gridSpan w:val="2"/>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01-01-2026</w:t>
            </w:r>
          </w:p>
        </w:tc>
        <w:tc>
          <w:tcPr>
            <w:tcW w:w="1350" w:type="dxa"/>
            <w:gridSpan w:val="2"/>
            <w:tcBorders>
              <w:top w:val="single" w:sz="2" w:space="0" w:color="000000"/>
              <w:left w:val="nil"/>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01-01-2025</w:t>
            </w:r>
          </w:p>
        </w:tc>
        <w:tc>
          <w:tcPr>
            <w:tcW w:w="1350" w:type="dxa"/>
            <w:gridSpan w:val="2"/>
            <w:tcBorders>
              <w:top w:val="single" w:sz="2" w:space="0" w:color="000000"/>
              <w:left w:val="nil"/>
              <w:bottom w:val="nil"/>
              <w:right w:val="single" w:sz="8"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01-04-2026</w:t>
            </w:r>
          </w:p>
        </w:tc>
        <w:tc>
          <w:tcPr>
            <w:tcW w:w="1350" w:type="dxa"/>
            <w:gridSpan w:val="2"/>
            <w:tcBorders>
              <w:top w:val="single" w:sz="2" w:space="0" w:color="000000"/>
              <w:left w:val="nil"/>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01-04-2025</w:t>
            </w:r>
          </w:p>
        </w:tc>
      </w:tr>
      <w:tr>
        <w:tblPrEx>
          <w:tblW w:w="11400" w:type="dxa"/>
          <w:tblInd w:w="2160" w:type="dxa"/>
          <w:tblLayout w:type="fixed"/>
        </w:tblPrEx>
        <w:trPr>
          <w:cantSplit/>
          <w:trHeight w:hRule="auto" w:val="0"/>
          <w:tblHeader/>
        </w:trPr>
        <w:tc>
          <w:tcPr>
            <w:tcW w:w="855" w:type="dxa"/>
            <w:vMerge/>
            <w:tcBorders>
              <w:top w:val="nil"/>
              <w:left w:val="single" w:sz="2" w:space="0" w:color="000000"/>
              <w:bottom w:val="nil"/>
              <w:right w:val="nil"/>
            </w:tcBorders>
          </w:tcPr>
          <w:p>
            <w:pPr>
              <w:keepNext/>
              <w:pageBreakBefore w:val="0"/>
            </w:pPr>
          </w:p>
        </w:tc>
        <w:tc>
          <w:tcPr>
            <w:tcW w:w="1845" w:type="dxa"/>
            <w:vMerge/>
            <w:tcBorders>
              <w:top w:val="nil"/>
              <w:left w:val="single" w:sz="4" w:space="0" w:color="FFFFFF"/>
              <w:bottom w:val="nil"/>
              <w:right w:val="nil"/>
            </w:tcBorders>
          </w:tcPr>
          <w:p>
            <w:pPr>
              <w:keepNext/>
              <w:pageBreakBefore w:val="0"/>
            </w:pPr>
          </w:p>
        </w:tc>
        <w:tc>
          <w:tcPr>
            <w:tcW w:w="540" w:type="dxa"/>
            <w:vMerge/>
            <w:tcBorders>
              <w:top w:val="nil"/>
              <w:left w:val="single" w:sz="4" w:space="0" w:color="FFFFFF"/>
              <w:bottom w:val="nil"/>
              <w:right w:val="nil"/>
            </w:tcBorders>
          </w:tcPr>
          <w:p>
            <w:pPr>
              <w:keepNext/>
              <w:pageBreakBefore w:val="0"/>
            </w:pPr>
          </w:p>
        </w:tc>
        <w:tc>
          <w:tcPr>
            <w:tcW w:w="795" w:type="dxa"/>
            <w:vMerge/>
            <w:tcBorders>
              <w:top w:val="nil"/>
              <w:left w:val="single" w:sz="4" w:space="0" w:color="FFFFFF"/>
              <w:bottom w:val="nil"/>
              <w:right w:val="nil"/>
            </w:tcBorders>
          </w:tcPr>
          <w:p>
            <w:pPr>
              <w:keepNext/>
              <w:pageBreakBefore w:val="0"/>
            </w:pPr>
          </w:p>
        </w:tc>
        <w:tc>
          <w:tcPr>
            <w:tcW w:w="1380" w:type="dxa"/>
            <w:vMerge/>
            <w:tcBorders>
              <w:top w:val="nil"/>
              <w:left w:val="single" w:sz="4" w:space="0" w:color="FFFFFF"/>
              <w:bottom w:val="nil"/>
              <w:right w:val="nil"/>
            </w:tcBorders>
          </w:tcPr>
          <w:p>
            <w:pPr>
              <w:keepNext/>
              <w:pageBreakBefore w:val="0"/>
            </w:pPr>
          </w:p>
        </w:tc>
        <w:tc>
          <w:tcPr>
            <w:tcW w:w="585" w:type="dxa"/>
            <w:vMerge/>
            <w:tcBorders>
              <w:top w:val="nil"/>
              <w:left w:val="single" w:sz="4" w:space="0" w:color="FFFFFF"/>
              <w:bottom w:val="nil"/>
              <w:right w:val="single" w:sz="4" w:space="0" w:color="FFFFFF"/>
            </w:tcBorders>
          </w:tcPr>
          <w:p>
            <w:pPr>
              <w:keepNext/>
              <w:pageBreakBefore w:val="0"/>
            </w:pPr>
          </w:p>
        </w:tc>
        <w:tc>
          <w:tcPr>
            <w:tcW w:w="1350" w:type="dxa"/>
            <w:gridSpan w:val="2"/>
            <w:tcBorders>
              <w:top w:val="nil"/>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30-06-2026</w:t>
            </w:r>
          </w:p>
        </w:tc>
        <w:tc>
          <w:tcPr>
            <w:tcW w:w="1350" w:type="dxa"/>
            <w:gridSpan w:val="2"/>
            <w:tcBorders>
              <w:top w:val="nil"/>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30-06-2025</w:t>
            </w:r>
          </w:p>
        </w:tc>
        <w:tc>
          <w:tcPr>
            <w:tcW w:w="1350" w:type="dxa"/>
            <w:gridSpan w:val="2"/>
            <w:tcBorders>
              <w:top w:val="nil"/>
              <w:left w:val="nil"/>
              <w:bottom w:val="single" w:sz="8" w:space="0" w:color="FFFFFF"/>
              <w:right w:val="single" w:sz="8"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30-06-2026</w:t>
            </w:r>
          </w:p>
        </w:tc>
        <w:tc>
          <w:tcPr>
            <w:tcW w:w="1350" w:type="dxa"/>
            <w:gridSpan w:val="2"/>
            <w:tcBorders>
              <w:top w:val="nil"/>
              <w:left w:val="nil"/>
              <w:bottom w:val="single" w:sz="8"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30-06-2025</w:t>
            </w:r>
          </w:p>
        </w:tc>
      </w:tr>
      <w:tr>
        <w:tblPrEx>
          <w:tblW w:w="11400" w:type="dxa"/>
          <w:tblInd w:w="2160" w:type="dxa"/>
          <w:tblLayout w:type="fixed"/>
        </w:tblPrEx>
        <w:trPr>
          <w:cantSplit/>
          <w:trHeight w:hRule="auto" w:val="0"/>
          <w:tblHeader/>
        </w:trPr>
        <w:tc>
          <w:tcPr>
            <w:tcW w:w="855" w:type="dxa"/>
            <w:vMerge/>
            <w:tcBorders>
              <w:top w:val="nil"/>
              <w:left w:val="single" w:sz="2" w:space="0" w:color="000000"/>
              <w:bottom w:val="nil"/>
              <w:right w:val="nil"/>
            </w:tcBorders>
          </w:tcPr>
          <w:p>
            <w:pPr>
              <w:keepNext/>
              <w:pageBreakBefore w:val="0"/>
            </w:pPr>
          </w:p>
        </w:tc>
        <w:tc>
          <w:tcPr>
            <w:tcW w:w="1845" w:type="dxa"/>
            <w:vMerge/>
            <w:tcBorders>
              <w:top w:val="nil"/>
              <w:left w:val="single" w:sz="4" w:space="0" w:color="FFFFFF"/>
              <w:bottom w:val="nil"/>
              <w:right w:val="nil"/>
            </w:tcBorders>
          </w:tcPr>
          <w:p>
            <w:pPr>
              <w:keepNext/>
              <w:pageBreakBefore w:val="0"/>
            </w:pPr>
          </w:p>
        </w:tc>
        <w:tc>
          <w:tcPr>
            <w:tcW w:w="540" w:type="dxa"/>
            <w:vMerge/>
            <w:tcBorders>
              <w:top w:val="nil"/>
              <w:left w:val="single" w:sz="4" w:space="0" w:color="FFFFFF"/>
              <w:bottom w:val="nil"/>
              <w:right w:val="nil"/>
            </w:tcBorders>
          </w:tcPr>
          <w:p>
            <w:pPr>
              <w:keepNext/>
              <w:pageBreakBefore w:val="0"/>
            </w:pPr>
          </w:p>
        </w:tc>
        <w:tc>
          <w:tcPr>
            <w:tcW w:w="795" w:type="dxa"/>
            <w:vMerge/>
            <w:tcBorders>
              <w:top w:val="nil"/>
              <w:left w:val="single" w:sz="4" w:space="0" w:color="FFFFFF"/>
              <w:bottom w:val="nil"/>
              <w:right w:val="nil"/>
            </w:tcBorders>
          </w:tcPr>
          <w:p>
            <w:pPr>
              <w:keepNext/>
              <w:pageBreakBefore w:val="0"/>
            </w:pPr>
          </w:p>
        </w:tc>
        <w:tc>
          <w:tcPr>
            <w:tcW w:w="1380" w:type="dxa"/>
            <w:vMerge/>
            <w:tcBorders>
              <w:top w:val="nil"/>
              <w:left w:val="single" w:sz="4" w:space="0" w:color="FFFFFF"/>
              <w:bottom w:val="nil"/>
              <w:right w:val="nil"/>
            </w:tcBorders>
          </w:tcPr>
          <w:p>
            <w:pPr>
              <w:keepNext/>
              <w:pageBreakBefore w:val="0"/>
            </w:pPr>
          </w:p>
        </w:tc>
        <w:tc>
          <w:tcPr>
            <w:tcW w:w="585" w:type="dxa"/>
            <w:vMerge/>
            <w:tcBorders>
              <w:top w:val="nil"/>
              <w:left w:val="single" w:sz="4" w:space="0" w:color="FFFFFF"/>
              <w:bottom w:val="nil"/>
              <w:right w:val="nil"/>
            </w:tcBorders>
          </w:tcPr>
          <w:p>
            <w:pPr>
              <w:keepNext/>
              <w:pageBreakBefore w:val="0"/>
            </w:pPr>
          </w:p>
        </w:tc>
        <w:tc>
          <w:tcPr>
            <w:tcW w:w="67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Operación</w:t>
            </w:r>
          </w:p>
        </w:tc>
        <w:tc>
          <w:tcPr>
            <w:tcW w:w="67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Efecto en resultados (cargo) / abono</w:t>
            </w:r>
          </w:p>
        </w:tc>
        <w:tc>
          <w:tcPr>
            <w:tcW w:w="67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Operación</w:t>
            </w:r>
          </w:p>
        </w:tc>
        <w:tc>
          <w:tcPr>
            <w:tcW w:w="67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Efecto en resultados (cargo) / abono</w:t>
            </w:r>
          </w:p>
        </w:tc>
        <w:tc>
          <w:tcPr>
            <w:tcW w:w="675" w:type="dxa"/>
            <w:tcBorders>
              <w:top w:val="nil"/>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Operación</w:t>
            </w:r>
          </w:p>
        </w:tc>
        <w:tc>
          <w:tcPr>
            <w:tcW w:w="675" w:type="dxa"/>
            <w:tcBorders>
              <w:top w:val="single" w:sz="8" w:space="0" w:color="FFFFFF"/>
              <w:left w:val="single" w:sz="8"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Efecto en resultados (cargo) / abono</w:t>
            </w:r>
          </w:p>
        </w:tc>
        <w:tc>
          <w:tcPr>
            <w:tcW w:w="675" w:type="dxa"/>
            <w:tcBorders>
              <w:top w:val="nil"/>
              <w:left w:val="single" w:sz="8"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Operación</w:t>
            </w:r>
          </w:p>
        </w:tc>
        <w:tc>
          <w:tcPr>
            <w:tcW w:w="675" w:type="dxa"/>
            <w:tcBorders>
              <w:top w:val="single" w:sz="8" w:space="0" w:color="FFFFFF"/>
              <w:left w:val="single" w:sz="8"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Efecto en resultados (cargo) / abono</w:t>
            </w:r>
          </w:p>
        </w:tc>
      </w:tr>
      <w:tr>
        <w:tblPrEx>
          <w:tblW w:w="11400" w:type="dxa"/>
          <w:tblInd w:w="2160" w:type="dxa"/>
          <w:tblLayout w:type="fixed"/>
        </w:tblPrEx>
        <w:trPr>
          <w:cantSplit/>
          <w:trHeight w:hRule="auto" w:val="0"/>
          <w:tblHeader/>
        </w:trPr>
        <w:tc>
          <w:tcPr>
            <w:tcW w:w="855" w:type="dxa"/>
            <w:vMerge/>
            <w:tcBorders>
              <w:top w:val="nil"/>
              <w:left w:val="single" w:sz="2" w:space="0" w:color="000000"/>
              <w:bottom w:val="single" w:sz="2" w:space="0" w:color="000000"/>
              <w:right w:val="nil"/>
            </w:tcBorders>
          </w:tcPr>
          <w:p>
            <w:pPr>
              <w:pageBreakBefore w:val="0"/>
            </w:pPr>
          </w:p>
        </w:tc>
        <w:tc>
          <w:tcPr>
            <w:tcW w:w="1845" w:type="dxa"/>
            <w:vMerge/>
            <w:tcBorders>
              <w:top w:val="nil"/>
              <w:left w:val="single" w:sz="4" w:space="0" w:color="FFFFFF"/>
              <w:bottom w:val="single" w:sz="2" w:space="0" w:color="000000"/>
              <w:right w:val="nil"/>
            </w:tcBorders>
          </w:tcPr>
          <w:p>
            <w:pPr>
              <w:pageBreakBefore w:val="0"/>
            </w:pPr>
          </w:p>
        </w:tc>
        <w:tc>
          <w:tcPr>
            <w:tcW w:w="540" w:type="dxa"/>
            <w:vMerge/>
            <w:tcBorders>
              <w:top w:val="nil"/>
              <w:left w:val="single" w:sz="4" w:space="0" w:color="FFFFFF"/>
              <w:bottom w:val="single" w:sz="2" w:space="0" w:color="000000"/>
              <w:right w:val="nil"/>
            </w:tcBorders>
          </w:tcPr>
          <w:p>
            <w:pPr>
              <w:pageBreakBefore w:val="0"/>
            </w:pPr>
          </w:p>
        </w:tc>
        <w:tc>
          <w:tcPr>
            <w:tcW w:w="795" w:type="dxa"/>
            <w:vMerge/>
            <w:tcBorders>
              <w:top w:val="nil"/>
              <w:left w:val="single" w:sz="4" w:space="0" w:color="FFFFFF"/>
              <w:bottom w:val="single" w:sz="2" w:space="0" w:color="000000"/>
              <w:right w:val="nil"/>
            </w:tcBorders>
          </w:tcPr>
          <w:p>
            <w:pPr>
              <w:pageBreakBefore w:val="0"/>
            </w:pPr>
          </w:p>
        </w:tc>
        <w:tc>
          <w:tcPr>
            <w:tcW w:w="1380" w:type="dxa"/>
            <w:vMerge/>
            <w:tcBorders>
              <w:top w:val="nil"/>
              <w:left w:val="single" w:sz="4" w:space="0" w:color="FFFFFF"/>
              <w:bottom w:val="single" w:sz="2" w:space="0" w:color="000000"/>
              <w:right w:val="nil"/>
            </w:tcBorders>
          </w:tcPr>
          <w:p>
            <w:pPr>
              <w:pageBreakBefore w:val="0"/>
            </w:pPr>
          </w:p>
        </w:tc>
        <w:tc>
          <w:tcPr>
            <w:tcW w:w="585" w:type="dxa"/>
            <w:vMerge/>
            <w:tcBorders>
              <w:top w:val="nil"/>
              <w:left w:val="single" w:sz="4" w:space="0" w:color="FFFFFF"/>
              <w:bottom w:val="single" w:sz="2" w:space="0" w:color="000000"/>
              <w:right w:val="nil"/>
            </w:tcBorders>
          </w:tcPr>
          <w:p>
            <w:pPr>
              <w:pageBreakBefore w:val="0"/>
            </w:pPr>
          </w:p>
        </w:tc>
        <w:tc>
          <w:tcPr>
            <w:tcW w:w="675" w:type="dxa"/>
            <w:tcBorders>
              <w:top w:val="nil"/>
              <w:left w:val="single" w:sz="4" w:space="0" w:color="FFFFFF"/>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i w:val="0"/>
                <w:color w:val="FFFFFF"/>
                <w:sz w:val="11"/>
                <w:u w:val="none"/>
              </w:rPr>
              <w:t>M$</w:t>
            </w:r>
          </w:p>
        </w:tc>
        <w:tc>
          <w:tcPr>
            <w:tcW w:w="675" w:type="dxa"/>
            <w:tcBorders>
              <w:top w:val="nil"/>
              <w:left w:val="single" w:sz="4" w:space="0" w:color="FFFFFF"/>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i w:val="0"/>
                <w:color w:val="FFFFFF"/>
                <w:sz w:val="11"/>
                <w:u w:val="none"/>
              </w:rPr>
              <w:t>M$</w:t>
            </w:r>
          </w:p>
        </w:tc>
        <w:tc>
          <w:tcPr>
            <w:tcW w:w="675" w:type="dxa"/>
            <w:tcBorders>
              <w:top w:val="nil"/>
              <w:left w:val="single" w:sz="4" w:space="0" w:color="FFFFFF"/>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i w:val="0"/>
                <w:color w:val="FFFFFF"/>
                <w:sz w:val="11"/>
                <w:u w:val="none"/>
              </w:rPr>
              <w:t>M$</w:t>
            </w:r>
          </w:p>
        </w:tc>
        <w:tc>
          <w:tcPr>
            <w:tcW w:w="675" w:type="dxa"/>
            <w:tcBorders>
              <w:top w:val="nil"/>
              <w:left w:val="single" w:sz="4" w:space="0" w:color="FFFFFF"/>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i w:val="0"/>
                <w:color w:val="FFFFFF"/>
                <w:sz w:val="11"/>
                <w:u w:val="none"/>
              </w:rPr>
              <w:t>M$</w:t>
            </w:r>
          </w:p>
        </w:tc>
        <w:tc>
          <w:tcPr>
            <w:tcW w:w="675" w:type="dxa"/>
            <w:tcBorders>
              <w:top w:val="nil"/>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i w:val="0"/>
                <w:color w:val="FFFFFF"/>
                <w:sz w:val="11"/>
                <w:u w:val="none"/>
              </w:rPr>
              <w:t>M$</w:t>
            </w:r>
          </w:p>
        </w:tc>
        <w:tc>
          <w:tcPr>
            <w:tcW w:w="675" w:type="dxa"/>
            <w:tcBorders>
              <w:top w:val="nil"/>
              <w:left w:val="single" w:sz="8" w:space="0" w:color="FFFFFF"/>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i w:val="0"/>
                <w:color w:val="FFFFFF"/>
                <w:sz w:val="11"/>
                <w:u w:val="none"/>
              </w:rPr>
              <w:t>M$</w:t>
            </w:r>
          </w:p>
        </w:tc>
        <w:tc>
          <w:tcPr>
            <w:tcW w:w="675" w:type="dxa"/>
            <w:tcBorders>
              <w:top w:val="nil"/>
              <w:left w:val="single" w:sz="8" w:space="0" w:color="FFFFFF"/>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i w:val="0"/>
                <w:color w:val="FFFFFF"/>
                <w:sz w:val="11"/>
                <w:u w:val="none"/>
              </w:rPr>
              <w:t>M$</w:t>
            </w:r>
          </w:p>
        </w:tc>
        <w:tc>
          <w:tcPr>
            <w:tcW w:w="675" w:type="dxa"/>
            <w:tcBorders>
              <w:top w:val="nil"/>
              <w:left w:val="single" w:sz="8" w:space="0" w:color="FFFFFF"/>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i w:val="0"/>
                <w:color w:val="FFFFFF"/>
                <w:sz w:val="11"/>
                <w:u w:val="none"/>
              </w:rPr>
              <w:t>M$</w:t>
            </w:r>
          </w:p>
        </w:tc>
      </w:tr>
      <w:tr>
        <w:tblPrEx>
          <w:tblW w:w="11400" w:type="dxa"/>
          <w:tblInd w:w="2160" w:type="dxa"/>
          <w:tblLayout w:type="fixed"/>
        </w:tblPrEx>
        <w:trPr>
          <w:cantSplit/>
          <w:trHeight w:hRule="auto" w:val="0"/>
        </w:trPr>
        <w:tc>
          <w:tcPr>
            <w:tcW w:w="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0-E</w:t>
            </w:r>
          </w:p>
        </w:tc>
        <w:tc>
          <w:tcPr>
            <w:tcW w:w="18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1"/>
                <w:u w:val="none"/>
              </w:rPr>
              <w:t>State Grid International Development Limited</w:t>
            </w:r>
          </w:p>
        </w:tc>
        <w:tc>
          <w:tcPr>
            <w:tcW w:w="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China</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Matriz común</w:t>
            </w:r>
          </w:p>
        </w:tc>
        <w:tc>
          <w:tcPr>
            <w:tcW w:w="13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Intereses préstamo recibido</w:t>
            </w:r>
          </w:p>
        </w:tc>
        <w:tc>
          <w:tcPr>
            <w:tcW w:w="5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US $</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1.821.102</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(1.821.102)</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p>
        </w:tc>
      </w:tr>
      <w:tr>
        <w:tblPrEx>
          <w:tblW w:w="11400" w:type="dxa"/>
          <w:tblInd w:w="2160" w:type="dxa"/>
          <w:tblLayout w:type="fixed"/>
        </w:tblPrEx>
        <w:trPr>
          <w:cantSplit/>
          <w:trHeight w:hRule="auto" w:val="0"/>
        </w:trPr>
        <w:tc>
          <w:tcPr>
            <w:tcW w:w="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0-E</w:t>
            </w:r>
          </w:p>
        </w:tc>
        <w:tc>
          <w:tcPr>
            <w:tcW w:w="18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1"/>
                <w:u w:val="none"/>
              </w:rPr>
              <w:t>State Grid International Development Limited</w:t>
            </w:r>
          </w:p>
        </w:tc>
        <w:tc>
          <w:tcPr>
            <w:tcW w:w="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China</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Matriz común</w:t>
            </w:r>
          </w:p>
        </w:tc>
        <w:tc>
          <w:tcPr>
            <w:tcW w:w="13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Amortización ITE préstamo</w:t>
            </w:r>
          </w:p>
        </w:tc>
        <w:tc>
          <w:tcPr>
            <w:tcW w:w="5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US $</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1.055.124</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1.055.124</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p>
        </w:tc>
      </w:tr>
      <w:tr>
        <w:tblPrEx>
          <w:tblW w:w="11400" w:type="dxa"/>
          <w:tblInd w:w="2160" w:type="dxa"/>
          <w:tblLayout w:type="fixed"/>
        </w:tblPrEx>
        <w:trPr>
          <w:cantSplit/>
          <w:trHeight w:hRule="auto" w:val="0"/>
        </w:trPr>
        <w:tc>
          <w:tcPr>
            <w:tcW w:w="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0-E</w:t>
            </w:r>
          </w:p>
        </w:tc>
        <w:tc>
          <w:tcPr>
            <w:tcW w:w="18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1"/>
                <w:u w:val="none"/>
              </w:rPr>
              <w:t>State Grid International Development Limited</w:t>
            </w:r>
          </w:p>
        </w:tc>
        <w:tc>
          <w:tcPr>
            <w:tcW w:w="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China</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Matriz común</w:t>
            </w:r>
          </w:p>
        </w:tc>
        <w:tc>
          <w:tcPr>
            <w:tcW w:w="13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Tipo de cambio préstamo recibido</w:t>
            </w:r>
          </w:p>
        </w:tc>
        <w:tc>
          <w:tcPr>
            <w:tcW w:w="5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US $</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5.113.000</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5.113.000</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p>
        </w:tc>
      </w:tr>
      <w:tr>
        <w:tblPrEx>
          <w:tblW w:w="11400" w:type="dxa"/>
          <w:tblInd w:w="2160" w:type="dxa"/>
          <w:tblLayout w:type="fixed"/>
        </w:tblPrEx>
        <w:trPr>
          <w:cantSplit/>
          <w:trHeight w:hRule="auto" w:val="0"/>
        </w:trPr>
        <w:tc>
          <w:tcPr>
            <w:tcW w:w="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0-E</w:t>
            </w:r>
          </w:p>
        </w:tc>
        <w:tc>
          <w:tcPr>
            <w:tcW w:w="18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1"/>
                <w:u w:val="none"/>
              </w:rPr>
              <w:t>State Grid International Development Limited</w:t>
            </w:r>
          </w:p>
        </w:tc>
        <w:tc>
          <w:tcPr>
            <w:tcW w:w="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China</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Matriz común</w:t>
            </w:r>
          </w:p>
        </w:tc>
        <w:tc>
          <w:tcPr>
            <w:tcW w:w="13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Pago préstamo</w:t>
            </w:r>
          </w:p>
        </w:tc>
        <w:tc>
          <w:tcPr>
            <w:tcW w:w="5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US $</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93.954.000</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p>
        </w:tc>
      </w:tr>
      <w:tr>
        <w:tblPrEx>
          <w:tblW w:w="11400" w:type="dxa"/>
          <w:tblInd w:w="2160" w:type="dxa"/>
          <w:tblLayout w:type="fixed"/>
        </w:tblPrEx>
        <w:trPr>
          <w:cantSplit/>
          <w:trHeight w:hRule="auto" w:val="0"/>
        </w:trPr>
        <w:tc>
          <w:tcPr>
            <w:tcW w:w="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76.230.505-4</w:t>
            </w:r>
          </w:p>
        </w:tc>
        <w:tc>
          <w:tcPr>
            <w:tcW w:w="18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1"/>
                <w:u w:val="none"/>
              </w:rPr>
              <w:t>Eletrans S.A.</w:t>
            </w:r>
          </w:p>
        </w:tc>
        <w:tc>
          <w:tcPr>
            <w:tcW w:w="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Chile</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Matriz común</w:t>
            </w:r>
          </w:p>
        </w:tc>
        <w:tc>
          <w:tcPr>
            <w:tcW w:w="13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Ingreso por servicios de subtransmisión</w:t>
            </w:r>
          </w:p>
        </w:tc>
        <w:tc>
          <w:tcPr>
            <w:tcW w:w="5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CL $</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112</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112</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p>
        </w:tc>
      </w:tr>
      <w:tr>
        <w:tblPrEx>
          <w:tblW w:w="11400" w:type="dxa"/>
          <w:tblInd w:w="2160" w:type="dxa"/>
          <w:tblLayout w:type="fixed"/>
        </w:tblPrEx>
        <w:trPr>
          <w:cantSplit/>
          <w:trHeight w:hRule="auto" w:val="0"/>
        </w:trPr>
        <w:tc>
          <w:tcPr>
            <w:tcW w:w="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76.230.505-4</w:t>
            </w:r>
          </w:p>
        </w:tc>
        <w:tc>
          <w:tcPr>
            <w:tcW w:w="18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1"/>
                <w:u w:val="none"/>
              </w:rPr>
              <w:t>Eletrans S.A.</w:t>
            </w:r>
          </w:p>
        </w:tc>
        <w:tc>
          <w:tcPr>
            <w:tcW w:w="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Chile</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Matriz común</w:t>
            </w:r>
          </w:p>
        </w:tc>
        <w:tc>
          <w:tcPr>
            <w:tcW w:w="13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Servicios de subtransmisión</w:t>
            </w:r>
          </w:p>
        </w:tc>
        <w:tc>
          <w:tcPr>
            <w:tcW w:w="5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CL $</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12.986</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(12.986)</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102</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(102)</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112</w:t>
            </w:r>
          </w:p>
        </w:tc>
        <w:tc>
          <w:tcPr>
            <w:tcW w:w="6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112</w:t>
            </w:r>
          </w:p>
        </w:tc>
      </w:tr>
      <w:tr>
        <w:tblPrEx>
          <w:tblW w:w="11400" w:type="dxa"/>
          <w:tblInd w:w="2160" w:type="dxa"/>
          <w:tblLayout w:type="fixed"/>
        </w:tblPrEx>
        <w:trPr>
          <w:cantSplit/>
          <w:trHeight w:hRule="auto" w:val="0"/>
        </w:trPr>
        <w:tc>
          <w:tcPr>
            <w:tcW w:w="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76.230.505-4</w:t>
            </w:r>
          </w:p>
        </w:tc>
        <w:tc>
          <w:tcPr>
            <w:tcW w:w="18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1"/>
                <w:u w:val="none"/>
              </w:rPr>
              <w:t>Eletrans S.A.</w:t>
            </w:r>
          </w:p>
        </w:tc>
        <w:tc>
          <w:tcPr>
            <w:tcW w:w="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Chile</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Matriz común</w:t>
            </w:r>
          </w:p>
        </w:tc>
        <w:tc>
          <w:tcPr>
            <w:tcW w:w="13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Compra de energía y potencia</w:t>
            </w:r>
          </w:p>
        </w:tc>
        <w:tc>
          <w:tcPr>
            <w:tcW w:w="5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CL $</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217</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(217)</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3.399</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3.399</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12.875</w:t>
            </w:r>
          </w:p>
        </w:tc>
        <w:tc>
          <w:tcPr>
            <w:tcW w:w="6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(12.875)</w:t>
            </w:r>
          </w:p>
        </w:tc>
      </w:tr>
      <w:tr>
        <w:tblPrEx>
          <w:tblW w:w="11400" w:type="dxa"/>
          <w:tblInd w:w="2160" w:type="dxa"/>
          <w:tblLayout w:type="fixed"/>
        </w:tblPrEx>
        <w:trPr>
          <w:cantSplit/>
          <w:trHeight w:hRule="auto" w:val="0"/>
        </w:trPr>
        <w:tc>
          <w:tcPr>
            <w:tcW w:w="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76.306.442-5</w:t>
            </w:r>
          </w:p>
        </w:tc>
        <w:tc>
          <w:tcPr>
            <w:tcW w:w="18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1"/>
                <w:u w:val="none"/>
              </w:rPr>
              <w:t>Eletrans II S.A.</w:t>
            </w:r>
          </w:p>
        </w:tc>
        <w:tc>
          <w:tcPr>
            <w:tcW w:w="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Chile</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Matriz común</w:t>
            </w:r>
          </w:p>
        </w:tc>
        <w:tc>
          <w:tcPr>
            <w:tcW w:w="13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Ingreso por servicios de subtransmisión</w:t>
            </w:r>
          </w:p>
        </w:tc>
        <w:tc>
          <w:tcPr>
            <w:tcW w:w="5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CL $</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6</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6</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386</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386</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217</w:t>
            </w:r>
          </w:p>
        </w:tc>
        <w:tc>
          <w:tcPr>
            <w:tcW w:w="6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(217)</w:t>
            </w:r>
          </w:p>
        </w:tc>
      </w:tr>
      <w:tr>
        <w:tblPrEx>
          <w:tblW w:w="11400" w:type="dxa"/>
          <w:tblInd w:w="2160" w:type="dxa"/>
          <w:tblLayout w:type="fixed"/>
        </w:tblPrEx>
        <w:trPr>
          <w:cantSplit/>
          <w:trHeight w:hRule="auto" w:val="0"/>
        </w:trPr>
        <w:tc>
          <w:tcPr>
            <w:tcW w:w="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76.306.442-5</w:t>
            </w:r>
          </w:p>
        </w:tc>
        <w:tc>
          <w:tcPr>
            <w:tcW w:w="18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1"/>
                <w:u w:val="none"/>
              </w:rPr>
              <w:t>Eletrans II S.A.</w:t>
            </w:r>
          </w:p>
        </w:tc>
        <w:tc>
          <w:tcPr>
            <w:tcW w:w="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Chile</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Matriz común</w:t>
            </w:r>
          </w:p>
        </w:tc>
        <w:tc>
          <w:tcPr>
            <w:tcW w:w="13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Servicios de subtransmisión</w:t>
            </w:r>
          </w:p>
        </w:tc>
        <w:tc>
          <w:tcPr>
            <w:tcW w:w="5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CL $</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4.306</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(4.306)</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4</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(4)</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6</w:t>
            </w:r>
          </w:p>
        </w:tc>
        <w:tc>
          <w:tcPr>
            <w:tcW w:w="6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6</w:t>
            </w:r>
          </w:p>
        </w:tc>
      </w:tr>
      <w:tr>
        <w:tblPrEx>
          <w:tblW w:w="11400" w:type="dxa"/>
          <w:tblInd w:w="2160" w:type="dxa"/>
          <w:tblLayout w:type="fixed"/>
        </w:tblPrEx>
        <w:trPr>
          <w:cantSplit/>
          <w:trHeight w:hRule="auto" w:val="0"/>
        </w:trPr>
        <w:tc>
          <w:tcPr>
            <w:tcW w:w="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76.411.321-7</w:t>
            </w:r>
          </w:p>
        </w:tc>
        <w:tc>
          <w:tcPr>
            <w:tcW w:w="18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1"/>
                <w:u w:val="none"/>
              </w:rPr>
              <w:t>Compañía General de Electricidad S.A.</w:t>
            </w:r>
          </w:p>
        </w:tc>
        <w:tc>
          <w:tcPr>
            <w:tcW w:w="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Chile</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Matriz común</w:t>
            </w:r>
          </w:p>
        </w:tc>
        <w:tc>
          <w:tcPr>
            <w:tcW w:w="13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Tesorería centralizada (cargos)</w:t>
            </w:r>
          </w:p>
        </w:tc>
        <w:tc>
          <w:tcPr>
            <w:tcW w:w="5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CL $</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418.186.285</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47</w:t>
            </w:r>
          </w:p>
        </w:tc>
        <w:tc>
          <w:tcPr>
            <w:tcW w:w="6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(47)</w:t>
            </w:r>
          </w:p>
        </w:tc>
      </w:tr>
      <w:tr>
        <w:tblPrEx>
          <w:tblW w:w="11400" w:type="dxa"/>
          <w:tblInd w:w="2160" w:type="dxa"/>
          <w:tblLayout w:type="fixed"/>
        </w:tblPrEx>
        <w:trPr>
          <w:cantSplit/>
          <w:trHeight w:hRule="auto" w:val="0"/>
        </w:trPr>
        <w:tc>
          <w:tcPr>
            <w:tcW w:w="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76.411.321-7</w:t>
            </w:r>
          </w:p>
        </w:tc>
        <w:tc>
          <w:tcPr>
            <w:tcW w:w="18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1"/>
                <w:u w:val="none"/>
              </w:rPr>
              <w:t>Compañía General de Electricidad S.A.</w:t>
            </w:r>
          </w:p>
        </w:tc>
        <w:tc>
          <w:tcPr>
            <w:tcW w:w="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Chile</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Matriz común</w:t>
            </w:r>
          </w:p>
        </w:tc>
        <w:tc>
          <w:tcPr>
            <w:tcW w:w="13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Tesorería centralizada (abonos)</w:t>
            </w:r>
          </w:p>
        </w:tc>
        <w:tc>
          <w:tcPr>
            <w:tcW w:w="5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CL $</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377.454.146</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1.404</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1.404</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4.275</w:t>
            </w:r>
          </w:p>
        </w:tc>
        <w:tc>
          <w:tcPr>
            <w:tcW w:w="6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(4.275)</w:t>
            </w:r>
          </w:p>
        </w:tc>
      </w:tr>
      <w:tr>
        <w:tblPrEx>
          <w:tblW w:w="11400" w:type="dxa"/>
          <w:tblInd w:w="2160" w:type="dxa"/>
          <w:tblLayout w:type="fixed"/>
        </w:tblPrEx>
        <w:trPr>
          <w:cantSplit/>
          <w:trHeight w:hRule="auto" w:val="0"/>
        </w:trPr>
        <w:tc>
          <w:tcPr>
            <w:tcW w:w="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76.411.321-7</w:t>
            </w:r>
          </w:p>
        </w:tc>
        <w:tc>
          <w:tcPr>
            <w:tcW w:w="18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1"/>
                <w:u w:val="none"/>
              </w:rPr>
              <w:t>Compañía General de Electricidad S.A.</w:t>
            </w:r>
          </w:p>
        </w:tc>
        <w:tc>
          <w:tcPr>
            <w:tcW w:w="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Chile</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Matriz común</w:t>
            </w:r>
          </w:p>
        </w:tc>
        <w:tc>
          <w:tcPr>
            <w:tcW w:w="13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Ingreso por servicios de subtransmisión</w:t>
            </w:r>
          </w:p>
        </w:tc>
        <w:tc>
          <w:tcPr>
            <w:tcW w:w="5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CL $</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36.167.237</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36.167.237</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1.750.979</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188.464.437</w:t>
            </w:r>
          </w:p>
        </w:tc>
        <w:tc>
          <w:tcPr>
            <w:tcW w:w="6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p>
        </w:tc>
      </w:tr>
      <w:tr>
        <w:tblPrEx>
          <w:tblW w:w="11400" w:type="dxa"/>
          <w:tblInd w:w="2160" w:type="dxa"/>
          <w:tblLayout w:type="fixed"/>
        </w:tblPrEx>
        <w:trPr>
          <w:cantSplit/>
          <w:trHeight w:hRule="auto" w:val="0"/>
        </w:trPr>
        <w:tc>
          <w:tcPr>
            <w:tcW w:w="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76.411.321-7</w:t>
            </w:r>
          </w:p>
        </w:tc>
        <w:tc>
          <w:tcPr>
            <w:tcW w:w="18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1"/>
                <w:u w:val="none"/>
              </w:rPr>
              <w:t>Compañía General de Electricidad S.A.</w:t>
            </w:r>
          </w:p>
        </w:tc>
        <w:tc>
          <w:tcPr>
            <w:tcW w:w="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Chile</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Matriz común</w:t>
            </w:r>
          </w:p>
        </w:tc>
        <w:tc>
          <w:tcPr>
            <w:tcW w:w="13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Ingreso por construcción de obras</w:t>
            </w:r>
          </w:p>
        </w:tc>
        <w:tc>
          <w:tcPr>
            <w:tcW w:w="5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CL $</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4.952.944</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153.405.325</w:t>
            </w:r>
          </w:p>
        </w:tc>
        <w:tc>
          <w:tcPr>
            <w:tcW w:w="6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p>
        </w:tc>
      </w:tr>
      <w:tr>
        <w:tblPrEx>
          <w:tblW w:w="11400" w:type="dxa"/>
          <w:tblInd w:w="2160" w:type="dxa"/>
          <w:tblLayout w:type="fixed"/>
        </w:tblPrEx>
        <w:trPr>
          <w:cantSplit/>
          <w:trHeight w:hRule="auto" w:val="0"/>
        </w:trPr>
        <w:tc>
          <w:tcPr>
            <w:tcW w:w="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76.411.321-7</w:t>
            </w:r>
          </w:p>
        </w:tc>
        <w:tc>
          <w:tcPr>
            <w:tcW w:w="18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1"/>
                <w:u w:val="none"/>
              </w:rPr>
              <w:t>Compañía General de Electricidad S.A.</w:t>
            </w:r>
          </w:p>
        </w:tc>
        <w:tc>
          <w:tcPr>
            <w:tcW w:w="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Chile</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Matriz común</w:t>
            </w:r>
          </w:p>
        </w:tc>
        <w:tc>
          <w:tcPr>
            <w:tcW w:w="13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Compra de materiales y equipos</w:t>
            </w:r>
          </w:p>
        </w:tc>
        <w:tc>
          <w:tcPr>
            <w:tcW w:w="5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CL $</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5.420</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p>
        </w:tc>
      </w:tr>
      <w:tr>
        <w:tblPrEx>
          <w:tblW w:w="11400" w:type="dxa"/>
          <w:tblInd w:w="2160" w:type="dxa"/>
          <w:tblLayout w:type="fixed"/>
        </w:tblPrEx>
        <w:trPr>
          <w:cantSplit/>
          <w:trHeight w:hRule="auto" w:val="0"/>
        </w:trPr>
        <w:tc>
          <w:tcPr>
            <w:tcW w:w="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76.411.321-7</w:t>
            </w:r>
          </w:p>
        </w:tc>
        <w:tc>
          <w:tcPr>
            <w:tcW w:w="18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1"/>
                <w:u w:val="none"/>
              </w:rPr>
              <w:t>Compañía General de Electricidad S.A.</w:t>
            </w:r>
          </w:p>
        </w:tc>
        <w:tc>
          <w:tcPr>
            <w:tcW w:w="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Chile</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Matriz común</w:t>
            </w:r>
          </w:p>
        </w:tc>
        <w:tc>
          <w:tcPr>
            <w:tcW w:w="13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Venta de materiales</w:t>
            </w:r>
          </w:p>
        </w:tc>
        <w:tc>
          <w:tcPr>
            <w:tcW w:w="5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CL $</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19.615.412</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19.615.412</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16.349.733</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(16.349.733)</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15.607.730</w:t>
            </w:r>
          </w:p>
        </w:tc>
        <w:tc>
          <w:tcPr>
            <w:tcW w:w="6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15.607.730</w:t>
            </w:r>
          </w:p>
        </w:tc>
      </w:tr>
      <w:tr>
        <w:tblPrEx>
          <w:tblW w:w="11400" w:type="dxa"/>
          <w:tblInd w:w="2160" w:type="dxa"/>
          <w:tblLayout w:type="fixed"/>
        </w:tblPrEx>
        <w:trPr>
          <w:cantSplit/>
          <w:trHeight w:hRule="auto" w:val="0"/>
        </w:trPr>
        <w:tc>
          <w:tcPr>
            <w:tcW w:w="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76.411.321-7</w:t>
            </w:r>
          </w:p>
        </w:tc>
        <w:tc>
          <w:tcPr>
            <w:tcW w:w="18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1"/>
                <w:u w:val="none"/>
              </w:rPr>
              <w:t>Compañía General de Electricidad S.A.</w:t>
            </w:r>
          </w:p>
        </w:tc>
        <w:tc>
          <w:tcPr>
            <w:tcW w:w="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Chile</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Matriz común</w:t>
            </w:r>
          </w:p>
        </w:tc>
        <w:tc>
          <w:tcPr>
            <w:tcW w:w="13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Compra de energía</w:t>
            </w:r>
          </w:p>
        </w:tc>
        <w:tc>
          <w:tcPr>
            <w:tcW w:w="5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CL $</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2.460</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(2.460)</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3.279</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1.920</w:t>
            </w:r>
          </w:p>
        </w:tc>
        <w:tc>
          <w:tcPr>
            <w:tcW w:w="6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p>
        </w:tc>
      </w:tr>
      <w:tr>
        <w:tblPrEx>
          <w:tblW w:w="11400" w:type="dxa"/>
          <w:tblInd w:w="2160" w:type="dxa"/>
          <w:tblLayout w:type="fixed"/>
        </w:tblPrEx>
        <w:trPr>
          <w:cantSplit/>
          <w:trHeight w:hRule="auto" w:val="0"/>
        </w:trPr>
        <w:tc>
          <w:tcPr>
            <w:tcW w:w="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76.411.321-7</w:t>
            </w:r>
          </w:p>
        </w:tc>
        <w:tc>
          <w:tcPr>
            <w:tcW w:w="18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1"/>
                <w:u w:val="none"/>
              </w:rPr>
              <w:t>Compañía General de Electricidad S.A.</w:t>
            </w:r>
          </w:p>
        </w:tc>
        <w:tc>
          <w:tcPr>
            <w:tcW w:w="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Chile</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Matriz común</w:t>
            </w:r>
          </w:p>
        </w:tc>
        <w:tc>
          <w:tcPr>
            <w:tcW w:w="13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Servicios de subtransmisión</w:t>
            </w:r>
          </w:p>
        </w:tc>
        <w:tc>
          <w:tcPr>
            <w:tcW w:w="5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CL $</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502.194</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(502.194)</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1.734.227</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(1.734.227)</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11.256.753</w:t>
            </w:r>
          </w:p>
        </w:tc>
        <w:tc>
          <w:tcPr>
            <w:tcW w:w="6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11.256.753</w:t>
            </w:r>
          </w:p>
        </w:tc>
      </w:tr>
      <w:tr>
        <w:tblPrEx>
          <w:tblW w:w="11400" w:type="dxa"/>
          <w:tblInd w:w="2160" w:type="dxa"/>
          <w:tblLayout w:type="fixed"/>
        </w:tblPrEx>
        <w:trPr>
          <w:cantSplit/>
          <w:trHeight w:hRule="auto" w:val="0"/>
        </w:trPr>
        <w:tc>
          <w:tcPr>
            <w:tcW w:w="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76.411.321-7</w:t>
            </w:r>
          </w:p>
        </w:tc>
        <w:tc>
          <w:tcPr>
            <w:tcW w:w="18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1"/>
                <w:u w:val="none"/>
              </w:rPr>
              <w:t>Compañía General de Electricidad S.A.</w:t>
            </w:r>
          </w:p>
        </w:tc>
        <w:tc>
          <w:tcPr>
            <w:tcW w:w="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Chile</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Matriz común</w:t>
            </w:r>
          </w:p>
        </w:tc>
        <w:tc>
          <w:tcPr>
            <w:tcW w:w="13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Ingreso por servicios operativos</w:t>
            </w:r>
          </w:p>
        </w:tc>
        <w:tc>
          <w:tcPr>
            <w:tcW w:w="5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CL $</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67.702</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67.702</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63</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63</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51</w:t>
            </w:r>
          </w:p>
        </w:tc>
        <w:tc>
          <w:tcPr>
            <w:tcW w:w="6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(51)</w:t>
            </w:r>
          </w:p>
        </w:tc>
      </w:tr>
      <w:tr>
        <w:tblPrEx>
          <w:tblW w:w="11400" w:type="dxa"/>
          <w:tblInd w:w="2160" w:type="dxa"/>
          <w:tblLayout w:type="fixed"/>
        </w:tblPrEx>
        <w:trPr>
          <w:cantSplit/>
          <w:trHeight w:hRule="auto" w:val="0"/>
        </w:trPr>
        <w:tc>
          <w:tcPr>
            <w:tcW w:w="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76.411.321-7</w:t>
            </w:r>
          </w:p>
        </w:tc>
        <w:tc>
          <w:tcPr>
            <w:tcW w:w="18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1"/>
                <w:u w:val="none"/>
              </w:rPr>
              <w:t>Compañía General de Electricidad S.A.</w:t>
            </w:r>
          </w:p>
        </w:tc>
        <w:tc>
          <w:tcPr>
            <w:tcW w:w="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Chile</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Matriz común</w:t>
            </w:r>
          </w:p>
        </w:tc>
        <w:tc>
          <w:tcPr>
            <w:tcW w:w="13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Ingreso por arriendo de propiedades</w:t>
            </w:r>
          </w:p>
        </w:tc>
        <w:tc>
          <w:tcPr>
            <w:tcW w:w="5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CL $</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386.511</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386.511</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240.655</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240.655</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502.194</w:t>
            </w:r>
          </w:p>
        </w:tc>
        <w:tc>
          <w:tcPr>
            <w:tcW w:w="6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(502.194)</w:t>
            </w:r>
          </w:p>
        </w:tc>
      </w:tr>
      <w:tr>
        <w:tblPrEx>
          <w:tblW w:w="11400" w:type="dxa"/>
          <w:tblInd w:w="2160" w:type="dxa"/>
          <w:tblLayout w:type="fixed"/>
        </w:tblPrEx>
        <w:trPr>
          <w:cantSplit/>
          <w:trHeight w:hRule="auto" w:val="0"/>
        </w:trPr>
        <w:tc>
          <w:tcPr>
            <w:tcW w:w="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76.411.321-7</w:t>
            </w:r>
          </w:p>
        </w:tc>
        <w:tc>
          <w:tcPr>
            <w:tcW w:w="18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1"/>
                <w:u w:val="none"/>
              </w:rPr>
              <w:t>Compañía General de Electricidad S.A.</w:t>
            </w:r>
          </w:p>
        </w:tc>
        <w:tc>
          <w:tcPr>
            <w:tcW w:w="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Chile</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Matriz común</w:t>
            </w:r>
          </w:p>
        </w:tc>
        <w:tc>
          <w:tcPr>
            <w:tcW w:w="13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Ingreso por arriendo de equipos de generación</w:t>
            </w:r>
          </w:p>
        </w:tc>
        <w:tc>
          <w:tcPr>
            <w:tcW w:w="5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CL $</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1.065.857</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1.065.857</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0" w:type="dxa"/>
            </w:tcMar>
            <w:vAlign w:val="bottom"/>
          </w:tcPr>
          <w:p>
            <w:pPr>
              <w:pageBreakBefore w:val="0"/>
              <w:spacing w:before="0" w:after="0"/>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0" w:type="dxa"/>
            </w:tcMar>
            <w:vAlign w:val="bottom"/>
          </w:tcPr>
          <w:p>
            <w:pPr>
              <w:pageBreakBefore w:val="0"/>
              <w:spacing w:before="0" w:after="0"/>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0" w:type="dxa"/>
            </w:tcMar>
            <w:vAlign w:val="bottom"/>
          </w:tcPr>
          <w:p>
            <w:pPr>
              <w:pageBreakBefore w:val="0"/>
              <w:spacing w:before="0" w:after="0"/>
            </w:pPr>
          </w:p>
        </w:tc>
        <w:tc>
          <w:tcPr>
            <w:tcW w:w="6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bottom"/>
          </w:tcPr>
          <w:p>
            <w:pPr>
              <w:pageBreakBefore w:val="0"/>
              <w:spacing w:before="0" w:after="0"/>
            </w:pPr>
          </w:p>
        </w:tc>
      </w:tr>
      <w:tr>
        <w:tblPrEx>
          <w:tblW w:w="11400" w:type="dxa"/>
          <w:tblInd w:w="2160" w:type="dxa"/>
          <w:tblLayout w:type="fixed"/>
        </w:tblPrEx>
        <w:trPr>
          <w:cantSplit/>
          <w:trHeight w:hRule="auto" w:val="0"/>
        </w:trPr>
        <w:tc>
          <w:tcPr>
            <w:tcW w:w="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76.411.321-7</w:t>
            </w:r>
          </w:p>
        </w:tc>
        <w:tc>
          <w:tcPr>
            <w:tcW w:w="18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1"/>
                <w:u w:val="none"/>
              </w:rPr>
              <w:t>Compañía General de Electricidad S.A.</w:t>
            </w:r>
          </w:p>
        </w:tc>
        <w:tc>
          <w:tcPr>
            <w:tcW w:w="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Chile</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Matriz común</w:t>
            </w:r>
          </w:p>
        </w:tc>
        <w:tc>
          <w:tcPr>
            <w:tcW w:w="13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Reembolso de gastos</w:t>
            </w:r>
          </w:p>
        </w:tc>
        <w:tc>
          <w:tcPr>
            <w:tcW w:w="5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CL $</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81.956</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198.042</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(198.042)</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194.671</w:t>
            </w:r>
          </w:p>
        </w:tc>
        <w:tc>
          <w:tcPr>
            <w:tcW w:w="6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194.671</w:t>
            </w:r>
          </w:p>
        </w:tc>
      </w:tr>
      <w:tr>
        <w:tblPrEx>
          <w:tblW w:w="11400" w:type="dxa"/>
          <w:tblInd w:w="2160" w:type="dxa"/>
          <w:tblLayout w:type="fixed"/>
        </w:tblPrEx>
        <w:trPr>
          <w:cantSplit/>
          <w:trHeight w:hRule="auto" w:val="0"/>
        </w:trPr>
        <w:tc>
          <w:tcPr>
            <w:tcW w:w="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76.411.321-7</w:t>
            </w:r>
          </w:p>
        </w:tc>
        <w:tc>
          <w:tcPr>
            <w:tcW w:w="18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1"/>
                <w:u w:val="none"/>
              </w:rPr>
              <w:t>Compañía General de Electricidad S.A.</w:t>
            </w:r>
          </w:p>
        </w:tc>
        <w:tc>
          <w:tcPr>
            <w:tcW w:w="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Chile</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Matriz común</w:t>
            </w:r>
          </w:p>
        </w:tc>
        <w:tc>
          <w:tcPr>
            <w:tcW w:w="13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Arriendo de instalaciones y equipos</w:t>
            </w:r>
          </w:p>
        </w:tc>
        <w:tc>
          <w:tcPr>
            <w:tcW w:w="5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CL $</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453.631</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(453.631)</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537.500</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(537.500)</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1.065.857</w:t>
            </w:r>
          </w:p>
        </w:tc>
        <w:tc>
          <w:tcPr>
            <w:tcW w:w="6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1.065.857</w:t>
            </w:r>
          </w:p>
        </w:tc>
      </w:tr>
      <w:tr>
        <w:tblPrEx>
          <w:tblW w:w="11400" w:type="dxa"/>
          <w:tblInd w:w="2160" w:type="dxa"/>
          <w:tblLayout w:type="fixed"/>
        </w:tblPrEx>
        <w:trPr>
          <w:cantSplit/>
          <w:trHeight w:hRule="auto" w:val="0"/>
        </w:trPr>
        <w:tc>
          <w:tcPr>
            <w:tcW w:w="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76.411.321-7</w:t>
            </w:r>
          </w:p>
        </w:tc>
        <w:tc>
          <w:tcPr>
            <w:tcW w:w="18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1"/>
                <w:u w:val="none"/>
              </w:rPr>
              <w:t>Compañía General de Electricidad S.A.</w:t>
            </w:r>
          </w:p>
        </w:tc>
        <w:tc>
          <w:tcPr>
            <w:tcW w:w="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Chile</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Matriz común</w:t>
            </w:r>
          </w:p>
        </w:tc>
        <w:tc>
          <w:tcPr>
            <w:tcW w:w="13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Arriendos de oficinas</w:t>
            </w:r>
          </w:p>
        </w:tc>
        <w:tc>
          <w:tcPr>
            <w:tcW w:w="5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CL $</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23.182</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(23.182)</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4.954.381</w:t>
            </w:r>
          </w:p>
        </w:tc>
        <w:tc>
          <w:tcPr>
            <w:tcW w:w="6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p>
        </w:tc>
      </w:tr>
      <w:tr>
        <w:tblPrEx>
          <w:tblW w:w="11400" w:type="dxa"/>
          <w:tblInd w:w="2160" w:type="dxa"/>
          <w:tblLayout w:type="fixed"/>
        </w:tblPrEx>
        <w:trPr>
          <w:cantSplit/>
          <w:trHeight w:hRule="auto" w:val="0"/>
        </w:trPr>
        <w:tc>
          <w:tcPr>
            <w:tcW w:w="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76.411.321-7</w:t>
            </w:r>
          </w:p>
        </w:tc>
        <w:tc>
          <w:tcPr>
            <w:tcW w:w="18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1"/>
                <w:u w:val="none"/>
              </w:rPr>
              <w:t>Compañía General de Electricidad S.A.</w:t>
            </w:r>
          </w:p>
        </w:tc>
        <w:tc>
          <w:tcPr>
            <w:tcW w:w="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Chile</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Matriz común</w:t>
            </w:r>
          </w:p>
        </w:tc>
        <w:tc>
          <w:tcPr>
            <w:tcW w:w="13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Servicios administrativos</w:t>
            </w:r>
          </w:p>
        </w:tc>
        <w:tc>
          <w:tcPr>
            <w:tcW w:w="5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CL $</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17.042</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(17.042)</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32.001</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25.194</w:t>
            </w:r>
          </w:p>
        </w:tc>
        <w:tc>
          <w:tcPr>
            <w:tcW w:w="6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p>
        </w:tc>
      </w:tr>
      <w:tr>
        <w:tblPrEx>
          <w:tblW w:w="11400" w:type="dxa"/>
          <w:tblInd w:w="2160" w:type="dxa"/>
          <w:tblLayout w:type="fixed"/>
        </w:tblPrEx>
        <w:trPr>
          <w:cantSplit/>
          <w:trHeight w:hRule="auto" w:val="0"/>
        </w:trPr>
        <w:tc>
          <w:tcPr>
            <w:tcW w:w="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76.411.321-7</w:t>
            </w:r>
          </w:p>
        </w:tc>
        <w:tc>
          <w:tcPr>
            <w:tcW w:w="18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1"/>
                <w:u w:val="none"/>
              </w:rPr>
              <w:t>Compañía General de Electricidad S.A.</w:t>
            </w:r>
          </w:p>
        </w:tc>
        <w:tc>
          <w:tcPr>
            <w:tcW w:w="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Chile</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Matriz común</w:t>
            </w:r>
          </w:p>
        </w:tc>
        <w:tc>
          <w:tcPr>
            <w:tcW w:w="13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Servicios comerciales</w:t>
            </w:r>
          </w:p>
        </w:tc>
        <w:tc>
          <w:tcPr>
            <w:tcW w:w="5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CL $</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140.112</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(140.112)</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209.742</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209.742</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178.201</w:t>
            </w:r>
          </w:p>
        </w:tc>
        <w:tc>
          <w:tcPr>
            <w:tcW w:w="6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(178.201)</w:t>
            </w:r>
          </w:p>
        </w:tc>
      </w:tr>
      <w:tr>
        <w:tblPrEx>
          <w:tblW w:w="11400" w:type="dxa"/>
          <w:tblInd w:w="2160" w:type="dxa"/>
          <w:tblLayout w:type="fixed"/>
        </w:tblPrEx>
        <w:trPr>
          <w:cantSplit/>
          <w:trHeight w:hRule="auto" w:val="0"/>
        </w:trPr>
        <w:tc>
          <w:tcPr>
            <w:tcW w:w="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76.411.321-7</w:t>
            </w:r>
          </w:p>
        </w:tc>
        <w:tc>
          <w:tcPr>
            <w:tcW w:w="18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1"/>
                <w:u w:val="none"/>
              </w:rPr>
              <w:t>Compañía General de Electricidad S.A.</w:t>
            </w:r>
          </w:p>
        </w:tc>
        <w:tc>
          <w:tcPr>
            <w:tcW w:w="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Chile</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Matriz común</w:t>
            </w:r>
          </w:p>
        </w:tc>
        <w:tc>
          <w:tcPr>
            <w:tcW w:w="13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Servicios operativos</w:t>
            </w:r>
          </w:p>
        </w:tc>
        <w:tc>
          <w:tcPr>
            <w:tcW w:w="5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CL $</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1.364.825</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(1.364.825)</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11.878</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11.878</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p>
        </w:tc>
      </w:tr>
      <w:tr>
        <w:tblPrEx>
          <w:tblW w:w="11400" w:type="dxa"/>
          <w:tblInd w:w="2160" w:type="dxa"/>
          <w:tblLayout w:type="fixed"/>
        </w:tblPrEx>
        <w:trPr>
          <w:cantSplit/>
          <w:trHeight w:hRule="auto" w:val="0"/>
        </w:trPr>
        <w:tc>
          <w:tcPr>
            <w:tcW w:w="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76.411.321-7</w:t>
            </w:r>
          </w:p>
        </w:tc>
        <w:tc>
          <w:tcPr>
            <w:tcW w:w="18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1"/>
                <w:u w:val="none"/>
              </w:rPr>
              <w:t>Compañía General de Electricidad S.A.</w:t>
            </w:r>
          </w:p>
        </w:tc>
        <w:tc>
          <w:tcPr>
            <w:tcW w:w="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Chile</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Matriz común</w:t>
            </w:r>
          </w:p>
        </w:tc>
        <w:tc>
          <w:tcPr>
            <w:tcW w:w="13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Servicios sistemas de información</w:t>
            </w:r>
          </w:p>
        </w:tc>
        <w:tc>
          <w:tcPr>
            <w:tcW w:w="5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CL $</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3.556.625</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(3.556.625)</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p>
        </w:tc>
      </w:tr>
      <w:tr>
        <w:tblPrEx>
          <w:tblW w:w="11400" w:type="dxa"/>
          <w:tblInd w:w="2160" w:type="dxa"/>
          <w:tblLayout w:type="fixed"/>
        </w:tblPrEx>
        <w:trPr>
          <w:cantSplit/>
          <w:trHeight w:hRule="auto" w:val="0"/>
        </w:trPr>
        <w:tc>
          <w:tcPr>
            <w:tcW w:w="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76.411.321-7</w:t>
            </w:r>
          </w:p>
        </w:tc>
        <w:tc>
          <w:tcPr>
            <w:tcW w:w="18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1"/>
                <w:u w:val="none"/>
              </w:rPr>
              <w:t>Compañía General de Electricidad S.A.</w:t>
            </w:r>
          </w:p>
        </w:tc>
        <w:tc>
          <w:tcPr>
            <w:tcW w:w="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Chile</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Matriz común</w:t>
            </w:r>
          </w:p>
        </w:tc>
        <w:tc>
          <w:tcPr>
            <w:tcW w:w="13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Ingreso por intereses tesorería centralizada</w:t>
            </w:r>
          </w:p>
        </w:tc>
        <w:tc>
          <w:tcPr>
            <w:tcW w:w="5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CL $</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45.959</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45.959</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5.807</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5.807</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8.580</w:t>
            </w:r>
          </w:p>
        </w:tc>
        <w:tc>
          <w:tcPr>
            <w:tcW w:w="6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(8.580)</w:t>
            </w:r>
          </w:p>
        </w:tc>
      </w:tr>
      <w:tr>
        <w:tblPrEx>
          <w:tblW w:w="11400" w:type="dxa"/>
          <w:tblInd w:w="2160" w:type="dxa"/>
          <w:tblLayout w:type="fixed"/>
        </w:tblPrEx>
        <w:trPr>
          <w:cantSplit/>
          <w:trHeight w:hRule="auto" w:val="0"/>
        </w:trPr>
        <w:tc>
          <w:tcPr>
            <w:tcW w:w="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76.411.321-7</w:t>
            </w:r>
          </w:p>
        </w:tc>
        <w:tc>
          <w:tcPr>
            <w:tcW w:w="18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1"/>
                <w:u w:val="none"/>
              </w:rPr>
              <w:t>Compañía General de Electricidad S.A.</w:t>
            </w:r>
          </w:p>
        </w:tc>
        <w:tc>
          <w:tcPr>
            <w:tcW w:w="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Chile</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Matriz común</w:t>
            </w:r>
          </w:p>
        </w:tc>
        <w:tc>
          <w:tcPr>
            <w:tcW w:w="13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Gasto por intereses tesorería centralizada</w:t>
            </w:r>
          </w:p>
        </w:tc>
        <w:tc>
          <w:tcPr>
            <w:tcW w:w="5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CL $</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648.559</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(648.559)</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71.622</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71.622</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98.267</w:t>
            </w:r>
          </w:p>
        </w:tc>
        <w:tc>
          <w:tcPr>
            <w:tcW w:w="6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(98.267)</w:t>
            </w:r>
          </w:p>
        </w:tc>
      </w:tr>
      <w:tr>
        <w:tblPrEx>
          <w:tblW w:w="11400" w:type="dxa"/>
          <w:tblInd w:w="2160" w:type="dxa"/>
          <w:tblLayout w:type="fixed"/>
        </w:tblPrEx>
        <w:trPr>
          <w:cantSplit/>
          <w:trHeight w:hRule="auto" w:val="0"/>
        </w:trPr>
        <w:tc>
          <w:tcPr>
            <w:tcW w:w="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76.412.700-5</w:t>
            </w:r>
          </w:p>
        </w:tc>
        <w:tc>
          <w:tcPr>
            <w:tcW w:w="18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1"/>
                <w:u w:val="none"/>
              </w:rPr>
              <w:t>CGE Servicios S.A.</w:t>
            </w:r>
          </w:p>
        </w:tc>
        <w:tc>
          <w:tcPr>
            <w:tcW w:w="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Chile</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Matriz común</w:t>
            </w:r>
          </w:p>
        </w:tc>
        <w:tc>
          <w:tcPr>
            <w:tcW w:w="13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Ingreso por arriendo de propiedades</w:t>
            </w:r>
          </w:p>
        </w:tc>
        <w:tc>
          <w:tcPr>
            <w:tcW w:w="5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CL $</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87.352</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87.352</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7.935</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7.935</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238.132</w:t>
            </w:r>
          </w:p>
        </w:tc>
        <w:tc>
          <w:tcPr>
            <w:tcW w:w="6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(238.132)</w:t>
            </w:r>
          </w:p>
        </w:tc>
      </w:tr>
      <w:tr>
        <w:tblPrEx>
          <w:tblW w:w="11400" w:type="dxa"/>
          <w:tblInd w:w="2160" w:type="dxa"/>
          <w:tblLayout w:type="fixed"/>
        </w:tblPrEx>
        <w:trPr>
          <w:cantSplit/>
          <w:trHeight w:hRule="auto" w:val="0"/>
        </w:trPr>
        <w:tc>
          <w:tcPr>
            <w:tcW w:w="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76.412.700-5</w:t>
            </w:r>
          </w:p>
        </w:tc>
        <w:tc>
          <w:tcPr>
            <w:tcW w:w="18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1"/>
                <w:u w:val="none"/>
              </w:rPr>
              <w:t>CGE Servicios S.A.</w:t>
            </w:r>
          </w:p>
        </w:tc>
        <w:tc>
          <w:tcPr>
            <w:tcW w:w="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Chile</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Matriz común</w:t>
            </w:r>
          </w:p>
        </w:tc>
        <w:tc>
          <w:tcPr>
            <w:tcW w:w="13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Servicios administrativos</w:t>
            </w:r>
          </w:p>
        </w:tc>
        <w:tc>
          <w:tcPr>
            <w:tcW w:w="5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CL $</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2.252.840</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(2.252.840)</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p>
        </w:tc>
      </w:tr>
      <w:tr>
        <w:tblPrEx>
          <w:tblW w:w="11400" w:type="dxa"/>
          <w:tblInd w:w="2160" w:type="dxa"/>
          <w:tblLayout w:type="fixed"/>
        </w:tblPrEx>
        <w:trPr>
          <w:cantSplit/>
          <w:trHeight w:hRule="auto" w:val="0"/>
        </w:trPr>
        <w:tc>
          <w:tcPr>
            <w:tcW w:w="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76.412.700-5</w:t>
            </w:r>
          </w:p>
        </w:tc>
        <w:tc>
          <w:tcPr>
            <w:tcW w:w="18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1"/>
                <w:u w:val="none"/>
              </w:rPr>
              <w:t>CGE Servicios S.A.</w:t>
            </w:r>
          </w:p>
        </w:tc>
        <w:tc>
          <w:tcPr>
            <w:tcW w:w="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Chile</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Matriz común</w:t>
            </w:r>
          </w:p>
        </w:tc>
        <w:tc>
          <w:tcPr>
            <w:tcW w:w="13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Servicios recibidos</w:t>
            </w:r>
          </w:p>
        </w:tc>
        <w:tc>
          <w:tcPr>
            <w:tcW w:w="5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CL $</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102.337</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(102.337)</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p>
        </w:tc>
      </w:tr>
      <w:tr>
        <w:tblPrEx>
          <w:tblW w:w="11400" w:type="dxa"/>
          <w:tblInd w:w="2160" w:type="dxa"/>
          <w:tblLayout w:type="fixed"/>
        </w:tblPrEx>
        <w:trPr>
          <w:cantSplit/>
          <w:trHeight w:hRule="auto" w:val="0"/>
        </w:trPr>
        <w:tc>
          <w:tcPr>
            <w:tcW w:w="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76.412.700-5</w:t>
            </w:r>
          </w:p>
        </w:tc>
        <w:tc>
          <w:tcPr>
            <w:tcW w:w="18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1"/>
                <w:u w:val="none"/>
              </w:rPr>
              <w:t>CGE Servicios S.A.</w:t>
            </w:r>
          </w:p>
        </w:tc>
        <w:tc>
          <w:tcPr>
            <w:tcW w:w="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Chile</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Matriz común</w:t>
            </w:r>
          </w:p>
        </w:tc>
        <w:tc>
          <w:tcPr>
            <w:tcW w:w="13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Construcción de redes eléctricas</w:t>
            </w:r>
          </w:p>
        </w:tc>
        <w:tc>
          <w:tcPr>
            <w:tcW w:w="5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CL $</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highlight w:val="white"/>
                <w:u w:val="none"/>
              </w:rPr>
              <w:t>59.483</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44.758</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(44.758)</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43.996</w:t>
            </w:r>
          </w:p>
        </w:tc>
        <w:tc>
          <w:tcPr>
            <w:tcW w:w="6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43.996</w:t>
            </w:r>
          </w:p>
        </w:tc>
      </w:tr>
      <w:tr>
        <w:tblPrEx>
          <w:tblW w:w="11400" w:type="dxa"/>
          <w:tblInd w:w="2160" w:type="dxa"/>
          <w:tblLayout w:type="fixed"/>
        </w:tblPrEx>
        <w:trPr>
          <w:cantSplit/>
          <w:trHeight w:hRule="auto" w:val="0"/>
        </w:trPr>
        <w:tc>
          <w:tcPr>
            <w:tcW w:w="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76.412.700-5</w:t>
            </w:r>
          </w:p>
        </w:tc>
        <w:tc>
          <w:tcPr>
            <w:tcW w:w="18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1"/>
                <w:u w:val="none"/>
              </w:rPr>
              <w:t>CGE Servicios S.A.</w:t>
            </w:r>
          </w:p>
        </w:tc>
        <w:tc>
          <w:tcPr>
            <w:tcW w:w="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Chile</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Matriz común</w:t>
            </w:r>
          </w:p>
        </w:tc>
        <w:tc>
          <w:tcPr>
            <w:tcW w:w="13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Servicios prestados</w:t>
            </w:r>
          </w:p>
        </w:tc>
        <w:tc>
          <w:tcPr>
            <w:tcW w:w="5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CL $</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8.067</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8.067</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1.182.308</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1.182.308</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1.283.557</w:t>
            </w:r>
          </w:p>
        </w:tc>
        <w:tc>
          <w:tcPr>
            <w:tcW w:w="6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(1.283.557)</w:t>
            </w:r>
          </w:p>
        </w:tc>
      </w:tr>
      <w:tr>
        <w:tblPrEx>
          <w:tblW w:w="11400" w:type="dxa"/>
          <w:tblInd w:w="2160" w:type="dxa"/>
          <w:tblLayout w:type="fixed"/>
        </w:tblPrEx>
        <w:trPr>
          <w:cantSplit/>
          <w:trHeight w:hRule="auto" w:val="0"/>
        </w:trPr>
        <w:tc>
          <w:tcPr>
            <w:tcW w:w="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76.412.700-5</w:t>
            </w:r>
          </w:p>
        </w:tc>
        <w:tc>
          <w:tcPr>
            <w:tcW w:w="18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1"/>
                <w:u w:val="none"/>
              </w:rPr>
              <w:t>CGE Servicios S.A.</w:t>
            </w:r>
          </w:p>
        </w:tc>
        <w:tc>
          <w:tcPr>
            <w:tcW w:w="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Chile</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Matriz común</w:t>
            </w:r>
          </w:p>
        </w:tc>
        <w:tc>
          <w:tcPr>
            <w:tcW w:w="13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Servicios comerciales</w:t>
            </w:r>
          </w:p>
        </w:tc>
        <w:tc>
          <w:tcPr>
            <w:tcW w:w="5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CL $</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320.278</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(320.278)</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51.521</w:t>
            </w:r>
          </w:p>
        </w:tc>
        <w:tc>
          <w:tcPr>
            <w:tcW w:w="6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(51.521)</w:t>
            </w:r>
          </w:p>
        </w:tc>
      </w:tr>
      <w:tr>
        <w:tblPrEx>
          <w:tblW w:w="11400" w:type="dxa"/>
          <w:tblInd w:w="2160" w:type="dxa"/>
          <w:tblLayout w:type="fixed"/>
        </w:tblPrEx>
        <w:trPr>
          <w:cantSplit/>
          <w:trHeight w:hRule="auto" w:val="0"/>
        </w:trPr>
        <w:tc>
          <w:tcPr>
            <w:tcW w:w="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76.412.700-5</w:t>
            </w:r>
          </w:p>
        </w:tc>
        <w:tc>
          <w:tcPr>
            <w:tcW w:w="18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1"/>
                <w:u w:val="none"/>
              </w:rPr>
              <w:t>CGE Servicios S.A.</w:t>
            </w:r>
          </w:p>
        </w:tc>
        <w:tc>
          <w:tcPr>
            <w:tcW w:w="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Chile</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Matriz común</w:t>
            </w:r>
          </w:p>
        </w:tc>
        <w:tc>
          <w:tcPr>
            <w:tcW w:w="13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Servicios operativos</w:t>
            </w:r>
          </w:p>
        </w:tc>
        <w:tc>
          <w:tcPr>
            <w:tcW w:w="5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CL $</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937.278</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(937.278)</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p>
        </w:tc>
      </w:tr>
      <w:tr>
        <w:tblPrEx>
          <w:tblW w:w="11400" w:type="dxa"/>
          <w:tblInd w:w="2160" w:type="dxa"/>
          <w:tblLayout w:type="fixed"/>
        </w:tblPrEx>
        <w:trPr>
          <w:cantSplit/>
          <w:trHeight w:hRule="auto" w:val="0"/>
        </w:trPr>
        <w:tc>
          <w:tcPr>
            <w:tcW w:w="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76.412.700-5</w:t>
            </w:r>
          </w:p>
        </w:tc>
        <w:tc>
          <w:tcPr>
            <w:tcW w:w="18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1"/>
                <w:u w:val="none"/>
              </w:rPr>
              <w:t>CGE Servicios S.A.</w:t>
            </w:r>
          </w:p>
        </w:tc>
        <w:tc>
          <w:tcPr>
            <w:tcW w:w="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Chile</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Matriz común</w:t>
            </w:r>
          </w:p>
        </w:tc>
        <w:tc>
          <w:tcPr>
            <w:tcW w:w="13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Recuperación de gastos</w:t>
            </w:r>
          </w:p>
        </w:tc>
        <w:tc>
          <w:tcPr>
            <w:tcW w:w="5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CL $</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30.407</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29.946</w:t>
            </w:r>
          </w:p>
        </w:tc>
        <w:tc>
          <w:tcPr>
            <w:tcW w:w="6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p>
        </w:tc>
      </w:tr>
      <w:tr>
        <w:tblPrEx>
          <w:tblW w:w="11400" w:type="dxa"/>
          <w:tblInd w:w="2160" w:type="dxa"/>
          <w:tblLayout w:type="fixed"/>
        </w:tblPrEx>
        <w:trPr>
          <w:cantSplit/>
          <w:trHeight w:hRule="auto" w:val="0"/>
        </w:trPr>
        <w:tc>
          <w:tcPr>
            <w:tcW w:w="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76.680.107-2</w:t>
            </w:r>
          </w:p>
        </w:tc>
        <w:tc>
          <w:tcPr>
            <w:tcW w:w="18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1"/>
                <w:u w:val="none"/>
              </w:rPr>
              <w:t>Compañía Transmisora del Norte Grande S.A.</w:t>
            </w:r>
          </w:p>
        </w:tc>
        <w:tc>
          <w:tcPr>
            <w:tcW w:w="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Chile</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Matriz Común</w:t>
            </w:r>
          </w:p>
        </w:tc>
        <w:tc>
          <w:tcPr>
            <w:tcW w:w="13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Ingreso por servicios de subtransmisión</w:t>
            </w:r>
          </w:p>
        </w:tc>
        <w:tc>
          <w:tcPr>
            <w:tcW w:w="5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CL $</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426</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426</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512.318</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512.318</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546.665</w:t>
            </w:r>
          </w:p>
        </w:tc>
        <w:tc>
          <w:tcPr>
            <w:tcW w:w="6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(546.665)</w:t>
            </w:r>
          </w:p>
        </w:tc>
      </w:tr>
      <w:tr>
        <w:tblPrEx>
          <w:tblW w:w="11400" w:type="dxa"/>
          <w:tblInd w:w="2160" w:type="dxa"/>
          <w:tblLayout w:type="fixed"/>
        </w:tblPrEx>
        <w:trPr>
          <w:cantSplit/>
          <w:trHeight w:hRule="auto" w:val="0"/>
        </w:trPr>
        <w:tc>
          <w:tcPr>
            <w:tcW w:w="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76.680.107-2</w:t>
            </w:r>
          </w:p>
        </w:tc>
        <w:tc>
          <w:tcPr>
            <w:tcW w:w="18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1"/>
                <w:u w:val="none"/>
              </w:rPr>
              <w:t>Compañía Transmisora del Norte Grande S.A.</w:t>
            </w:r>
          </w:p>
        </w:tc>
        <w:tc>
          <w:tcPr>
            <w:tcW w:w="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Chile</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Matriz común</w:t>
            </w:r>
          </w:p>
        </w:tc>
        <w:tc>
          <w:tcPr>
            <w:tcW w:w="13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Servicios de subtransmisión</w:t>
            </w:r>
          </w:p>
        </w:tc>
        <w:tc>
          <w:tcPr>
            <w:tcW w:w="5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CL $</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167.176</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(167.176)</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4.621</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p>
        </w:tc>
      </w:tr>
      <w:tr>
        <w:tblPrEx>
          <w:tblW w:w="11400" w:type="dxa"/>
          <w:tblInd w:w="2160" w:type="dxa"/>
          <w:tblLayout w:type="fixed"/>
        </w:tblPrEx>
        <w:trPr>
          <w:cantSplit/>
          <w:trHeight w:hRule="auto" w:val="0"/>
        </w:trPr>
        <w:tc>
          <w:tcPr>
            <w:tcW w:w="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76.680.107-2</w:t>
            </w:r>
          </w:p>
        </w:tc>
        <w:tc>
          <w:tcPr>
            <w:tcW w:w="18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1"/>
                <w:u w:val="none"/>
              </w:rPr>
              <w:t>Compañía Transmisora del Norte Grande S.A.</w:t>
            </w:r>
          </w:p>
        </w:tc>
        <w:tc>
          <w:tcPr>
            <w:tcW w:w="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Chile</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Matriz común</w:t>
            </w:r>
          </w:p>
        </w:tc>
        <w:tc>
          <w:tcPr>
            <w:tcW w:w="13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Compra de energía y potencia</w:t>
            </w:r>
          </w:p>
        </w:tc>
        <w:tc>
          <w:tcPr>
            <w:tcW w:w="5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CL $</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1.080</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(1.080)</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p>
        </w:tc>
      </w:tr>
      <w:tr>
        <w:tblPrEx>
          <w:tblW w:w="11400" w:type="dxa"/>
          <w:tblInd w:w="2160" w:type="dxa"/>
          <w:tblLayout w:type="fixed"/>
        </w:tblPrEx>
        <w:trPr>
          <w:cantSplit/>
          <w:trHeight w:hRule="auto" w:val="0"/>
        </w:trPr>
        <w:tc>
          <w:tcPr>
            <w:tcW w:w="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76.763.747-0</w:t>
            </w:r>
          </w:p>
        </w:tc>
        <w:tc>
          <w:tcPr>
            <w:tcW w:w="18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1"/>
                <w:u w:val="none"/>
              </w:rPr>
              <w:t>Eletrans III S.A.</w:t>
            </w:r>
          </w:p>
        </w:tc>
        <w:tc>
          <w:tcPr>
            <w:tcW w:w="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Chile</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Matriz común</w:t>
            </w:r>
          </w:p>
        </w:tc>
        <w:tc>
          <w:tcPr>
            <w:tcW w:w="13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Compra de energía y potencia</w:t>
            </w:r>
          </w:p>
        </w:tc>
        <w:tc>
          <w:tcPr>
            <w:tcW w:w="5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CL $</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381</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(381)</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p>
        </w:tc>
      </w:tr>
      <w:tr>
        <w:tblPrEx>
          <w:tblW w:w="11400" w:type="dxa"/>
          <w:tblInd w:w="2160" w:type="dxa"/>
          <w:tblLayout w:type="fixed"/>
        </w:tblPrEx>
        <w:trPr>
          <w:cantSplit/>
          <w:trHeight w:hRule="auto" w:val="0"/>
        </w:trPr>
        <w:tc>
          <w:tcPr>
            <w:tcW w:w="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76.763.747-0</w:t>
            </w:r>
          </w:p>
        </w:tc>
        <w:tc>
          <w:tcPr>
            <w:tcW w:w="18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1"/>
                <w:u w:val="none"/>
              </w:rPr>
              <w:t>Eletrans III S.A.</w:t>
            </w:r>
          </w:p>
        </w:tc>
        <w:tc>
          <w:tcPr>
            <w:tcW w:w="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Chile</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Matriz común</w:t>
            </w:r>
          </w:p>
        </w:tc>
        <w:tc>
          <w:tcPr>
            <w:tcW w:w="13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Servicios de subtransmisión</w:t>
            </w:r>
          </w:p>
        </w:tc>
        <w:tc>
          <w:tcPr>
            <w:tcW w:w="5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CL $</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3.730</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(3.730)</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221.053</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(221.053)</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426</w:t>
            </w:r>
          </w:p>
        </w:tc>
        <w:tc>
          <w:tcPr>
            <w:tcW w:w="6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426</w:t>
            </w:r>
          </w:p>
        </w:tc>
      </w:tr>
      <w:tr>
        <w:tblPrEx>
          <w:tblW w:w="11400" w:type="dxa"/>
          <w:tblInd w:w="2160" w:type="dxa"/>
          <w:tblLayout w:type="fixed"/>
        </w:tblPrEx>
        <w:trPr>
          <w:cantSplit/>
          <w:trHeight w:hRule="auto" w:val="0"/>
        </w:trPr>
        <w:tc>
          <w:tcPr>
            <w:tcW w:w="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76.954.578-6</w:t>
            </w:r>
          </w:p>
        </w:tc>
        <w:tc>
          <w:tcPr>
            <w:tcW w:w="18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1"/>
                <w:u w:val="none"/>
              </w:rPr>
              <w:t>Transquinta S.A.</w:t>
            </w:r>
          </w:p>
        </w:tc>
        <w:tc>
          <w:tcPr>
            <w:tcW w:w="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Chile</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Matriz Común</w:t>
            </w:r>
          </w:p>
        </w:tc>
        <w:tc>
          <w:tcPr>
            <w:tcW w:w="13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Servicios de subtransmisión</w:t>
            </w:r>
          </w:p>
        </w:tc>
        <w:tc>
          <w:tcPr>
            <w:tcW w:w="5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CL $</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2.190</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(2.190)</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p>
        </w:tc>
      </w:tr>
      <w:tr>
        <w:tblPrEx>
          <w:tblW w:w="11400" w:type="dxa"/>
          <w:tblInd w:w="2160" w:type="dxa"/>
          <w:tblLayout w:type="fixed"/>
        </w:tblPrEx>
        <w:trPr>
          <w:cantSplit/>
          <w:trHeight w:hRule="auto" w:val="0"/>
        </w:trPr>
        <w:tc>
          <w:tcPr>
            <w:tcW w:w="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76.954.578-6</w:t>
            </w:r>
          </w:p>
        </w:tc>
        <w:tc>
          <w:tcPr>
            <w:tcW w:w="18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1"/>
                <w:u w:val="none"/>
              </w:rPr>
              <w:t>Transquinta S.A.</w:t>
            </w:r>
          </w:p>
        </w:tc>
        <w:tc>
          <w:tcPr>
            <w:tcW w:w="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Chile</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Matriz Común</w:t>
            </w:r>
          </w:p>
        </w:tc>
        <w:tc>
          <w:tcPr>
            <w:tcW w:w="13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Ingreso por servicios de subtransmisión</w:t>
            </w:r>
          </w:p>
        </w:tc>
        <w:tc>
          <w:tcPr>
            <w:tcW w:w="5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CL $</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87</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87</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381</w:t>
            </w:r>
          </w:p>
        </w:tc>
        <w:tc>
          <w:tcPr>
            <w:tcW w:w="6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(381)</w:t>
            </w:r>
          </w:p>
        </w:tc>
      </w:tr>
      <w:tr>
        <w:tblPrEx>
          <w:tblW w:w="11400" w:type="dxa"/>
          <w:tblInd w:w="2160" w:type="dxa"/>
          <w:tblLayout w:type="fixed"/>
        </w:tblPrEx>
        <w:trPr>
          <w:cantSplit/>
          <w:trHeight w:hRule="auto" w:val="0"/>
        </w:trPr>
        <w:tc>
          <w:tcPr>
            <w:tcW w:w="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77.302.440-5</w:t>
            </w:r>
          </w:p>
        </w:tc>
        <w:tc>
          <w:tcPr>
            <w:tcW w:w="18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1"/>
                <w:u w:val="none"/>
              </w:rPr>
              <w:t>Tecnored S.A.</w:t>
            </w:r>
          </w:p>
        </w:tc>
        <w:tc>
          <w:tcPr>
            <w:tcW w:w="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Chile</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Matriz Común</w:t>
            </w:r>
          </w:p>
        </w:tc>
        <w:tc>
          <w:tcPr>
            <w:tcW w:w="13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Servicios de subtransmisión</w:t>
            </w:r>
          </w:p>
        </w:tc>
        <w:tc>
          <w:tcPr>
            <w:tcW w:w="5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CL $</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447</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(447)</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2.123</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2.123</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3.730</w:t>
            </w:r>
          </w:p>
        </w:tc>
        <w:tc>
          <w:tcPr>
            <w:tcW w:w="6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(3.730)</w:t>
            </w:r>
          </w:p>
        </w:tc>
      </w:tr>
      <w:tr>
        <w:tblPrEx>
          <w:tblW w:w="11400" w:type="dxa"/>
          <w:tblInd w:w="2160" w:type="dxa"/>
          <w:tblLayout w:type="fixed"/>
        </w:tblPrEx>
        <w:trPr>
          <w:cantSplit/>
          <w:trHeight w:hRule="auto" w:val="0"/>
        </w:trPr>
        <w:tc>
          <w:tcPr>
            <w:tcW w:w="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77.302.440-5</w:t>
            </w:r>
          </w:p>
        </w:tc>
        <w:tc>
          <w:tcPr>
            <w:tcW w:w="18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1"/>
                <w:u w:val="none"/>
              </w:rPr>
              <w:t>Tecnored S.A.</w:t>
            </w:r>
          </w:p>
        </w:tc>
        <w:tc>
          <w:tcPr>
            <w:tcW w:w="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Chile</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Matriz Común</w:t>
            </w:r>
          </w:p>
        </w:tc>
        <w:tc>
          <w:tcPr>
            <w:tcW w:w="13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Operación y mantenimiento de líneas y redes</w:t>
            </w:r>
          </w:p>
        </w:tc>
        <w:tc>
          <w:tcPr>
            <w:tcW w:w="5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CL $</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45.445</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(45.445)</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54</w:t>
            </w:r>
          </w:p>
        </w:tc>
        <w:tc>
          <w:tcPr>
            <w:tcW w:w="6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(54)</w:t>
            </w:r>
          </w:p>
        </w:tc>
      </w:tr>
      <w:tr>
        <w:tblPrEx>
          <w:tblW w:w="11400" w:type="dxa"/>
          <w:tblInd w:w="2160" w:type="dxa"/>
          <w:tblLayout w:type="fixed"/>
        </w:tblPrEx>
        <w:trPr>
          <w:cantSplit/>
          <w:trHeight w:hRule="auto" w:val="0"/>
        </w:trPr>
        <w:tc>
          <w:tcPr>
            <w:tcW w:w="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77.302.440-5</w:t>
            </w:r>
          </w:p>
        </w:tc>
        <w:tc>
          <w:tcPr>
            <w:tcW w:w="18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1"/>
                <w:u w:val="none"/>
              </w:rPr>
              <w:t>Tecnored S.A.</w:t>
            </w:r>
          </w:p>
        </w:tc>
        <w:tc>
          <w:tcPr>
            <w:tcW w:w="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Chile</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Matriz Común</w:t>
            </w:r>
          </w:p>
        </w:tc>
        <w:tc>
          <w:tcPr>
            <w:tcW w:w="13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Ingreso por servicios de subtransmisión</w:t>
            </w:r>
          </w:p>
        </w:tc>
        <w:tc>
          <w:tcPr>
            <w:tcW w:w="5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CL $</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166.327</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166.327</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14.948</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14.948</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1.536</w:t>
            </w:r>
          </w:p>
        </w:tc>
        <w:tc>
          <w:tcPr>
            <w:tcW w:w="6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(1.536)</w:t>
            </w:r>
          </w:p>
        </w:tc>
      </w:tr>
      <w:tr>
        <w:tblPrEx>
          <w:tblW w:w="11400" w:type="dxa"/>
          <w:tblInd w:w="2160" w:type="dxa"/>
          <w:tblLayout w:type="fixed"/>
        </w:tblPrEx>
        <w:trPr>
          <w:cantSplit/>
          <w:trHeight w:hRule="auto" w:val="0"/>
        </w:trPr>
        <w:tc>
          <w:tcPr>
            <w:tcW w:w="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77.302.440-5</w:t>
            </w:r>
          </w:p>
        </w:tc>
        <w:tc>
          <w:tcPr>
            <w:tcW w:w="18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1"/>
                <w:u w:val="none"/>
              </w:rPr>
              <w:t>Tecnored S.A.</w:t>
            </w:r>
          </w:p>
        </w:tc>
        <w:tc>
          <w:tcPr>
            <w:tcW w:w="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Chile</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Matriz Común</w:t>
            </w:r>
          </w:p>
        </w:tc>
        <w:tc>
          <w:tcPr>
            <w:tcW w:w="13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Compra de materiales y equipos</w:t>
            </w:r>
          </w:p>
        </w:tc>
        <w:tc>
          <w:tcPr>
            <w:tcW w:w="5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CL $</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55.507</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17.060</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(17.060)</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p>
        </w:tc>
      </w:tr>
      <w:tr>
        <w:tblPrEx>
          <w:tblW w:w="11400" w:type="dxa"/>
          <w:tblInd w:w="2160" w:type="dxa"/>
          <w:tblLayout w:type="fixed"/>
        </w:tblPrEx>
        <w:trPr>
          <w:cantSplit/>
          <w:trHeight w:hRule="auto" w:val="0"/>
        </w:trPr>
        <w:tc>
          <w:tcPr>
            <w:tcW w:w="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77.302.440-5</w:t>
            </w:r>
          </w:p>
        </w:tc>
        <w:tc>
          <w:tcPr>
            <w:tcW w:w="18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1"/>
                <w:u w:val="none"/>
              </w:rPr>
              <w:t>Tecnored S.A.</w:t>
            </w:r>
          </w:p>
        </w:tc>
        <w:tc>
          <w:tcPr>
            <w:tcW w:w="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Chile</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Matriz Común</w:t>
            </w:r>
          </w:p>
        </w:tc>
        <w:tc>
          <w:tcPr>
            <w:tcW w:w="13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Venta de materiales</w:t>
            </w:r>
          </w:p>
        </w:tc>
        <w:tc>
          <w:tcPr>
            <w:tcW w:w="5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CL $</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164.742</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164.742</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p>
        </w:tc>
      </w:tr>
      <w:tr>
        <w:tblPrEx>
          <w:tblW w:w="11400" w:type="dxa"/>
          <w:tblInd w:w="2160" w:type="dxa"/>
          <w:tblLayout w:type="fixed"/>
        </w:tblPrEx>
        <w:trPr>
          <w:cantSplit/>
          <w:trHeight w:hRule="auto" w:val="0"/>
        </w:trPr>
        <w:tc>
          <w:tcPr>
            <w:tcW w:w="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77.302.440-5</w:t>
            </w:r>
          </w:p>
        </w:tc>
        <w:tc>
          <w:tcPr>
            <w:tcW w:w="18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1"/>
                <w:u w:val="none"/>
              </w:rPr>
              <w:t>Tecnored S.A.</w:t>
            </w:r>
          </w:p>
        </w:tc>
        <w:tc>
          <w:tcPr>
            <w:tcW w:w="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Chile</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Matriz Común</w:t>
            </w:r>
          </w:p>
        </w:tc>
        <w:tc>
          <w:tcPr>
            <w:tcW w:w="13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Compra de energía y potencia</w:t>
            </w:r>
          </w:p>
        </w:tc>
        <w:tc>
          <w:tcPr>
            <w:tcW w:w="5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CL $</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39.659</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(39.659)</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3.935</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3.935</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299</w:t>
            </w:r>
          </w:p>
        </w:tc>
        <w:tc>
          <w:tcPr>
            <w:tcW w:w="6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(299)</w:t>
            </w:r>
          </w:p>
        </w:tc>
      </w:tr>
      <w:tr>
        <w:tblPrEx>
          <w:tblW w:w="11400" w:type="dxa"/>
          <w:tblInd w:w="2160" w:type="dxa"/>
          <w:tblLayout w:type="fixed"/>
        </w:tblPrEx>
        <w:trPr>
          <w:cantSplit/>
          <w:trHeight w:hRule="auto" w:val="0"/>
        </w:trPr>
        <w:tc>
          <w:tcPr>
            <w:tcW w:w="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77.302.440-5</w:t>
            </w:r>
          </w:p>
        </w:tc>
        <w:tc>
          <w:tcPr>
            <w:tcW w:w="18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1"/>
                <w:u w:val="none"/>
              </w:rPr>
              <w:t>Tecnored S.A.</w:t>
            </w:r>
          </w:p>
        </w:tc>
        <w:tc>
          <w:tcPr>
            <w:tcW w:w="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Chile</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Matriz Común</w:t>
            </w:r>
          </w:p>
        </w:tc>
        <w:tc>
          <w:tcPr>
            <w:tcW w:w="13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Arriendo de equipos</w:t>
            </w:r>
          </w:p>
        </w:tc>
        <w:tc>
          <w:tcPr>
            <w:tcW w:w="5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CL $</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11.556</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(11.556)</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p>
        </w:tc>
      </w:tr>
      <w:tr>
        <w:tblPrEx>
          <w:tblW w:w="11400" w:type="dxa"/>
          <w:tblInd w:w="2160" w:type="dxa"/>
          <w:tblLayout w:type="fixed"/>
        </w:tblPrEx>
        <w:trPr>
          <w:cantSplit/>
          <w:trHeight w:hRule="auto" w:val="0"/>
        </w:trPr>
        <w:tc>
          <w:tcPr>
            <w:tcW w:w="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77.332.779-3</w:t>
            </w:r>
          </w:p>
        </w:tc>
        <w:tc>
          <w:tcPr>
            <w:tcW w:w="18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1"/>
                <w:u w:val="none"/>
              </w:rPr>
              <w:t>State Grid Chile Electricity SpA.</w:t>
            </w:r>
          </w:p>
        </w:tc>
        <w:tc>
          <w:tcPr>
            <w:tcW w:w="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Chile</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Matriz</w:t>
            </w:r>
          </w:p>
        </w:tc>
        <w:tc>
          <w:tcPr>
            <w:tcW w:w="13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Amortización ITE préstamo</w:t>
            </w:r>
          </w:p>
        </w:tc>
        <w:tc>
          <w:tcPr>
            <w:tcW w:w="5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US $</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58.214</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(58.214)</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56.721</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(56.721)</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83.676</w:t>
            </w:r>
          </w:p>
        </w:tc>
        <w:tc>
          <w:tcPr>
            <w:tcW w:w="6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83.676</w:t>
            </w:r>
          </w:p>
        </w:tc>
      </w:tr>
      <w:tr>
        <w:tblPrEx>
          <w:tblW w:w="11400" w:type="dxa"/>
          <w:tblInd w:w="2160" w:type="dxa"/>
          <w:tblLayout w:type="fixed"/>
        </w:tblPrEx>
        <w:trPr>
          <w:cantSplit/>
          <w:trHeight w:hRule="auto" w:val="0"/>
        </w:trPr>
        <w:tc>
          <w:tcPr>
            <w:tcW w:w="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77.332.779-3</w:t>
            </w:r>
          </w:p>
        </w:tc>
        <w:tc>
          <w:tcPr>
            <w:tcW w:w="18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1"/>
                <w:u w:val="none"/>
              </w:rPr>
              <w:t>State Grid Chile Electricity SpA.</w:t>
            </w:r>
          </w:p>
        </w:tc>
        <w:tc>
          <w:tcPr>
            <w:tcW w:w="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Chile</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Matriz</w:t>
            </w:r>
          </w:p>
        </w:tc>
        <w:tc>
          <w:tcPr>
            <w:tcW w:w="13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Préstamo recibido</w:t>
            </w:r>
          </w:p>
        </w:tc>
        <w:tc>
          <w:tcPr>
            <w:tcW w:w="5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US $</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93.722.891</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165.662</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55.507</w:t>
            </w:r>
          </w:p>
        </w:tc>
        <w:tc>
          <w:tcPr>
            <w:tcW w:w="6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p>
        </w:tc>
      </w:tr>
      <w:tr>
        <w:tblPrEx>
          <w:tblW w:w="11400" w:type="dxa"/>
          <w:tblInd w:w="2160" w:type="dxa"/>
          <w:tblLayout w:type="fixed"/>
        </w:tblPrEx>
        <w:trPr>
          <w:cantSplit/>
          <w:trHeight w:hRule="auto" w:val="0"/>
        </w:trPr>
        <w:tc>
          <w:tcPr>
            <w:tcW w:w="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77.332.779-3</w:t>
            </w:r>
          </w:p>
        </w:tc>
        <w:tc>
          <w:tcPr>
            <w:tcW w:w="18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1"/>
                <w:u w:val="none"/>
              </w:rPr>
              <w:t>State Grid Chile Electricity SpA.</w:t>
            </w:r>
          </w:p>
        </w:tc>
        <w:tc>
          <w:tcPr>
            <w:tcW w:w="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Chile</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Matriz</w:t>
            </w:r>
          </w:p>
        </w:tc>
        <w:tc>
          <w:tcPr>
            <w:tcW w:w="13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Intereses préstamo recibido</w:t>
            </w:r>
          </w:p>
        </w:tc>
        <w:tc>
          <w:tcPr>
            <w:tcW w:w="5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US $</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1.712.274</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(1.712.274)</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40.845</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(40.845)</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79.607</w:t>
            </w:r>
          </w:p>
        </w:tc>
        <w:tc>
          <w:tcPr>
            <w:tcW w:w="6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79.607</w:t>
            </w:r>
          </w:p>
        </w:tc>
      </w:tr>
      <w:tr>
        <w:tblPrEx>
          <w:tblW w:w="11400" w:type="dxa"/>
          <w:tblInd w:w="2160" w:type="dxa"/>
          <w:tblLayout w:type="fixed"/>
        </w:tblPrEx>
        <w:trPr>
          <w:cantSplit/>
          <w:trHeight w:hRule="auto" w:val="0"/>
        </w:trPr>
        <w:tc>
          <w:tcPr>
            <w:tcW w:w="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77.332.779-3</w:t>
            </w:r>
          </w:p>
        </w:tc>
        <w:tc>
          <w:tcPr>
            <w:tcW w:w="18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1"/>
                <w:u w:val="none"/>
              </w:rPr>
              <w:t>State Grid Chile Electricity SpA.</w:t>
            </w:r>
          </w:p>
        </w:tc>
        <w:tc>
          <w:tcPr>
            <w:tcW w:w="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Chile</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Matriz</w:t>
            </w:r>
          </w:p>
        </w:tc>
        <w:tc>
          <w:tcPr>
            <w:tcW w:w="13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Tipo de cambio préstamo recibido</w:t>
            </w:r>
          </w:p>
        </w:tc>
        <w:tc>
          <w:tcPr>
            <w:tcW w:w="5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US $</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380.000</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(380.000)</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8.339</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8.339</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39.659</w:t>
            </w:r>
          </w:p>
        </w:tc>
        <w:tc>
          <w:tcPr>
            <w:tcW w:w="6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(39.659)</w:t>
            </w:r>
          </w:p>
        </w:tc>
      </w:tr>
      <w:tr>
        <w:tblPrEx>
          <w:tblW w:w="11400" w:type="dxa"/>
          <w:tblInd w:w="2160" w:type="dxa"/>
          <w:tblLayout w:type="fixed"/>
        </w:tblPrEx>
        <w:trPr>
          <w:cantSplit/>
          <w:trHeight w:hRule="auto" w:val="0"/>
        </w:trPr>
        <w:tc>
          <w:tcPr>
            <w:tcW w:w="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77.402.187-6</w:t>
            </w:r>
          </w:p>
        </w:tc>
        <w:tc>
          <w:tcPr>
            <w:tcW w:w="18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1"/>
                <w:u w:val="none"/>
              </w:rPr>
              <w:t>Chilquinta Transmisión S.A.</w:t>
            </w:r>
          </w:p>
        </w:tc>
        <w:tc>
          <w:tcPr>
            <w:tcW w:w="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Chile</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Matriz Común</w:t>
            </w:r>
          </w:p>
        </w:tc>
        <w:tc>
          <w:tcPr>
            <w:tcW w:w="13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Compra de energía y potencia</w:t>
            </w:r>
          </w:p>
        </w:tc>
        <w:tc>
          <w:tcPr>
            <w:tcW w:w="5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CL $</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550</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(550)</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90</w:t>
            </w:r>
          </w:p>
        </w:tc>
        <w:tc>
          <w:tcPr>
            <w:tcW w:w="6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(15)</w:t>
            </w:r>
          </w:p>
        </w:tc>
      </w:tr>
      <w:tr>
        <w:tblPrEx>
          <w:tblW w:w="11400" w:type="dxa"/>
          <w:tblInd w:w="2160" w:type="dxa"/>
          <w:tblLayout w:type="fixed"/>
        </w:tblPrEx>
        <w:trPr>
          <w:cantSplit/>
          <w:trHeight w:hRule="auto" w:val="0"/>
        </w:trPr>
        <w:tc>
          <w:tcPr>
            <w:tcW w:w="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77.402.187-6</w:t>
            </w:r>
          </w:p>
        </w:tc>
        <w:tc>
          <w:tcPr>
            <w:tcW w:w="18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1"/>
                <w:u w:val="none"/>
              </w:rPr>
              <w:t>Chilquinta Transmisión S.A.</w:t>
            </w:r>
          </w:p>
        </w:tc>
        <w:tc>
          <w:tcPr>
            <w:tcW w:w="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Chile</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Matriz Común</w:t>
            </w:r>
          </w:p>
        </w:tc>
        <w:tc>
          <w:tcPr>
            <w:tcW w:w="13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Servicios de subtransmisión</w:t>
            </w:r>
          </w:p>
        </w:tc>
        <w:tc>
          <w:tcPr>
            <w:tcW w:w="5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CL $</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340.636</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(340.636)</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53.065</w:t>
            </w:r>
          </w:p>
        </w:tc>
        <w:tc>
          <w:tcPr>
            <w:tcW w:w="6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(53.065)</w:t>
            </w:r>
          </w:p>
        </w:tc>
      </w:tr>
      <w:tr>
        <w:tblPrEx>
          <w:tblW w:w="11400" w:type="dxa"/>
          <w:tblInd w:w="2160" w:type="dxa"/>
          <w:tblLayout w:type="fixed"/>
        </w:tblPrEx>
        <w:trPr>
          <w:cantSplit/>
          <w:trHeight w:hRule="auto" w:val="0"/>
        </w:trPr>
        <w:tc>
          <w:tcPr>
            <w:tcW w:w="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77.402.187-6</w:t>
            </w:r>
          </w:p>
        </w:tc>
        <w:tc>
          <w:tcPr>
            <w:tcW w:w="18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1"/>
                <w:u w:val="none"/>
              </w:rPr>
              <w:t>Chilquinta Transmisión S.A.</w:t>
            </w:r>
          </w:p>
        </w:tc>
        <w:tc>
          <w:tcPr>
            <w:tcW w:w="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Chile</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Matriz Común</w:t>
            </w:r>
          </w:p>
        </w:tc>
        <w:tc>
          <w:tcPr>
            <w:tcW w:w="13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Ingreso por servicios de subtransmisión</w:t>
            </w:r>
          </w:p>
        </w:tc>
        <w:tc>
          <w:tcPr>
            <w:tcW w:w="5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CL $</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231.109</w:t>
            </w:r>
          </w:p>
        </w:tc>
        <w:tc>
          <w:tcPr>
            <w:tcW w:w="6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p>
        </w:tc>
      </w:tr>
      <w:tr>
        <w:tblPrEx>
          <w:tblW w:w="11400" w:type="dxa"/>
          <w:tblInd w:w="2160" w:type="dxa"/>
          <w:tblLayout w:type="fixed"/>
        </w:tblPrEx>
        <w:trPr>
          <w:cantSplit/>
          <w:trHeight w:hRule="auto" w:val="0"/>
        </w:trPr>
        <w:tc>
          <w:tcPr>
            <w:tcW w:w="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77.420.185-K</w:t>
            </w:r>
          </w:p>
        </w:tc>
        <w:tc>
          <w:tcPr>
            <w:tcW w:w="18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1"/>
                <w:u w:val="none"/>
              </w:rPr>
              <w:t>Enerquinta S.A.</w:t>
            </w:r>
          </w:p>
        </w:tc>
        <w:tc>
          <w:tcPr>
            <w:tcW w:w="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Chile</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Matriz Común</w:t>
            </w:r>
          </w:p>
        </w:tc>
        <w:tc>
          <w:tcPr>
            <w:tcW w:w="13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Ingreso por servicios de subtransmisión</w:t>
            </w:r>
          </w:p>
        </w:tc>
        <w:tc>
          <w:tcPr>
            <w:tcW w:w="5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CL $</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8.684</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8.684</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946.076</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946.076</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1.164.383</w:t>
            </w:r>
          </w:p>
        </w:tc>
        <w:tc>
          <w:tcPr>
            <w:tcW w:w="6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(1.164.383)</w:t>
            </w:r>
          </w:p>
        </w:tc>
      </w:tr>
      <w:tr>
        <w:tblPrEx>
          <w:tblW w:w="11400" w:type="dxa"/>
          <w:tblInd w:w="2160" w:type="dxa"/>
          <w:tblLayout w:type="fixed"/>
        </w:tblPrEx>
        <w:trPr>
          <w:cantSplit/>
          <w:trHeight w:hRule="auto" w:val="0"/>
        </w:trPr>
        <w:tc>
          <w:tcPr>
            <w:tcW w:w="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77.420.185-K</w:t>
            </w:r>
          </w:p>
        </w:tc>
        <w:tc>
          <w:tcPr>
            <w:tcW w:w="18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1"/>
                <w:u w:val="none"/>
              </w:rPr>
              <w:t>Enerquinta S.A.</w:t>
            </w:r>
          </w:p>
        </w:tc>
        <w:tc>
          <w:tcPr>
            <w:tcW w:w="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Chile</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Matriz Común</w:t>
            </w:r>
          </w:p>
        </w:tc>
        <w:tc>
          <w:tcPr>
            <w:tcW w:w="13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Servicios de subtransmisión</w:t>
            </w:r>
          </w:p>
        </w:tc>
        <w:tc>
          <w:tcPr>
            <w:tcW w:w="5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CL $</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361</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(361)</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1.628.671</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1.628.671</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544.000</w:t>
            </w:r>
          </w:p>
        </w:tc>
        <w:tc>
          <w:tcPr>
            <w:tcW w:w="6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(1.304.000)</w:t>
            </w:r>
          </w:p>
        </w:tc>
      </w:tr>
      <w:tr>
        <w:tblPrEx>
          <w:tblW w:w="11400" w:type="dxa"/>
          <w:tblInd w:w="2160" w:type="dxa"/>
          <w:tblLayout w:type="fixed"/>
        </w:tblPrEx>
        <w:trPr>
          <w:cantSplit/>
          <w:trHeight w:hRule="auto" w:val="0"/>
        </w:trPr>
        <w:tc>
          <w:tcPr>
            <w:tcW w:w="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77.470.427-2</w:t>
            </w:r>
          </w:p>
        </w:tc>
        <w:tc>
          <w:tcPr>
            <w:tcW w:w="18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1"/>
                <w:u w:val="none"/>
              </w:rPr>
              <w:t>Luz Parral Transmisión S.A.</w:t>
            </w:r>
          </w:p>
        </w:tc>
        <w:tc>
          <w:tcPr>
            <w:tcW w:w="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Chile</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Matriz común</w:t>
            </w:r>
          </w:p>
        </w:tc>
        <w:tc>
          <w:tcPr>
            <w:tcW w:w="13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Compra de energía y potencia</w:t>
            </w:r>
          </w:p>
        </w:tc>
        <w:tc>
          <w:tcPr>
            <w:tcW w:w="5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CL $</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92</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(92)</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679.900</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(679.900)</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p>
        </w:tc>
      </w:tr>
      <w:tr>
        <w:tblPrEx>
          <w:tblW w:w="11400" w:type="dxa"/>
          <w:tblInd w:w="2160" w:type="dxa"/>
          <w:tblLayout w:type="fixed"/>
        </w:tblPrEx>
        <w:trPr>
          <w:cantSplit/>
          <w:trHeight w:hRule="auto" w:val="0"/>
        </w:trPr>
        <w:tc>
          <w:tcPr>
            <w:tcW w:w="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77.470.427-2</w:t>
            </w:r>
          </w:p>
        </w:tc>
        <w:tc>
          <w:tcPr>
            <w:tcW w:w="18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1"/>
                <w:u w:val="none"/>
              </w:rPr>
              <w:t>Luz Parral Transmisión S.A.</w:t>
            </w:r>
          </w:p>
        </w:tc>
        <w:tc>
          <w:tcPr>
            <w:tcW w:w="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Chile</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Matriz común</w:t>
            </w:r>
          </w:p>
        </w:tc>
        <w:tc>
          <w:tcPr>
            <w:tcW w:w="13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Servicios de subtransmisión</w:t>
            </w:r>
          </w:p>
        </w:tc>
        <w:tc>
          <w:tcPr>
            <w:tcW w:w="5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CL $</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1.216</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(1.216)</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4.167</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(4.167)</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3.565</w:t>
            </w:r>
          </w:p>
        </w:tc>
        <w:tc>
          <w:tcPr>
            <w:tcW w:w="6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3.565</w:t>
            </w:r>
          </w:p>
        </w:tc>
      </w:tr>
      <w:tr>
        <w:tblPrEx>
          <w:tblW w:w="11400" w:type="dxa"/>
          <w:tblInd w:w="2160" w:type="dxa"/>
          <w:tblLayout w:type="fixed"/>
        </w:tblPrEx>
        <w:trPr>
          <w:cantSplit/>
          <w:trHeight w:hRule="auto" w:val="0"/>
        </w:trPr>
        <w:tc>
          <w:tcPr>
            <w:tcW w:w="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77.470.446-9</w:t>
            </w:r>
          </w:p>
        </w:tc>
        <w:tc>
          <w:tcPr>
            <w:tcW w:w="18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1"/>
                <w:u w:val="none"/>
              </w:rPr>
              <w:t>Litoral Transmisión S.A.</w:t>
            </w:r>
          </w:p>
        </w:tc>
        <w:tc>
          <w:tcPr>
            <w:tcW w:w="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Chile</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Matriz común</w:t>
            </w:r>
          </w:p>
        </w:tc>
        <w:tc>
          <w:tcPr>
            <w:tcW w:w="13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Servicios de subtransmisión</w:t>
            </w:r>
          </w:p>
        </w:tc>
        <w:tc>
          <w:tcPr>
            <w:tcW w:w="5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CL $</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9.771</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(9.771)</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p>
        </w:tc>
      </w:tr>
      <w:tr>
        <w:tblPrEx>
          <w:tblW w:w="11400" w:type="dxa"/>
          <w:tblInd w:w="2160" w:type="dxa"/>
          <w:tblLayout w:type="fixed"/>
        </w:tblPrEx>
        <w:trPr>
          <w:cantSplit/>
          <w:trHeight w:hRule="auto" w:val="0"/>
        </w:trPr>
        <w:tc>
          <w:tcPr>
            <w:tcW w:w="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77.470.446-9</w:t>
            </w:r>
          </w:p>
        </w:tc>
        <w:tc>
          <w:tcPr>
            <w:tcW w:w="18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1"/>
                <w:u w:val="none"/>
              </w:rPr>
              <w:t>Litoral Transmisión S.A.</w:t>
            </w:r>
          </w:p>
        </w:tc>
        <w:tc>
          <w:tcPr>
            <w:tcW w:w="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Chile</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Matriz común</w:t>
            </w:r>
          </w:p>
        </w:tc>
        <w:tc>
          <w:tcPr>
            <w:tcW w:w="13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Ingreso por servicios de subtransmisión</w:t>
            </w:r>
          </w:p>
        </w:tc>
        <w:tc>
          <w:tcPr>
            <w:tcW w:w="5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CL $</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66</w:t>
            </w:r>
          </w:p>
        </w:tc>
        <w:tc>
          <w:tcPr>
            <w:tcW w:w="6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(66)</w:t>
            </w:r>
          </w:p>
        </w:tc>
      </w:tr>
      <w:tr>
        <w:tblPrEx>
          <w:tblW w:w="11400" w:type="dxa"/>
          <w:tblInd w:w="2160" w:type="dxa"/>
          <w:tblLayout w:type="fixed"/>
        </w:tblPrEx>
        <w:trPr>
          <w:cantSplit/>
          <w:trHeight w:hRule="auto" w:val="0"/>
        </w:trPr>
        <w:tc>
          <w:tcPr>
            <w:tcW w:w="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88.221.200-9</w:t>
            </w:r>
          </w:p>
        </w:tc>
        <w:tc>
          <w:tcPr>
            <w:tcW w:w="18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1"/>
                <w:u w:val="none"/>
              </w:rPr>
              <w:t>Empresa Eléctrica de Magallanes S.A.</w:t>
            </w:r>
          </w:p>
        </w:tc>
        <w:tc>
          <w:tcPr>
            <w:tcW w:w="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Chile</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Matriz común</w:t>
            </w:r>
          </w:p>
        </w:tc>
        <w:tc>
          <w:tcPr>
            <w:tcW w:w="13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Venta de materiales</w:t>
            </w:r>
          </w:p>
        </w:tc>
        <w:tc>
          <w:tcPr>
            <w:tcW w:w="5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CL $</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39</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39</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92</w:t>
            </w:r>
          </w:p>
        </w:tc>
        <w:tc>
          <w:tcPr>
            <w:tcW w:w="6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(92)</w:t>
            </w:r>
          </w:p>
        </w:tc>
      </w:tr>
      <w:tr>
        <w:tblPrEx>
          <w:tblW w:w="11400" w:type="dxa"/>
          <w:tblInd w:w="2160" w:type="dxa"/>
          <w:tblLayout w:type="fixed"/>
        </w:tblPrEx>
        <w:trPr>
          <w:cantSplit/>
          <w:trHeight w:hRule="auto" w:val="0"/>
        </w:trPr>
        <w:tc>
          <w:tcPr>
            <w:tcW w:w="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91.344.000-5</w:t>
            </w:r>
          </w:p>
        </w:tc>
        <w:tc>
          <w:tcPr>
            <w:tcW w:w="18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1"/>
                <w:u w:val="none"/>
              </w:rPr>
              <w:t>Compañía Eléctrica del Litoral S.A.</w:t>
            </w:r>
          </w:p>
        </w:tc>
        <w:tc>
          <w:tcPr>
            <w:tcW w:w="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Chile</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Matriz Común</w:t>
            </w:r>
          </w:p>
        </w:tc>
        <w:tc>
          <w:tcPr>
            <w:tcW w:w="13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Ingreso por servicios de subtransmisión</w:t>
            </w:r>
          </w:p>
        </w:tc>
        <w:tc>
          <w:tcPr>
            <w:tcW w:w="5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CL $</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45.688</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45.688</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4.075</w:t>
            </w:r>
          </w:p>
        </w:tc>
        <w:tc>
          <w:tcPr>
            <w:tcW w:w="6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4.075</w:t>
            </w:r>
          </w:p>
        </w:tc>
      </w:tr>
      <w:tr>
        <w:tblPrEx>
          <w:tblW w:w="11400" w:type="dxa"/>
          <w:tblInd w:w="2160" w:type="dxa"/>
          <w:tblLayout w:type="fixed"/>
        </w:tblPrEx>
        <w:trPr>
          <w:cantSplit/>
          <w:trHeight w:hRule="auto" w:val="0"/>
        </w:trPr>
        <w:tc>
          <w:tcPr>
            <w:tcW w:w="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96.766.110-4</w:t>
            </w:r>
          </w:p>
        </w:tc>
        <w:tc>
          <w:tcPr>
            <w:tcW w:w="18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1"/>
                <w:u w:val="none"/>
              </w:rPr>
              <w:t>Energía de Casablanca S.A.</w:t>
            </w:r>
          </w:p>
        </w:tc>
        <w:tc>
          <w:tcPr>
            <w:tcW w:w="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Chile</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Matriz Común</w:t>
            </w:r>
          </w:p>
        </w:tc>
        <w:tc>
          <w:tcPr>
            <w:tcW w:w="13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Ingreso por servicios de subtransmisión</w:t>
            </w:r>
          </w:p>
        </w:tc>
        <w:tc>
          <w:tcPr>
            <w:tcW w:w="5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CL $</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19.574</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19.574</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p>
        </w:tc>
      </w:tr>
      <w:tr>
        <w:tblPrEx>
          <w:tblW w:w="11400" w:type="dxa"/>
          <w:tblInd w:w="2160" w:type="dxa"/>
          <w:tblLayout w:type="fixed"/>
        </w:tblPrEx>
        <w:trPr>
          <w:cantSplit/>
          <w:trHeight w:hRule="auto" w:val="0"/>
        </w:trPr>
        <w:tc>
          <w:tcPr>
            <w:tcW w:w="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96.813.520-1</w:t>
            </w:r>
          </w:p>
        </w:tc>
        <w:tc>
          <w:tcPr>
            <w:tcW w:w="18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1"/>
                <w:u w:val="none"/>
              </w:rPr>
              <w:t>Chilquinta Distribución S.A.</w:t>
            </w:r>
          </w:p>
        </w:tc>
        <w:tc>
          <w:tcPr>
            <w:tcW w:w="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Chile</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Matriz Común</w:t>
            </w:r>
          </w:p>
        </w:tc>
        <w:tc>
          <w:tcPr>
            <w:tcW w:w="13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Ingreso por servicios de subtransmisión</w:t>
            </w:r>
          </w:p>
        </w:tc>
        <w:tc>
          <w:tcPr>
            <w:tcW w:w="5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CL $</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777.593</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777.593</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24.808</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(24.808)</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p>
        </w:tc>
      </w:tr>
      <w:tr>
        <w:tblPrEx>
          <w:tblW w:w="11400" w:type="dxa"/>
          <w:tblInd w:w="2160" w:type="dxa"/>
          <w:tblLayout w:type="fixed"/>
        </w:tblPrEx>
        <w:trPr>
          <w:cantSplit/>
          <w:trHeight w:hRule="auto" w:val="0"/>
        </w:trPr>
        <w:tc>
          <w:tcPr>
            <w:tcW w:w="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96.813.520-1</w:t>
            </w:r>
          </w:p>
        </w:tc>
        <w:tc>
          <w:tcPr>
            <w:tcW w:w="18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1"/>
                <w:u w:val="none"/>
              </w:rPr>
              <w:t>Chilquinta Distribución S.A.</w:t>
            </w:r>
          </w:p>
        </w:tc>
        <w:tc>
          <w:tcPr>
            <w:tcW w:w="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Chile</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Matriz Común</w:t>
            </w:r>
          </w:p>
        </w:tc>
        <w:tc>
          <w:tcPr>
            <w:tcW w:w="13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Servicios de subtransmisión</w:t>
            </w:r>
          </w:p>
        </w:tc>
        <w:tc>
          <w:tcPr>
            <w:tcW w:w="5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CL $</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71.094</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(71.094)</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5</w:t>
            </w:r>
          </w:p>
        </w:tc>
        <w:tc>
          <w:tcPr>
            <w:tcW w:w="6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(5)</w:t>
            </w:r>
          </w:p>
        </w:tc>
      </w:tr>
      <w:tr>
        <w:tblPrEx>
          <w:tblW w:w="11400" w:type="dxa"/>
          <w:tblInd w:w="2160" w:type="dxa"/>
          <w:tblLayout w:type="fixed"/>
        </w:tblPrEx>
        <w:trPr>
          <w:cantSplit/>
          <w:trHeight w:hRule="auto" w:val="0"/>
        </w:trPr>
        <w:tc>
          <w:tcPr>
            <w:tcW w:w="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96.866.680-0</w:t>
            </w:r>
          </w:p>
        </w:tc>
        <w:tc>
          <w:tcPr>
            <w:tcW w:w="18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1"/>
                <w:u w:val="none"/>
              </w:rPr>
              <w:t>Luz Parral S.A.</w:t>
            </w:r>
          </w:p>
        </w:tc>
        <w:tc>
          <w:tcPr>
            <w:tcW w:w="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Chile</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Matriz Común</w:t>
            </w:r>
          </w:p>
        </w:tc>
        <w:tc>
          <w:tcPr>
            <w:tcW w:w="13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Ingreso por servicios de subtransmisión</w:t>
            </w:r>
          </w:p>
        </w:tc>
        <w:tc>
          <w:tcPr>
            <w:tcW w:w="5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CL $</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695.893</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695.893</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p>
        </w:tc>
      </w:tr>
      <w:tr>
        <w:tblPrEx>
          <w:tblW w:w="11400" w:type="dxa"/>
          <w:tblInd w:w="2160" w:type="dxa"/>
          <w:tblLayout w:type="fixed"/>
        </w:tblPrEx>
        <w:trPr>
          <w:cantSplit/>
          <w:trHeight w:hRule="auto" w:val="0"/>
        </w:trPr>
        <w:tc>
          <w:tcPr>
            <w:tcW w:w="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96.866.680-0</w:t>
            </w:r>
          </w:p>
        </w:tc>
        <w:tc>
          <w:tcPr>
            <w:tcW w:w="18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1"/>
                <w:u w:val="none"/>
              </w:rPr>
              <w:t>Luz Parral S.A.</w:t>
            </w:r>
          </w:p>
        </w:tc>
        <w:tc>
          <w:tcPr>
            <w:tcW w:w="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Chile</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Matriz Común</w:t>
            </w:r>
          </w:p>
        </w:tc>
        <w:tc>
          <w:tcPr>
            <w:tcW w:w="13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Servicios de subtransmisión</w:t>
            </w:r>
          </w:p>
        </w:tc>
        <w:tc>
          <w:tcPr>
            <w:tcW w:w="5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CL $</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21.093</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(21.093)</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17.430</w:t>
            </w:r>
          </w:p>
        </w:tc>
        <w:tc>
          <w:tcPr>
            <w:tcW w:w="6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17.430</w:t>
            </w:r>
          </w:p>
        </w:tc>
      </w:tr>
      <w:tr>
        <w:tblPrEx>
          <w:tblW w:w="11400" w:type="dxa"/>
          <w:tblInd w:w="2160" w:type="dxa"/>
          <w:tblLayout w:type="fixed"/>
        </w:tblPrEx>
        <w:trPr>
          <w:cantSplit/>
          <w:trHeight w:hRule="auto" w:val="0"/>
        </w:trPr>
        <w:tc>
          <w:tcPr>
            <w:tcW w:w="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96.884.450-4</w:t>
            </w:r>
          </w:p>
        </w:tc>
        <w:tc>
          <w:tcPr>
            <w:tcW w:w="18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1"/>
                <w:u w:val="none"/>
              </w:rPr>
              <w:t>Luz Linares S.A.</w:t>
            </w:r>
          </w:p>
        </w:tc>
        <w:tc>
          <w:tcPr>
            <w:tcW w:w="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Chile</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Matriz Común</w:t>
            </w:r>
          </w:p>
        </w:tc>
        <w:tc>
          <w:tcPr>
            <w:tcW w:w="13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Ingreso por servicios de subtransmisión</w:t>
            </w:r>
          </w:p>
        </w:tc>
        <w:tc>
          <w:tcPr>
            <w:tcW w:w="5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1"/>
                <w:u w:val="none"/>
              </w:rPr>
              <w:t>CL $</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669.915</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669.915</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10.254</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(10.254)</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7.004</w:t>
            </w:r>
          </w:p>
        </w:tc>
        <w:tc>
          <w:tcPr>
            <w:tcW w:w="6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1"/>
                <w:u w:val="none"/>
              </w:rPr>
              <w:t>7.004</w:t>
            </w:r>
          </w:p>
        </w:tc>
      </w:tr>
    </w:tbl>
    <w:p>
      <w:pPr>
        <w:keepNext w:val="0"/>
        <w:keepLines/>
        <w:pageBreakBefore w:val="0"/>
        <w:widowControl w:val="0"/>
        <w:numPr>
          <w:ilvl w:val="0"/>
          <w:numId w:val="0"/>
        </w:numPr>
        <w:spacing w:before="0" w:after="0" w:line="288" w:lineRule="auto"/>
        <w:ind w:left="1440" w:right="0" w:firstLine="720"/>
        <w:jc w:val="both"/>
        <w:outlineLvl w:val="9"/>
        <w:rPr>
          <w:rFonts w:ascii="Calibri" w:eastAsia="Calibri" w:hAnsi="Calibri" w:cs="Calibri"/>
          <w:b w:val="0"/>
          <w:i w:val="0"/>
          <w:color w:val="000000"/>
          <w:sz w:val="2"/>
          <w:u w:val="none"/>
        </w:rPr>
      </w:pPr>
    </w:p>
    <w:p>
      <w:pPr>
        <w:keepNext w:val="0"/>
        <w:keepLines/>
        <w:pageBreakBefore w:val="0"/>
        <w:widowControl w:val="0"/>
        <w:numPr>
          <w:ilvl w:val="0"/>
          <w:numId w:val="0"/>
        </w:numPr>
        <w:spacing w:before="0" w:after="0" w:line="288" w:lineRule="auto"/>
        <w:ind w:left="1440" w:right="0" w:firstLine="720"/>
        <w:jc w:val="both"/>
        <w:outlineLvl w:val="9"/>
        <w:rPr>
          <w:rFonts w:ascii="Calibri" w:eastAsia="Calibri" w:hAnsi="Calibri" w:cs="Calibri"/>
          <w:b w:val="0"/>
          <w:i w:val="0"/>
          <w:color w:val="000000"/>
          <w:sz w:val="2"/>
          <w:u w:val="none"/>
        </w:rPr>
        <w:sectPr>
          <w:headerReference w:type="default" r:id="rId32"/>
          <w:footerReference w:type="default" r:id="rId33"/>
          <w:type w:val="continuous"/>
          <w:pgSz w:w="15840" w:h="12240" w:orient="landscape"/>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125" w:name="Section66"/>
      <w:bookmarkEnd w:id="125"/>
      <w:bookmarkStart w:id="126" w:name="7a8c93bcbebc4be39d356c268ea05961"/>
      <w:r>
        <w:rPr>
          <w:rFonts w:ascii="Calibri" w:eastAsia="Calibri" w:hAnsi="Calibri" w:cs="Calibri"/>
          <w:b/>
          <w:i w:val="0"/>
          <w:color w:val="000000"/>
          <w:sz w:val="20"/>
          <w:u w:val="none"/>
        </w:rPr>
        <w:t>9.2.-</w:t>
      </w:r>
      <w:r>
        <w:rPr>
          <w:rFonts w:ascii="Calibri" w:eastAsia="Calibri" w:hAnsi="Calibri" w:cs="Calibri"/>
          <w:b/>
          <w:i w:val="0"/>
          <w:color w:val="000000"/>
          <w:sz w:val="20"/>
          <w:u w:val="none"/>
        </w:rPr>
        <w:tab/>
      </w:r>
      <w:r>
        <w:rPr>
          <w:rFonts w:ascii="Calibri" w:eastAsia="Calibri" w:hAnsi="Calibri" w:cs="Calibri"/>
          <w:b/>
          <w:i w:val="0"/>
          <w:color w:val="000000"/>
          <w:sz w:val="20"/>
          <w:u w:val="none"/>
        </w:rPr>
        <w:t>Directorio y gerencia de la sociedad.</w:t>
      </w:r>
    </w:p>
    <w:p>
      <w:pPr>
        <w:keepNext w:val="0"/>
        <w:keepLines/>
        <w:pageBreakBefore w:val="0"/>
        <w:widowControl w:val="0"/>
        <w:numPr>
          <w:ilvl w:val="0"/>
          <w:numId w:val="0"/>
        </w:numPr>
        <w:spacing w:before="0" w:after="0" w:line="257" w:lineRule="auto"/>
        <w:ind w:left="1417" w:right="0" w:firstLine="0"/>
        <w:jc w:val="both"/>
        <w:outlineLvl w:val="9"/>
        <w:rPr>
          <w:rFonts w:ascii="Calibri" w:eastAsia="Calibri" w:hAnsi="Calibri" w:cs="Calibri"/>
          <w:b w:val="0"/>
          <w:i w:val="0"/>
          <w:color w:val="000000"/>
          <w:sz w:val="20"/>
          <w:u w:val="none"/>
        </w:rPr>
      </w:pPr>
      <w:bookmarkEnd w:id="126"/>
    </w:p>
    <w:p>
      <w:pPr>
        <w:pStyle w:val="Normal-wk"/>
        <w:keepNext w:val="0"/>
        <w:keepLines/>
        <w:pageBreakBefore w:val="0"/>
        <w:widowControl w:val="0"/>
        <w:numPr>
          <w:ilvl w:val="0"/>
          <w:numId w:val="0"/>
        </w:numPr>
        <w:spacing w:before="0" w:after="0" w:line="214"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Con fecha 22 de abril de 2026 se celebró la Junta Ordinaria de Accionistas de la Sociedad en la cual, entre otros acuerdos, se procedió a la renovación total del directorio de la misma, quedando designados por un período de 3 años los siguientes directores: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Yan Dai</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 xml:space="preserve">       </w:t>
      </w:r>
    </w:p>
    <w:p>
      <w:pPr>
        <w:pStyle w:val="Normal-wk"/>
        <w:keepNext w:val="0"/>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Shang Jingfu</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 xml:space="preserve">       </w:t>
      </w:r>
    </w:p>
    <w:p>
      <w:pPr>
        <w:pStyle w:val="Normal-wk"/>
        <w:keepNext w:val="0"/>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Futao Huang</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 xml:space="preserve">      </w:t>
      </w:r>
    </w:p>
    <w:p>
      <w:pPr>
        <w:pStyle w:val="Normal-wk"/>
        <w:keepNext w:val="0"/>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Ran Zhang </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 xml:space="preserve">       </w:t>
      </w:r>
    </w:p>
    <w:p>
      <w:pPr>
        <w:keepNext w:val="0"/>
        <w:keepLines/>
        <w:pageBreakBefore w:val="0"/>
        <w:widowControl w:val="0"/>
        <w:numPr>
          <w:ilvl w:val="0"/>
          <w:numId w:val="0"/>
        </w:numPr>
        <w:tabs>
          <w:tab w:val="left" w:pos="700"/>
        </w:tabs>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Nicolás Eyzaguirre Guzmán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En Sesión de Directorio del </w:t>
      </w:r>
      <w:r>
        <w:rPr>
          <w:rFonts w:ascii="Calibri" w:eastAsia="Calibri" w:hAnsi="Calibri" w:cs="Calibri"/>
          <w:b w:val="0"/>
          <w:i w:val="0"/>
          <w:color w:val="000000"/>
          <w:sz w:val="20"/>
          <w:u w:val="none"/>
        </w:rPr>
        <w:t>30</w:t>
      </w:r>
      <w:r>
        <w:rPr>
          <w:rFonts w:ascii="Calibri" w:eastAsia="Calibri" w:hAnsi="Calibri" w:cs="Calibri"/>
          <w:b w:val="0"/>
          <w:i w:val="0"/>
          <w:color w:val="000000"/>
          <w:sz w:val="20"/>
          <w:u w:val="none"/>
        </w:rPr>
        <w:t xml:space="preserve"> de abril de 202</w:t>
      </w:r>
      <w:r>
        <w:rPr>
          <w:rFonts w:ascii="Calibri" w:eastAsia="Calibri" w:hAnsi="Calibri" w:cs="Calibri"/>
          <w:b w:val="0"/>
          <w:i w:val="0"/>
          <w:color w:val="000000"/>
          <w:sz w:val="20"/>
          <w:u w:val="none"/>
        </w:rPr>
        <w:t>6</w:t>
      </w:r>
      <w:r>
        <w:rPr>
          <w:rFonts w:ascii="Calibri" w:eastAsia="Calibri" w:hAnsi="Calibri" w:cs="Calibri"/>
          <w:b w:val="0"/>
          <w:i w:val="0"/>
          <w:color w:val="000000"/>
          <w:sz w:val="20"/>
          <w:u w:val="none"/>
        </w:rPr>
        <w:t xml:space="preserve"> se procedió a la designación del Presidente, quedando compuesto el Directorio de la siguiente forma: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720" w:right="0" w:firstLine="72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Yan Dai </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Presidente</w:t>
      </w:r>
    </w:p>
    <w:p>
      <w:pPr>
        <w:pStyle w:val="Normal-wk"/>
        <w:keepNext w:val="0"/>
        <w:keepLines/>
        <w:pageBreakBefore w:val="0"/>
        <w:widowControl w:val="0"/>
        <w:numPr>
          <w:ilvl w:val="0"/>
          <w:numId w:val="0"/>
        </w:numPr>
        <w:spacing w:before="0" w:after="0" w:line="288" w:lineRule="auto"/>
        <w:ind w:left="720" w:right="0" w:firstLine="72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Bing Yu </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 xml:space="preserve">Director                                                                                                                                                                    </w:t>
      </w:r>
    </w:p>
    <w:p>
      <w:pPr>
        <w:pStyle w:val="Normal-wk"/>
        <w:keepNext w:val="0"/>
        <w:keepLines/>
        <w:pageBreakBefore w:val="0"/>
        <w:widowControl w:val="0"/>
        <w:numPr>
          <w:ilvl w:val="0"/>
          <w:numId w:val="0"/>
        </w:numPr>
        <w:spacing w:before="0" w:after="0" w:line="288" w:lineRule="auto"/>
        <w:ind w:left="720" w:right="0" w:firstLine="72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Futao Huang </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Director</w:t>
      </w:r>
    </w:p>
    <w:p>
      <w:pPr>
        <w:pStyle w:val="Normal-wk"/>
        <w:keepNext w:val="0"/>
        <w:keepLines/>
        <w:pageBreakBefore w:val="0"/>
        <w:widowControl w:val="0"/>
        <w:numPr>
          <w:ilvl w:val="0"/>
          <w:numId w:val="0"/>
        </w:numPr>
        <w:spacing w:before="0" w:after="0" w:line="288" w:lineRule="auto"/>
        <w:ind w:left="720" w:right="0" w:firstLine="72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Chengzu Liu </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Director</w:t>
      </w:r>
    </w:p>
    <w:p>
      <w:pPr>
        <w:pStyle w:val="Normal-wk"/>
        <w:keepNext w:val="0"/>
        <w:keepLines/>
        <w:pageBreakBefore w:val="0"/>
        <w:widowControl w:val="0"/>
        <w:numPr>
          <w:ilvl w:val="0"/>
          <w:numId w:val="0"/>
        </w:numPr>
        <w:spacing w:before="0" w:after="0" w:line="240" w:lineRule="exact"/>
        <w:ind w:left="720" w:right="0" w:firstLine="72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Nicolás Eyzaguirre Guzmán </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Director</w:t>
      </w:r>
    </w:p>
    <w:p>
      <w:pPr>
        <w:keepNext w:val="0"/>
        <w:keepLines/>
        <w:pageBreakBefore w:val="0"/>
        <w:widowControl w:val="0"/>
        <w:numPr>
          <w:ilvl w:val="0"/>
          <w:numId w:val="0"/>
        </w:numPr>
        <w:spacing w:before="0" w:after="0" w:line="257" w:lineRule="auto"/>
        <w:ind w:left="1417"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9.2.1.-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Remuneración del Directorio.</w:t>
      </w:r>
    </w:p>
    <w:p>
      <w:pPr>
        <w:keepNext w:val="0"/>
        <w:keepLines/>
        <w:pageBreakBefore w:val="0"/>
        <w:widowControl w:val="0"/>
        <w:numPr>
          <w:ilvl w:val="0"/>
          <w:numId w:val="0"/>
        </w:numPr>
        <w:spacing w:before="0" w:after="0" w:line="288" w:lineRule="auto"/>
        <w:ind w:left="141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En Junta Ordinaria de accionistas celebrada e</w:t>
      </w:r>
      <w:r>
        <w:rPr>
          <w:rFonts w:ascii="Calibri" w:eastAsia="Calibri" w:hAnsi="Calibri" w:cs="Calibri"/>
          <w:b w:val="0"/>
          <w:i w:val="0"/>
          <w:color w:val="000000"/>
          <w:sz w:val="20"/>
          <w:u w:val="none"/>
        </w:rPr>
        <w:t>l 2</w:t>
      </w:r>
      <w:r>
        <w:rPr>
          <w:rFonts w:ascii="Calibri" w:eastAsia="Calibri" w:hAnsi="Calibri" w:cs="Calibri"/>
          <w:b w:val="0"/>
          <w:i w:val="0"/>
          <w:color w:val="000000"/>
          <w:sz w:val="20"/>
          <w:u w:val="none"/>
        </w:rPr>
        <w:t>2</w:t>
      </w:r>
      <w:r>
        <w:rPr>
          <w:rFonts w:ascii="Calibri" w:eastAsia="Calibri" w:hAnsi="Calibri" w:cs="Calibri"/>
          <w:b w:val="0"/>
          <w:i w:val="0"/>
          <w:color w:val="000000"/>
          <w:sz w:val="20"/>
          <w:u w:val="none"/>
        </w:rPr>
        <w:t xml:space="preserve"> de abril de 202</w:t>
      </w:r>
      <w:r>
        <w:rPr>
          <w:rFonts w:ascii="Calibri" w:eastAsia="Calibri" w:hAnsi="Calibri" w:cs="Calibri"/>
          <w:b w:val="0"/>
          <w:i w:val="0"/>
          <w:color w:val="000000"/>
          <w:sz w:val="20"/>
          <w:u w:val="none"/>
        </w:rPr>
        <w:t>6</w:t>
      </w:r>
      <w:r>
        <w:rPr>
          <w:rFonts w:ascii="Calibri" w:eastAsia="Calibri" w:hAnsi="Calibri" w:cs="Calibri"/>
          <w:b w:val="0"/>
          <w:i w:val="0"/>
          <w:color w:val="000000"/>
          <w:sz w:val="20"/>
          <w:u w:val="none"/>
        </w:rPr>
        <w:t>,</w:t>
      </w:r>
      <w:r>
        <w:rPr>
          <w:rFonts w:ascii="Calibri" w:eastAsia="Calibri" w:hAnsi="Calibri" w:cs="Calibri"/>
          <w:b w:val="0"/>
          <w:i w:val="0"/>
          <w:color w:val="000000"/>
          <w:sz w:val="20"/>
          <w:u w:val="none"/>
        </w:rPr>
        <w:t xml:space="preserve"> se determinó y aprobó la remuneración del directorio para el ejercicio 202</w:t>
      </w:r>
      <w:r>
        <w:rPr>
          <w:rFonts w:ascii="Calibri" w:eastAsia="Calibri" w:hAnsi="Calibri" w:cs="Calibri"/>
          <w:b w:val="0"/>
          <w:i w:val="0"/>
          <w:color w:val="000000"/>
          <w:sz w:val="20"/>
          <w:u w:val="none"/>
        </w:rPr>
        <w:t>6</w:t>
      </w:r>
      <w:r>
        <w:rPr>
          <w:rFonts w:ascii="Calibri" w:eastAsia="Calibri" w:hAnsi="Calibri" w:cs="Calibri"/>
          <w:b w:val="0"/>
          <w:i w:val="0"/>
          <w:color w:val="000000"/>
          <w:sz w:val="20"/>
          <w:u w:val="none"/>
        </w:rPr>
        <w:t xml:space="preserve"> de acuerdo a lo siguiente:</w:t>
      </w:r>
    </w:p>
    <w:p>
      <w:pPr>
        <w:keepNext w:val="0"/>
        <w:keepLines/>
        <w:pageBreakBefore w:val="0"/>
        <w:widowControl w:val="0"/>
        <w:numPr>
          <w:ilvl w:val="0"/>
          <w:numId w:val="0"/>
        </w:numPr>
        <w:spacing w:before="0" w:after="0" w:line="288" w:lineRule="auto"/>
        <w:ind w:left="2119"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14"/>
        </w:numPr>
        <w:spacing w:before="0" w:after="0" w:line="240" w:lineRule="exact"/>
        <w:ind w:left="2835" w:right="0" w:hanging="340"/>
        <w:jc w:val="both"/>
        <w:outlineLvl w:val="9"/>
        <w:rPr>
          <w:rFonts w:ascii="Calibri" w:eastAsia="Calibri" w:hAnsi="Calibri" w:cs="Calibri"/>
          <w:b w:val="0"/>
          <w:i w:val="0"/>
          <w:sz w:val="20"/>
        </w:rPr>
      </w:pPr>
      <w:r>
        <w:rPr>
          <w:rFonts w:ascii="Calibri" w:eastAsia="Calibri" w:hAnsi="Calibri" w:cs="Calibri"/>
          <w:b w:val="0"/>
          <w:i w:val="0"/>
          <w:sz w:val="20"/>
        </w:rPr>
        <w:t xml:space="preserve">Una remuneración fija mensual, a todo evento equivalente a </w:t>
      </w:r>
      <w:r>
        <w:rPr>
          <w:rFonts w:ascii="Calibri" w:eastAsia="Calibri" w:hAnsi="Calibri" w:cs="Calibri"/>
          <w:b w:val="0"/>
          <w:i w:val="0"/>
          <w:sz w:val="20"/>
        </w:rPr>
        <w:t>75</w:t>
      </w:r>
      <w:r>
        <w:rPr>
          <w:rFonts w:ascii="Calibri" w:eastAsia="Calibri" w:hAnsi="Calibri" w:cs="Calibri"/>
          <w:b w:val="0"/>
          <w:i w:val="0"/>
          <w:sz w:val="20"/>
        </w:rPr>
        <w:t xml:space="preserve"> Unidades de Fomento para cada miembro del Directorio, correspondiéndole al Presidente el equivalente a</w:t>
      </w:r>
      <w:r>
        <w:rPr>
          <w:rFonts w:ascii="Calibri" w:eastAsia="Calibri" w:hAnsi="Calibri" w:cs="Calibri"/>
          <w:b w:val="0"/>
          <w:i w:val="0"/>
          <w:sz w:val="20"/>
        </w:rPr>
        <w:t xml:space="preserve"> 1,5</w:t>
      </w:r>
      <w:r>
        <w:rPr>
          <w:rFonts w:ascii="Calibri" w:eastAsia="Calibri" w:hAnsi="Calibri" w:cs="Calibri"/>
          <w:b w:val="0"/>
          <w:i w:val="0"/>
          <w:sz w:val="20"/>
        </w:rPr>
        <w:t xml:space="preserve"> veces dicha cantidad.</w:t>
      </w:r>
    </w:p>
    <w:p>
      <w:pPr>
        <w:keepNext w:val="0"/>
        <w:keepLines/>
        <w:pageBreakBefore w:val="0"/>
        <w:widowControl w:val="0"/>
        <w:numPr>
          <w:ilvl w:val="0"/>
          <w:numId w:val="14"/>
        </w:numPr>
        <w:spacing w:before="0" w:after="0" w:line="240" w:lineRule="exact"/>
        <w:ind w:left="2835" w:right="0" w:hanging="340"/>
        <w:jc w:val="both"/>
        <w:outlineLvl w:val="9"/>
        <w:rPr>
          <w:rFonts w:ascii="Calibri" w:eastAsia="Calibri" w:hAnsi="Calibri" w:cs="Calibri"/>
          <w:b w:val="0"/>
          <w:i w:val="0"/>
          <w:sz w:val="20"/>
        </w:rPr>
      </w:pPr>
      <w:r>
        <w:rPr>
          <w:rFonts w:ascii="Calibri" w:eastAsia="Calibri" w:hAnsi="Calibri" w:cs="Calibri"/>
          <w:b w:val="0"/>
          <w:i w:val="0"/>
          <w:sz w:val="20"/>
        </w:rPr>
        <w:t xml:space="preserve">Una remuneración ascendente a </w:t>
      </w:r>
      <w:r>
        <w:rPr>
          <w:rFonts w:ascii="Calibri" w:eastAsia="Calibri" w:hAnsi="Calibri" w:cs="Calibri"/>
          <w:b w:val="0"/>
          <w:i w:val="0"/>
          <w:sz w:val="20"/>
        </w:rPr>
        <w:t>37,5</w:t>
      </w:r>
      <w:r>
        <w:rPr>
          <w:rFonts w:ascii="Calibri" w:eastAsia="Calibri" w:hAnsi="Calibri" w:cs="Calibri"/>
          <w:b w:val="0"/>
          <w:i w:val="0"/>
          <w:sz w:val="20"/>
        </w:rPr>
        <w:t xml:space="preserve"> Unidades de Fomento por cada Sesión Ordinaria de Directorio a la que asistan.</w:t>
      </w:r>
    </w:p>
    <w:p>
      <w:pPr>
        <w:keepNext w:val="0"/>
        <w:keepLines/>
        <w:pageBreakBefore w:val="0"/>
        <w:widowControl w:val="0"/>
        <w:numPr>
          <w:ilvl w:val="0"/>
          <w:numId w:val="14"/>
        </w:numPr>
        <w:spacing w:before="0" w:after="0" w:line="240" w:lineRule="exact"/>
        <w:ind w:left="2835" w:right="0" w:hanging="340"/>
        <w:jc w:val="both"/>
        <w:outlineLvl w:val="9"/>
        <w:rPr>
          <w:rFonts w:ascii="Calibri" w:eastAsia="Calibri" w:hAnsi="Calibri" w:cs="Calibri"/>
          <w:b w:val="0"/>
          <w:i w:val="0"/>
          <w:sz w:val="20"/>
        </w:rPr>
      </w:pPr>
      <w:r>
        <w:rPr>
          <w:rFonts w:ascii="Calibri" w:eastAsia="Calibri" w:hAnsi="Calibri" w:cs="Calibri"/>
          <w:b w:val="0"/>
          <w:i w:val="0"/>
          <w:sz w:val="20"/>
        </w:rPr>
        <w:t xml:space="preserve">Una remuneración ascendente a </w:t>
      </w:r>
      <w:r>
        <w:rPr>
          <w:rFonts w:ascii="Calibri" w:eastAsia="Calibri" w:hAnsi="Calibri" w:cs="Calibri"/>
          <w:b w:val="0"/>
          <w:i w:val="0"/>
          <w:sz w:val="20"/>
        </w:rPr>
        <w:t>75</w:t>
      </w:r>
      <w:r>
        <w:rPr>
          <w:rFonts w:ascii="Calibri" w:eastAsia="Calibri" w:hAnsi="Calibri" w:cs="Calibri"/>
          <w:b w:val="0"/>
          <w:i w:val="0"/>
          <w:sz w:val="20"/>
        </w:rPr>
        <w:t xml:space="preserve"> Unidades de Fomento por cada Sesión Extr</w:t>
      </w:r>
      <w:r>
        <w:rPr>
          <w:rFonts w:ascii="Calibri" w:eastAsia="Calibri" w:hAnsi="Calibri" w:cs="Calibri"/>
          <w:b w:val="0"/>
          <w:i w:val="0"/>
          <w:color w:val="000000"/>
          <w:sz w:val="20"/>
          <w:u w:val="none"/>
        </w:rPr>
        <w:t>aordinaria de Directorio a la que asistan.</w:t>
      </w:r>
    </w:p>
    <w:p>
      <w:pPr>
        <w:keepNext w:val="0"/>
        <w:keepLines/>
        <w:pageBreakBefore w:val="0"/>
        <w:widowControl w:val="0"/>
        <w:numPr>
          <w:ilvl w:val="0"/>
          <w:numId w:val="0"/>
        </w:numPr>
        <w:spacing w:before="0" w:after="0" w:line="288" w:lineRule="auto"/>
        <w:ind w:left="2119"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Las remuneraciones pagadas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son las siguientes: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7845" w:type="dxa"/>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2085"/>
        <w:gridCol w:w="1740"/>
        <w:gridCol w:w="1005"/>
        <w:gridCol w:w="1005"/>
        <w:gridCol w:w="1005"/>
        <w:gridCol w:w="1005"/>
      </w:tblGrid>
      <w:tr>
        <w:tblPrEx>
          <w:tblW w:w="7845" w:type="dxa"/>
          <w:tblInd w:w="2126" w:type="dxa"/>
          <w:tblLayout w:type="fixed"/>
        </w:tblPrEx>
        <w:trPr>
          <w:cantSplit/>
          <w:trHeight w:hRule="auto" w:val="0"/>
        </w:trPr>
        <w:tc>
          <w:tcPr>
            <w:tcW w:w="208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Nombre</w:t>
            </w:r>
          </w:p>
        </w:tc>
        <w:tc>
          <w:tcPr>
            <w:tcW w:w="1740"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Cargo</w:t>
            </w:r>
          </w:p>
        </w:tc>
        <w:tc>
          <w:tcPr>
            <w:tcW w:w="1005" w:type="dxa"/>
            <w:tcBorders>
              <w:top w:val="single" w:sz="2" w:space="0" w:color="000000"/>
              <w:left w:val="single" w:sz="4" w:space="0" w:color="FFFFFF"/>
              <w:bottom w:val="nil"/>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4"/>
                <w:u w:val="none"/>
              </w:rPr>
              <w:t>01-01-2026</w:t>
            </w:r>
          </w:p>
        </w:tc>
        <w:tc>
          <w:tcPr>
            <w:tcW w:w="1005"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4"/>
                <w:u w:val="none"/>
              </w:rPr>
              <w:t>01-01-2025</w:t>
            </w:r>
          </w:p>
        </w:tc>
        <w:tc>
          <w:tcPr>
            <w:tcW w:w="1005" w:type="dxa"/>
            <w:tcBorders>
              <w:top w:val="single" w:sz="2" w:space="0" w:color="000000"/>
              <w:left w:val="nil"/>
              <w:bottom w:val="nil"/>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4"/>
                <w:u w:val="none"/>
              </w:rPr>
              <w:t>01-04-2026</w:t>
            </w:r>
          </w:p>
        </w:tc>
        <w:tc>
          <w:tcPr>
            <w:tcW w:w="1005" w:type="dxa"/>
            <w:tcBorders>
              <w:top w:val="single" w:sz="2" w:space="0" w:color="000000"/>
              <w:left w:val="nil"/>
              <w:bottom w:val="nil"/>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4"/>
                <w:u w:val="none"/>
              </w:rPr>
              <w:t>01-04-2025</w:t>
            </w:r>
          </w:p>
        </w:tc>
      </w:tr>
      <w:tr>
        <w:tblPrEx>
          <w:tblW w:w="7845" w:type="dxa"/>
          <w:tblInd w:w="2126" w:type="dxa"/>
          <w:tblLayout w:type="fixed"/>
        </w:tblPrEx>
        <w:trPr>
          <w:cantSplit/>
          <w:trHeight w:hRule="auto" w:val="0"/>
        </w:trPr>
        <w:tc>
          <w:tcPr>
            <w:tcW w:w="2085" w:type="dxa"/>
            <w:vMerge/>
            <w:tcBorders>
              <w:top w:val="nil"/>
              <w:left w:val="single" w:sz="2" w:space="0" w:color="000000"/>
              <w:bottom w:val="nil"/>
              <w:right w:val="nil"/>
            </w:tcBorders>
          </w:tcPr>
          <w:p>
            <w:pPr>
              <w:keepNext/>
              <w:pageBreakBefore w:val="0"/>
            </w:pPr>
          </w:p>
        </w:tc>
        <w:tc>
          <w:tcPr>
            <w:tcW w:w="1740" w:type="dxa"/>
            <w:vMerge/>
            <w:tcBorders>
              <w:top w:val="nil"/>
              <w:left w:val="single" w:sz="4" w:space="0" w:color="FFFFFF"/>
              <w:bottom w:val="nil"/>
              <w:right w:val="nil"/>
            </w:tcBorders>
          </w:tcPr>
          <w:p>
            <w:pPr>
              <w:keepNext/>
              <w:pageBreakBefore w:val="0"/>
            </w:pPr>
          </w:p>
        </w:tc>
        <w:tc>
          <w:tcPr>
            <w:tcW w:w="1005" w:type="dxa"/>
            <w:tcBorders>
              <w:top w:val="nil"/>
              <w:left w:val="single" w:sz="4" w:space="0" w:color="FFFFFF"/>
              <w:bottom w:val="single" w:sz="4" w:space="0" w:color="FFFFFF"/>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4"/>
                <w:u w:val="none"/>
              </w:rPr>
              <w:t>30-06-2026</w:t>
            </w:r>
          </w:p>
        </w:tc>
        <w:tc>
          <w:tcPr>
            <w:tcW w:w="1005" w:type="dxa"/>
            <w:tcBorders>
              <w:top w:val="nil"/>
              <w:left w:val="single" w:sz="4" w:space="0" w:color="FFFFFF"/>
              <w:bottom w:val="single" w:sz="4" w:space="0" w:color="FFFFFF"/>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4"/>
                <w:u w:val="none"/>
              </w:rPr>
              <w:t>30-06-2025</w:t>
            </w:r>
          </w:p>
        </w:tc>
        <w:tc>
          <w:tcPr>
            <w:tcW w:w="1005" w:type="dxa"/>
            <w:tcBorders>
              <w:top w:val="nil"/>
              <w:left w:val="nil"/>
              <w:bottom w:val="single" w:sz="8" w:space="0" w:color="FFFFFF"/>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4"/>
                <w:u w:val="none"/>
              </w:rPr>
              <w:t>30-06-2026</w:t>
            </w:r>
          </w:p>
        </w:tc>
        <w:tc>
          <w:tcPr>
            <w:tcW w:w="1005" w:type="dxa"/>
            <w:tcBorders>
              <w:top w:val="nil"/>
              <w:left w:val="nil"/>
              <w:bottom w:val="single" w:sz="8" w:space="0" w:color="FFFFFF"/>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4"/>
                <w:u w:val="none"/>
              </w:rPr>
              <w:t>30-06-2025</w:t>
            </w:r>
          </w:p>
        </w:tc>
      </w:tr>
      <w:tr>
        <w:tblPrEx>
          <w:tblW w:w="7845" w:type="dxa"/>
          <w:tblInd w:w="2126" w:type="dxa"/>
          <w:tblLayout w:type="fixed"/>
        </w:tblPrEx>
        <w:trPr>
          <w:cantSplit/>
          <w:trHeight w:hRule="auto" w:val="0"/>
        </w:trPr>
        <w:tc>
          <w:tcPr>
            <w:tcW w:w="2085" w:type="dxa"/>
            <w:vMerge/>
            <w:tcBorders>
              <w:top w:val="nil"/>
              <w:left w:val="single" w:sz="2" w:space="0" w:color="000000"/>
              <w:bottom w:val="nil"/>
              <w:right w:val="nil"/>
            </w:tcBorders>
          </w:tcPr>
          <w:p>
            <w:pPr>
              <w:keepNext/>
              <w:pageBreakBefore w:val="0"/>
            </w:pPr>
          </w:p>
        </w:tc>
        <w:tc>
          <w:tcPr>
            <w:tcW w:w="1740" w:type="dxa"/>
            <w:vMerge/>
            <w:tcBorders>
              <w:top w:val="nil"/>
              <w:left w:val="single" w:sz="4" w:space="0" w:color="FFFFFF"/>
              <w:bottom w:val="nil"/>
              <w:right w:val="nil"/>
            </w:tcBorders>
          </w:tcPr>
          <w:p>
            <w:pPr>
              <w:keepNext/>
              <w:pageBreakBefore w:val="0"/>
            </w:pPr>
          </w:p>
        </w:tc>
        <w:tc>
          <w:tcPr>
            <w:tcW w:w="10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Dieta</w:t>
            </w:r>
          </w:p>
        </w:tc>
        <w:tc>
          <w:tcPr>
            <w:tcW w:w="10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Dieta</w:t>
            </w:r>
          </w:p>
        </w:tc>
        <w:tc>
          <w:tcPr>
            <w:tcW w:w="1005" w:type="dxa"/>
            <w:tcBorders>
              <w:top w:val="nil"/>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Dieta</w:t>
            </w:r>
          </w:p>
        </w:tc>
        <w:tc>
          <w:tcPr>
            <w:tcW w:w="1005" w:type="dxa"/>
            <w:tcBorders>
              <w:top w:val="nil"/>
              <w:left w:val="single" w:sz="8"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Dieta</w:t>
            </w:r>
          </w:p>
        </w:tc>
      </w:tr>
      <w:tr>
        <w:tblPrEx>
          <w:tblW w:w="7845" w:type="dxa"/>
          <w:tblInd w:w="2126" w:type="dxa"/>
          <w:tblLayout w:type="fixed"/>
        </w:tblPrEx>
        <w:trPr>
          <w:cantSplit/>
          <w:trHeight w:hRule="auto" w:val="0"/>
        </w:trPr>
        <w:tc>
          <w:tcPr>
            <w:tcW w:w="2085" w:type="dxa"/>
            <w:vMerge/>
            <w:tcBorders>
              <w:top w:val="nil"/>
              <w:left w:val="single" w:sz="2" w:space="0" w:color="000000"/>
              <w:bottom w:val="nil"/>
              <w:right w:val="nil"/>
            </w:tcBorders>
          </w:tcPr>
          <w:p>
            <w:pPr>
              <w:keepNext/>
              <w:pageBreakBefore w:val="0"/>
            </w:pPr>
          </w:p>
        </w:tc>
        <w:tc>
          <w:tcPr>
            <w:tcW w:w="1740" w:type="dxa"/>
            <w:vMerge/>
            <w:tcBorders>
              <w:top w:val="nil"/>
              <w:left w:val="single" w:sz="4" w:space="0" w:color="FFFFFF"/>
              <w:bottom w:val="nil"/>
              <w:right w:val="nil"/>
            </w:tcBorders>
          </w:tcPr>
          <w:p>
            <w:pPr>
              <w:keepNext/>
              <w:pageBreakBefore w:val="0"/>
            </w:pPr>
          </w:p>
        </w:tc>
        <w:tc>
          <w:tcPr>
            <w:tcW w:w="1005" w:type="dxa"/>
            <w:tcBorders>
              <w:top w:val="nil"/>
              <w:left w:val="single" w:sz="4" w:space="0" w:color="FFFFFF"/>
              <w:bottom w:val="nil"/>
              <w:right w:val="nil"/>
            </w:tcBorders>
            <w:tcMar>
              <w:top w:w="0" w:type="dxa"/>
              <w:left w:w="53" w:type="dxa"/>
              <w:bottom w:w="0" w:type="dxa"/>
              <w:right w:w="53" w:type="dxa"/>
            </w:tcMar>
            <w:vAlign w:val="top"/>
          </w:tcPr>
          <w:p>
            <w:pPr>
              <w:keepNext/>
              <w:pageBreakBefore w:val="0"/>
              <w:spacing w:before="43" w:after="20" w:line="240" w:lineRule="auto"/>
              <w:jc w:val="center"/>
            </w:pPr>
            <w:r>
              <w:rPr>
                <w:rFonts w:ascii="Calibri" w:eastAsia="Calibri" w:hAnsi="Calibri" w:cs="Calibri"/>
                <w:b/>
                <w:i w:val="0"/>
                <w:color w:val="FFFFFF"/>
                <w:sz w:val="14"/>
                <w:u w:val="none"/>
              </w:rPr>
              <w:t>directorio</w:t>
            </w:r>
          </w:p>
        </w:tc>
        <w:tc>
          <w:tcPr>
            <w:tcW w:w="1005" w:type="dxa"/>
            <w:tcBorders>
              <w:top w:val="nil"/>
              <w:left w:val="single" w:sz="4" w:space="0" w:color="FFFFFF"/>
              <w:bottom w:val="nil"/>
              <w:right w:val="nil"/>
            </w:tcBorders>
            <w:tcMar>
              <w:top w:w="0" w:type="dxa"/>
              <w:left w:w="53" w:type="dxa"/>
              <w:bottom w:w="0" w:type="dxa"/>
              <w:right w:w="53" w:type="dxa"/>
            </w:tcMar>
            <w:vAlign w:val="top"/>
          </w:tcPr>
          <w:p>
            <w:pPr>
              <w:keepNext/>
              <w:pageBreakBefore w:val="0"/>
              <w:spacing w:before="43" w:after="20" w:line="240" w:lineRule="auto"/>
              <w:jc w:val="center"/>
            </w:pPr>
            <w:r>
              <w:rPr>
                <w:rFonts w:ascii="Calibri" w:eastAsia="Calibri" w:hAnsi="Calibri" w:cs="Calibri"/>
                <w:b/>
                <w:i w:val="0"/>
                <w:color w:val="FFFFFF"/>
                <w:sz w:val="14"/>
                <w:u w:val="none"/>
              </w:rPr>
              <w:t>directorio</w:t>
            </w:r>
          </w:p>
        </w:tc>
        <w:tc>
          <w:tcPr>
            <w:tcW w:w="1005" w:type="dxa"/>
            <w:tcBorders>
              <w:top w:val="nil"/>
              <w:left w:val="single" w:sz="2" w:space="0" w:color="000000"/>
              <w:bottom w:val="nil"/>
              <w:right w:val="nil"/>
            </w:tcBorders>
            <w:tcMar>
              <w:top w:w="0" w:type="dxa"/>
              <w:left w:w="53" w:type="dxa"/>
              <w:bottom w:w="0" w:type="dxa"/>
              <w:right w:w="53" w:type="dxa"/>
            </w:tcMar>
            <w:vAlign w:val="top"/>
          </w:tcPr>
          <w:p>
            <w:pPr>
              <w:keepNext/>
              <w:pageBreakBefore w:val="0"/>
              <w:spacing w:before="43" w:after="20" w:line="240" w:lineRule="auto"/>
              <w:jc w:val="center"/>
            </w:pPr>
            <w:r>
              <w:rPr>
                <w:rFonts w:ascii="Calibri" w:eastAsia="Calibri" w:hAnsi="Calibri" w:cs="Calibri"/>
                <w:b/>
                <w:i w:val="0"/>
                <w:color w:val="FFFFFF"/>
                <w:sz w:val="14"/>
                <w:u w:val="none"/>
              </w:rPr>
              <w:t>directorio</w:t>
            </w:r>
          </w:p>
        </w:tc>
        <w:tc>
          <w:tcPr>
            <w:tcW w:w="1005" w:type="dxa"/>
            <w:tcBorders>
              <w:top w:val="nil"/>
              <w:left w:val="single" w:sz="8" w:space="0" w:color="FFFFFF"/>
              <w:bottom w:val="nil"/>
              <w:right w:val="single" w:sz="2" w:space="0" w:color="000000"/>
            </w:tcBorders>
            <w:tcMar>
              <w:top w:w="0" w:type="dxa"/>
              <w:left w:w="53" w:type="dxa"/>
              <w:bottom w:w="0" w:type="dxa"/>
              <w:right w:w="53" w:type="dxa"/>
            </w:tcMar>
            <w:vAlign w:val="top"/>
          </w:tcPr>
          <w:p>
            <w:pPr>
              <w:keepNext/>
              <w:pageBreakBefore w:val="0"/>
              <w:spacing w:before="43" w:after="20" w:line="240" w:lineRule="auto"/>
              <w:jc w:val="center"/>
            </w:pPr>
            <w:r>
              <w:rPr>
                <w:rFonts w:ascii="Calibri" w:eastAsia="Calibri" w:hAnsi="Calibri" w:cs="Calibri"/>
                <w:b/>
                <w:i w:val="0"/>
                <w:color w:val="FFFFFF"/>
                <w:sz w:val="14"/>
                <w:u w:val="none"/>
              </w:rPr>
              <w:t>directorio</w:t>
            </w:r>
          </w:p>
        </w:tc>
      </w:tr>
      <w:tr>
        <w:tblPrEx>
          <w:tblW w:w="7845" w:type="dxa"/>
          <w:tblInd w:w="2126" w:type="dxa"/>
          <w:tblLayout w:type="fixed"/>
        </w:tblPrEx>
        <w:trPr>
          <w:cantSplit/>
          <w:trHeight w:hRule="auto" w:val="0"/>
        </w:trPr>
        <w:tc>
          <w:tcPr>
            <w:tcW w:w="2085" w:type="dxa"/>
            <w:vMerge/>
            <w:tcBorders>
              <w:top w:val="nil"/>
              <w:left w:val="single" w:sz="2" w:space="0" w:color="000000"/>
              <w:bottom w:val="single" w:sz="2" w:space="0" w:color="000000"/>
              <w:right w:val="nil"/>
            </w:tcBorders>
          </w:tcPr>
          <w:p>
            <w:pPr>
              <w:keepNext/>
              <w:pageBreakBefore w:val="0"/>
            </w:pPr>
          </w:p>
        </w:tc>
        <w:tc>
          <w:tcPr>
            <w:tcW w:w="1740" w:type="dxa"/>
            <w:vMerge/>
            <w:tcBorders>
              <w:top w:val="nil"/>
              <w:left w:val="single" w:sz="4" w:space="0" w:color="FFFFFF"/>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4"/>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4"/>
                <w:u w:val="none"/>
              </w:rPr>
              <w:t>M$</w:t>
            </w:r>
          </w:p>
        </w:tc>
        <w:tc>
          <w:tcPr>
            <w:tcW w:w="1005" w:type="dxa"/>
            <w:tcBorders>
              <w:top w:val="nil"/>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4"/>
                <w:u w:val="none"/>
              </w:rPr>
              <w:t>M$</w:t>
            </w:r>
          </w:p>
        </w:tc>
        <w:tc>
          <w:tcPr>
            <w:tcW w:w="1005" w:type="dxa"/>
            <w:tcBorders>
              <w:top w:val="nil"/>
              <w:left w:val="single" w:sz="8" w:space="0" w:color="FFFFFF"/>
              <w:bottom w:val="single" w:sz="2" w:space="0" w:color="000000"/>
              <w:right w:val="single" w:sz="2" w:space="0" w:color="000000"/>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4"/>
                <w:u w:val="none"/>
              </w:rPr>
              <w:t>M$</w:t>
            </w:r>
          </w:p>
        </w:tc>
      </w:tr>
      <w:tr>
        <w:tblPrEx>
          <w:tblW w:w="7845" w:type="dxa"/>
          <w:tblInd w:w="2126" w:type="dxa"/>
          <w:tblLayout w:type="fixed"/>
        </w:tblPrEx>
        <w:trPr>
          <w:cantSplit/>
          <w:trHeight w:hRule="auto" w:val="0"/>
        </w:trPr>
        <w:tc>
          <w:tcPr>
            <w:tcW w:w="20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 xml:space="preserve"> Nicolás Eyzaguirre Guzmán </w:t>
            </w:r>
          </w:p>
        </w:tc>
        <w:tc>
          <w:tcPr>
            <w:tcW w:w="17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 xml:space="preserve"> Director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8.946</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30.584</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7845" w:type="dxa"/>
          <w:tblInd w:w="2126" w:type="dxa"/>
          <w:tblLayout w:type="fixed"/>
        </w:tblPrEx>
        <w:trPr>
          <w:cantSplit/>
          <w:trHeight w:hRule="auto" w:val="0"/>
        </w:trPr>
        <w:tc>
          <w:tcPr>
            <w:tcW w:w="20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Totales</w:t>
            </w:r>
          </w:p>
        </w:tc>
        <w:tc>
          <w:tcPr>
            <w:tcW w:w="1740" w:type="dxa"/>
            <w:tcBorders>
              <w:top w:val="single" w:sz="2" w:space="0" w:color="000000"/>
              <w:left w:val="single" w:sz="4" w:space="0" w:color="FFFFFF"/>
              <w:bottom w:val="single" w:sz="2" w:space="0" w:color="000000"/>
              <w:right w:val="nil"/>
            </w:tcBorders>
            <w:tcMar>
              <w:top w:w="0" w:type="dxa"/>
              <w:left w:w="0" w:type="dxa"/>
              <w:bottom w:w="0" w:type="dxa"/>
              <w:right w:w="0" w:type="dxa"/>
            </w:tcMar>
            <w:vAlign w:val="bottom"/>
          </w:tcPr>
          <w:p>
            <w:pPr>
              <w:pageBreakBefore w:val="0"/>
              <w:spacing w:before="0" w:after="0"/>
            </w:pP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8.946</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30.584</w:t>
            </w:r>
          </w:p>
        </w:tc>
        <w:tc>
          <w:tcPr>
            <w:tcW w:w="1005" w:type="dxa"/>
            <w:tcBorders>
              <w:top w:val="single" w:sz="2" w:space="0" w:color="000000"/>
              <w:left w:val="single" w:sz="8"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8"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No existen pagos de remuneraciones a los directores de la subsidiaria Transformadores Tusan S.A., ya que, de acuerdo a lo establecido en el Artículo N° 33 de la Ley N° 18.046 sobre Sociedades Anónimas, la Junta Ordinaria de Accionistas de esa Sociedad acordó no remunerar a sus directores.</w:t>
      </w:r>
    </w:p>
    <w:p>
      <w:pPr>
        <w:keepNext w:val="0"/>
        <w:keepLines/>
        <w:pageBreakBefore w:val="0"/>
        <w:widowControl w:val="0"/>
        <w:numPr>
          <w:ilvl w:val="0"/>
          <w:numId w:val="0"/>
        </w:numPr>
        <w:spacing w:before="0" w:after="0" w:line="288" w:lineRule="auto"/>
        <w:ind w:left="2119"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CGE Comercializadora SpA. no tiene Directorio como órgano administrador. En efecto, dicha sociedad posee un administrador quien, actuando por ésta, administra y representa a la Sociedad.</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Durante los periodos terminados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no se han pagado remuneraciones a los directores que representan al controlador, por renuncia expresa a ella.</w:t>
      </w:r>
    </w:p>
    <w:p>
      <w:pPr>
        <w:keepNext w:val="0"/>
        <w:keepLines/>
        <w:pageBreakBefore w:val="0"/>
        <w:widowControl w:val="0"/>
        <w:numPr>
          <w:ilvl w:val="0"/>
          <w:numId w:val="0"/>
        </w:numPr>
        <w:spacing w:before="0" w:after="0" w:line="288" w:lineRule="auto"/>
        <w:ind w:left="2119"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9.2.2.-</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 xml:space="preserve">Remuneración del equipo gerencial. </w:t>
      </w:r>
    </w:p>
    <w:p>
      <w:pPr>
        <w:keepNext w:val="0"/>
        <w:keepLines/>
        <w:pageBreakBefore w:val="0"/>
        <w:widowControl w:val="0"/>
        <w:numPr>
          <w:ilvl w:val="0"/>
          <w:numId w:val="0"/>
        </w:numPr>
        <w:spacing w:before="0" w:after="0" w:line="288" w:lineRule="auto"/>
        <w:ind w:left="141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212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No hay desembolsos por concepto de remuneraciones del equipo gerencial de la sociedad en los periodos terminados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212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Las remuneraciones con cargo a resultados del equipo gerencial de subsidiarias ascienden a     M$ </w:t>
      </w:r>
      <w:r>
        <w:rPr>
          <w:rFonts w:ascii="Calibri" w:eastAsia="Calibri" w:hAnsi="Calibri" w:cs="Calibri"/>
          <w:b w:val="0"/>
          <w:i w:val="0"/>
          <w:color w:val="000000"/>
          <w:sz w:val="20"/>
          <w:highlight w:val="yellow"/>
          <w:u w:val="none"/>
        </w:rPr>
        <w:t>174.882</w:t>
      </w:r>
      <w:r>
        <w:rPr>
          <w:rFonts w:ascii="Calibri" w:eastAsia="Calibri" w:hAnsi="Calibri" w:cs="Calibri"/>
          <w:b w:val="0"/>
          <w:i w:val="0"/>
          <w:color w:val="000000"/>
          <w:sz w:val="20"/>
          <w:u w:val="none"/>
        </w:rPr>
        <w:t xml:space="preserve">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(M$ 171.361 al </w:t>
      </w:r>
      <w:r>
        <w:rPr>
          <w:rFonts w:ascii="Calibri" w:eastAsia="Calibri" w:hAnsi="Calibri" w:cs="Calibri"/>
          <w:b w:val="0"/>
          <w:i w:val="0"/>
          <w:color w:val="000000"/>
          <w:sz w:val="20"/>
          <w:u w:val="none"/>
        </w:rPr>
        <w:t>30 de junio de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headerReference w:type="default" r:id="rId34"/>
          <w:footerReference w:type="default" r:id="rId35"/>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left"/>
        <w:outlineLvl w:val="0"/>
        <w:rPr>
          <w:rFonts w:ascii="Cambria" w:eastAsia="Cambria" w:hAnsi="Cambria" w:cs="Cambria"/>
          <w:b/>
          <w:i w:val="0"/>
          <w:color w:val="365F91"/>
          <w:sz w:val="28"/>
          <w:u w:val="none"/>
        </w:rPr>
      </w:pPr>
      <w:bookmarkStart w:id="127" w:name="Section67"/>
      <w:bookmarkEnd w:id="127"/>
      <w:bookmarkStart w:id="128" w:name="fed7216370d54f25a2dc52746b1977b7"/>
      <w:r>
        <w:rPr>
          <w:rFonts w:ascii="Calibri" w:eastAsia="Calibri" w:hAnsi="Calibri" w:cs="Calibri"/>
          <w:b/>
          <w:i w:val="0"/>
          <w:color w:val="000000"/>
          <w:sz w:val="20"/>
          <w:u w:val="none"/>
        </w:rPr>
        <w:t>10.-</w:t>
      </w:r>
      <w:r>
        <w:rPr>
          <w:rFonts w:ascii="Calibri" w:eastAsia="Calibri" w:hAnsi="Calibri" w:cs="Calibri"/>
          <w:b/>
          <w:i w:val="0"/>
          <w:color w:val="000000"/>
          <w:sz w:val="20"/>
          <w:u w:val="none"/>
        </w:rPr>
        <w:tab/>
      </w:r>
      <w:r>
        <w:rPr>
          <w:rFonts w:ascii="Calibri" w:eastAsia="Calibri" w:hAnsi="Calibri" w:cs="Calibri"/>
          <w:b/>
          <w:i w:val="0"/>
          <w:color w:val="000000"/>
          <w:sz w:val="20"/>
          <w:u w:val="none"/>
        </w:rPr>
        <w:t>INVENTARIOS.</w:t>
      </w:r>
    </w:p>
    <w:p>
      <w:pPr>
        <w:keepNext w:val="0"/>
        <w:keepLines/>
        <w:pageBreakBefore w:val="0"/>
        <w:widowControl w:val="0"/>
        <w:numPr>
          <w:ilvl w:val="0"/>
          <w:numId w:val="0"/>
        </w:numPr>
        <w:spacing w:before="0" w:after="0" w:line="288" w:lineRule="auto"/>
        <w:ind w:left="1410" w:right="0" w:firstLine="0"/>
        <w:jc w:val="both"/>
        <w:outlineLvl w:val="9"/>
        <w:rPr>
          <w:rFonts w:ascii="Calibri" w:eastAsia="Calibri" w:hAnsi="Calibri" w:cs="Calibri"/>
          <w:b w:val="0"/>
          <w:i w:val="0"/>
          <w:color w:val="000000"/>
          <w:sz w:val="20"/>
          <w:u w:val="none"/>
        </w:rPr>
      </w:pPr>
      <w:bookmarkEnd w:id="128"/>
    </w:p>
    <w:p>
      <w:pPr>
        <w:pStyle w:val="Normal-wk"/>
        <w:keepNext w:val="0"/>
        <w:keepLines/>
        <w:pageBreakBefore w:val="0"/>
        <w:widowControl w:val="0"/>
        <w:numPr>
          <w:ilvl w:val="0"/>
          <w:numId w:val="0"/>
        </w:numPr>
        <w:spacing w:before="0" w:after="0" w:line="240" w:lineRule="exact"/>
        <w:ind w:left="70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composición del rubro al </w:t>
      </w:r>
      <w:r>
        <w:rPr>
          <w:rFonts w:ascii="Calibri" w:eastAsia="Calibri" w:hAnsi="Calibri" w:cs="Calibri"/>
          <w:b w:val="0"/>
          <w:i w:val="0"/>
          <w:color w:val="000000"/>
          <w:sz w:val="20"/>
          <w:u w:val="none"/>
        </w:rPr>
        <w:t>30 de junio de 2026</w:t>
      </w:r>
      <w:r>
        <w:rPr>
          <w:rFonts w:ascii="Calibri" w:eastAsia="Calibri" w:hAnsi="Calibri" w:cs="Calibri"/>
          <w:b w:val="0"/>
          <w:i w:val="0"/>
          <w:sz w:val="20"/>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 xml:space="preserve"> es la siguiente: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9240"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220"/>
        <w:gridCol w:w="1005"/>
        <w:gridCol w:w="1005"/>
        <w:gridCol w:w="1005"/>
        <w:gridCol w:w="1005"/>
      </w:tblGrid>
      <w:tr>
        <w:tblPrEx>
          <w:tblW w:w="9240" w:type="dxa"/>
          <w:tblInd w:w="709" w:type="dxa"/>
          <w:tblLayout w:type="fixed"/>
        </w:tblPrEx>
        <w:trPr>
          <w:cantSplit/>
          <w:trHeight w:hRule="auto" w:val="0"/>
        </w:trPr>
        <w:tc>
          <w:tcPr>
            <w:tcW w:w="522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Clases de inventarios</w:t>
            </w:r>
          </w:p>
        </w:tc>
        <w:tc>
          <w:tcPr>
            <w:tcW w:w="2010"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Corriente</w:t>
            </w:r>
          </w:p>
        </w:tc>
        <w:tc>
          <w:tcPr>
            <w:tcW w:w="201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No corriente</w:t>
            </w:r>
          </w:p>
        </w:tc>
      </w:tr>
      <w:tr>
        <w:tblPrEx>
          <w:tblW w:w="9240" w:type="dxa"/>
          <w:tblInd w:w="709" w:type="dxa"/>
          <w:tblLayout w:type="fixed"/>
        </w:tblPrEx>
        <w:trPr>
          <w:cantSplit/>
          <w:trHeight w:hRule="auto" w:val="0"/>
        </w:trPr>
        <w:tc>
          <w:tcPr>
            <w:tcW w:w="5220" w:type="dxa"/>
            <w:vMerge/>
            <w:tcBorders>
              <w:top w:val="nil"/>
              <w:left w:val="single" w:sz="2" w:space="0" w:color="000000"/>
              <w:bottom w:val="nil"/>
              <w:right w:val="nil"/>
            </w:tcBorders>
          </w:tcPr>
          <w:p>
            <w:pPr>
              <w:keepNext/>
              <w:pageBreakBefore w:val="0"/>
            </w:pPr>
          </w:p>
        </w:tc>
        <w:tc>
          <w:tcPr>
            <w:tcW w:w="1005"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30-06-2026</w:t>
            </w:r>
          </w:p>
        </w:tc>
        <w:tc>
          <w:tcPr>
            <w:tcW w:w="1005" w:type="dxa"/>
            <w:tcBorders>
              <w:top w:val="single" w:sz="4" w:space="0" w:color="FFFFFF"/>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31-12-2025</w:t>
            </w:r>
          </w:p>
        </w:tc>
        <w:tc>
          <w:tcPr>
            <w:tcW w:w="1005"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30-06-2026</w:t>
            </w:r>
          </w:p>
        </w:tc>
        <w:tc>
          <w:tcPr>
            <w:tcW w:w="100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31-12-2025</w:t>
            </w:r>
          </w:p>
        </w:tc>
      </w:tr>
      <w:tr>
        <w:tblPrEx>
          <w:tblW w:w="9240" w:type="dxa"/>
          <w:tblInd w:w="709" w:type="dxa"/>
          <w:tblLayout w:type="fixed"/>
        </w:tblPrEx>
        <w:trPr>
          <w:cantSplit/>
          <w:trHeight w:hRule="auto" w:val="0"/>
        </w:trPr>
        <w:tc>
          <w:tcPr>
            <w:tcW w:w="5220" w:type="dxa"/>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r>
      <w:tr>
        <w:tblPrEx>
          <w:tblW w:w="9240" w:type="dxa"/>
          <w:tblInd w:w="709" w:type="dxa"/>
          <w:tblLayout w:type="fixed"/>
        </w:tblPrEx>
        <w:trPr>
          <w:cantSplit/>
          <w:trHeight w:hRule="auto" w:val="0"/>
        </w:trPr>
        <w:tc>
          <w:tcPr>
            <w:tcW w:w="5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Materias primas.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8.803.627</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9240" w:type="dxa"/>
          <w:tblInd w:w="709" w:type="dxa"/>
          <w:tblLayout w:type="fixed"/>
        </w:tblPrEx>
        <w:trPr>
          <w:cantSplit/>
          <w:trHeight w:hRule="auto" w:val="0"/>
        </w:trPr>
        <w:tc>
          <w:tcPr>
            <w:tcW w:w="5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Productos en proceso.</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991.866</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9240" w:type="dxa"/>
          <w:tblInd w:w="709" w:type="dxa"/>
          <w:tblLayout w:type="fixed"/>
        </w:tblPrEx>
        <w:trPr>
          <w:cantSplit/>
          <w:trHeight w:hRule="auto" w:val="0"/>
        </w:trPr>
        <w:tc>
          <w:tcPr>
            <w:tcW w:w="5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Mercaderías para la venta.</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3.492.531</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9240" w:type="dxa"/>
          <w:tblInd w:w="709" w:type="dxa"/>
          <w:tblLayout w:type="fixed"/>
        </w:tblPrEx>
        <w:trPr>
          <w:cantSplit/>
          <w:trHeight w:hRule="auto" w:val="0"/>
        </w:trPr>
        <w:tc>
          <w:tcPr>
            <w:tcW w:w="5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Mercaderías en tránsito.</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1.218.466</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9240" w:type="dxa"/>
          <w:tblInd w:w="709" w:type="dxa"/>
          <w:tblLayout w:type="fixed"/>
        </w:tblPrEx>
        <w:trPr>
          <w:cantSplit/>
          <w:trHeight w:hRule="auto" w:val="0"/>
        </w:trPr>
        <w:tc>
          <w:tcPr>
            <w:tcW w:w="5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Provisión de deterioro.</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(444.733)</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9240" w:type="dxa"/>
          <w:tblInd w:w="709" w:type="dxa"/>
          <w:tblLayout w:type="fixed"/>
        </w:tblPrEx>
        <w:trPr>
          <w:cantSplit/>
          <w:trHeight w:hRule="auto" w:val="0"/>
        </w:trPr>
        <w:tc>
          <w:tcPr>
            <w:tcW w:w="52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14.061.757</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r>
    </w:tbl>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Al </w:t>
      </w:r>
      <w:r>
        <w:rPr>
          <w:rFonts w:ascii="Calibri" w:eastAsia="Calibri" w:hAnsi="Calibri" w:cs="Calibri"/>
          <w:b w:val="0"/>
          <w:i w:val="0"/>
          <w:color w:val="000000"/>
          <w:sz w:val="20"/>
          <w:u w:val="none"/>
        </w:rPr>
        <w:t>30 de junio de 2026</w:t>
      </w:r>
      <w:r>
        <w:rPr>
          <w:rFonts w:ascii="Calibri" w:eastAsia="Calibri" w:hAnsi="Calibri" w:cs="Calibri"/>
          <w:b w:val="0"/>
          <w:i w:val="0"/>
          <w:sz w:val="20"/>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 xml:space="preserve"> no hay inventarios pignorados en garantía del cumplimiento de deudas contraídas.</w:t>
      </w: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129" w:name="Section68"/>
      <w:bookmarkEnd w:id="129"/>
      <w:bookmarkStart w:id="130" w:name="14125d8a0f9843bbb1cb6d952a1dabaf"/>
      <w:r>
        <w:rPr>
          <w:rFonts w:ascii="Calibri" w:eastAsia="Calibri" w:hAnsi="Calibri" w:cs="Calibri"/>
          <w:b/>
          <w:i w:val="0"/>
          <w:color w:val="000000"/>
          <w:sz w:val="20"/>
          <w:u w:val="none"/>
        </w:rPr>
        <w:t xml:space="preserve"> 10.1.-</w:t>
      </w:r>
      <w:r>
        <w:rPr>
          <w:rFonts w:ascii="Calibri" w:eastAsia="Calibri" w:hAnsi="Calibri" w:cs="Calibri"/>
          <w:b/>
          <w:i w:val="0"/>
          <w:color w:val="000000"/>
          <w:sz w:val="20"/>
          <w:u w:val="none"/>
        </w:rPr>
        <w:tab/>
      </w:r>
      <w:r>
        <w:rPr>
          <w:rFonts w:ascii="Calibri" w:eastAsia="Calibri" w:hAnsi="Calibri" w:cs="Calibri"/>
          <w:b/>
          <w:i w:val="0"/>
          <w:color w:val="000000"/>
          <w:sz w:val="20"/>
          <w:u w:val="none"/>
        </w:rPr>
        <w:t>Información adicional de inventarios.</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130"/>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530"/>
        <w:gridCol w:w="1005"/>
        <w:gridCol w:w="1005"/>
        <w:gridCol w:w="1005"/>
        <w:gridCol w:w="1005"/>
      </w:tblGrid>
      <w:tr>
        <w:tblPrEx>
          <w:tblW w:w="8550" w:type="dxa"/>
          <w:tblInd w:w="1417" w:type="dxa"/>
          <w:tblLayout w:type="fixed"/>
        </w:tblPrEx>
        <w:trPr>
          <w:cantSplit/>
          <w:trHeight w:hRule="auto" w:val="0"/>
        </w:trPr>
        <w:tc>
          <w:tcPr>
            <w:tcW w:w="453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Otra información de inventarios</w:t>
            </w:r>
          </w:p>
        </w:tc>
        <w:tc>
          <w:tcPr>
            <w:tcW w:w="4020" w:type="dxa"/>
            <w:gridSpan w:val="4"/>
            <w:tcBorders>
              <w:top w:val="single" w:sz="2" w:space="0" w:color="000000"/>
              <w:left w:val="nil"/>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Corrientes</w:t>
            </w:r>
          </w:p>
        </w:tc>
      </w:tr>
      <w:tr>
        <w:tblPrEx>
          <w:tblW w:w="8550" w:type="dxa"/>
          <w:tblInd w:w="1417" w:type="dxa"/>
          <w:tblLayout w:type="fixed"/>
        </w:tblPrEx>
        <w:trPr>
          <w:cantSplit/>
          <w:trHeight w:hRule="auto" w:val="0"/>
        </w:trPr>
        <w:tc>
          <w:tcPr>
            <w:tcW w:w="4530" w:type="dxa"/>
            <w:vMerge/>
            <w:tcBorders>
              <w:top w:val="nil"/>
              <w:left w:val="single" w:sz="2" w:space="0" w:color="000000"/>
              <w:bottom w:val="nil"/>
              <w:right w:val="nil"/>
            </w:tcBorders>
          </w:tcPr>
          <w:p>
            <w:pPr>
              <w:keepNext/>
              <w:pageBreakBefore w:val="0"/>
            </w:pPr>
          </w:p>
        </w:tc>
        <w:tc>
          <w:tcPr>
            <w:tcW w:w="1005" w:type="dxa"/>
            <w:tcBorders>
              <w:top w:val="single" w:sz="4" w:space="0" w:color="FFFFFF"/>
              <w:left w:val="single" w:sz="4" w:space="0" w:color="FFFFFF"/>
              <w:bottom w:val="nil"/>
              <w:right w:val="nil"/>
            </w:tcBorders>
            <w:tcMar>
              <w:top w:w="0" w:type="dxa"/>
              <w:left w:w="53" w:type="dxa"/>
              <w:bottom w:w="0" w:type="dxa"/>
              <w:right w:w="53" w:type="dxa"/>
            </w:tcMar>
            <w:vAlign w:val="bottom"/>
          </w:tcPr>
          <w:p>
            <w:pPr>
              <w:keepNext/>
              <w:pageBreakBefore w:val="0"/>
              <w:spacing w:before="23" w:after="20" w:line="240" w:lineRule="auto"/>
              <w:jc w:val="center"/>
            </w:pPr>
            <w:r>
              <w:rPr>
                <w:rFonts w:ascii="Calibri" w:eastAsia="Calibri" w:hAnsi="Calibri" w:cs="Calibri"/>
                <w:b/>
                <w:i w:val="0"/>
                <w:color w:val="FFFFFF"/>
                <w:sz w:val="16"/>
                <w:u w:val="none"/>
              </w:rPr>
              <w:t>01-01-2026</w:t>
            </w:r>
          </w:p>
        </w:tc>
        <w:tc>
          <w:tcPr>
            <w:tcW w:w="1005" w:type="dxa"/>
            <w:tcBorders>
              <w:top w:val="single" w:sz="4" w:space="0" w:color="FFFFFF"/>
              <w:left w:val="single" w:sz="4" w:space="0" w:color="FFFFFF"/>
              <w:bottom w:val="nil"/>
              <w:right w:val="nil"/>
            </w:tcBorders>
            <w:tcMar>
              <w:top w:w="0" w:type="dxa"/>
              <w:left w:w="53" w:type="dxa"/>
              <w:bottom w:w="0" w:type="dxa"/>
              <w:right w:w="53" w:type="dxa"/>
            </w:tcMar>
            <w:vAlign w:val="bottom"/>
          </w:tcPr>
          <w:p>
            <w:pPr>
              <w:keepNext/>
              <w:pageBreakBefore w:val="0"/>
              <w:spacing w:before="23" w:after="20" w:line="240" w:lineRule="auto"/>
              <w:jc w:val="center"/>
            </w:pPr>
            <w:r>
              <w:rPr>
                <w:rFonts w:ascii="Calibri" w:eastAsia="Calibri" w:hAnsi="Calibri" w:cs="Calibri"/>
                <w:b/>
                <w:i w:val="0"/>
                <w:color w:val="FFFFFF"/>
                <w:sz w:val="16"/>
                <w:u w:val="none"/>
              </w:rPr>
              <w:t>01-01-2025</w:t>
            </w:r>
          </w:p>
        </w:tc>
        <w:tc>
          <w:tcPr>
            <w:tcW w:w="1005" w:type="dxa"/>
            <w:tcBorders>
              <w:top w:val="single" w:sz="8" w:space="0" w:color="FFFFFF"/>
              <w:left w:val="single" w:sz="2" w:space="0" w:color="000000"/>
              <w:bottom w:val="nil"/>
              <w:right w:val="nil"/>
            </w:tcBorders>
            <w:tcMar>
              <w:top w:w="0" w:type="dxa"/>
              <w:left w:w="53" w:type="dxa"/>
              <w:bottom w:w="0" w:type="dxa"/>
              <w:right w:w="53" w:type="dxa"/>
            </w:tcMar>
            <w:vAlign w:val="bottom"/>
          </w:tcPr>
          <w:p>
            <w:pPr>
              <w:keepNext/>
              <w:pageBreakBefore w:val="0"/>
              <w:spacing w:before="23" w:after="20" w:line="240" w:lineRule="auto"/>
              <w:jc w:val="center"/>
            </w:pPr>
            <w:r>
              <w:rPr>
                <w:rFonts w:ascii="Calibri" w:eastAsia="Calibri" w:hAnsi="Calibri" w:cs="Calibri"/>
                <w:b/>
                <w:i w:val="0"/>
                <w:color w:val="FFFFFF"/>
                <w:sz w:val="16"/>
                <w:u w:val="none"/>
              </w:rPr>
              <w:t>01-04-2026</w:t>
            </w:r>
          </w:p>
        </w:tc>
        <w:tc>
          <w:tcPr>
            <w:tcW w:w="1005" w:type="dxa"/>
            <w:tcBorders>
              <w:top w:val="single" w:sz="8" w:space="0" w:color="FFFFFF"/>
              <w:left w:val="single" w:sz="8" w:space="0" w:color="FFFFFF"/>
              <w:bottom w:val="nil"/>
              <w:right w:val="single" w:sz="2" w:space="0" w:color="000000"/>
            </w:tcBorders>
            <w:tcMar>
              <w:top w:w="0" w:type="dxa"/>
              <w:left w:w="53" w:type="dxa"/>
              <w:bottom w:w="0" w:type="dxa"/>
              <w:right w:w="53" w:type="dxa"/>
            </w:tcMar>
            <w:vAlign w:val="bottom"/>
          </w:tcPr>
          <w:p>
            <w:pPr>
              <w:keepNext/>
              <w:pageBreakBefore w:val="0"/>
              <w:spacing w:before="23" w:after="20" w:line="240" w:lineRule="auto"/>
              <w:jc w:val="center"/>
            </w:pPr>
            <w:r>
              <w:rPr>
                <w:rFonts w:ascii="Calibri" w:eastAsia="Calibri" w:hAnsi="Calibri" w:cs="Calibri"/>
                <w:b/>
                <w:i w:val="0"/>
                <w:color w:val="FFFFFF"/>
                <w:sz w:val="16"/>
                <w:u w:val="none"/>
              </w:rPr>
              <w:t>01-04-2025</w:t>
            </w:r>
          </w:p>
        </w:tc>
      </w:tr>
      <w:tr>
        <w:tblPrEx>
          <w:tblW w:w="8550" w:type="dxa"/>
          <w:tblInd w:w="1417" w:type="dxa"/>
          <w:tblLayout w:type="fixed"/>
        </w:tblPrEx>
        <w:trPr>
          <w:cantSplit/>
          <w:trHeight w:hRule="auto" w:val="0"/>
        </w:trPr>
        <w:tc>
          <w:tcPr>
            <w:tcW w:w="4530" w:type="dxa"/>
            <w:vMerge/>
            <w:tcBorders>
              <w:top w:val="nil"/>
              <w:left w:val="single" w:sz="2" w:space="0" w:color="000000"/>
              <w:bottom w:val="nil"/>
              <w:right w:val="nil"/>
            </w:tcBorders>
          </w:tcPr>
          <w:p>
            <w:pPr>
              <w:keepNext/>
              <w:pageBreakBefore w:val="0"/>
            </w:pPr>
          </w:p>
        </w:tc>
        <w:tc>
          <w:tcPr>
            <w:tcW w:w="1005"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30-06-2026</w:t>
            </w:r>
          </w:p>
        </w:tc>
        <w:tc>
          <w:tcPr>
            <w:tcW w:w="1005"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30-06-2025</w:t>
            </w:r>
          </w:p>
        </w:tc>
        <w:tc>
          <w:tcPr>
            <w:tcW w:w="1005" w:type="dxa"/>
            <w:tcBorders>
              <w:top w:val="nil"/>
              <w:left w:val="single" w:sz="2" w:space="0" w:color="000000"/>
              <w:bottom w:val="nil"/>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30-06-2026</w:t>
            </w:r>
          </w:p>
        </w:tc>
        <w:tc>
          <w:tcPr>
            <w:tcW w:w="1005" w:type="dxa"/>
            <w:tcBorders>
              <w:top w:val="nil"/>
              <w:left w:val="single" w:sz="8" w:space="0" w:color="FFFFFF"/>
              <w:bottom w:val="nil"/>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30-06-2025</w:t>
            </w:r>
          </w:p>
        </w:tc>
      </w:tr>
      <w:tr>
        <w:tblPrEx>
          <w:tblW w:w="8550" w:type="dxa"/>
          <w:tblInd w:w="1417" w:type="dxa"/>
          <w:tblLayout w:type="fixed"/>
        </w:tblPrEx>
        <w:trPr>
          <w:cantSplit/>
          <w:trHeight w:hRule="auto" w:val="0"/>
        </w:trPr>
        <w:tc>
          <w:tcPr>
            <w:tcW w:w="4530" w:type="dxa"/>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1005" w:type="dxa"/>
            <w:tcBorders>
              <w:top w:val="nil"/>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1005" w:type="dxa"/>
            <w:tcBorders>
              <w:top w:val="nil"/>
              <w:left w:val="single" w:sz="8" w:space="0" w:color="FFFFFF"/>
              <w:bottom w:val="single" w:sz="2" w:space="0" w:color="000000"/>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auto" w:val="0"/>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Importe de reversiones de rebajas de importes de inventarios.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25.062</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(26.367)</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97.888</w:t>
            </w:r>
          </w:p>
        </w:tc>
      </w:tr>
      <w:tr>
        <w:tblPrEx>
          <w:tblW w:w="8550" w:type="dxa"/>
          <w:tblInd w:w="1417" w:type="dxa"/>
          <w:tblLayout w:type="fixed"/>
        </w:tblPrEx>
        <w:trPr>
          <w:cantSplit/>
          <w:trHeight w:hRule="auto" w:val="0"/>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6"/>
                <w:u w:val="none"/>
              </w:rPr>
              <w:t>Costos de inventarios reconocidos como gastos durante el periodo o ejercicio.</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6"/>
                <w:u w:val="none"/>
              </w:rPr>
              <w:t>(5.976.291)</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6"/>
                <w:u w:val="none"/>
              </w:rPr>
              <w:t>1.065.325</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6"/>
                <w:u w:val="none"/>
              </w:rPr>
              <w:t>(14.183.586)</w:t>
            </w:r>
          </w:p>
        </w:tc>
      </w:tr>
    </w:tbl>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reversiones, en caso de existir, están dadas por liquidaciones de inventarios y reversos de la provisión por deterioro dado por el incremento en el valor neto realizable.</w:t>
      </w: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1-wk"/>
        <w:keepNext w:val="0"/>
        <w:keepLines/>
        <w:pageBreakBefore w:val="0"/>
        <w:widowControl w:val="0"/>
        <w:numPr>
          <w:ilvl w:val="0"/>
          <w:numId w:val="0"/>
        </w:numPr>
        <w:spacing w:before="0" w:after="0" w:line="288" w:lineRule="auto"/>
        <w:ind w:left="0" w:right="0" w:firstLine="0"/>
        <w:jc w:val="left"/>
        <w:outlineLvl w:val="0"/>
        <w:rPr>
          <w:rFonts w:ascii="Cambria" w:eastAsia="Cambria" w:hAnsi="Cambria" w:cs="Cambria"/>
          <w:b/>
          <w:i w:val="0"/>
          <w:color w:val="365F91"/>
          <w:sz w:val="28"/>
          <w:u w:val="none"/>
        </w:rPr>
      </w:pPr>
      <w:bookmarkStart w:id="131" w:name="Section69"/>
      <w:bookmarkEnd w:id="131"/>
      <w:bookmarkStart w:id="132" w:name="886d675eadda4d08a0d40676ae3c553b"/>
      <w:r>
        <w:rPr>
          <w:rFonts w:ascii="Calibri" w:eastAsia="Calibri" w:hAnsi="Calibri" w:cs="Calibri"/>
          <w:b/>
          <w:i w:val="0"/>
          <w:color w:val="000000"/>
          <w:sz w:val="20"/>
          <w:u w:val="none"/>
        </w:rPr>
        <w:t>11.-</w:t>
      </w:r>
      <w:r>
        <w:rPr>
          <w:rFonts w:ascii="Calibri" w:eastAsia="Calibri" w:hAnsi="Calibri" w:cs="Calibri"/>
          <w:b/>
          <w:i w:val="0"/>
          <w:color w:val="000000"/>
          <w:sz w:val="20"/>
          <w:u w:val="none"/>
        </w:rPr>
        <w:tab/>
      </w:r>
      <w:r>
        <w:rPr>
          <w:rFonts w:ascii="Calibri" w:eastAsia="Calibri" w:hAnsi="Calibri" w:cs="Calibri"/>
          <w:b/>
          <w:i w:val="0"/>
          <w:color w:val="000000"/>
          <w:sz w:val="20"/>
          <w:u w:val="none"/>
        </w:rPr>
        <w:t>ACTIVOS, PASIVOS POR IMPUESTOS.</w:t>
      </w:r>
    </w:p>
    <w:p>
      <w:pPr>
        <w:keepNext w:val="0"/>
        <w:keepLines/>
        <w:pageBreakBefore w:val="0"/>
        <w:widowControl w:val="0"/>
        <w:numPr>
          <w:ilvl w:val="0"/>
          <w:numId w:val="0"/>
        </w:numPr>
        <w:spacing w:before="0" w:after="0" w:line="288" w:lineRule="auto"/>
        <w:ind w:left="708" w:right="0" w:firstLine="0"/>
        <w:jc w:val="both"/>
        <w:outlineLvl w:val="9"/>
        <w:rPr>
          <w:rFonts w:ascii="Calibri" w:eastAsia="Calibri" w:hAnsi="Calibri" w:cs="Calibri"/>
          <w:b w:val="0"/>
          <w:i w:val="0"/>
          <w:color w:val="000000"/>
          <w:sz w:val="20"/>
          <w:u w:val="none"/>
        </w:rPr>
      </w:pPr>
      <w:bookmarkEnd w:id="132"/>
    </w:p>
    <w:p>
      <w:pPr>
        <w:pStyle w:val="Normal-wk"/>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detalle de este rubro es el siguiente al </w:t>
      </w:r>
      <w:r>
        <w:rPr>
          <w:rFonts w:ascii="Calibri" w:eastAsia="Calibri" w:hAnsi="Calibri" w:cs="Calibri"/>
          <w:b w:val="0"/>
          <w:i w:val="0"/>
          <w:color w:val="000000"/>
          <w:sz w:val="20"/>
          <w:u w:val="none"/>
        </w:rPr>
        <w:t>30 de junio de 2026</w:t>
      </w:r>
      <w:r>
        <w:rPr>
          <w:rFonts w:ascii="Calibri" w:eastAsia="Calibri" w:hAnsi="Calibri" w:cs="Calibri"/>
          <w:b w:val="0"/>
          <w:i w:val="0"/>
          <w:sz w:val="20"/>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9255"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235"/>
        <w:gridCol w:w="1005"/>
        <w:gridCol w:w="1005"/>
        <w:gridCol w:w="1005"/>
        <w:gridCol w:w="1005"/>
      </w:tblGrid>
      <w:tr>
        <w:tblPrEx>
          <w:tblW w:w="9255" w:type="dxa"/>
          <w:tblInd w:w="709" w:type="dxa"/>
          <w:tblLayout w:type="fixed"/>
        </w:tblPrEx>
        <w:trPr>
          <w:cantSplit/>
          <w:trHeight w:hRule="auto" w:val="0"/>
        </w:trPr>
        <w:tc>
          <w:tcPr>
            <w:tcW w:w="5235"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Activos, pasivos por impuestos</w:t>
            </w:r>
          </w:p>
        </w:tc>
        <w:tc>
          <w:tcPr>
            <w:tcW w:w="2010"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Corrientes</w:t>
            </w:r>
          </w:p>
        </w:tc>
        <w:tc>
          <w:tcPr>
            <w:tcW w:w="201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No corrientes</w:t>
            </w:r>
          </w:p>
        </w:tc>
      </w:tr>
      <w:tr>
        <w:tblPrEx>
          <w:tblW w:w="9255" w:type="dxa"/>
          <w:tblInd w:w="709" w:type="dxa"/>
          <w:tblLayout w:type="fixed"/>
        </w:tblPrEx>
        <w:trPr>
          <w:cantSplit/>
          <w:trHeight w:hRule="auto" w:val="0"/>
        </w:trPr>
        <w:tc>
          <w:tcPr>
            <w:tcW w:w="5235" w:type="dxa"/>
            <w:vMerge/>
            <w:tcBorders>
              <w:top w:val="nil"/>
              <w:left w:val="single" w:sz="2" w:space="0" w:color="000000"/>
              <w:bottom w:val="nil"/>
              <w:right w:val="nil"/>
            </w:tcBorders>
          </w:tcPr>
          <w:p>
            <w:pPr>
              <w:keepNext/>
              <w:pageBreakBefore w:val="0"/>
            </w:pPr>
          </w:p>
        </w:tc>
        <w:tc>
          <w:tcPr>
            <w:tcW w:w="1005"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30-06-2026</w:t>
            </w:r>
          </w:p>
        </w:tc>
        <w:tc>
          <w:tcPr>
            <w:tcW w:w="1005" w:type="dxa"/>
            <w:tcBorders>
              <w:top w:val="single" w:sz="4" w:space="0" w:color="FFFFFF"/>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31-12-2025</w:t>
            </w:r>
          </w:p>
        </w:tc>
        <w:tc>
          <w:tcPr>
            <w:tcW w:w="1005"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30-06-2026</w:t>
            </w:r>
          </w:p>
        </w:tc>
        <w:tc>
          <w:tcPr>
            <w:tcW w:w="100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31-12-2025</w:t>
            </w:r>
          </w:p>
        </w:tc>
      </w:tr>
      <w:tr>
        <w:tblPrEx>
          <w:tblW w:w="9255" w:type="dxa"/>
          <w:tblInd w:w="709" w:type="dxa"/>
          <w:tblLayout w:type="fixed"/>
        </w:tblPrEx>
        <w:trPr>
          <w:cantSplit/>
          <w:trHeight w:hRule="auto" w:val="0"/>
        </w:trPr>
        <w:tc>
          <w:tcPr>
            <w:tcW w:w="5235" w:type="dxa"/>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r>
      <w:tr>
        <w:tblPrEx>
          <w:tblW w:w="9255" w:type="dxa"/>
          <w:tblInd w:w="709" w:type="dxa"/>
          <w:tblLayout w:type="fixed"/>
        </w:tblPrEx>
        <w:trPr>
          <w:cantSplit/>
          <w:trHeight w:hRule="exact" w:val="60"/>
        </w:trPr>
        <w:tc>
          <w:tcPr>
            <w:tcW w:w="52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255" w:type="dxa"/>
          <w:tblInd w:w="709" w:type="dxa"/>
          <w:tblLayout w:type="fixed"/>
        </w:tblPrEx>
        <w:trPr>
          <w:cantSplit/>
          <w:trHeight w:hRule="auto" w:val="0"/>
        </w:trPr>
        <w:tc>
          <w:tcPr>
            <w:tcW w:w="52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Activos por impuestos</w:t>
            </w:r>
          </w:p>
        </w:tc>
        <w:tc>
          <w:tcPr>
            <w:tcW w:w="100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255" w:type="dxa"/>
          <w:tblInd w:w="709" w:type="dxa"/>
          <w:tblLayout w:type="fixed"/>
        </w:tblPrEx>
        <w:trPr>
          <w:cantSplit/>
          <w:trHeight w:hRule="auto" w:val="0"/>
        </w:trPr>
        <w:tc>
          <w:tcPr>
            <w:tcW w:w="52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Pagos provisionales mensuales.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5.062.818</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9255" w:type="dxa"/>
          <w:tblInd w:w="709" w:type="dxa"/>
          <w:tblLayout w:type="fixed"/>
        </w:tblPrEx>
        <w:trPr>
          <w:cantSplit/>
          <w:trHeight w:hRule="auto" w:val="0"/>
        </w:trPr>
        <w:tc>
          <w:tcPr>
            <w:tcW w:w="52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Impuestos por recuperar ejercicios anteriores.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2.327</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9255" w:type="dxa"/>
          <w:tblInd w:w="709" w:type="dxa"/>
          <w:tblLayout w:type="fixed"/>
        </w:tblPrEx>
        <w:trPr>
          <w:cantSplit/>
          <w:trHeight w:hRule="auto" w:val="0"/>
        </w:trPr>
        <w:tc>
          <w:tcPr>
            <w:tcW w:w="52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Créditos al impuesto.</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26.600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9255" w:type="dxa"/>
          <w:tblInd w:w="709" w:type="dxa"/>
          <w:tblLayout w:type="fixed"/>
        </w:tblPrEx>
        <w:trPr>
          <w:cantSplit/>
          <w:trHeight w:hRule="auto" w:val="0"/>
        </w:trPr>
        <w:tc>
          <w:tcPr>
            <w:tcW w:w="52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Subtotal activos por impuestos</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5.091.745</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r>
      <w:tr>
        <w:tblPrEx>
          <w:tblW w:w="9255" w:type="dxa"/>
          <w:tblInd w:w="709" w:type="dxa"/>
          <w:tblLayout w:type="fixed"/>
        </w:tblPrEx>
        <w:trPr>
          <w:cantSplit/>
          <w:trHeight w:hRule="auto" w:val="0"/>
        </w:trPr>
        <w:tc>
          <w:tcPr>
            <w:tcW w:w="52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255" w:type="dxa"/>
          <w:tblInd w:w="709" w:type="dxa"/>
          <w:tblLayout w:type="fixed"/>
        </w:tblPrEx>
        <w:trPr>
          <w:cantSplit/>
          <w:trHeight w:hRule="auto" w:val="0"/>
        </w:trPr>
        <w:tc>
          <w:tcPr>
            <w:tcW w:w="52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Pasivos por impuestos</w:t>
            </w:r>
          </w:p>
        </w:tc>
        <w:tc>
          <w:tcPr>
            <w:tcW w:w="100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255" w:type="dxa"/>
          <w:tblInd w:w="709" w:type="dxa"/>
          <w:tblLayout w:type="fixed"/>
        </w:tblPrEx>
        <w:trPr>
          <w:cantSplit/>
          <w:trHeight w:hRule="exact" w:val="255"/>
        </w:trPr>
        <w:tc>
          <w:tcPr>
            <w:tcW w:w="52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48" w:after="30" w:line="240" w:lineRule="auto"/>
              <w:jc w:val="left"/>
            </w:pPr>
            <w:r>
              <w:rPr>
                <w:rFonts w:ascii="Calibri" w:eastAsia="Calibri" w:hAnsi="Calibri" w:cs="Calibri"/>
                <w:b w:val="0"/>
                <w:i w:val="0"/>
                <w:color w:val="000000"/>
                <w:sz w:val="16"/>
                <w:u w:val="none"/>
              </w:rPr>
              <w:t>Impuesto a la renta de primera categoría.</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val="0"/>
                <w:i w:val="0"/>
                <w:color w:val="000000"/>
                <w:sz w:val="16"/>
                <w:u w:val="none"/>
              </w:rPr>
              <w:t>(11.205.960)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48" w:after="30" w:line="240" w:lineRule="auto"/>
              <w:jc w:val="right"/>
            </w:pPr>
          </w:p>
        </w:tc>
      </w:tr>
      <w:tr>
        <w:tblPrEx>
          <w:tblW w:w="9255" w:type="dxa"/>
          <w:tblInd w:w="709" w:type="dxa"/>
          <w:tblLayout w:type="fixed"/>
        </w:tblPrEx>
        <w:trPr>
          <w:cantSplit/>
          <w:trHeight w:hRule="auto" w:val="0"/>
        </w:trPr>
        <w:tc>
          <w:tcPr>
            <w:tcW w:w="52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Subtotal pasivos por impuestos</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(11.205.960)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r>
      <w:tr>
        <w:tblPrEx>
          <w:tblW w:w="9255" w:type="dxa"/>
          <w:tblInd w:w="709" w:type="dxa"/>
          <w:tblLayout w:type="fixed"/>
        </w:tblPrEx>
        <w:trPr>
          <w:cantSplit/>
          <w:trHeight w:hRule="auto" w:val="0"/>
        </w:trPr>
        <w:tc>
          <w:tcPr>
            <w:tcW w:w="52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255" w:type="dxa"/>
          <w:tblInd w:w="709" w:type="dxa"/>
          <w:tblLayout w:type="fixed"/>
        </w:tblPrEx>
        <w:trPr>
          <w:cantSplit/>
          <w:trHeight w:hRule="auto" w:val="0"/>
        </w:trPr>
        <w:tc>
          <w:tcPr>
            <w:tcW w:w="52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 activos (pasivos) por impuestos</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(6.114.215)</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r>
    </w:tbl>
    <w:p>
      <w:pPr>
        <w:keepNext w:val="0"/>
        <w:keepLines/>
        <w:pageBreakBefore w:val="0"/>
        <w:widowControl w:val="0"/>
        <w:numPr>
          <w:ilvl w:val="0"/>
          <w:numId w:val="0"/>
        </w:numPr>
        <w:spacing w:before="0" w:after="0" w:line="288" w:lineRule="auto"/>
        <w:ind w:left="0" w:right="0" w:firstLine="72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720"/>
        <w:jc w:val="both"/>
        <w:outlineLvl w:val="9"/>
        <w:rPr>
          <w:rFonts w:ascii="Calibri" w:eastAsia="Calibri" w:hAnsi="Calibri" w:cs="Calibri"/>
          <w:b w:val="0"/>
          <w:i w:val="0"/>
          <w:color w:val="000000"/>
          <w:sz w:val="20"/>
          <w:u w:val="none"/>
        </w:rPr>
        <w:sectPr>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left"/>
        <w:outlineLvl w:val="0"/>
        <w:rPr>
          <w:rFonts w:ascii="Cambria" w:eastAsia="Cambria" w:hAnsi="Cambria" w:cs="Cambria"/>
          <w:b/>
          <w:i w:val="0"/>
          <w:color w:val="365F91"/>
          <w:sz w:val="28"/>
          <w:u w:val="none"/>
        </w:rPr>
      </w:pPr>
      <w:bookmarkStart w:id="133" w:name="Section70"/>
      <w:bookmarkEnd w:id="133"/>
      <w:bookmarkStart w:id="134" w:name="837d9131da8141c5939adeb314f42d40"/>
      <w:r>
        <w:rPr>
          <w:rFonts w:ascii="Calibri" w:eastAsia="Calibri" w:hAnsi="Calibri" w:cs="Calibri"/>
          <w:b/>
          <w:i w:val="0"/>
          <w:color w:val="000000"/>
          <w:sz w:val="20"/>
          <w:u w:val="none"/>
        </w:rPr>
        <w:t>12.-</w:t>
      </w:r>
      <w:r>
        <w:rPr>
          <w:rFonts w:ascii="Calibri" w:eastAsia="Calibri" w:hAnsi="Calibri" w:cs="Calibri"/>
          <w:b/>
          <w:i w:val="0"/>
          <w:color w:val="000000"/>
          <w:sz w:val="20"/>
          <w:u w:val="none"/>
        </w:rPr>
        <w:tab/>
      </w:r>
      <w:r>
        <w:rPr>
          <w:rFonts w:ascii="Calibri" w:eastAsia="Calibri" w:hAnsi="Calibri" w:cs="Calibri"/>
          <w:b/>
          <w:i w:val="0"/>
          <w:color w:val="000000"/>
          <w:sz w:val="20"/>
          <w:u w:val="none"/>
        </w:rPr>
        <w:t>OTROS ACTIVOS NO FINANCIEROS.</w:t>
      </w:r>
    </w:p>
    <w:p>
      <w:pPr>
        <w:keepNext w:val="0"/>
        <w:keepLines/>
        <w:pageBreakBefore w:val="0"/>
        <w:widowControl w:val="0"/>
        <w:numPr>
          <w:ilvl w:val="0"/>
          <w:numId w:val="0"/>
        </w:numPr>
        <w:spacing w:before="0" w:after="0" w:line="288" w:lineRule="auto"/>
        <w:ind w:left="708" w:right="0" w:firstLine="0"/>
        <w:jc w:val="both"/>
        <w:outlineLvl w:val="9"/>
        <w:rPr>
          <w:rFonts w:ascii="Calibri" w:eastAsia="Calibri" w:hAnsi="Calibri" w:cs="Calibri"/>
          <w:b w:val="0"/>
          <w:i w:val="0"/>
          <w:color w:val="000000"/>
          <w:sz w:val="20"/>
          <w:u w:val="none"/>
        </w:rPr>
      </w:pPr>
      <w:bookmarkEnd w:id="134"/>
    </w:p>
    <w:p>
      <w:pPr>
        <w:pStyle w:val="Normal-wk"/>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detalle de este rubro es el siguiente al </w:t>
      </w:r>
      <w:r>
        <w:rPr>
          <w:rFonts w:ascii="Calibri" w:eastAsia="Calibri" w:hAnsi="Calibri" w:cs="Calibri"/>
          <w:b w:val="0"/>
          <w:i w:val="0"/>
          <w:color w:val="000000"/>
          <w:sz w:val="20"/>
          <w:u w:val="none"/>
        </w:rPr>
        <w:t>30 de junio de 2026</w:t>
      </w:r>
      <w:r>
        <w:rPr>
          <w:rFonts w:ascii="Calibri" w:eastAsia="Calibri" w:hAnsi="Calibri" w:cs="Calibri"/>
          <w:b w:val="0"/>
          <w:i w:val="0"/>
          <w:sz w:val="20"/>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9255"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235"/>
        <w:gridCol w:w="1005"/>
        <w:gridCol w:w="1005"/>
        <w:gridCol w:w="1005"/>
        <w:gridCol w:w="1005"/>
      </w:tblGrid>
      <w:tr>
        <w:tblPrEx>
          <w:tblW w:w="9255" w:type="dxa"/>
          <w:tblInd w:w="709" w:type="dxa"/>
          <w:tblLayout w:type="fixed"/>
        </w:tblPrEx>
        <w:trPr>
          <w:cantSplit/>
          <w:trHeight w:hRule="auto" w:val="0"/>
        </w:trPr>
        <w:tc>
          <w:tcPr>
            <w:tcW w:w="5235"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Otros activos no financieros</w:t>
            </w:r>
          </w:p>
        </w:tc>
        <w:tc>
          <w:tcPr>
            <w:tcW w:w="2010"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Corrientes</w:t>
            </w:r>
          </w:p>
        </w:tc>
        <w:tc>
          <w:tcPr>
            <w:tcW w:w="201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No corrientes</w:t>
            </w:r>
          </w:p>
        </w:tc>
      </w:tr>
      <w:tr>
        <w:tblPrEx>
          <w:tblW w:w="9255" w:type="dxa"/>
          <w:tblInd w:w="709" w:type="dxa"/>
          <w:tblLayout w:type="fixed"/>
        </w:tblPrEx>
        <w:trPr>
          <w:cantSplit/>
          <w:trHeight w:hRule="auto" w:val="0"/>
        </w:trPr>
        <w:tc>
          <w:tcPr>
            <w:tcW w:w="5235" w:type="dxa"/>
            <w:vMerge/>
            <w:tcBorders>
              <w:top w:val="nil"/>
              <w:left w:val="single" w:sz="2" w:space="0" w:color="000000"/>
              <w:bottom w:val="nil"/>
              <w:right w:val="nil"/>
            </w:tcBorders>
          </w:tcPr>
          <w:p>
            <w:pPr>
              <w:keepNext/>
              <w:pageBreakBefore w:val="0"/>
            </w:pPr>
          </w:p>
        </w:tc>
        <w:tc>
          <w:tcPr>
            <w:tcW w:w="1005"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30-06-2026</w:t>
            </w:r>
          </w:p>
        </w:tc>
        <w:tc>
          <w:tcPr>
            <w:tcW w:w="1005" w:type="dxa"/>
            <w:tcBorders>
              <w:top w:val="single" w:sz="4" w:space="0" w:color="FFFFFF"/>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31-12-2025</w:t>
            </w:r>
          </w:p>
        </w:tc>
        <w:tc>
          <w:tcPr>
            <w:tcW w:w="1005"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30-06-2026</w:t>
            </w:r>
          </w:p>
        </w:tc>
        <w:tc>
          <w:tcPr>
            <w:tcW w:w="100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31-12-2025</w:t>
            </w:r>
          </w:p>
        </w:tc>
      </w:tr>
      <w:tr>
        <w:tblPrEx>
          <w:tblW w:w="9255" w:type="dxa"/>
          <w:tblInd w:w="709" w:type="dxa"/>
          <w:tblLayout w:type="fixed"/>
        </w:tblPrEx>
        <w:trPr>
          <w:cantSplit/>
          <w:trHeight w:hRule="auto" w:val="0"/>
        </w:trPr>
        <w:tc>
          <w:tcPr>
            <w:tcW w:w="5235" w:type="dxa"/>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r>
      <w:tr>
        <w:tblPrEx>
          <w:tblW w:w="9255" w:type="dxa"/>
          <w:tblInd w:w="709" w:type="dxa"/>
          <w:tblLayout w:type="fixed"/>
        </w:tblPrEx>
        <w:trPr>
          <w:cantSplit/>
          <w:trHeight w:hRule="auto" w:val="0"/>
        </w:trPr>
        <w:tc>
          <w:tcPr>
            <w:tcW w:w="52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Gastos pagados por anticipado.</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1.632.487</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9255" w:type="dxa"/>
          <w:tblInd w:w="709" w:type="dxa"/>
          <w:tblLayout w:type="fixed"/>
        </w:tblPrEx>
        <w:trPr>
          <w:cantSplit/>
          <w:trHeight w:hRule="auto" w:val="0"/>
        </w:trPr>
        <w:tc>
          <w:tcPr>
            <w:tcW w:w="52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Boletas en garantía.</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32.538</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9255" w:type="dxa"/>
          <w:tblInd w:w="709" w:type="dxa"/>
          <w:tblLayout w:type="fixed"/>
        </w:tblPrEx>
        <w:trPr>
          <w:cantSplit/>
          <w:trHeight w:hRule="auto" w:val="0"/>
        </w:trPr>
        <w:tc>
          <w:tcPr>
            <w:tcW w:w="52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1.665.025</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70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gastos pagados por anticipado corresponden principalmente a seguros pagados por anticipado.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40" w:lineRule="exact"/>
        <w:ind w:left="0" w:right="0" w:firstLine="0"/>
        <w:jc w:val="left"/>
        <w:outlineLvl w:val="0"/>
        <w:rPr>
          <w:rFonts w:ascii="Cambria" w:eastAsia="Cambria" w:hAnsi="Cambria" w:cs="Cambria"/>
          <w:b/>
          <w:i w:val="0"/>
          <w:color w:val="365F91"/>
          <w:sz w:val="28"/>
          <w:u w:val="none"/>
        </w:rPr>
      </w:pPr>
      <w:bookmarkStart w:id="135" w:name="Section71"/>
      <w:bookmarkEnd w:id="135"/>
      <w:bookmarkStart w:id="136" w:name="325788ffb94e41f19151e6075618a851"/>
      <w:r>
        <w:rPr>
          <w:rFonts w:ascii="Calibri" w:eastAsia="Calibri" w:hAnsi="Calibri" w:cs="Calibri"/>
          <w:b/>
          <w:i w:val="0"/>
          <w:color w:val="000000"/>
          <w:sz w:val="20"/>
          <w:u w:val="none"/>
        </w:rPr>
        <w:t>13.-</w:t>
      </w:r>
      <w:r>
        <w:rPr>
          <w:rFonts w:ascii="Calibri" w:eastAsia="Calibri" w:hAnsi="Calibri" w:cs="Calibri"/>
          <w:b/>
          <w:i w:val="0"/>
          <w:color w:val="000000"/>
          <w:sz w:val="20"/>
          <w:u w:val="none"/>
        </w:rPr>
        <w:tab/>
      </w:r>
      <w:r>
        <w:rPr>
          <w:rFonts w:ascii="Calibri" w:eastAsia="Calibri" w:hAnsi="Calibri" w:cs="Calibri"/>
          <w:b/>
          <w:i w:val="0"/>
          <w:color w:val="000000"/>
          <w:sz w:val="20"/>
          <w:u w:val="none"/>
        </w:rPr>
        <w:t>INVERSIONES CONTABILIZADAS UTILIZANDO EL MÉTODO DE LA PARTICIPACIÓN.</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136"/>
    </w:p>
    <w:p>
      <w:pPr>
        <w:keepNext/>
        <w:keepLines/>
        <w:pageBreakBefore w:val="0"/>
        <w:widowControl w:val="0"/>
        <w:numPr>
          <w:ilvl w:val="0"/>
          <w:numId w:val="0"/>
        </w:numPr>
        <w:tabs>
          <w:tab w:val="left" w:pos="700"/>
        </w:tabs>
        <w:spacing w:before="0" w:after="0" w:line="288" w:lineRule="auto"/>
        <w:ind w:left="0" w:right="0" w:firstLine="0"/>
        <w:jc w:val="both"/>
        <w:outlineLvl w:val="9"/>
        <w:sectPr>
          <w:headerReference w:type="default" r:id="rId36"/>
          <w:footerReference w:type="default" r:id="rId37"/>
          <w:type w:val="continuous"/>
          <w:pgSz w:w="15840" w:h="12240" w:orient="landscape"/>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137" w:name="Section72"/>
      <w:bookmarkEnd w:id="137"/>
      <w:bookmarkStart w:id="138" w:name="fd9cbe2e21d5445298a373cebbb7ee8f"/>
      <w:r>
        <w:rPr>
          <w:rFonts w:ascii="Calibri" w:eastAsia="Calibri" w:hAnsi="Calibri" w:cs="Calibri"/>
          <w:b/>
          <w:i w:val="0"/>
          <w:color w:val="000000"/>
          <w:sz w:val="20"/>
          <w:u w:val="none"/>
        </w:rPr>
        <w:t xml:space="preserve">13.1.- </w:t>
      </w:r>
      <w:r>
        <w:rPr>
          <w:rFonts w:ascii="Calibri" w:eastAsia="Calibri" w:hAnsi="Calibri" w:cs="Calibri"/>
          <w:b/>
          <w:i w:val="0"/>
          <w:color w:val="000000"/>
          <w:sz w:val="20"/>
          <w:u w:val="none"/>
        </w:rPr>
        <w:tab/>
      </w:r>
      <w:r>
        <w:rPr>
          <w:rFonts w:ascii="Calibri" w:eastAsia="Calibri" w:hAnsi="Calibri" w:cs="Calibri"/>
          <w:b/>
          <w:i w:val="0"/>
          <w:color w:val="000000"/>
          <w:sz w:val="20"/>
          <w:u w:val="none"/>
        </w:rPr>
        <w:t>Inversiones en subsidiarias.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38"/>
    </w:p>
    <w:p>
      <w:pPr>
        <w:pStyle w:val="Normal-wk"/>
        <w:keepNext w:val="0"/>
        <w:keepLines/>
        <w:pageBreakBefore w:val="0"/>
        <w:widowControl w:val="0"/>
        <w:numPr>
          <w:ilvl w:val="0"/>
          <w:numId w:val="0"/>
        </w:numPr>
        <w:tabs>
          <w:tab w:val="left" w:pos="700"/>
        </w:tabs>
        <w:spacing w:before="0" w:after="0" w:line="240" w:lineRule="exact"/>
        <w:ind w:left="2127" w:right="0" w:hanging="711"/>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13.1.1.-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Para efectos informativos, la valorización de las inversiones en subsidiarias consolidadas usando el método de la participación se presenta a continuación.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708" w:right="0" w:firstLine="708"/>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121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2910"/>
        <w:gridCol w:w="705"/>
        <w:gridCol w:w="705"/>
        <w:gridCol w:w="900"/>
        <w:gridCol w:w="900"/>
        <w:gridCol w:w="1005"/>
        <w:gridCol w:w="1005"/>
        <w:gridCol w:w="1005"/>
        <w:gridCol w:w="1005"/>
        <w:gridCol w:w="1005"/>
        <w:gridCol w:w="1005"/>
      </w:tblGrid>
      <w:tr>
        <w:tblPrEx>
          <w:tblW w:w="12150" w:type="dxa"/>
          <w:tblInd w:w="1417" w:type="dxa"/>
          <w:tblLayout w:type="fixed"/>
        </w:tblPrEx>
        <w:trPr>
          <w:cantSplit/>
          <w:trHeight w:hRule="auto" w:val="0"/>
        </w:trPr>
        <w:tc>
          <w:tcPr>
            <w:tcW w:w="291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Movimiento de inversiones en sociedades subsidiarias</w:t>
            </w:r>
          </w:p>
        </w:tc>
        <w:tc>
          <w:tcPr>
            <w:tcW w:w="70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País de origen</w:t>
            </w:r>
          </w:p>
        </w:tc>
        <w:tc>
          <w:tcPr>
            <w:tcW w:w="70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Moneda funcional</w:t>
            </w:r>
          </w:p>
        </w:tc>
        <w:tc>
          <w:tcPr>
            <w:tcW w:w="900"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Porcentaje participación</w:t>
            </w:r>
          </w:p>
        </w:tc>
        <w:tc>
          <w:tcPr>
            <w:tcW w:w="900"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Porcentaje poder de votos</w:t>
            </w:r>
          </w:p>
        </w:tc>
        <w:tc>
          <w:tcPr>
            <w:tcW w:w="100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 xml:space="preserve">Saldo al </w:t>
            </w:r>
          </w:p>
        </w:tc>
        <w:tc>
          <w:tcPr>
            <w:tcW w:w="100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Participación en ganancia (pérdida)</w:t>
            </w:r>
          </w:p>
        </w:tc>
        <w:tc>
          <w:tcPr>
            <w:tcW w:w="100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Dividendos recibidos</w:t>
            </w:r>
          </w:p>
        </w:tc>
        <w:tc>
          <w:tcPr>
            <w:tcW w:w="100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Otro incremento (decremento)</w:t>
            </w:r>
          </w:p>
        </w:tc>
        <w:tc>
          <w:tcPr>
            <w:tcW w:w="100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 xml:space="preserve">Saldo al </w:t>
            </w:r>
          </w:p>
        </w:tc>
        <w:tc>
          <w:tcPr>
            <w:tcW w:w="1005" w:type="dxa"/>
            <w:vMerge w:val="restart"/>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 xml:space="preserve"> Dividendos pagados a participaciones no controladoras</w:t>
            </w:r>
            <w:r>
              <w:br/>
            </w:r>
            <w:r>
              <w:rPr>
                <w:rFonts w:ascii="Calibri" w:eastAsia="Calibri" w:hAnsi="Calibri" w:cs="Calibri"/>
                <w:b/>
                <w:i w:val="0"/>
                <w:color w:val="FFFFFF"/>
                <w:sz w:val="14"/>
                <w:u w:val="none"/>
              </w:rPr>
              <w:t>M$</w:t>
            </w:r>
          </w:p>
        </w:tc>
      </w:tr>
      <w:tr>
        <w:tblPrEx>
          <w:tblW w:w="12150" w:type="dxa"/>
          <w:tblInd w:w="1417" w:type="dxa"/>
          <w:tblLayout w:type="fixed"/>
        </w:tblPrEx>
        <w:trPr>
          <w:cantSplit/>
          <w:trHeight w:hRule="auto" w:val="0"/>
        </w:trPr>
        <w:tc>
          <w:tcPr>
            <w:tcW w:w="2910" w:type="dxa"/>
            <w:vMerge/>
            <w:tcBorders>
              <w:top w:val="nil"/>
              <w:left w:val="single" w:sz="2" w:space="0" w:color="000000"/>
              <w:bottom w:val="nil"/>
              <w:right w:val="nil"/>
            </w:tcBorders>
          </w:tcPr>
          <w:p>
            <w:pPr>
              <w:keepNext/>
              <w:pageBreakBefore w:val="0"/>
            </w:pPr>
          </w:p>
        </w:tc>
        <w:tc>
          <w:tcPr>
            <w:tcW w:w="705" w:type="dxa"/>
            <w:vMerge/>
            <w:tcBorders>
              <w:top w:val="nil"/>
              <w:left w:val="single" w:sz="4" w:space="0" w:color="FFFFFF"/>
              <w:bottom w:val="nil"/>
              <w:right w:val="nil"/>
            </w:tcBorders>
          </w:tcPr>
          <w:p>
            <w:pPr>
              <w:keepNext/>
              <w:pageBreakBefore w:val="0"/>
            </w:pPr>
          </w:p>
        </w:tc>
        <w:tc>
          <w:tcPr>
            <w:tcW w:w="705" w:type="dxa"/>
            <w:vMerge/>
            <w:tcBorders>
              <w:top w:val="nil"/>
              <w:left w:val="single" w:sz="4" w:space="0" w:color="FFFFFF"/>
              <w:bottom w:val="nil"/>
              <w:right w:val="nil"/>
            </w:tcBorders>
          </w:tcPr>
          <w:p>
            <w:pPr>
              <w:keepNext/>
              <w:pageBreakBefore w:val="0"/>
            </w:pPr>
          </w:p>
        </w:tc>
        <w:tc>
          <w:tcPr>
            <w:tcW w:w="900" w:type="dxa"/>
            <w:vMerge/>
            <w:tcBorders>
              <w:top w:val="nil"/>
              <w:left w:val="single" w:sz="4" w:space="0" w:color="FFFFFF"/>
              <w:bottom w:val="nil"/>
              <w:right w:val="nil"/>
            </w:tcBorders>
          </w:tcPr>
          <w:p>
            <w:pPr>
              <w:keepNext/>
              <w:pageBreakBefore w:val="0"/>
            </w:pPr>
          </w:p>
        </w:tc>
        <w:tc>
          <w:tcPr>
            <w:tcW w:w="900" w:type="dxa"/>
            <w:vMerge/>
            <w:tcBorders>
              <w:top w:val="nil"/>
              <w:left w:val="single" w:sz="4" w:space="0" w:color="FFFFFF"/>
              <w:bottom w:val="nil"/>
              <w:right w:val="nil"/>
            </w:tcBorders>
          </w:tcPr>
          <w:p>
            <w:pPr>
              <w:keepNext/>
              <w:pageBreakBefore w:val="0"/>
            </w:pP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01-01-2026</w:t>
            </w:r>
          </w:p>
        </w:tc>
        <w:tc>
          <w:tcPr>
            <w:tcW w:w="1005" w:type="dxa"/>
            <w:vMerge/>
            <w:tcBorders>
              <w:top w:val="nil"/>
              <w:left w:val="single" w:sz="4" w:space="0" w:color="FFFFFF"/>
              <w:bottom w:val="nil"/>
              <w:right w:val="nil"/>
            </w:tcBorders>
          </w:tcPr>
          <w:p>
            <w:pPr>
              <w:keepNext/>
              <w:pageBreakBefore w:val="0"/>
            </w:pPr>
          </w:p>
        </w:tc>
        <w:tc>
          <w:tcPr>
            <w:tcW w:w="1005" w:type="dxa"/>
            <w:vMerge/>
            <w:tcBorders>
              <w:top w:val="nil"/>
              <w:left w:val="single" w:sz="4" w:space="0" w:color="FFFFFF"/>
              <w:bottom w:val="nil"/>
              <w:right w:val="nil"/>
            </w:tcBorders>
          </w:tcPr>
          <w:p>
            <w:pPr>
              <w:keepNext/>
              <w:pageBreakBefore w:val="0"/>
            </w:pPr>
          </w:p>
        </w:tc>
        <w:tc>
          <w:tcPr>
            <w:tcW w:w="1005" w:type="dxa"/>
            <w:vMerge/>
            <w:tcBorders>
              <w:top w:val="nil"/>
              <w:left w:val="single" w:sz="4" w:space="0" w:color="FFFFFF"/>
              <w:bottom w:val="nil"/>
              <w:right w:val="nil"/>
            </w:tcBorders>
          </w:tcPr>
          <w:p>
            <w:pPr>
              <w:keepNext/>
              <w:pageBreakBefore w:val="0"/>
            </w:pP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1005" w:type="dxa"/>
            <w:vMerge/>
            <w:tcBorders>
              <w:top w:val="nil"/>
              <w:left w:val="single" w:sz="4" w:space="0" w:color="FFFFFF"/>
              <w:bottom w:val="nil"/>
              <w:right w:val="single" w:sz="2" w:space="0" w:color="000000"/>
            </w:tcBorders>
          </w:tcPr>
          <w:p>
            <w:pPr>
              <w:keepNext/>
              <w:pageBreakBefore w:val="0"/>
            </w:pPr>
          </w:p>
        </w:tc>
      </w:tr>
      <w:tr>
        <w:tblPrEx>
          <w:tblW w:w="12150" w:type="dxa"/>
          <w:tblInd w:w="1417" w:type="dxa"/>
          <w:tblLayout w:type="fixed"/>
        </w:tblPrEx>
        <w:trPr>
          <w:cantSplit/>
          <w:trHeight w:hRule="auto" w:val="0"/>
        </w:trPr>
        <w:tc>
          <w:tcPr>
            <w:tcW w:w="2910" w:type="dxa"/>
            <w:vMerge/>
            <w:tcBorders>
              <w:top w:val="nil"/>
              <w:left w:val="single" w:sz="2" w:space="0" w:color="000000"/>
              <w:bottom w:val="single" w:sz="2" w:space="0" w:color="000000"/>
              <w:right w:val="nil"/>
            </w:tcBorders>
          </w:tcPr>
          <w:p>
            <w:pPr>
              <w:keepNext/>
              <w:pageBreakBefore w:val="0"/>
            </w:pPr>
          </w:p>
        </w:tc>
        <w:tc>
          <w:tcPr>
            <w:tcW w:w="705" w:type="dxa"/>
            <w:vMerge/>
            <w:tcBorders>
              <w:top w:val="nil"/>
              <w:left w:val="single" w:sz="4" w:space="0" w:color="FFFFFF"/>
              <w:bottom w:val="single" w:sz="2" w:space="0" w:color="000000"/>
              <w:right w:val="nil"/>
            </w:tcBorders>
          </w:tcPr>
          <w:p>
            <w:pPr>
              <w:keepNext/>
              <w:pageBreakBefore w:val="0"/>
            </w:pPr>
          </w:p>
        </w:tc>
        <w:tc>
          <w:tcPr>
            <w:tcW w:w="705" w:type="dxa"/>
            <w:vMerge/>
            <w:tcBorders>
              <w:top w:val="nil"/>
              <w:left w:val="single" w:sz="4" w:space="0" w:color="FFFFFF"/>
              <w:bottom w:val="single" w:sz="2" w:space="0" w:color="000000"/>
              <w:right w:val="nil"/>
            </w:tcBorders>
          </w:tcPr>
          <w:p>
            <w:pPr>
              <w:keepNext/>
              <w:pageBreakBefore w:val="0"/>
            </w:pPr>
          </w:p>
        </w:tc>
        <w:tc>
          <w:tcPr>
            <w:tcW w:w="900" w:type="dxa"/>
            <w:vMerge/>
            <w:tcBorders>
              <w:top w:val="nil"/>
              <w:left w:val="single" w:sz="4" w:space="0" w:color="FFFFFF"/>
              <w:bottom w:val="single" w:sz="2" w:space="0" w:color="000000"/>
              <w:right w:val="nil"/>
            </w:tcBorders>
          </w:tcPr>
          <w:p>
            <w:pPr>
              <w:keepNext/>
              <w:pageBreakBefore w:val="0"/>
            </w:pPr>
          </w:p>
        </w:tc>
        <w:tc>
          <w:tcPr>
            <w:tcW w:w="900" w:type="dxa"/>
            <w:vMerge/>
            <w:tcBorders>
              <w:top w:val="nil"/>
              <w:left w:val="single" w:sz="4" w:space="0" w:color="FFFFFF"/>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05" w:type="dxa"/>
            <w:vMerge/>
            <w:tcBorders>
              <w:top w:val="nil"/>
              <w:left w:val="single" w:sz="4" w:space="0" w:color="FFFFFF"/>
              <w:bottom w:val="single" w:sz="2" w:space="0" w:color="000000"/>
              <w:right w:val="single" w:sz="2" w:space="0" w:color="000000"/>
            </w:tcBorders>
          </w:tcPr>
          <w:p>
            <w:pPr>
              <w:keepNext/>
              <w:pageBreakBefore w:val="0"/>
            </w:pPr>
          </w:p>
        </w:tc>
      </w:tr>
      <w:tr>
        <w:tblPrEx>
          <w:tblW w:w="12150" w:type="dxa"/>
          <w:tblInd w:w="1417" w:type="dxa"/>
          <w:tblLayout w:type="fixed"/>
        </w:tblPrEx>
        <w:trPr>
          <w:cantSplit/>
          <w:trHeight w:hRule="auto" w:val="0"/>
        </w:trPr>
        <w:tc>
          <w:tcPr>
            <w:tcW w:w="291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Transformadores Tusan S.A.</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val="0"/>
                <w:i w:val="0"/>
                <w:color w:val="000000"/>
                <w:sz w:val="14"/>
                <w:u w:val="none"/>
              </w:rPr>
              <w:t xml:space="preserve">  Chile  </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val="0"/>
                <w:i w:val="0"/>
                <w:color w:val="000000"/>
                <w:sz w:val="14"/>
                <w:u w:val="none"/>
              </w:rPr>
              <w:t xml:space="preserve">  CL $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bottom"/>
          </w:tcPr>
          <w:p>
            <w:pPr>
              <w:keepNext/>
              <w:pageBreakBefore w:val="0"/>
              <w:tabs>
                <w:tab w:val="left" w:pos="1"/>
                <w:tab w:val="left" w:pos="704"/>
              </w:tabs>
              <w:spacing w:before="38" w:after="20" w:line="240" w:lineRule="auto"/>
              <w:jc w:val="right"/>
            </w:pPr>
            <w:r>
              <w:rPr>
                <w:rFonts w:ascii="Calibri" w:eastAsia="Calibri" w:hAnsi="Calibri" w:cs="Calibri"/>
                <w:b w:val="0"/>
                <w:i w:val="0"/>
                <w:color w:val="000000"/>
                <w:sz w:val="14"/>
                <w:u w:val="none"/>
              </w:rPr>
              <w:tab/>
              <w:t>99,07000 %</w:t>
              <w:tab/>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bottom"/>
          </w:tcPr>
          <w:p>
            <w:pPr>
              <w:keepNext/>
              <w:pageBreakBefore w:val="0"/>
              <w:tabs>
                <w:tab w:val="left" w:pos="1"/>
                <w:tab w:val="left" w:pos="704"/>
              </w:tabs>
              <w:spacing w:before="38" w:after="20" w:line="240" w:lineRule="auto"/>
              <w:jc w:val="right"/>
            </w:pPr>
            <w:r>
              <w:rPr>
                <w:rFonts w:ascii="Calibri" w:eastAsia="Calibri" w:hAnsi="Calibri" w:cs="Calibri"/>
                <w:b w:val="0"/>
                <w:i w:val="0"/>
                <w:color w:val="000000"/>
                <w:sz w:val="14"/>
                <w:u w:val="none"/>
              </w:rPr>
              <w:tab/>
              <w:t>99,07000 %</w:t>
              <w:tab/>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000000"/>
                <w:sz w:val="14"/>
                <w:u w:val="none"/>
              </w:rPr>
              <w:t>14.020.084</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000000"/>
                <w:sz w:val="14"/>
                <w:u w:val="none"/>
              </w:rPr>
              <w:t>14.020.084</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12150" w:type="dxa"/>
          <w:tblInd w:w="1417" w:type="dxa"/>
          <w:tblLayout w:type="fixed"/>
        </w:tblPrEx>
        <w:trPr>
          <w:cantSplit/>
          <w:trHeight w:hRule="auto" w:val="0"/>
        </w:trPr>
        <w:tc>
          <w:tcPr>
            <w:tcW w:w="291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CGE Comercializadora SpA.</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val="0"/>
                <w:i w:val="0"/>
                <w:color w:val="000000"/>
                <w:sz w:val="14"/>
                <w:u w:val="none"/>
              </w:rPr>
              <w:t xml:space="preserve">  Chile  </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val="0"/>
                <w:i w:val="0"/>
                <w:color w:val="000000"/>
                <w:sz w:val="14"/>
                <w:u w:val="none"/>
              </w:rPr>
              <w:t xml:space="preserve">  CL $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bottom"/>
          </w:tcPr>
          <w:p>
            <w:pPr>
              <w:keepNext/>
              <w:pageBreakBefore w:val="0"/>
              <w:tabs>
                <w:tab w:val="left" w:pos="1"/>
                <w:tab w:val="left" w:pos="775"/>
              </w:tabs>
              <w:spacing w:before="38" w:after="20" w:line="240" w:lineRule="auto"/>
              <w:jc w:val="right"/>
            </w:pPr>
            <w:r>
              <w:rPr>
                <w:rFonts w:ascii="Calibri" w:eastAsia="Calibri" w:hAnsi="Calibri" w:cs="Calibri"/>
                <w:b w:val="0"/>
                <w:i w:val="0"/>
                <w:color w:val="000000"/>
                <w:sz w:val="14"/>
                <w:u w:val="none"/>
              </w:rPr>
              <w:tab/>
              <w:t>100,00000 %</w:t>
              <w:tab/>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bottom"/>
          </w:tcPr>
          <w:p>
            <w:pPr>
              <w:keepNext/>
              <w:pageBreakBefore w:val="0"/>
              <w:tabs>
                <w:tab w:val="left" w:pos="1"/>
                <w:tab w:val="left" w:pos="775"/>
              </w:tabs>
              <w:spacing w:before="38" w:after="20" w:line="240" w:lineRule="auto"/>
              <w:jc w:val="right"/>
            </w:pPr>
            <w:r>
              <w:rPr>
                <w:rFonts w:ascii="Calibri" w:eastAsia="Calibri" w:hAnsi="Calibri" w:cs="Calibri"/>
                <w:b w:val="0"/>
                <w:i w:val="0"/>
                <w:color w:val="000000"/>
                <w:sz w:val="14"/>
                <w:u w:val="none"/>
              </w:rPr>
              <w:tab/>
              <w:t>100,00000 %</w:t>
              <w:tab/>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000000"/>
                <w:sz w:val="14"/>
                <w:u w:val="none"/>
              </w:rPr>
              <w:t>5.405.919</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000000"/>
                <w:sz w:val="14"/>
                <w:u w:val="none"/>
              </w:rPr>
              <w:t>5.405.919</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12150" w:type="dxa"/>
          <w:tblInd w:w="1417" w:type="dxa"/>
          <w:tblLayout w:type="fixed"/>
        </w:tblPrEx>
        <w:trPr>
          <w:cantSplit/>
          <w:trHeight w:hRule="auto" w:val="0"/>
        </w:trPr>
        <w:tc>
          <w:tcPr>
            <w:tcW w:w="6120" w:type="dxa"/>
            <w:gridSpan w:val="5"/>
            <w:tcBorders>
              <w:top w:val="nil"/>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Total</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19.426.003</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19.426.003</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0</w:t>
            </w:r>
          </w:p>
        </w:tc>
      </w:tr>
    </w:tbl>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ab/>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Al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p>
    <w:tbl>
      <w:tblPr>
        <w:tblW w:w="121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2910"/>
        <w:gridCol w:w="705"/>
        <w:gridCol w:w="705"/>
        <w:gridCol w:w="900"/>
        <w:gridCol w:w="900"/>
        <w:gridCol w:w="1005"/>
        <w:gridCol w:w="1005"/>
        <w:gridCol w:w="1005"/>
        <w:gridCol w:w="1005"/>
        <w:gridCol w:w="1005"/>
        <w:gridCol w:w="1005"/>
      </w:tblGrid>
      <w:tr>
        <w:tblPrEx>
          <w:tblW w:w="12150" w:type="dxa"/>
          <w:tblInd w:w="1417" w:type="dxa"/>
          <w:tblLayout w:type="fixed"/>
        </w:tblPrEx>
        <w:trPr>
          <w:cantSplit/>
          <w:trHeight w:hRule="auto" w:val="0"/>
        </w:trPr>
        <w:tc>
          <w:tcPr>
            <w:tcW w:w="291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Movimiento de inversiones en sociedades subsidiarias</w:t>
            </w:r>
          </w:p>
        </w:tc>
        <w:tc>
          <w:tcPr>
            <w:tcW w:w="70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País de origen</w:t>
            </w:r>
          </w:p>
        </w:tc>
        <w:tc>
          <w:tcPr>
            <w:tcW w:w="70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Moneda funcional</w:t>
            </w:r>
          </w:p>
        </w:tc>
        <w:tc>
          <w:tcPr>
            <w:tcW w:w="900"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Porcentaje participación</w:t>
            </w:r>
          </w:p>
        </w:tc>
        <w:tc>
          <w:tcPr>
            <w:tcW w:w="900"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Porcentaje poder de votos</w:t>
            </w:r>
          </w:p>
        </w:tc>
        <w:tc>
          <w:tcPr>
            <w:tcW w:w="100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 xml:space="preserve">Saldo al </w:t>
            </w:r>
          </w:p>
        </w:tc>
        <w:tc>
          <w:tcPr>
            <w:tcW w:w="100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Participación en ganancia (pérdida)</w:t>
            </w:r>
          </w:p>
        </w:tc>
        <w:tc>
          <w:tcPr>
            <w:tcW w:w="100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Dividendos recibidos</w:t>
            </w:r>
          </w:p>
        </w:tc>
        <w:tc>
          <w:tcPr>
            <w:tcW w:w="100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Otro incremento (decremento)</w:t>
            </w:r>
          </w:p>
        </w:tc>
        <w:tc>
          <w:tcPr>
            <w:tcW w:w="100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 xml:space="preserve">Saldo al </w:t>
            </w:r>
          </w:p>
        </w:tc>
        <w:tc>
          <w:tcPr>
            <w:tcW w:w="1005" w:type="dxa"/>
            <w:vMerge w:val="restart"/>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 xml:space="preserve"> Dividendos pagados a participaciones no controladoras</w:t>
            </w:r>
            <w:r>
              <w:br/>
            </w:r>
            <w:r>
              <w:rPr>
                <w:rFonts w:ascii="Calibri" w:eastAsia="Calibri" w:hAnsi="Calibri" w:cs="Calibri"/>
                <w:b/>
                <w:i w:val="0"/>
                <w:color w:val="FFFFFF"/>
                <w:sz w:val="14"/>
                <w:u w:val="none"/>
              </w:rPr>
              <w:t>M$</w:t>
            </w:r>
          </w:p>
        </w:tc>
      </w:tr>
      <w:tr>
        <w:tblPrEx>
          <w:tblW w:w="12150" w:type="dxa"/>
          <w:tblInd w:w="1417" w:type="dxa"/>
          <w:tblLayout w:type="fixed"/>
        </w:tblPrEx>
        <w:trPr>
          <w:cantSplit/>
          <w:trHeight w:hRule="auto" w:val="0"/>
        </w:trPr>
        <w:tc>
          <w:tcPr>
            <w:tcW w:w="2910" w:type="dxa"/>
            <w:vMerge/>
            <w:tcBorders>
              <w:top w:val="nil"/>
              <w:left w:val="single" w:sz="2" w:space="0" w:color="000000"/>
              <w:bottom w:val="nil"/>
              <w:right w:val="nil"/>
            </w:tcBorders>
          </w:tcPr>
          <w:p>
            <w:pPr>
              <w:keepNext/>
              <w:pageBreakBefore w:val="0"/>
            </w:pPr>
          </w:p>
        </w:tc>
        <w:tc>
          <w:tcPr>
            <w:tcW w:w="705" w:type="dxa"/>
            <w:vMerge/>
            <w:tcBorders>
              <w:top w:val="nil"/>
              <w:left w:val="single" w:sz="4" w:space="0" w:color="FFFFFF"/>
              <w:bottom w:val="nil"/>
              <w:right w:val="nil"/>
            </w:tcBorders>
          </w:tcPr>
          <w:p>
            <w:pPr>
              <w:keepNext/>
              <w:pageBreakBefore w:val="0"/>
            </w:pPr>
          </w:p>
        </w:tc>
        <w:tc>
          <w:tcPr>
            <w:tcW w:w="705" w:type="dxa"/>
            <w:vMerge/>
            <w:tcBorders>
              <w:top w:val="nil"/>
              <w:left w:val="single" w:sz="4" w:space="0" w:color="FFFFFF"/>
              <w:bottom w:val="nil"/>
              <w:right w:val="nil"/>
            </w:tcBorders>
          </w:tcPr>
          <w:p>
            <w:pPr>
              <w:keepNext/>
              <w:pageBreakBefore w:val="0"/>
            </w:pPr>
          </w:p>
        </w:tc>
        <w:tc>
          <w:tcPr>
            <w:tcW w:w="900" w:type="dxa"/>
            <w:vMerge/>
            <w:tcBorders>
              <w:top w:val="nil"/>
              <w:left w:val="single" w:sz="4" w:space="0" w:color="FFFFFF"/>
              <w:bottom w:val="nil"/>
              <w:right w:val="nil"/>
            </w:tcBorders>
          </w:tcPr>
          <w:p>
            <w:pPr>
              <w:keepNext/>
              <w:pageBreakBefore w:val="0"/>
            </w:pPr>
          </w:p>
        </w:tc>
        <w:tc>
          <w:tcPr>
            <w:tcW w:w="900" w:type="dxa"/>
            <w:vMerge/>
            <w:tcBorders>
              <w:top w:val="nil"/>
              <w:left w:val="single" w:sz="4" w:space="0" w:color="FFFFFF"/>
              <w:bottom w:val="nil"/>
              <w:right w:val="nil"/>
            </w:tcBorders>
          </w:tcPr>
          <w:p>
            <w:pPr>
              <w:keepNext/>
              <w:pageBreakBefore w:val="0"/>
            </w:pP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01-01-2025</w:t>
            </w:r>
          </w:p>
        </w:tc>
        <w:tc>
          <w:tcPr>
            <w:tcW w:w="1005" w:type="dxa"/>
            <w:vMerge/>
            <w:tcBorders>
              <w:top w:val="nil"/>
              <w:left w:val="single" w:sz="4" w:space="0" w:color="FFFFFF"/>
              <w:bottom w:val="nil"/>
              <w:right w:val="nil"/>
            </w:tcBorders>
          </w:tcPr>
          <w:p>
            <w:pPr>
              <w:keepNext/>
              <w:pageBreakBefore w:val="0"/>
            </w:pPr>
          </w:p>
        </w:tc>
        <w:tc>
          <w:tcPr>
            <w:tcW w:w="1005" w:type="dxa"/>
            <w:vMerge/>
            <w:tcBorders>
              <w:top w:val="nil"/>
              <w:left w:val="single" w:sz="4" w:space="0" w:color="FFFFFF"/>
              <w:bottom w:val="nil"/>
              <w:right w:val="nil"/>
            </w:tcBorders>
          </w:tcPr>
          <w:p>
            <w:pPr>
              <w:keepNext/>
              <w:pageBreakBefore w:val="0"/>
            </w:pPr>
          </w:p>
        </w:tc>
        <w:tc>
          <w:tcPr>
            <w:tcW w:w="1005" w:type="dxa"/>
            <w:vMerge/>
            <w:tcBorders>
              <w:top w:val="nil"/>
              <w:left w:val="single" w:sz="4" w:space="0" w:color="FFFFFF"/>
              <w:bottom w:val="nil"/>
              <w:right w:val="nil"/>
            </w:tcBorders>
          </w:tcPr>
          <w:p>
            <w:pPr>
              <w:keepNext/>
              <w:pageBreakBefore w:val="0"/>
            </w:pP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31-12-2025</w:t>
            </w:r>
          </w:p>
        </w:tc>
        <w:tc>
          <w:tcPr>
            <w:tcW w:w="1005" w:type="dxa"/>
            <w:vMerge/>
            <w:tcBorders>
              <w:top w:val="nil"/>
              <w:left w:val="single" w:sz="4" w:space="0" w:color="FFFFFF"/>
              <w:bottom w:val="nil"/>
              <w:right w:val="single" w:sz="2" w:space="0" w:color="000000"/>
            </w:tcBorders>
          </w:tcPr>
          <w:p>
            <w:pPr>
              <w:keepNext/>
              <w:pageBreakBefore w:val="0"/>
            </w:pPr>
          </w:p>
        </w:tc>
      </w:tr>
      <w:tr>
        <w:tblPrEx>
          <w:tblW w:w="12150" w:type="dxa"/>
          <w:tblInd w:w="1417" w:type="dxa"/>
          <w:tblLayout w:type="fixed"/>
        </w:tblPrEx>
        <w:trPr>
          <w:cantSplit/>
          <w:trHeight w:hRule="auto" w:val="0"/>
        </w:trPr>
        <w:tc>
          <w:tcPr>
            <w:tcW w:w="2910" w:type="dxa"/>
            <w:vMerge/>
            <w:tcBorders>
              <w:top w:val="nil"/>
              <w:left w:val="single" w:sz="2" w:space="0" w:color="000000"/>
              <w:bottom w:val="single" w:sz="2" w:space="0" w:color="000000"/>
              <w:right w:val="nil"/>
            </w:tcBorders>
          </w:tcPr>
          <w:p>
            <w:pPr>
              <w:keepNext/>
              <w:pageBreakBefore w:val="0"/>
            </w:pPr>
          </w:p>
        </w:tc>
        <w:tc>
          <w:tcPr>
            <w:tcW w:w="705" w:type="dxa"/>
            <w:vMerge/>
            <w:tcBorders>
              <w:top w:val="nil"/>
              <w:left w:val="single" w:sz="4" w:space="0" w:color="FFFFFF"/>
              <w:bottom w:val="single" w:sz="2" w:space="0" w:color="000000"/>
              <w:right w:val="nil"/>
            </w:tcBorders>
          </w:tcPr>
          <w:p>
            <w:pPr>
              <w:keepNext/>
              <w:pageBreakBefore w:val="0"/>
            </w:pPr>
          </w:p>
        </w:tc>
        <w:tc>
          <w:tcPr>
            <w:tcW w:w="705" w:type="dxa"/>
            <w:vMerge/>
            <w:tcBorders>
              <w:top w:val="nil"/>
              <w:left w:val="single" w:sz="4" w:space="0" w:color="FFFFFF"/>
              <w:bottom w:val="single" w:sz="2" w:space="0" w:color="000000"/>
              <w:right w:val="nil"/>
            </w:tcBorders>
          </w:tcPr>
          <w:p>
            <w:pPr>
              <w:keepNext/>
              <w:pageBreakBefore w:val="0"/>
            </w:pPr>
          </w:p>
        </w:tc>
        <w:tc>
          <w:tcPr>
            <w:tcW w:w="900" w:type="dxa"/>
            <w:vMerge/>
            <w:tcBorders>
              <w:top w:val="nil"/>
              <w:left w:val="single" w:sz="4" w:space="0" w:color="FFFFFF"/>
              <w:bottom w:val="single" w:sz="2" w:space="0" w:color="000000"/>
              <w:right w:val="nil"/>
            </w:tcBorders>
          </w:tcPr>
          <w:p>
            <w:pPr>
              <w:keepNext/>
              <w:pageBreakBefore w:val="0"/>
            </w:pPr>
          </w:p>
        </w:tc>
        <w:tc>
          <w:tcPr>
            <w:tcW w:w="900" w:type="dxa"/>
            <w:vMerge/>
            <w:tcBorders>
              <w:top w:val="nil"/>
              <w:left w:val="single" w:sz="4" w:space="0" w:color="FFFFFF"/>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05" w:type="dxa"/>
            <w:vMerge/>
            <w:tcBorders>
              <w:top w:val="nil"/>
              <w:left w:val="single" w:sz="4" w:space="0" w:color="FFFFFF"/>
              <w:bottom w:val="single" w:sz="2" w:space="0" w:color="000000"/>
              <w:right w:val="single" w:sz="2" w:space="0" w:color="000000"/>
            </w:tcBorders>
          </w:tcPr>
          <w:p>
            <w:pPr>
              <w:keepNext/>
              <w:pageBreakBefore w:val="0"/>
            </w:pPr>
          </w:p>
        </w:tc>
      </w:tr>
      <w:tr>
        <w:tblPrEx>
          <w:tblW w:w="12150" w:type="dxa"/>
          <w:tblInd w:w="1417" w:type="dxa"/>
          <w:tblLayout w:type="fixed"/>
        </w:tblPrEx>
        <w:trPr>
          <w:cantSplit/>
          <w:trHeight w:hRule="auto" w:val="0"/>
        </w:trPr>
        <w:tc>
          <w:tcPr>
            <w:tcW w:w="291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Transformadores Tusan S.A.</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 xml:space="preserve">  Chile  </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 xml:space="preserve">  CL $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center"/>
          </w:tcPr>
          <w:p>
            <w:pPr>
              <w:keepNext/>
              <w:pageBreakBefore w:val="0"/>
              <w:tabs>
                <w:tab w:val="left" w:pos="1"/>
              </w:tabs>
              <w:spacing w:before="0" w:after="0" w:line="240" w:lineRule="auto"/>
              <w:jc w:val="right"/>
            </w:pPr>
            <w:r>
              <w:rPr>
                <w:rFonts w:ascii="Calibri" w:eastAsia="Calibri" w:hAnsi="Calibri" w:cs="Calibri"/>
                <w:b w:val="0"/>
                <w:i w:val="0"/>
                <w:color w:val="000000"/>
                <w:sz w:val="14"/>
                <w:u w:val="none"/>
              </w:rPr>
              <w:tab/>
              <w:t>99,07000 %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center"/>
          </w:tcPr>
          <w:p>
            <w:pPr>
              <w:keepNext/>
              <w:pageBreakBefore w:val="0"/>
              <w:tabs>
                <w:tab w:val="left" w:pos="1"/>
              </w:tabs>
              <w:spacing w:before="0" w:after="0" w:line="240" w:lineRule="auto"/>
              <w:jc w:val="right"/>
            </w:pPr>
            <w:r>
              <w:rPr>
                <w:rFonts w:ascii="Calibri" w:eastAsia="Calibri" w:hAnsi="Calibri" w:cs="Calibri"/>
                <w:b w:val="0"/>
                <w:i w:val="0"/>
                <w:color w:val="000000"/>
                <w:sz w:val="14"/>
                <w:u w:val="none"/>
              </w:rPr>
              <w:tab/>
              <w:t>99,07000 %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000000"/>
                <w:sz w:val="14"/>
                <w:u w:val="none"/>
              </w:rPr>
              <w:t>12.280.229</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3.478.833</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(1.797.154)</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58.176</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000000"/>
                <w:sz w:val="14"/>
                <w:u w:val="none"/>
              </w:rPr>
              <w:t>14.020.084</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000000"/>
                <w:sz w:val="14"/>
                <w:u w:val="none"/>
              </w:rPr>
              <w:t>(16.870)</w:t>
            </w:r>
          </w:p>
        </w:tc>
      </w:tr>
      <w:tr>
        <w:tblPrEx>
          <w:tblW w:w="12150" w:type="dxa"/>
          <w:tblInd w:w="1417" w:type="dxa"/>
          <w:tblLayout w:type="fixed"/>
        </w:tblPrEx>
        <w:trPr>
          <w:cantSplit/>
          <w:trHeight w:hRule="auto" w:val="0"/>
        </w:trPr>
        <w:tc>
          <w:tcPr>
            <w:tcW w:w="291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CGE Comercializadora SpA.</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 xml:space="preserve">  Chile  </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 xml:space="preserve">  CL $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center"/>
          </w:tcPr>
          <w:p>
            <w:pPr>
              <w:keepNext/>
              <w:pageBreakBefore w:val="0"/>
              <w:tabs>
                <w:tab w:val="left" w:pos="1"/>
              </w:tabs>
              <w:spacing w:before="0" w:after="0" w:line="240" w:lineRule="auto"/>
              <w:jc w:val="right"/>
            </w:pPr>
            <w:r>
              <w:rPr>
                <w:rFonts w:ascii="Calibri" w:eastAsia="Calibri" w:hAnsi="Calibri" w:cs="Calibri"/>
                <w:b w:val="0"/>
                <w:i w:val="0"/>
                <w:color w:val="000000"/>
                <w:sz w:val="14"/>
                <w:u w:val="none"/>
              </w:rPr>
              <w:tab/>
              <w:t>100,00000 %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center"/>
          </w:tcPr>
          <w:p>
            <w:pPr>
              <w:keepNext/>
              <w:pageBreakBefore w:val="0"/>
              <w:tabs>
                <w:tab w:val="left" w:pos="1"/>
              </w:tabs>
              <w:spacing w:before="0" w:after="0" w:line="240" w:lineRule="auto"/>
              <w:jc w:val="right"/>
            </w:pPr>
            <w:r>
              <w:rPr>
                <w:rFonts w:ascii="Calibri" w:eastAsia="Calibri" w:hAnsi="Calibri" w:cs="Calibri"/>
                <w:b w:val="0"/>
                <w:i w:val="0"/>
                <w:color w:val="000000"/>
                <w:sz w:val="14"/>
                <w:u w:val="none"/>
              </w:rPr>
              <w:tab/>
              <w:t>100,00000 %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000000"/>
                <w:sz w:val="14"/>
                <w:u w:val="none"/>
              </w:rPr>
              <w:t>7.931.193</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1.631.895</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(4.194.000)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36.831</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000000"/>
                <w:sz w:val="14"/>
                <w:u w:val="none"/>
              </w:rPr>
              <w:t>5.405.919</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2150" w:type="dxa"/>
          <w:tblInd w:w="1417" w:type="dxa"/>
          <w:tblLayout w:type="fixed"/>
        </w:tblPrEx>
        <w:trPr>
          <w:cantSplit/>
          <w:trHeight w:hRule="auto" w:val="0"/>
        </w:trPr>
        <w:tc>
          <w:tcPr>
            <w:tcW w:w="6120" w:type="dxa"/>
            <w:gridSpan w:val="5"/>
            <w:tcBorders>
              <w:top w:val="nil"/>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Total</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20.211.422</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5.110.728</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(5.991.154)</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95.007</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19.426.003</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(16.870)</w:t>
            </w:r>
          </w:p>
        </w:tc>
      </w:tr>
    </w:tbl>
    <w:p>
      <w:pPr>
        <w:keepNext w:val="0"/>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13.1.2.-</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Información resumida de las subsidiarias consolidadas.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708" w:right="0" w:firstLine="708"/>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121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575"/>
        <w:gridCol w:w="705"/>
        <w:gridCol w:w="705"/>
        <w:gridCol w:w="705"/>
        <w:gridCol w:w="705"/>
        <w:gridCol w:w="705"/>
        <w:gridCol w:w="705"/>
        <w:gridCol w:w="705"/>
        <w:gridCol w:w="705"/>
        <w:gridCol w:w="705"/>
        <w:gridCol w:w="705"/>
        <w:gridCol w:w="705"/>
        <w:gridCol w:w="705"/>
        <w:gridCol w:w="705"/>
        <w:gridCol w:w="705"/>
        <w:gridCol w:w="705"/>
      </w:tblGrid>
      <w:tr>
        <w:tblPrEx>
          <w:tblW w:w="12150" w:type="dxa"/>
          <w:tblInd w:w="1417" w:type="dxa"/>
          <w:tblLayout w:type="fixed"/>
        </w:tblPrEx>
        <w:trPr>
          <w:cantSplit/>
          <w:trHeight w:hRule="auto" w:val="0"/>
        </w:trPr>
        <w:tc>
          <w:tcPr>
            <w:tcW w:w="157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Inversiones en sociedades subsidiarias directas</w:t>
            </w:r>
          </w:p>
        </w:tc>
        <w:tc>
          <w:tcPr>
            <w:tcW w:w="705" w:type="dxa"/>
            <w:vMerge w:val="restart"/>
            <w:tcBorders>
              <w:top w:val="single" w:sz="2" w:space="0" w:color="000000"/>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Porcentaje participación</w:t>
            </w:r>
          </w:p>
        </w:tc>
        <w:tc>
          <w:tcPr>
            <w:tcW w:w="9870" w:type="dxa"/>
            <w:gridSpan w:val="14"/>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30-06-2026</w:t>
            </w:r>
          </w:p>
        </w:tc>
      </w:tr>
      <w:tr>
        <w:tblPrEx>
          <w:tblW w:w="12150" w:type="dxa"/>
          <w:tblInd w:w="1417" w:type="dxa"/>
          <w:tblLayout w:type="fixed"/>
        </w:tblPrEx>
        <w:trPr>
          <w:cantSplit/>
          <w:trHeight w:hRule="auto" w:val="0"/>
        </w:trPr>
        <w:tc>
          <w:tcPr>
            <w:tcW w:w="1575" w:type="dxa"/>
            <w:vMerge/>
            <w:tcBorders>
              <w:top w:val="nil"/>
              <w:left w:val="single" w:sz="2" w:space="0" w:color="000000"/>
              <w:bottom w:val="nil"/>
              <w:right w:val="nil"/>
            </w:tcBorders>
          </w:tcPr>
          <w:p>
            <w:pPr>
              <w:keepNext/>
              <w:pageBreakBefore w:val="0"/>
            </w:pPr>
          </w:p>
        </w:tc>
        <w:tc>
          <w:tcPr>
            <w:tcW w:w="705" w:type="dxa"/>
            <w:vMerge/>
            <w:tcBorders>
              <w:top w:val="nil"/>
              <w:left w:val="single" w:sz="4" w:space="0" w:color="FFFFFF"/>
              <w:bottom w:val="nil"/>
              <w:right w:val="nil"/>
            </w:tcBorders>
          </w:tcPr>
          <w:p>
            <w:pPr>
              <w:keepNext/>
              <w:pageBreakBefore w:val="0"/>
            </w:pPr>
          </w:p>
        </w:tc>
        <w:tc>
          <w:tcPr>
            <w:tcW w:w="7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Activos corrientes</w:t>
            </w:r>
          </w:p>
        </w:tc>
        <w:tc>
          <w:tcPr>
            <w:tcW w:w="7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Activos no corrientes</w:t>
            </w:r>
          </w:p>
        </w:tc>
        <w:tc>
          <w:tcPr>
            <w:tcW w:w="7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Total activos</w:t>
            </w:r>
          </w:p>
        </w:tc>
        <w:tc>
          <w:tcPr>
            <w:tcW w:w="7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Pasivos corrientes</w:t>
            </w:r>
          </w:p>
        </w:tc>
        <w:tc>
          <w:tcPr>
            <w:tcW w:w="7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Pasivos no corrientes</w:t>
            </w:r>
          </w:p>
        </w:tc>
        <w:tc>
          <w:tcPr>
            <w:tcW w:w="7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Total pasivos</w:t>
            </w:r>
          </w:p>
        </w:tc>
        <w:tc>
          <w:tcPr>
            <w:tcW w:w="7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Patrimonio</w:t>
            </w:r>
          </w:p>
        </w:tc>
        <w:tc>
          <w:tcPr>
            <w:tcW w:w="7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Ingresos ordinarios</w:t>
            </w:r>
          </w:p>
        </w:tc>
        <w:tc>
          <w:tcPr>
            <w:tcW w:w="7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Costo de ventas</w:t>
            </w:r>
          </w:p>
        </w:tc>
        <w:tc>
          <w:tcPr>
            <w:tcW w:w="7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Otros</w:t>
            </w:r>
          </w:p>
        </w:tc>
        <w:tc>
          <w:tcPr>
            <w:tcW w:w="7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Ganancia (pérdida) neta</w:t>
            </w:r>
          </w:p>
        </w:tc>
        <w:tc>
          <w:tcPr>
            <w:tcW w:w="7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Ganancia (pérdida) controlador</w:t>
            </w:r>
          </w:p>
        </w:tc>
        <w:tc>
          <w:tcPr>
            <w:tcW w:w="7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Resultado integral</w:t>
            </w:r>
          </w:p>
        </w:tc>
        <w:tc>
          <w:tcPr>
            <w:tcW w:w="70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Resultado Integral controlador</w:t>
            </w:r>
          </w:p>
        </w:tc>
      </w:tr>
      <w:tr>
        <w:tblPrEx>
          <w:tblW w:w="12150" w:type="dxa"/>
          <w:tblInd w:w="1417" w:type="dxa"/>
          <w:tblLayout w:type="fixed"/>
        </w:tblPrEx>
        <w:trPr>
          <w:cantSplit/>
          <w:trHeight w:hRule="auto" w:val="0"/>
        </w:trPr>
        <w:tc>
          <w:tcPr>
            <w:tcW w:w="1575" w:type="dxa"/>
            <w:vMerge/>
            <w:tcBorders>
              <w:top w:val="nil"/>
              <w:left w:val="single" w:sz="2" w:space="0" w:color="000000"/>
              <w:bottom w:val="single" w:sz="2" w:space="0" w:color="000000"/>
              <w:right w:val="nil"/>
            </w:tcBorders>
          </w:tcPr>
          <w:p>
            <w:pPr>
              <w:keepNext/>
              <w:pageBreakBefore w:val="0"/>
            </w:pPr>
          </w:p>
        </w:tc>
        <w:tc>
          <w:tcPr>
            <w:tcW w:w="705" w:type="dxa"/>
            <w:vMerge/>
            <w:tcBorders>
              <w:top w:val="nil"/>
              <w:left w:val="single" w:sz="4" w:space="0" w:color="FFFFFF"/>
              <w:bottom w:val="single" w:sz="2" w:space="0" w:color="000000"/>
              <w:right w:val="nil"/>
            </w:tcBorders>
          </w:tcPr>
          <w:p>
            <w:pPr>
              <w:keepNext/>
              <w:pageBreakBefore w:val="0"/>
            </w:pPr>
          </w:p>
        </w:tc>
        <w:tc>
          <w:tcPr>
            <w:tcW w:w="7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M$</w:t>
            </w:r>
          </w:p>
        </w:tc>
        <w:tc>
          <w:tcPr>
            <w:tcW w:w="7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M$</w:t>
            </w:r>
          </w:p>
        </w:tc>
        <w:tc>
          <w:tcPr>
            <w:tcW w:w="7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M$</w:t>
            </w:r>
          </w:p>
        </w:tc>
        <w:tc>
          <w:tcPr>
            <w:tcW w:w="7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M$</w:t>
            </w:r>
          </w:p>
        </w:tc>
        <w:tc>
          <w:tcPr>
            <w:tcW w:w="7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M$</w:t>
            </w:r>
          </w:p>
        </w:tc>
        <w:tc>
          <w:tcPr>
            <w:tcW w:w="7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M$</w:t>
            </w:r>
          </w:p>
        </w:tc>
        <w:tc>
          <w:tcPr>
            <w:tcW w:w="7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M$</w:t>
            </w:r>
          </w:p>
        </w:tc>
        <w:tc>
          <w:tcPr>
            <w:tcW w:w="7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M$</w:t>
            </w:r>
          </w:p>
        </w:tc>
        <w:tc>
          <w:tcPr>
            <w:tcW w:w="7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M$</w:t>
            </w:r>
          </w:p>
        </w:tc>
        <w:tc>
          <w:tcPr>
            <w:tcW w:w="7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M$</w:t>
            </w:r>
          </w:p>
        </w:tc>
        <w:tc>
          <w:tcPr>
            <w:tcW w:w="7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M$</w:t>
            </w:r>
          </w:p>
        </w:tc>
        <w:tc>
          <w:tcPr>
            <w:tcW w:w="7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M$</w:t>
            </w:r>
          </w:p>
        </w:tc>
        <w:tc>
          <w:tcPr>
            <w:tcW w:w="7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M$</w:t>
            </w:r>
          </w:p>
        </w:tc>
        <w:tc>
          <w:tcPr>
            <w:tcW w:w="70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M$</w:t>
            </w:r>
          </w:p>
        </w:tc>
      </w:tr>
      <w:tr>
        <w:tblPrEx>
          <w:tblW w:w="12150" w:type="dxa"/>
          <w:tblInd w:w="1417" w:type="dxa"/>
          <w:tblLayout w:type="fixed"/>
        </w:tblPrEx>
        <w:trPr>
          <w:cantSplit/>
          <w:trHeight w:hRule="auto" w:val="0"/>
        </w:trPr>
        <w:tc>
          <w:tcPr>
            <w:tcW w:w="15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0"/>
                <w:u w:val="none"/>
              </w:rPr>
              <w:t>Transformadores Tusan S.A.</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center"/>
          </w:tcPr>
          <w:p>
            <w:pPr>
              <w:keepNext/>
              <w:pageBreakBefore w:val="0"/>
              <w:tabs>
                <w:tab w:val="left" w:pos="1"/>
              </w:tabs>
              <w:spacing w:before="0" w:after="0" w:line="240" w:lineRule="auto"/>
              <w:jc w:val="right"/>
            </w:pPr>
            <w:r>
              <w:rPr>
                <w:rFonts w:ascii="Calibri" w:eastAsia="Calibri" w:hAnsi="Calibri" w:cs="Calibri"/>
                <w:b w:val="0"/>
                <w:i w:val="0"/>
                <w:color w:val="000000"/>
                <w:sz w:val="10"/>
                <w:u w:val="none"/>
              </w:rPr>
              <w:tab/>
              <w:t>99,07000 %</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000000"/>
                <w:sz w:val="10"/>
                <w:u w:val="none"/>
              </w:rPr>
              <w:t>0</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000000"/>
                <w:sz w:val="10"/>
                <w:u w:val="none"/>
              </w:rPr>
              <w:t>0</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0</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0</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0</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0</w:t>
            </w:r>
          </w:p>
        </w:tc>
        <w:tc>
          <w:tcPr>
            <w:tcW w:w="7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0</w:t>
            </w:r>
          </w:p>
        </w:tc>
      </w:tr>
      <w:tr>
        <w:tblPrEx>
          <w:tblW w:w="12150" w:type="dxa"/>
          <w:tblInd w:w="1417" w:type="dxa"/>
          <w:tblLayout w:type="fixed"/>
        </w:tblPrEx>
        <w:trPr>
          <w:cantSplit/>
          <w:trHeight w:hRule="auto" w:val="0"/>
        </w:trPr>
        <w:tc>
          <w:tcPr>
            <w:tcW w:w="15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0"/>
                <w:u w:val="none"/>
              </w:rPr>
              <w:t>CGE Comercializadora SpA.</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center"/>
          </w:tcPr>
          <w:p>
            <w:pPr>
              <w:pageBreakBefore w:val="0"/>
              <w:tabs>
                <w:tab w:val="left" w:pos="1"/>
              </w:tabs>
              <w:spacing w:before="0" w:after="0" w:line="240" w:lineRule="auto"/>
              <w:jc w:val="right"/>
            </w:pPr>
            <w:r>
              <w:rPr>
                <w:rFonts w:ascii="Calibri" w:eastAsia="Calibri" w:hAnsi="Calibri" w:cs="Calibri"/>
                <w:b w:val="0"/>
                <w:i w:val="0"/>
                <w:color w:val="000000"/>
                <w:sz w:val="10"/>
                <w:u w:val="none"/>
              </w:rPr>
              <w:tab/>
              <w:t>100,00000 %</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000000"/>
                <w:sz w:val="10"/>
                <w:u w:val="none"/>
              </w:rPr>
              <w:t>0</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000000"/>
                <w:sz w:val="10"/>
                <w:u w:val="none"/>
              </w:rPr>
              <w:t>0</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0</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0</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0</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0</w:t>
            </w:r>
          </w:p>
        </w:tc>
        <w:tc>
          <w:tcPr>
            <w:tcW w:w="7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0</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pStyle w:val="Normal-wk"/>
        <w:keepNext/>
        <w:keepLines/>
        <w:pageBreakBefore w:val="0"/>
        <w:widowControl w:val="0"/>
        <w:numPr>
          <w:ilvl w:val="0"/>
          <w:numId w:val="0"/>
        </w:numPr>
        <w:spacing w:before="0" w:after="0" w:line="288" w:lineRule="auto"/>
        <w:ind w:left="708" w:right="0" w:firstLine="708"/>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Al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w:t>
      </w:r>
    </w:p>
    <w:p>
      <w:pPr>
        <w:keepNext/>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121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575"/>
        <w:gridCol w:w="705"/>
        <w:gridCol w:w="705"/>
        <w:gridCol w:w="705"/>
        <w:gridCol w:w="705"/>
        <w:gridCol w:w="705"/>
        <w:gridCol w:w="705"/>
        <w:gridCol w:w="705"/>
        <w:gridCol w:w="705"/>
        <w:gridCol w:w="705"/>
        <w:gridCol w:w="705"/>
        <w:gridCol w:w="705"/>
        <w:gridCol w:w="705"/>
        <w:gridCol w:w="705"/>
        <w:gridCol w:w="705"/>
        <w:gridCol w:w="705"/>
      </w:tblGrid>
      <w:tr>
        <w:tblPrEx>
          <w:tblW w:w="12150" w:type="dxa"/>
          <w:tblInd w:w="1417" w:type="dxa"/>
          <w:tblLayout w:type="fixed"/>
        </w:tblPrEx>
        <w:trPr>
          <w:cantSplit/>
          <w:trHeight w:hRule="auto" w:val="0"/>
        </w:trPr>
        <w:tc>
          <w:tcPr>
            <w:tcW w:w="157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Inversiones en sociedades subsidiarias directas</w:t>
            </w:r>
          </w:p>
        </w:tc>
        <w:tc>
          <w:tcPr>
            <w:tcW w:w="705" w:type="dxa"/>
            <w:vMerge w:val="restart"/>
            <w:tcBorders>
              <w:top w:val="single" w:sz="2" w:space="0" w:color="000000"/>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Porcentaje participación</w:t>
            </w:r>
          </w:p>
        </w:tc>
        <w:tc>
          <w:tcPr>
            <w:tcW w:w="9870" w:type="dxa"/>
            <w:gridSpan w:val="14"/>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31-12-2025</w:t>
            </w:r>
          </w:p>
        </w:tc>
      </w:tr>
      <w:tr>
        <w:tblPrEx>
          <w:tblW w:w="12150" w:type="dxa"/>
          <w:tblInd w:w="1417" w:type="dxa"/>
          <w:tblLayout w:type="fixed"/>
        </w:tblPrEx>
        <w:trPr>
          <w:cantSplit/>
          <w:trHeight w:hRule="auto" w:val="0"/>
        </w:trPr>
        <w:tc>
          <w:tcPr>
            <w:tcW w:w="1575" w:type="dxa"/>
            <w:vMerge/>
            <w:tcBorders>
              <w:top w:val="nil"/>
              <w:left w:val="single" w:sz="2" w:space="0" w:color="000000"/>
              <w:bottom w:val="nil"/>
              <w:right w:val="nil"/>
            </w:tcBorders>
          </w:tcPr>
          <w:p>
            <w:pPr>
              <w:keepNext/>
              <w:pageBreakBefore w:val="0"/>
            </w:pPr>
          </w:p>
        </w:tc>
        <w:tc>
          <w:tcPr>
            <w:tcW w:w="705" w:type="dxa"/>
            <w:vMerge/>
            <w:tcBorders>
              <w:top w:val="nil"/>
              <w:left w:val="single" w:sz="4" w:space="0" w:color="FFFFFF"/>
              <w:bottom w:val="nil"/>
              <w:right w:val="nil"/>
            </w:tcBorders>
          </w:tcPr>
          <w:p>
            <w:pPr>
              <w:keepNext/>
              <w:pageBreakBefore w:val="0"/>
            </w:pPr>
          </w:p>
        </w:tc>
        <w:tc>
          <w:tcPr>
            <w:tcW w:w="7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Activos corrientes</w:t>
            </w:r>
          </w:p>
        </w:tc>
        <w:tc>
          <w:tcPr>
            <w:tcW w:w="7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Activos no corrientes</w:t>
            </w:r>
          </w:p>
        </w:tc>
        <w:tc>
          <w:tcPr>
            <w:tcW w:w="7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Total activos</w:t>
            </w:r>
          </w:p>
        </w:tc>
        <w:tc>
          <w:tcPr>
            <w:tcW w:w="7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Pasivos corrientes</w:t>
            </w:r>
          </w:p>
        </w:tc>
        <w:tc>
          <w:tcPr>
            <w:tcW w:w="7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Pasivos no corrientes</w:t>
            </w:r>
          </w:p>
        </w:tc>
        <w:tc>
          <w:tcPr>
            <w:tcW w:w="7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Total pasivos</w:t>
            </w:r>
          </w:p>
        </w:tc>
        <w:tc>
          <w:tcPr>
            <w:tcW w:w="7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Patrimonio</w:t>
            </w:r>
          </w:p>
        </w:tc>
        <w:tc>
          <w:tcPr>
            <w:tcW w:w="7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Ingresos ordinarios</w:t>
            </w:r>
          </w:p>
        </w:tc>
        <w:tc>
          <w:tcPr>
            <w:tcW w:w="7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Costo de ventas</w:t>
            </w:r>
          </w:p>
        </w:tc>
        <w:tc>
          <w:tcPr>
            <w:tcW w:w="7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Otros</w:t>
            </w:r>
          </w:p>
        </w:tc>
        <w:tc>
          <w:tcPr>
            <w:tcW w:w="7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Ganancia (pérdida) neta</w:t>
            </w:r>
          </w:p>
        </w:tc>
        <w:tc>
          <w:tcPr>
            <w:tcW w:w="7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Ganancia (pérdida) controlador</w:t>
            </w:r>
          </w:p>
        </w:tc>
        <w:tc>
          <w:tcPr>
            <w:tcW w:w="7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Resultado integral</w:t>
            </w:r>
          </w:p>
        </w:tc>
        <w:tc>
          <w:tcPr>
            <w:tcW w:w="70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Resultado Integral controlador</w:t>
            </w:r>
          </w:p>
        </w:tc>
      </w:tr>
      <w:tr>
        <w:tblPrEx>
          <w:tblW w:w="12150" w:type="dxa"/>
          <w:tblInd w:w="1417" w:type="dxa"/>
          <w:tblLayout w:type="fixed"/>
        </w:tblPrEx>
        <w:trPr>
          <w:cantSplit/>
          <w:trHeight w:hRule="auto" w:val="0"/>
        </w:trPr>
        <w:tc>
          <w:tcPr>
            <w:tcW w:w="1575" w:type="dxa"/>
            <w:vMerge/>
            <w:tcBorders>
              <w:top w:val="nil"/>
              <w:left w:val="single" w:sz="2" w:space="0" w:color="000000"/>
              <w:bottom w:val="single" w:sz="2" w:space="0" w:color="000000"/>
              <w:right w:val="nil"/>
            </w:tcBorders>
          </w:tcPr>
          <w:p>
            <w:pPr>
              <w:keepNext/>
              <w:pageBreakBefore w:val="0"/>
            </w:pPr>
          </w:p>
        </w:tc>
        <w:tc>
          <w:tcPr>
            <w:tcW w:w="705" w:type="dxa"/>
            <w:vMerge/>
            <w:tcBorders>
              <w:top w:val="nil"/>
              <w:left w:val="single" w:sz="4" w:space="0" w:color="FFFFFF"/>
              <w:bottom w:val="single" w:sz="2" w:space="0" w:color="000000"/>
              <w:right w:val="nil"/>
            </w:tcBorders>
          </w:tcPr>
          <w:p>
            <w:pPr>
              <w:keepNext/>
              <w:pageBreakBefore w:val="0"/>
            </w:pPr>
          </w:p>
        </w:tc>
        <w:tc>
          <w:tcPr>
            <w:tcW w:w="7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M$</w:t>
            </w:r>
          </w:p>
        </w:tc>
        <w:tc>
          <w:tcPr>
            <w:tcW w:w="7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M$</w:t>
            </w:r>
          </w:p>
        </w:tc>
        <w:tc>
          <w:tcPr>
            <w:tcW w:w="7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M$</w:t>
            </w:r>
          </w:p>
        </w:tc>
        <w:tc>
          <w:tcPr>
            <w:tcW w:w="7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M$</w:t>
            </w:r>
          </w:p>
        </w:tc>
        <w:tc>
          <w:tcPr>
            <w:tcW w:w="7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M$</w:t>
            </w:r>
          </w:p>
        </w:tc>
        <w:tc>
          <w:tcPr>
            <w:tcW w:w="7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M$</w:t>
            </w:r>
          </w:p>
        </w:tc>
        <w:tc>
          <w:tcPr>
            <w:tcW w:w="7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M$</w:t>
            </w:r>
          </w:p>
        </w:tc>
        <w:tc>
          <w:tcPr>
            <w:tcW w:w="7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M$</w:t>
            </w:r>
          </w:p>
        </w:tc>
        <w:tc>
          <w:tcPr>
            <w:tcW w:w="7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M$</w:t>
            </w:r>
          </w:p>
        </w:tc>
        <w:tc>
          <w:tcPr>
            <w:tcW w:w="7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M$</w:t>
            </w:r>
          </w:p>
        </w:tc>
        <w:tc>
          <w:tcPr>
            <w:tcW w:w="7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M$</w:t>
            </w:r>
          </w:p>
        </w:tc>
        <w:tc>
          <w:tcPr>
            <w:tcW w:w="7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M$</w:t>
            </w:r>
          </w:p>
        </w:tc>
        <w:tc>
          <w:tcPr>
            <w:tcW w:w="7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M$</w:t>
            </w:r>
          </w:p>
        </w:tc>
        <w:tc>
          <w:tcPr>
            <w:tcW w:w="70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M$</w:t>
            </w:r>
          </w:p>
        </w:tc>
      </w:tr>
      <w:tr>
        <w:tblPrEx>
          <w:tblW w:w="12150" w:type="dxa"/>
          <w:tblInd w:w="1417" w:type="dxa"/>
          <w:tblLayout w:type="fixed"/>
        </w:tblPrEx>
        <w:trPr>
          <w:cantSplit/>
          <w:trHeight w:hRule="auto" w:val="0"/>
        </w:trPr>
        <w:tc>
          <w:tcPr>
            <w:tcW w:w="15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0"/>
                <w:u w:val="none"/>
              </w:rPr>
              <w:t>Transformadores Tusan S.A.</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center"/>
          </w:tcPr>
          <w:p>
            <w:pPr>
              <w:keepNext/>
              <w:pageBreakBefore w:val="0"/>
              <w:tabs>
                <w:tab w:val="left" w:pos="1"/>
              </w:tabs>
              <w:spacing w:before="0" w:after="0" w:line="240" w:lineRule="auto"/>
              <w:jc w:val="right"/>
            </w:pPr>
            <w:r>
              <w:rPr>
                <w:rFonts w:ascii="Calibri" w:eastAsia="Calibri" w:hAnsi="Calibri" w:cs="Calibri"/>
                <w:b w:val="0"/>
                <w:i w:val="0"/>
                <w:color w:val="000000"/>
                <w:sz w:val="10"/>
                <w:u w:val="none"/>
              </w:rPr>
              <w:tab/>
              <w:t>99,07000 %</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24.220.899</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6.464.725</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000000"/>
                <w:sz w:val="10"/>
                <w:u w:val="none"/>
              </w:rPr>
              <w:t>30.685.624</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14.955.462</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923.945</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000000"/>
                <w:sz w:val="10"/>
                <w:u w:val="none"/>
              </w:rPr>
              <w:t>15.879.407</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000000"/>
                <w:sz w:val="10"/>
                <w:u w:val="none"/>
              </w:rPr>
              <w:t>14.806.217</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54.290.264</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(44.194.872)</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(6.542.800)</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000000"/>
                <w:sz w:val="10"/>
                <w:u w:val="none"/>
              </w:rPr>
              <w:t>3.552.592</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000000"/>
                <w:sz w:val="10"/>
                <w:u w:val="none"/>
              </w:rPr>
              <w:t>3.552.592</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000000"/>
                <w:sz w:val="10"/>
                <w:u w:val="none"/>
              </w:rPr>
              <w:t>3.611.314</w:t>
            </w:r>
          </w:p>
        </w:tc>
        <w:tc>
          <w:tcPr>
            <w:tcW w:w="7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000000"/>
                <w:sz w:val="10"/>
                <w:u w:val="none"/>
              </w:rPr>
              <w:t>3.570.212</w:t>
            </w:r>
          </w:p>
        </w:tc>
      </w:tr>
      <w:tr>
        <w:tblPrEx>
          <w:tblW w:w="12150" w:type="dxa"/>
          <w:tblInd w:w="1417" w:type="dxa"/>
          <w:tblLayout w:type="fixed"/>
        </w:tblPrEx>
        <w:trPr>
          <w:cantSplit/>
          <w:trHeight w:hRule="auto" w:val="0"/>
        </w:trPr>
        <w:tc>
          <w:tcPr>
            <w:tcW w:w="15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0"/>
                <w:u w:val="none"/>
              </w:rPr>
              <w:t>CGE Comercializadora SpA.</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center"/>
          </w:tcPr>
          <w:p>
            <w:pPr>
              <w:pageBreakBefore w:val="0"/>
              <w:tabs>
                <w:tab w:val="left" w:pos="1"/>
              </w:tabs>
              <w:spacing w:before="0" w:after="0" w:line="240" w:lineRule="auto"/>
              <w:jc w:val="right"/>
            </w:pPr>
            <w:r>
              <w:rPr>
                <w:rFonts w:ascii="Calibri" w:eastAsia="Calibri" w:hAnsi="Calibri" w:cs="Calibri"/>
                <w:b w:val="0"/>
                <w:i w:val="0"/>
                <w:color w:val="000000"/>
                <w:sz w:val="10"/>
                <w:u w:val="none"/>
              </w:rPr>
              <w:tab/>
              <w:t>100,00000 %</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9.046.715</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4.590.936</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000000"/>
                <w:sz w:val="10"/>
                <w:u w:val="none"/>
              </w:rPr>
              <w:t>13.637.651</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8.032.674</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199.058</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000000"/>
                <w:sz w:val="10"/>
                <w:u w:val="none"/>
              </w:rPr>
              <w:t>8.231.732</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000000"/>
                <w:sz w:val="10"/>
                <w:u w:val="none"/>
              </w:rPr>
              <w:t>5.405.919</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31.416.085</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(24.009.757)</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(5.774.433)</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000000"/>
                <w:sz w:val="10"/>
                <w:u w:val="none"/>
              </w:rPr>
              <w:t>1.631.895</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000000"/>
                <w:sz w:val="10"/>
                <w:u w:val="none"/>
              </w:rPr>
              <w:t>1.631.895</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000000"/>
                <w:sz w:val="10"/>
                <w:u w:val="none"/>
              </w:rPr>
              <w:t>1.668.726</w:t>
            </w:r>
          </w:p>
        </w:tc>
        <w:tc>
          <w:tcPr>
            <w:tcW w:w="7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000000"/>
                <w:sz w:val="10"/>
                <w:u w:val="none"/>
              </w:rPr>
              <w:t>1.668.726</w:t>
            </w:r>
          </w:p>
        </w:tc>
      </w:tr>
    </w:tbl>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
          <w:u w:val="none"/>
        </w:rPr>
      </w:pP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
          <w:u w:val="none"/>
        </w:rPr>
        <w:sectPr>
          <w:type w:val="continuous"/>
          <w:pgSz w:w="15840" w:h="12240" w:orient="landscape"/>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40" w:lineRule="exact"/>
        <w:ind w:left="0" w:right="0" w:firstLine="0"/>
        <w:jc w:val="left"/>
        <w:outlineLvl w:val="0"/>
        <w:rPr>
          <w:rFonts w:ascii="Cambria" w:eastAsia="Cambria" w:hAnsi="Cambria" w:cs="Cambria"/>
          <w:b/>
          <w:i w:val="0"/>
          <w:color w:val="365F91"/>
          <w:sz w:val="28"/>
          <w:u w:val="none"/>
        </w:rPr>
      </w:pPr>
      <w:bookmarkStart w:id="139" w:name="Section73"/>
      <w:bookmarkEnd w:id="139"/>
      <w:bookmarkStart w:id="140" w:name="9c07353ff00848e6957f1560ac06850e"/>
      <w:r>
        <w:rPr>
          <w:rFonts w:ascii="Calibri" w:eastAsia="Calibri" w:hAnsi="Calibri" w:cs="Calibri"/>
          <w:b/>
          <w:i w:val="0"/>
          <w:color w:val="000000"/>
          <w:sz w:val="20"/>
          <w:u w:val="none"/>
        </w:rPr>
        <w:t>14.-</w:t>
      </w:r>
      <w:r>
        <w:rPr>
          <w:rFonts w:ascii="Calibri" w:eastAsia="Calibri" w:hAnsi="Calibri" w:cs="Calibri"/>
          <w:b/>
          <w:i w:val="0"/>
          <w:color w:val="000000"/>
          <w:sz w:val="20"/>
          <w:u w:val="none"/>
        </w:rPr>
        <w:tab/>
      </w:r>
      <w:r>
        <w:rPr>
          <w:rFonts w:ascii="Calibri" w:eastAsia="Calibri" w:hAnsi="Calibri" w:cs="Calibri"/>
          <w:b/>
          <w:i w:val="0"/>
          <w:color w:val="000000"/>
          <w:sz w:val="20"/>
          <w:u w:val="none"/>
        </w:rPr>
        <w:t>ACTIVOS INTANGIBLES DISTINTO DE LA PLUSVALÍA.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40"/>
    </w:p>
    <w:p>
      <w:pPr>
        <w:keepNext w:val="0"/>
        <w:keepLines/>
        <w:pageBreakBefore w:val="0"/>
        <w:widowControl w:val="0"/>
        <w:numPr>
          <w:ilvl w:val="0"/>
          <w:numId w:val="0"/>
        </w:numPr>
        <w:spacing w:before="0" w:after="0" w:line="288" w:lineRule="auto"/>
        <w:ind w:left="0" w:right="0" w:firstLine="0"/>
        <w:jc w:val="both"/>
        <w:outlineLvl w:val="9"/>
        <w:sectPr>
          <w:headerReference w:type="default" r:id="rId38"/>
          <w:footerReference w:type="default" r:id="rId39"/>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141" w:name="Section74"/>
      <w:bookmarkEnd w:id="141"/>
      <w:bookmarkStart w:id="142" w:name="962284ba174543bfbeade20537be819e"/>
      <w:r>
        <w:rPr>
          <w:rFonts w:ascii="Calibri" w:eastAsia="Calibri" w:hAnsi="Calibri" w:cs="Calibri"/>
          <w:b/>
          <w:i w:val="0"/>
          <w:color w:val="000000"/>
          <w:sz w:val="20"/>
          <w:u w:val="none"/>
        </w:rPr>
        <w:t>14.1.-</w:t>
      </w:r>
      <w:r>
        <w:rPr>
          <w:rFonts w:ascii="Calibri" w:eastAsia="Calibri" w:hAnsi="Calibri" w:cs="Calibri"/>
          <w:b/>
          <w:i w:val="0"/>
          <w:color w:val="000000"/>
          <w:sz w:val="20"/>
          <w:u w:val="none"/>
        </w:rPr>
        <w:tab/>
      </w:r>
      <w:r>
        <w:rPr>
          <w:rFonts w:ascii="Calibri" w:eastAsia="Calibri" w:hAnsi="Calibri" w:cs="Calibri"/>
          <w:b/>
          <w:i w:val="0"/>
          <w:color w:val="000000"/>
          <w:sz w:val="20"/>
          <w:u w:val="none"/>
        </w:rPr>
        <w:t>Composición y movimientos de los activos intangibles.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42"/>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Este rubro está compuesto principalmente por concesiones, servidumbres de paso y software computacionales. Su detalle al </w:t>
      </w:r>
      <w:r>
        <w:rPr>
          <w:rFonts w:ascii="Calibri" w:eastAsia="Calibri" w:hAnsi="Calibri" w:cs="Calibri"/>
          <w:b w:val="0"/>
          <w:i w:val="0"/>
          <w:color w:val="000000"/>
          <w:sz w:val="20"/>
          <w:u w:val="none"/>
        </w:rPr>
        <w:t>30 de junio de 2026</w:t>
      </w:r>
      <w:r>
        <w:rPr>
          <w:rFonts w:ascii="Calibri" w:eastAsia="Calibri" w:hAnsi="Calibri" w:cs="Calibri"/>
          <w:b w:val="0"/>
          <w:i w:val="0"/>
          <w:sz w:val="20"/>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 xml:space="preserve"> es el siguiente: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950"/>
        <w:gridCol w:w="1200"/>
        <w:gridCol w:w="1200"/>
        <w:gridCol w:w="1200"/>
      </w:tblGrid>
      <w:tr>
        <w:tblPrEx>
          <w:tblW w:w="8550" w:type="dxa"/>
          <w:tblInd w:w="1417" w:type="dxa"/>
          <w:tblLayout w:type="fixed"/>
        </w:tblPrEx>
        <w:trPr>
          <w:cantSplit/>
          <w:trHeight w:hRule="auto" w:val="0"/>
        </w:trPr>
        <w:tc>
          <w:tcPr>
            <w:tcW w:w="495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Activos Intangibles</w:t>
            </w:r>
          </w:p>
        </w:tc>
        <w:tc>
          <w:tcPr>
            <w:tcW w:w="3600" w:type="dxa"/>
            <w:gridSpan w:val="3"/>
            <w:tcBorders>
              <w:top w:val="single" w:sz="2" w:space="0" w:color="000000"/>
              <w:left w:val="nil"/>
              <w:bottom w:val="single" w:sz="4" w:space="0" w:color="FFFFFF"/>
              <w:right w:val="single" w:sz="2" w:space="0" w:color="000000"/>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6"/>
                <w:u w:val="none"/>
              </w:rPr>
              <w:t>30-06-2026</w:t>
            </w:r>
          </w:p>
        </w:tc>
      </w:tr>
      <w:tr>
        <w:tblPrEx>
          <w:tblW w:w="8550" w:type="dxa"/>
          <w:tblInd w:w="1417" w:type="dxa"/>
          <w:tblLayout w:type="fixed"/>
        </w:tblPrEx>
        <w:trPr>
          <w:cantSplit/>
          <w:trHeight w:hRule="auto" w:val="0"/>
        </w:trPr>
        <w:tc>
          <w:tcPr>
            <w:tcW w:w="4950"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Valores brutos</w:t>
            </w:r>
          </w:p>
        </w:tc>
        <w:tc>
          <w:tcPr>
            <w:tcW w:w="12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Amortización acumulada</w:t>
            </w:r>
          </w:p>
        </w:tc>
        <w:tc>
          <w:tcPr>
            <w:tcW w:w="12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Valores netos</w:t>
            </w:r>
          </w:p>
        </w:tc>
      </w:tr>
      <w:tr>
        <w:tblPrEx>
          <w:tblW w:w="8550" w:type="dxa"/>
          <w:tblInd w:w="1417" w:type="dxa"/>
          <w:tblLayout w:type="fixed"/>
        </w:tblPrEx>
        <w:trPr>
          <w:cantSplit/>
          <w:trHeight w:hRule="exact" w:val="240"/>
        </w:trPr>
        <w:tc>
          <w:tcPr>
            <w:tcW w:w="495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auto" w:val="0"/>
        </w:trPr>
        <w:tc>
          <w:tcPr>
            <w:tcW w:w="49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 xml:space="preserve"> Programas informáticos.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8550" w:type="dxa"/>
          <w:tblInd w:w="1417" w:type="dxa"/>
          <w:tblLayout w:type="fixed"/>
        </w:tblPrEx>
        <w:trPr>
          <w:cantSplit/>
          <w:trHeight w:hRule="auto" w:val="0"/>
        </w:trPr>
        <w:tc>
          <w:tcPr>
            <w:tcW w:w="49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 xml:space="preserve"> Otros activos intangibles identificables.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8550" w:type="dxa"/>
          <w:tblInd w:w="1417" w:type="dxa"/>
          <w:tblLayout w:type="fixed"/>
        </w:tblPrEx>
        <w:trPr>
          <w:cantSplit/>
          <w:trHeight w:hRule="auto" w:val="0"/>
        </w:trPr>
        <w:tc>
          <w:tcPr>
            <w:tcW w:w="49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950"/>
        <w:gridCol w:w="1200"/>
        <w:gridCol w:w="1200"/>
        <w:gridCol w:w="1200"/>
      </w:tblGrid>
      <w:tr>
        <w:tblPrEx>
          <w:tblW w:w="8550" w:type="dxa"/>
          <w:tblInd w:w="1417" w:type="dxa"/>
          <w:tblLayout w:type="fixed"/>
        </w:tblPrEx>
        <w:trPr>
          <w:cantSplit/>
          <w:trHeight w:hRule="auto" w:val="0"/>
        </w:trPr>
        <w:tc>
          <w:tcPr>
            <w:tcW w:w="495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Activos Intangibles</w:t>
            </w:r>
          </w:p>
        </w:tc>
        <w:tc>
          <w:tcPr>
            <w:tcW w:w="3600" w:type="dxa"/>
            <w:gridSpan w:val="3"/>
            <w:tcBorders>
              <w:top w:val="single" w:sz="2" w:space="0" w:color="000000"/>
              <w:left w:val="nil"/>
              <w:bottom w:val="single" w:sz="4" w:space="0" w:color="FFFFFF"/>
              <w:right w:val="single" w:sz="2" w:space="0" w:color="000000"/>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6"/>
                <w:u w:val="none"/>
              </w:rPr>
              <w:t>31-12-2025</w:t>
            </w:r>
          </w:p>
        </w:tc>
      </w:tr>
      <w:tr>
        <w:tblPrEx>
          <w:tblW w:w="8550" w:type="dxa"/>
          <w:tblInd w:w="1417" w:type="dxa"/>
          <w:tblLayout w:type="fixed"/>
        </w:tblPrEx>
        <w:trPr>
          <w:cantSplit/>
          <w:trHeight w:hRule="auto" w:val="0"/>
        </w:trPr>
        <w:tc>
          <w:tcPr>
            <w:tcW w:w="4950"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Valores brutos</w:t>
            </w:r>
          </w:p>
        </w:tc>
        <w:tc>
          <w:tcPr>
            <w:tcW w:w="12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Amortización acumulada</w:t>
            </w:r>
          </w:p>
        </w:tc>
        <w:tc>
          <w:tcPr>
            <w:tcW w:w="12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Valores netos</w:t>
            </w:r>
          </w:p>
        </w:tc>
      </w:tr>
      <w:tr>
        <w:tblPrEx>
          <w:tblW w:w="8550" w:type="dxa"/>
          <w:tblInd w:w="1417" w:type="dxa"/>
          <w:tblLayout w:type="fixed"/>
        </w:tblPrEx>
        <w:trPr>
          <w:cantSplit/>
          <w:trHeight w:hRule="auto" w:val="0"/>
        </w:trPr>
        <w:tc>
          <w:tcPr>
            <w:tcW w:w="495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auto" w:val="0"/>
        </w:trPr>
        <w:tc>
          <w:tcPr>
            <w:tcW w:w="49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 xml:space="preserve"> Programas informáticos.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7.454.465</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(3.649.470)</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3.804.995</w:t>
            </w:r>
          </w:p>
        </w:tc>
      </w:tr>
      <w:tr>
        <w:tblPrEx>
          <w:tblW w:w="8550" w:type="dxa"/>
          <w:tblInd w:w="1417" w:type="dxa"/>
          <w:tblLayout w:type="fixed"/>
        </w:tblPrEx>
        <w:trPr>
          <w:cantSplit/>
          <w:trHeight w:hRule="auto" w:val="0"/>
        </w:trPr>
        <w:tc>
          <w:tcPr>
            <w:tcW w:w="49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 xml:space="preserve"> Otros activos intangibles identificables.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245.394.725</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(75.221)</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245.319.504</w:t>
            </w:r>
          </w:p>
        </w:tc>
      </w:tr>
      <w:tr>
        <w:tblPrEx>
          <w:tblW w:w="8550" w:type="dxa"/>
          <w:tblInd w:w="1417" w:type="dxa"/>
          <w:tblLayout w:type="fixed"/>
        </w:tblPrEx>
        <w:trPr>
          <w:cantSplit/>
          <w:trHeight w:hRule="auto" w:val="0"/>
        </w:trPr>
        <w:tc>
          <w:tcPr>
            <w:tcW w:w="49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252.849.190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(3.724.691)</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249.124.499</w:t>
            </w:r>
          </w:p>
        </w:tc>
      </w:tr>
    </w:tbl>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detalle de los otros activos intangibles identificables al </w:t>
      </w:r>
      <w:r>
        <w:rPr>
          <w:rFonts w:ascii="Calibri" w:eastAsia="Calibri" w:hAnsi="Calibri" w:cs="Calibri"/>
          <w:b w:val="0"/>
          <w:i w:val="0"/>
          <w:color w:val="000000"/>
          <w:sz w:val="20"/>
          <w:u w:val="none"/>
        </w:rPr>
        <w:t>30 de junio de 2026</w:t>
      </w:r>
      <w:r>
        <w:rPr>
          <w:rFonts w:ascii="Calibri" w:eastAsia="Calibri" w:hAnsi="Calibri" w:cs="Calibri"/>
          <w:b w:val="0"/>
          <w:i w:val="0"/>
          <w:sz w:val="20"/>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 xml:space="preserve"> se encuentra en nota 14.1.1.</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amortización acumulada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sz w:val="20"/>
        </w:rPr>
        <w:t xml:space="preserve"> </w:t>
      </w:r>
      <w:r>
        <w:rPr>
          <w:rFonts w:ascii="Calibri" w:eastAsia="Calibri" w:hAnsi="Calibri" w:cs="Calibri"/>
          <w:b w:val="0"/>
          <w:i w:val="0"/>
          <w:color w:val="000000"/>
          <w:sz w:val="20"/>
          <w:u w:val="none"/>
        </w:rPr>
        <w:t>alcanza a M$ </w:t>
      </w:r>
      <w:r>
        <w:rPr>
          <w:rFonts w:ascii="Calibri" w:eastAsia="Calibri" w:hAnsi="Calibri" w:cs="Calibri"/>
          <w:b w:val="0"/>
          <w:i w:val="0"/>
          <w:color w:val="000000"/>
          <w:sz w:val="20"/>
          <w:u w:val="none"/>
        </w:rPr>
        <w:t>0</w:t>
      </w:r>
      <w:r>
        <w:rPr>
          <w:rFonts w:ascii="Calibri" w:eastAsia="Calibri" w:hAnsi="Calibri" w:cs="Calibri"/>
          <w:b w:val="0"/>
          <w:i w:val="0"/>
          <w:color w:val="000000"/>
          <w:sz w:val="20"/>
          <w:u w:val="none"/>
        </w:rPr>
        <w:t xml:space="preserve"> y M$ </w:t>
      </w:r>
      <w:r>
        <w:rPr>
          <w:rFonts w:ascii="Calibri" w:eastAsia="Calibri" w:hAnsi="Calibri" w:cs="Calibri"/>
          <w:b w:val="0"/>
          <w:i w:val="0"/>
          <w:color w:val="000000"/>
          <w:sz w:val="20"/>
          <w:u w:val="none"/>
        </w:rPr>
        <w:t>3.724.691</w:t>
      </w:r>
      <w:r>
        <w:rPr>
          <w:rFonts w:ascii="Calibri" w:eastAsia="Calibri" w:hAnsi="Calibri" w:cs="Calibri"/>
          <w:b w:val="0"/>
          <w:i w:val="0"/>
          <w:color w:val="000000"/>
          <w:sz w:val="20"/>
          <w:u w:val="none"/>
        </w:rPr>
        <w:t xml:space="preserve"> respectivamente, la que corresponde a los activos intangibles distintos a la plusvalía con vida útil finita.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2"/>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detalle de vidas útiles aplicadas en el rubro Intangibles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sz w:val="20"/>
        </w:rPr>
        <w:t xml:space="preserve"> </w:t>
      </w:r>
      <w:r>
        <w:rPr>
          <w:rFonts w:ascii="Calibri" w:eastAsia="Calibri" w:hAnsi="Calibri" w:cs="Calibri"/>
          <w:b w:val="0"/>
          <w:i w:val="0"/>
          <w:color w:val="000000"/>
          <w:sz w:val="20"/>
          <w:u w:val="none"/>
        </w:rPr>
        <w:t>es la siguiente: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2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920"/>
        <w:gridCol w:w="1200"/>
        <w:gridCol w:w="1200"/>
        <w:gridCol w:w="1200"/>
      </w:tblGrid>
      <w:tr>
        <w:tblPrEx>
          <w:tblW w:w="8520" w:type="dxa"/>
          <w:tblInd w:w="1417" w:type="dxa"/>
          <w:tblLayout w:type="fixed"/>
        </w:tblPrEx>
        <w:trPr>
          <w:cantSplit/>
          <w:trHeight w:hRule="auto" w:val="0"/>
        </w:trPr>
        <w:tc>
          <w:tcPr>
            <w:tcW w:w="49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Vidas útiles estimadas o tasas de amortización utilizadas</w:t>
            </w:r>
          </w:p>
        </w:tc>
        <w:tc>
          <w:tcPr>
            <w:tcW w:w="1200" w:type="dxa"/>
            <w:tcBorders>
              <w:top w:val="single" w:sz="2" w:space="0" w:color="000000"/>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Vida / tasa</w:t>
            </w:r>
          </w:p>
        </w:tc>
        <w:tc>
          <w:tcPr>
            <w:tcW w:w="1200" w:type="dxa"/>
            <w:tcBorders>
              <w:top w:val="single" w:sz="2" w:space="0" w:color="000000"/>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Mínima</w:t>
            </w:r>
          </w:p>
        </w:tc>
        <w:tc>
          <w:tcPr>
            <w:tcW w:w="1200" w:type="dxa"/>
            <w:tcBorders>
              <w:top w:val="single" w:sz="2" w:space="0" w:color="000000"/>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Máxima</w:t>
            </w:r>
          </w:p>
        </w:tc>
      </w:tr>
      <w:tr>
        <w:tblPrEx>
          <w:tblW w:w="8520" w:type="dxa"/>
          <w:tblInd w:w="1417" w:type="dxa"/>
          <w:tblLayout w:type="fixed"/>
        </w:tblPrEx>
        <w:trPr>
          <w:cantSplit/>
          <w:trHeight w:hRule="auto" w:val="0"/>
        </w:trPr>
        <w:tc>
          <w:tcPr>
            <w:tcW w:w="49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 xml:space="preserve"> Programas Informáticos. </w:t>
            </w:r>
          </w:p>
        </w:tc>
        <w:tc>
          <w:tcPr>
            <w:tcW w:w="12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val="0"/>
                <w:i w:val="0"/>
                <w:color w:val="000000"/>
                <w:sz w:val="16"/>
                <w:u w:val="none"/>
              </w:rPr>
              <w:t xml:space="preserve"> Vida </w:t>
            </w:r>
          </w:p>
        </w:tc>
        <w:tc>
          <w:tcPr>
            <w:tcW w:w="12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val="0"/>
                <w:i w:val="0"/>
                <w:color w:val="000000"/>
                <w:sz w:val="16"/>
                <w:u w:val="none"/>
              </w:rPr>
              <w:t>1</w:t>
            </w:r>
          </w:p>
        </w:tc>
        <w:tc>
          <w:tcPr>
            <w:tcW w:w="1200"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val="0"/>
                <w:i w:val="0"/>
                <w:color w:val="000000"/>
                <w:sz w:val="16"/>
                <w:u w:val="none"/>
              </w:rPr>
              <w:t>5</w:t>
            </w:r>
          </w:p>
        </w:tc>
      </w:tr>
      <w:tr>
        <w:tblPrEx>
          <w:tblW w:w="8520" w:type="dxa"/>
          <w:tblInd w:w="1417" w:type="dxa"/>
          <w:tblLayout w:type="fixed"/>
        </w:tblPrEx>
        <w:trPr>
          <w:cantSplit/>
          <w:trHeight w:hRule="auto" w:val="0"/>
        </w:trPr>
        <w:tc>
          <w:tcPr>
            <w:tcW w:w="49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 xml:space="preserve"> Otros activos intangibles identificables. </w:t>
            </w:r>
          </w:p>
        </w:tc>
        <w:tc>
          <w:tcPr>
            <w:tcW w:w="12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val="0"/>
                <w:i w:val="0"/>
                <w:color w:val="000000"/>
                <w:sz w:val="16"/>
                <w:u w:val="none"/>
              </w:rPr>
              <w:t xml:space="preserve"> Vida </w:t>
            </w:r>
          </w:p>
        </w:tc>
        <w:tc>
          <w:tcPr>
            <w:tcW w:w="12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val="0"/>
                <w:i w:val="0"/>
                <w:color w:val="000000"/>
                <w:sz w:val="16"/>
                <w:u w:val="none"/>
              </w:rPr>
              <w:t>20</w:t>
            </w:r>
          </w:p>
        </w:tc>
        <w:tc>
          <w:tcPr>
            <w:tcW w:w="1200"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val="0"/>
                <w:i w:val="0"/>
                <w:color w:val="000000"/>
                <w:sz w:val="16"/>
                <w:u w:val="none"/>
              </w:rPr>
              <w:t>20</w:t>
            </w:r>
          </w:p>
        </w:tc>
      </w:tr>
      <w:tr>
        <w:tblPrEx>
          <w:tblW w:w="8520" w:type="dxa"/>
          <w:tblInd w:w="1417" w:type="dxa"/>
          <w:tblLayout w:type="fixed"/>
        </w:tblPrEx>
        <w:trPr>
          <w:cantSplit/>
          <w:trHeight w:hRule="auto" w:val="0"/>
        </w:trPr>
        <w:tc>
          <w:tcPr>
            <w:tcW w:w="49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 xml:space="preserve"> Servidumbres. </w:t>
            </w:r>
          </w:p>
        </w:tc>
        <w:tc>
          <w:tcPr>
            <w:tcW w:w="12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val="0"/>
                <w:i w:val="0"/>
                <w:color w:val="000000"/>
                <w:sz w:val="16"/>
                <w:u w:val="none"/>
              </w:rPr>
              <w:t xml:space="preserve"> Vida </w:t>
            </w:r>
          </w:p>
        </w:tc>
        <w:tc>
          <w:tcPr>
            <w:tcW w:w="12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val="0"/>
                <w:i w:val="0"/>
                <w:color w:val="000000"/>
                <w:sz w:val="16"/>
                <w:u w:val="none"/>
              </w:rPr>
              <w:t>Indefinida</w:t>
            </w:r>
          </w:p>
        </w:tc>
        <w:tc>
          <w:tcPr>
            <w:tcW w:w="1200"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val="0"/>
                <w:i w:val="0"/>
                <w:color w:val="000000"/>
                <w:sz w:val="16"/>
                <w:u w:val="none"/>
              </w:rPr>
              <w:t>Indefinida</w:t>
            </w:r>
          </w:p>
        </w:tc>
      </w:tr>
      <w:tr>
        <w:tblPrEx>
          <w:tblW w:w="8520" w:type="dxa"/>
          <w:tblInd w:w="1417" w:type="dxa"/>
          <w:tblLayout w:type="fixed"/>
        </w:tblPrEx>
        <w:trPr>
          <w:cantSplit/>
          <w:trHeight w:hRule="auto" w:val="0"/>
        </w:trPr>
        <w:tc>
          <w:tcPr>
            <w:tcW w:w="49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6"/>
                <w:u w:val="none"/>
              </w:rPr>
              <w:t xml:space="preserve"> Concesiones. </w:t>
            </w:r>
          </w:p>
        </w:tc>
        <w:tc>
          <w:tcPr>
            <w:tcW w:w="12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6"/>
                <w:u w:val="none"/>
              </w:rPr>
              <w:t xml:space="preserve"> Vida </w:t>
            </w:r>
          </w:p>
        </w:tc>
        <w:tc>
          <w:tcPr>
            <w:tcW w:w="12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6"/>
                <w:u w:val="none"/>
              </w:rPr>
              <w:t>Indefinida</w:t>
            </w:r>
          </w:p>
        </w:tc>
        <w:tc>
          <w:tcPr>
            <w:tcW w:w="1200"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6"/>
                <w:u w:val="none"/>
              </w:rPr>
              <w:t>Indefinida</w:t>
            </w:r>
          </w:p>
        </w:tc>
      </w:tr>
    </w:tbl>
    <w:p>
      <w:pPr>
        <w:keepNext w:val="0"/>
        <w:keepLines/>
        <w:pageBreakBefore w:val="0"/>
        <w:widowControl w:val="0"/>
        <w:numPr>
          <w:ilvl w:val="0"/>
          <w:numId w:val="0"/>
        </w:numPr>
        <w:spacing w:before="0" w:after="0" w:line="288" w:lineRule="auto"/>
        <w:ind w:left="0" w:right="0" w:firstLine="72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movimiento de intangibles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 xml:space="preserve"> es el siguiente: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535"/>
        <w:gridCol w:w="1005"/>
        <w:gridCol w:w="1005"/>
        <w:gridCol w:w="1005"/>
      </w:tblGrid>
      <w:tr>
        <w:tblPrEx>
          <w:tblW w:w="8550" w:type="dxa"/>
          <w:tblInd w:w="1417" w:type="dxa"/>
          <w:tblLayout w:type="fixed"/>
        </w:tblPrEx>
        <w:trPr>
          <w:cantSplit/>
          <w:trHeight w:hRule="auto" w:val="0"/>
        </w:trPr>
        <w:tc>
          <w:tcPr>
            <w:tcW w:w="5535"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Movimientos en activos intangibles</w:t>
            </w:r>
          </w:p>
        </w:tc>
        <w:tc>
          <w:tcPr>
            <w:tcW w:w="3015" w:type="dxa"/>
            <w:gridSpan w:val="3"/>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r>
      <w:tr>
        <w:tblPrEx>
          <w:tblW w:w="8550" w:type="dxa"/>
          <w:tblInd w:w="1417" w:type="dxa"/>
          <w:tblLayout w:type="fixed"/>
        </w:tblPrEx>
        <w:trPr>
          <w:cantSplit/>
          <w:trHeight w:hRule="auto" w:val="0"/>
        </w:trPr>
        <w:tc>
          <w:tcPr>
            <w:tcW w:w="5535" w:type="dxa"/>
            <w:vMerge/>
            <w:tcBorders>
              <w:top w:val="nil"/>
              <w:left w:val="single" w:sz="2" w:space="0" w:color="000000"/>
              <w:bottom w:val="nil"/>
              <w:right w:val="nil"/>
            </w:tcBorders>
          </w:tcPr>
          <w:p>
            <w:pPr>
              <w:keepNext/>
              <w:pageBreakBefore w:val="0"/>
            </w:pP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Programas informáticos, neto</w:t>
            </w:r>
          </w:p>
        </w:tc>
        <w:tc>
          <w:tcPr>
            <w:tcW w:w="10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Otros activos intangibles identificables, neto</w:t>
            </w:r>
          </w:p>
        </w:tc>
        <w:tc>
          <w:tcPr>
            <w:tcW w:w="100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Activos intangibles identificables, neto</w:t>
            </w:r>
          </w:p>
        </w:tc>
      </w:tr>
      <w:tr>
        <w:tblPrEx>
          <w:tblW w:w="8550" w:type="dxa"/>
          <w:tblInd w:w="1417" w:type="dxa"/>
          <w:tblLayout w:type="fixed"/>
        </w:tblPrEx>
        <w:trPr>
          <w:cantSplit/>
          <w:trHeight w:hRule="auto" w:val="0"/>
        </w:trPr>
        <w:tc>
          <w:tcPr>
            <w:tcW w:w="5535" w:type="dxa"/>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0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8550" w:type="dxa"/>
          <w:tblInd w:w="1417" w:type="dxa"/>
          <w:tblLayout w:type="fixed"/>
        </w:tblPrEx>
        <w:trPr>
          <w:cantSplit/>
          <w:trHeight w:hRule="exact" w:val="60"/>
        </w:trPr>
        <w:tc>
          <w:tcPr>
            <w:tcW w:w="55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55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Saldo inicial al 1 de enero de 2026</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3.804.995</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245.319.504</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249.124.499</w:t>
            </w:r>
          </w:p>
        </w:tc>
      </w:tr>
      <w:tr>
        <w:tblPrEx>
          <w:tblW w:w="8550" w:type="dxa"/>
          <w:tblInd w:w="1417" w:type="dxa"/>
          <w:tblLayout w:type="fixed"/>
        </w:tblPrEx>
        <w:trPr>
          <w:cantSplit/>
          <w:trHeight w:hRule="auto" w:val="0"/>
        </w:trPr>
        <w:tc>
          <w:tcPr>
            <w:tcW w:w="55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Incrementos distintos de los procedentes de combinaciones de negocios.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42.753</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000000"/>
                <w:sz w:val="14"/>
                <w:u w:val="none"/>
              </w:rPr>
              <w:t>42.753</w:t>
            </w:r>
          </w:p>
        </w:tc>
      </w:tr>
      <w:tr>
        <w:tblPrEx>
          <w:tblW w:w="8550" w:type="dxa"/>
          <w:tblInd w:w="1417" w:type="dxa"/>
          <w:tblLayout w:type="fixed"/>
        </w:tblPrEx>
        <w:trPr>
          <w:cantSplit/>
          <w:trHeight w:hRule="auto" w:val="0"/>
        </w:trPr>
        <w:tc>
          <w:tcPr>
            <w:tcW w:w="55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Amortización.</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(417.302)</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(246)</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000000"/>
                <w:sz w:val="14"/>
                <w:u w:val="none"/>
              </w:rPr>
              <w:t>(417.548)</w:t>
            </w:r>
          </w:p>
        </w:tc>
      </w:tr>
      <w:tr>
        <w:tblPrEx>
          <w:tblW w:w="8550" w:type="dxa"/>
          <w:tblInd w:w="1417" w:type="dxa"/>
          <w:tblLayout w:type="fixed"/>
        </w:tblPrEx>
        <w:trPr>
          <w:cantSplit/>
          <w:trHeight w:hRule="auto" w:val="0"/>
        </w:trPr>
        <w:tc>
          <w:tcPr>
            <w:tcW w:w="55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i w:val="0"/>
                <w:color w:val="FFFFFF"/>
                <w:sz w:val="14"/>
                <w:u w:val="none"/>
              </w:rPr>
              <w:t>Cambios, total</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4"/>
                <w:u w:val="none"/>
              </w:rPr>
              <w:t>(417.302)</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4"/>
                <w:u w:val="none"/>
              </w:rPr>
              <w:t>42.507</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4"/>
                <w:u w:val="none"/>
              </w:rPr>
              <w:t>(374.795)</w:t>
            </w:r>
          </w:p>
        </w:tc>
      </w:tr>
      <w:tr>
        <w:tblPrEx>
          <w:tblW w:w="8550" w:type="dxa"/>
          <w:tblInd w:w="1417" w:type="dxa"/>
          <w:tblLayout w:type="fixed"/>
        </w:tblPrEx>
        <w:trPr>
          <w:cantSplit/>
          <w:trHeight w:hRule="auto" w:val="0"/>
        </w:trPr>
        <w:tc>
          <w:tcPr>
            <w:tcW w:w="55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55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Saldo final al 30 de junio de 2026</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3.387.693</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245.362.011</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248.749.704</w:t>
            </w:r>
          </w:p>
        </w:tc>
      </w:tr>
    </w:tbl>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sz w:val="20"/>
        </w:rPr>
      </w:pPr>
    </w:p>
    <w:tbl>
      <w:tblPr>
        <w:tblW w:w="852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505"/>
        <w:gridCol w:w="1005"/>
        <w:gridCol w:w="1005"/>
        <w:gridCol w:w="1005"/>
      </w:tblGrid>
      <w:tr>
        <w:tblPrEx>
          <w:tblW w:w="8520" w:type="dxa"/>
          <w:tblInd w:w="1417" w:type="dxa"/>
          <w:tblLayout w:type="fixed"/>
        </w:tblPrEx>
        <w:trPr>
          <w:cantSplit/>
          <w:trHeight w:hRule="auto" w:val="0"/>
        </w:trPr>
        <w:tc>
          <w:tcPr>
            <w:tcW w:w="5505"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Movimientos en activos intangibles</w:t>
            </w:r>
          </w:p>
        </w:tc>
        <w:tc>
          <w:tcPr>
            <w:tcW w:w="3015" w:type="dxa"/>
            <w:gridSpan w:val="3"/>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31-12-2025</w:t>
            </w:r>
          </w:p>
        </w:tc>
      </w:tr>
      <w:tr>
        <w:tblPrEx>
          <w:tblW w:w="8520" w:type="dxa"/>
          <w:tblInd w:w="1417" w:type="dxa"/>
          <w:tblLayout w:type="fixed"/>
        </w:tblPrEx>
        <w:trPr>
          <w:cantSplit/>
          <w:trHeight w:hRule="exact" w:val="600"/>
        </w:trPr>
        <w:tc>
          <w:tcPr>
            <w:tcW w:w="5505" w:type="dxa"/>
            <w:vMerge/>
            <w:tcBorders>
              <w:top w:val="nil"/>
              <w:left w:val="single" w:sz="2" w:space="0" w:color="000000"/>
              <w:bottom w:val="nil"/>
              <w:right w:val="nil"/>
            </w:tcBorders>
          </w:tcPr>
          <w:p>
            <w:pPr>
              <w:keepNext/>
              <w:pageBreakBefore w:val="0"/>
            </w:pP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Programas informáticos, neto</w:t>
            </w:r>
          </w:p>
        </w:tc>
        <w:tc>
          <w:tcPr>
            <w:tcW w:w="10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Otros activos intangibles identificables, neto</w:t>
            </w:r>
          </w:p>
        </w:tc>
        <w:tc>
          <w:tcPr>
            <w:tcW w:w="100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Activos intangibles identificables, neto</w:t>
            </w:r>
          </w:p>
        </w:tc>
      </w:tr>
      <w:tr>
        <w:tblPrEx>
          <w:tblW w:w="8520" w:type="dxa"/>
          <w:tblInd w:w="1417" w:type="dxa"/>
          <w:tblLayout w:type="fixed"/>
        </w:tblPrEx>
        <w:trPr>
          <w:cantSplit/>
          <w:trHeight w:hRule="auto" w:val="0"/>
        </w:trPr>
        <w:tc>
          <w:tcPr>
            <w:tcW w:w="5505" w:type="dxa"/>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0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8520" w:type="dxa"/>
          <w:tblInd w:w="1417" w:type="dxa"/>
          <w:tblLayout w:type="fixed"/>
        </w:tblPrEx>
        <w:trPr>
          <w:cantSplit/>
          <w:trHeight w:hRule="exact" w:val="60"/>
        </w:trPr>
        <w:tc>
          <w:tcPr>
            <w:tcW w:w="55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20" w:type="dxa"/>
          <w:tblInd w:w="1417" w:type="dxa"/>
          <w:tblLayout w:type="fixed"/>
        </w:tblPrEx>
        <w:trPr>
          <w:cantSplit/>
          <w:trHeight w:hRule="auto" w:val="0"/>
        </w:trPr>
        <w:tc>
          <w:tcPr>
            <w:tcW w:w="55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Saldo inicial al 1 de enero de 2025</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5.433.591</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244.875.789</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250.309.380</w:t>
            </w:r>
          </w:p>
        </w:tc>
      </w:tr>
      <w:tr>
        <w:tblPrEx>
          <w:tblW w:w="8520" w:type="dxa"/>
          <w:tblInd w:w="1417" w:type="dxa"/>
          <w:tblLayout w:type="fixed"/>
        </w:tblPrEx>
        <w:trPr>
          <w:cantSplit/>
          <w:trHeight w:hRule="auto" w:val="0"/>
        </w:trPr>
        <w:tc>
          <w:tcPr>
            <w:tcW w:w="55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Incrementos distintos de los procedentes de combinaciones de negocios.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54.002</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460.000</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000000"/>
                <w:sz w:val="14"/>
                <w:u w:val="none"/>
              </w:rPr>
              <w:t>514.002</w:t>
            </w:r>
          </w:p>
        </w:tc>
      </w:tr>
      <w:tr>
        <w:tblPrEx>
          <w:tblW w:w="8520" w:type="dxa"/>
          <w:tblInd w:w="1417" w:type="dxa"/>
          <w:tblLayout w:type="fixed"/>
        </w:tblPrEx>
        <w:trPr>
          <w:cantSplit/>
          <w:trHeight w:hRule="auto" w:val="0"/>
        </w:trPr>
        <w:tc>
          <w:tcPr>
            <w:tcW w:w="55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Amortización.</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(1.682.598)</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(16.285)</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000000"/>
                <w:sz w:val="14"/>
                <w:u w:val="none"/>
              </w:rPr>
              <w:t>(1.698.883)</w:t>
            </w:r>
          </w:p>
        </w:tc>
      </w:tr>
      <w:tr>
        <w:tblPrEx>
          <w:tblW w:w="8520" w:type="dxa"/>
          <w:tblInd w:w="1417" w:type="dxa"/>
          <w:tblLayout w:type="fixed"/>
        </w:tblPrEx>
        <w:trPr>
          <w:cantSplit/>
          <w:trHeight w:hRule="auto" w:val="0"/>
        </w:trPr>
        <w:tc>
          <w:tcPr>
            <w:tcW w:w="55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i w:val="0"/>
                <w:color w:val="FFFFFF"/>
                <w:sz w:val="14"/>
                <w:u w:val="none"/>
              </w:rPr>
              <w:t>Cambios, total</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4"/>
                <w:u w:val="none"/>
              </w:rPr>
              <w:t>(1.628.596)</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4"/>
                <w:u w:val="none"/>
              </w:rPr>
              <w:t>443.715</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4"/>
                <w:u w:val="none"/>
              </w:rPr>
              <w:t>(1.184.881)</w:t>
            </w:r>
          </w:p>
        </w:tc>
      </w:tr>
      <w:tr>
        <w:tblPrEx>
          <w:tblW w:w="8520" w:type="dxa"/>
          <w:tblInd w:w="1417" w:type="dxa"/>
          <w:tblLayout w:type="fixed"/>
        </w:tblPrEx>
        <w:trPr>
          <w:cantSplit/>
          <w:trHeight w:hRule="auto" w:val="0"/>
        </w:trPr>
        <w:tc>
          <w:tcPr>
            <w:tcW w:w="55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20" w:type="dxa"/>
          <w:tblInd w:w="1417" w:type="dxa"/>
          <w:tblLayout w:type="fixed"/>
        </w:tblPrEx>
        <w:trPr>
          <w:cantSplit/>
          <w:trHeight w:hRule="auto" w:val="0"/>
        </w:trPr>
        <w:tc>
          <w:tcPr>
            <w:tcW w:w="55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Saldo final al 31 de diciembre de 2025</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3.804.995</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245.319.504</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249.124.499</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40" w:lineRule="exact"/>
        <w:ind w:left="2126" w:right="0" w:hanging="709"/>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14.1.1.-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 xml:space="preserve">El detalle del importe de activos intangibles identificables individuales significativos y su vida útil o periodo de amortización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sz w:val="20"/>
        </w:rPr>
        <w:t xml:space="preserve"> </w:t>
      </w:r>
      <w:r>
        <w:rPr>
          <w:rFonts w:ascii="Calibri" w:eastAsia="Calibri" w:hAnsi="Calibri" w:cs="Calibri"/>
          <w:b w:val="0"/>
          <w:i w:val="0"/>
          <w:color w:val="000000"/>
          <w:sz w:val="20"/>
          <w:u w:val="none"/>
        </w:rPr>
        <w:t>es el siguiente:</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p>
    <w:tbl>
      <w:tblPr>
        <w:tblW w:w="7845" w:type="dxa"/>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825"/>
        <w:gridCol w:w="1635"/>
        <w:gridCol w:w="2385"/>
      </w:tblGrid>
      <w:tr>
        <w:tblPrEx>
          <w:tblW w:w="7845" w:type="dxa"/>
          <w:tblInd w:w="2126" w:type="dxa"/>
          <w:tblLayout w:type="fixed"/>
        </w:tblPrEx>
        <w:trPr>
          <w:cantSplit/>
          <w:trHeight w:hRule="auto" w:val="0"/>
        </w:trPr>
        <w:tc>
          <w:tcPr>
            <w:tcW w:w="3825" w:type="dxa"/>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Detalle de otros activos identificables al</w:t>
            </w:r>
          </w:p>
        </w:tc>
        <w:tc>
          <w:tcPr>
            <w:tcW w:w="1635" w:type="dxa"/>
            <w:tcBorders>
              <w:top w:val="single" w:sz="2" w:space="0" w:color="000000"/>
              <w:left w:val="single" w:sz="4" w:space="0" w:color="FFFFFF"/>
              <w:bottom w:val="nil"/>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6"/>
                <w:u w:val="none"/>
              </w:rPr>
              <w:t>Importe en libros de activo individual intangible significativo</w:t>
            </w:r>
          </w:p>
        </w:tc>
        <w:tc>
          <w:tcPr>
            <w:tcW w:w="2385" w:type="dxa"/>
            <w:vMerge w:val="restart"/>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Explicación del periodo o ejercicio de amortización restante de activo intangible individual identificable significativo</w:t>
            </w:r>
          </w:p>
        </w:tc>
      </w:tr>
      <w:tr>
        <w:tblPrEx>
          <w:tblW w:w="7845" w:type="dxa"/>
          <w:tblInd w:w="2126" w:type="dxa"/>
          <w:tblLayout w:type="fixed"/>
        </w:tblPrEx>
        <w:trPr>
          <w:cantSplit/>
          <w:trHeight w:hRule="auto" w:val="0"/>
        </w:trPr>
        <w:tc>
          <w:tcPr>
            <w:tcW w:w="3825" w:type="dxa"/>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63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2385" w:type="dxa"/>
            <w:vMerge/>
            <w:tcBorders>
              <w:top w:val="nil"/>
              <w:left w:val="single" w:sz="4" w:space="0" w:color="FFFFFF"/>
              <w:bottom w:val="single" w:sz="2" w:space="0" w:color="000000"/>
              <w:right w:val="single" w:sz="2" w:space="0" w:color="000000"/>
            </w:tcBorders>
          </w:tcPr>
          <w:p>
            <w:pPr>
              <w:keepNext/>
              <w:pageBreakBefore w:val="0"/>
            </w:pPr>
          </w:p>
        </w:tc>
      </w:tr>
      <w:tr>
        <w:tblPrEx>
          <w:tblW w:w="7845" w:type="dxa"/>
          <w:tblInd w:w="2126" w:type="dxa"/>
          <w:tblLayout w:type="fixed"/>
        </w:tblPrEx>
        <w:trPr>
          <w:cantSplit/>
          <w:trHeight w:hRule="auto" w:val="0"/>
        </w:trPr>
        <w:tc>
          <w:tcPr>
            <w:tcW w:w="3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 xml:space="preserve"> Concesiones. </w:t>
            </w:r>
          </w:p>
        </w:tc>
        <w:tc>
          <w:tcPr>
            <w:tcW w:w="16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91.850.130</w:t>
            </w:r>
          </w:p>
        </w:tc>
        <w:tc>
          <w:tcPr>
            <w:tcW w:w="238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val="0"/>
                <w:i w:val="0"/>
                <w:color w:val="000000"/>
                <w:sz w:val="16"/>
                <w:u w:val="none"/>
              </w:rPr>
              <w:t>Indefinida</w:t>
            </w:r>
          </w:p>
        </w:tc>
      </w:tr>
      <w:tr>
        <w:tblPrEx>
          <w:tblW w:w="7845" w:type="dxa"/>
          <w:tblInd w:w="2126" w:type="dxa"/>
          <w:tblLayout w:type="fixed"/>
        </w:tblPrEx>
        <w:trPr>
          <w:cantSplit/>
          <w:trHeight w:hRule="auto" w:val="0"/>
        </w:trPr>
        <w:tc>
          <w:tcPr>
            <w:tcW w:w="3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 xml:space="preserve"> Servidumbres. </w:t>
            </w:r>
          </w:p>
        </w:tc>
        <w:tc>
          <w:tcPr>
            <w:tcW w:w="16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153.421.232</w:t>
            </w:r>
          </w:p>
        </w:tc>
        <w:tc>
          <w:tcPr>
            <w:tcW w:w="238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val="0"/>
                <w:i w:val="0"/>
                <w:color w:val="000000"/>
                <w:sz w:val="16"/>
                <w:u w:val="none"/>
              </w:rPr>
              <w:t>Indefinida</w:t>
            </w:r>
          </w:p>
        </w:tc>
      </w:tr>
      <w:tr>
        <w:tblPrEx>
          <w:tblW w:w="7845" w:type="dxa"/>
          <w:tblInd w:w="2126" w:type="dxa"/>
          <w:tblLayout w:type="fixed"/>
        </w:tblPrEx>
        <w:trPr>
          <w:cantSplit/>
          <w:trHeight w:hRule="auto" w:val="0"/>
        </w:trPr>
        <w:tc>
          <w:tcPr>
            <w:tcW w:w="3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 xml:space="preserve"> Servidumbres. </w:t>
            </w:r>
          </w:p>
        </w:tc>
        <w:tc>
          <w:tcPr>
            <w:tcW w:w="16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37.097</w:t>
            </w:r>
          </w:p>
        </w:tc>
        <w:tc>
          <w:tcPr>
            <w:tcW w:w="238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val="0"/>
                <w:i w:val="0"/>
                <w:color w:val="000000"/>
                <w:sz w:val="16"/>
                <w:u w:val="none"/>
              </w:rPr>
              <w:t xml:space="preserve">Definida </w:t>
            </w:r>
          </w:p>
        </w:tc>
      </w:tr>
      <w:tr>
        <w:tblPrEx>
          <w:tblW w:w="7845" w:type="dxa"/>
          <w:tblInd w:w="2126" w:type="dxa"/>
          <w:tblLayout w:type="fixed"/>
        </w:tblPrEx>
        <w:trPr>
          <w:cantSplit/>
          <w:trHeight w:hRule="auto" w:val="0"/>
        </w:trPr>
        <w:tc>
          <w:tcPr>
            <w:tcW w:w="3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 xml:space="preserve"> Otros. </w:t>
            </w:r>
          </w:p>
        </w:tc>
        <w:tc>
          <w:tcPr>
            <w:tcW w:w="16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53.552</w:t>
            </w:r>
          </w:p>
        </w:tc>
        <w:tc>
          <w:tcPr>
            <w:tcW w:w="238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val="0"/>
                <w:i w:val="0"/>
                <w:color w:val="000000"/>
                <w:sz w:val="16"/>
                <w:u w:val="none"/>
              </w:rPr>
              <w:t>Indefinida</w:t>
            </w:r>
          </w:p>
        </w:tc>
      </w:tr>
      <w:tr>
        <w:tblPrEx>
          <w:tblW w:w="7845" w:type="dxa"/>
          <w:tblInd w:w="2126" w:type="dxa"/>
          <w:tblLayout w:type="fixed"/>
        </w:tblPrEx>
        <w:trPr>
          <w:cantSplit/>
          <w:trHeight w:hRule="auto" w:val="0"/>
        </w:trPr>
        <w:tc>
          <w:tcPr>
            <w:tcW w:w="3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i w:val="0"/>
                <w:color w:val="FFFFFF"/>
                <w:sz w:val="16"/>
                <w:u w:val="none"/>
              </w:rPr>
              <w:t>Total</w:t>
            </w:r>
          </w:p>
        </w:tc>
        <w:tc>
          <w:tcPr>
            <w:tcW w:w="163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245.362.011</w:t>
            </w:r>
          </w:p>
        </w:tc>
        <w:tc>
          <w:tcPr>
            <w:tcW w:w="2385" w:type="dxa"/>
            <w:tcBorders>
              <w:top w:val="single" w:sz="2" w:space="0" w:color="000000"/>
              <w:left w:val="single" w:sz="4" w:space="0" w:color="FFFFFF"/>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left"/>
            </w:pP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7845" w:type="dxa"/>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825"/>
        <w:gridCol w:w="1635"/>
        <w:gridCol w:w="2385"/>
      </w:tblGrid>
      <w:tr>
        <w:tblPrEx>
          <w:tblW w:w="7845" w:type="dxa"/>
          <w:tblInd w:w="2126" w:type="dxa"/>
          <w:tblLayout w:type="fixed"/>
        </w:tblPrEx>
        <w:trPr>
          <w:cantSplit/>
          <w:trHeight w:hRule="auto" w:val="0"/>
        </w:trPr>
        <w:tc>
          <w:tcPr>
            <w:tcW w:w="3825" w:type="dxa"/>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Detalle de otros activos identificables al</w:t>
            </w:r>
          </w:p>
        </w:tc>
        <w:tc>
          <w:tcPr>
            <w:tcW w:w="1635" w:type="dxa"/>
            <w:tcBorders>
              <w:top w:val="single" w:sz="2" w:space="0" w:color="000000"/>
              <w:left w:val="single" w:sz="4" w:space="0" w:color="FFFFFF"/>
              <w:bottom w:val="nil"/>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6"/>
                <w:u w:val="none"/>
              </w:rPr>
              <w:t>Importe en libros de activo individual intangible significativo</w:t>
            </w:r>
          </w:p>
        </w:tc>
        <w:tc>
          <w:tcPr>
            <w:tcW w:w="2385" w:type="dxa"/>
            <w:vMerge w:val="restart"/>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Explicación del periodo o ejercicio de amortización restante de activo intangible individual identificable significativo</w:t>
            </w:r>
          </w:p>
        </w:tc>
      </w:tr>
      <w:tr>
        <w:tblPrEx>
          <w:tblW w:w="7845" w:type="dxa"/>
          <w:tblInd w:w="2126" w:type="dxa"/>
          <w:tblLayout w:type="fixed"/>
        </w:tblPrEx>
        <w:trPr>
          <w:cantSplit/>
          <w:trHeight w:hRule="auto" w:val="0"/>
        </w:trPr>
        <w:tc>
          <w:tcPr>
            <w:tcW w:w="3825" w:type="dxa"/>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c>
          <w:tcPr>
            <w:tcW w:w="163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2385" w:type="dxa"/>
            <w:vMerge/>
            <w:tcBorders>
              <w:top w:val="nil"/>
              <w:left w:val="single" w:sz="4" w:space="0" w:color="FFFFFF"/>
              <w:bottom w:val="single" w:sz="2" w:space="0" w:color="000000"/>
              <w:right w:val="single" w:sz="2" w:space="0" w:color="000000"/>
            </w:tcBorders>
          </w:tcPr>
          <w:p>
            <w:pPr>
              <w:keepNext/>
              <w:pageBreakBefore w:val="0"/>
            </w:pPr>
          </w:p>
        </w:tc>
      </w:tr>
      <w:tr>
        <w:tblPrEx>
          <w:tblW w:w="7845" w:type="dxa"/>
          <w:tblInd w:w="2126" w:type="dxa"/>
          <w:tblLayout w:type="fixed"/>
        </w:tblPrEx>
        <w:trPr>
          <w:cantSplit/>
          <w:trHeight w:hRule="auto" w:val="0"/>
        </w:trPr>
        <w:tc>
          <w:tcPr>
            <w:tcW w:w="3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 xml:space="preserve"> Concesiones. </w:t>
            </w:r>
          </w:p>
        </w:tc>
        <w:tc>
          <w:tcPr>
            <w:tcW w:w="16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91.850.130</w:t>
            </w:r>
          </w:p>
        </w:tc>
        <w:tc>
          <w:tcPr>
            <w:tcW w:w="238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val="0"/>
                <w:i w:val="0"/>
                <w:color w:val="000000"/>
                <w:sz w:val="16"/>
                <w:u w:val="none"/>
              </w:rPr>
              <w:t>Indefinida</w:t>
            </w:r>
          </w:p>
        </w:tc>
      </w:tr>
      <w:tr>
        <w:tblPrEx>
          <w:tblW w:w="7845" w:type="dxa"/>
          <w:tblInd w:w="2126" w:type="dxa"/>
          <w:tblLayout w:type="fixed"/>
        </w:tblPrEx>
        <w:trPr>
          <w:cantSplit/>
          <w:trHeight w:hRule="auto" w:val="0"/>
        </w:trPr>
        <w:tc>
          <w:tcPr>
            <w:tcW w:w="3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 xml:space="preserve"> Servidumbres. </w:t>
            </w:r>
          </w:p>
        </w:tc>
        <w:tc>
          <w:tcPr>
            <w:tcW w:w="16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153.378.479</w:t>
            </w:r>
          </w:p>
        </w:tc>
        <w:tc>
          <w:tcPr>
            <w:tcW w:w="238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val="0"/>
                <w:i w:val="0"/>
                <w:color w:val="000000"/>
                <w:sz w:val="16"/>
                <w:u w:val="none"/>
              </w:rPr>
              <w:t>Indefinida</w:t>
            </w:r>
          </w:p>
        </w:tc>
      </w:tr>
      <w:tr>
        <w:tblPrEx>
          <w:tblW w:w="7845" w:type="dxa"/>
          <w:tblInd w:w="2126" w:type="dxa"/>
          <w:tblLayout w:type="fixed"/>
        </w:tblPrEx>
        <w:trPr>
          <w:cantSplit/>
          <w:trHeight w:hRule="auto" w:val="0"/>
        </w:trPr>
        <w:tc>
          <w:tcPr>
            <w:tcW w:w="3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 xml:space="preserve"> Servidumbres. </w:t>
            </w:r>
          </w:p>
        </w:tc>
        <w:tc>
          <w:tcPr>
            <w:tcW w:w="16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37.343</w:t>
            </w:r>
          </w:p>
        </w:tc>
        <w:tc>
          <w:tcPr>
            <w:tcW w:w="238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val="0"/>
                <w:i w:val="0"/>
                <w:color w:val="000000"/>
                <w:sz w:val="16"/>
                <w:u w:val="none"/>
              </w:rPr>
              <w:t xml:space="preserve">Definida </w:t>
            </w:r>
          </w:p>
        </w:tc>
      </w:tr>
      <w:tr>
        <w:tblPrEx>
          <w:tblW w:w="7845" w:type="dxa"/>
          <w:tblInd w:w="2126" w:type="dxa"/>
          <w:tblLayout w:type="fixed"/>
        </w:tblPrEx>
        <w:trPr>
          <w:cantSplit/>
          <w:trHeight w:hRule="auto" w:val="0"/>
        </w:trPr>
        <w:tc>
          <w:tcPr>
            <w:tcW w:w="3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 xml:space="preserve"> Otros. </w:t>
            </w:r>
          </w:p>
        </w:tc>
        <w:tc>
          <w:tcPr>
            <w:tcW w:w="16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53.552</w:t>
            </w:r>
          </w:p>
        </w:tc>
        <w:tc>
          <w:tcPr>
            <w:tcW w:w="238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val="0"/>
                <w:i w:val="0"/>
                <w:color w:val="000000"/>
                <w:sz w:val="16"/>
                <w:u w:val="none"/>
              </w:rPr>
              <w:t>Indefinida</w:t>
            </w:r>
          </w:p>
        </w:tc>
      </w:tr>
      <w:tr>
        <w:tblPrEx>
          <w:tblW w:w="7845" w:type="dxa"/>
          <w:tblInd w:w="2126" w:type="dxa"/>
          <w:tblLayout w:type="fixed"/>
        </w:tblPrEx>
        <w:trPr>
          <w:cantSplit/>
          <w:trHeight w:hRule="auto" w:val="0"/>
        </w:trPr>
        <w:tc>
          <w:tcPr>
            <w:tcW w:w="3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i w:val="0"/>
                <w:color w:val="FFFFFF"/>
                <w:sz w:val="16"/>
                <w:u w:val="none"/>
              </w:rPr>
              <w:t>Total</w:t>
            </w:r>
          </w:p>
        </w:tc>
        <w:tc>
          <w:tcPr>
            <w:tcW w:w="163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245.319.504</w:t>
            </w:r>
          </w:p>
        </w:tc>
        <w:tc>
          <w:tcPr>
            <w:tcW w:w="2385" w:type="dxa"/>
            <w:tcBorders>
              <w:top w:val="single" w:sz="2" w:space="0" w:color="000000"/>
              <w:left w:val="single" w:sz="4" w:space="0" w:color="FFFFFF"/>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left"/>
            </w:pPr>
          </w:p>
        </w:tc>
      </w:tr>
    </w:tbl>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cargo a resultados del período por amortización de intangibles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es el siguiente:</w:t>
      </w:r>
    </w:p>
    <w:p>
      <w:pPr>
        <w:keepNext w:val="0"/>
        <w:keepLines/>
        <w:pageBreakBefore w:val="0"/>
        <w:widowControl w:val="0"/>
        <w:numPr>
          <w:ilvl w:val="0"/>
          <w:numId w:val="0"/>
        </w:numPr>
        <w:spacing w:before="0" w:after="0" w:line="288" w:lineRule="auto"/>
        <w:ind w:left="0" w:right="0" w:firstLine="709"/>
        <w:jc w:val="both"/>
        <w:outlineLvl w:val="9"/>
        <w:rPr>
          <w:rFonts w:ascii="Calibri" w:eastAsia="Calibri" w:hAnsi="Calibri" w:cs="Calibri"/>
          <w:b w:val="0"/>
          <w:i w:val="0"/>
          <w:color w:val="000000"/>
          <w:sz w:val="20"/>
          <w:u w:val="none"/>
        </w:rPr>
      </w:pPr>
    </w:p>
    <w:tbl>
      <w:tblPr>
        <w:tblW w:w="7785" w:type="dxa"/>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545"/>
        <w:gridCol w:w="780"/>
        <w:gridCol w:w="780"/>
        <w:gridCol w:w="780"/>
        <w:gridCol w:w="780"/>
        <w:gridCol w:w="780"/>
        <w:gridCol w:w="780"/>
        <w:gridCol w:w="780"/>
        <w:gridCol w:w="780"/>
      </w:tblGrid>
      <w:tr>
        <w:tblPrEx>
          <w:tblW w:w="7785" w:type="dxa"/>
          <w:tblInd w:w="2126" w:type="dxa"/>
          <w:tblLayout w:type="fixed"/>
        </w:tblPrEx>
        <w:trPr>
          <w:cantSplit/>
          <w:trHeight w:hRule="auto" w:val="0"/>
        </w:trPr>
        <w:tc>
          <w:tcPr>
            <w:tcW w:w="1545"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ind w:firstLine="567"/>
              <w:jc w:val="center"/>
            </w:pPr>
            <w:r>
              <w:rPr>
                <w:rFonts w:ascii="Calibri" w:eastAsia="Calibri" w:hAnsi="Calibri" w:cs="Calibri"/>
                <w:b/>
                <w:i w:val="0"/>
                <w:color w:val="FFFFFF"/>
                <w:sz w:val="12"/>
                <w:u w:val="none"/>
              </w:rPr>
              <w:t>Línea de partida en el estado de resultados que incluye amortización de activos intangibles identificables</w:t>
            </w:r>
          </w:p>
        </w:tc>
        <w:tc>
          <w:tcPr>
            <w:tcW w:w="1560" w:type="dxa"/>
            <w:gridSpan w:val="2"/>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01-01-2026</w:t>
            </w:r>
          </w:p>
        </w:tc>
        <w:tc>
          <w:tcPr>
            <w:tcW w:w="1560" w:type="dxa"/>
            <w:gridSpan w:val="2"/>
            <w:tcBorders>
              <w:top w:val="single" w:sz="2" w:space="0" w:color="000000"/>
              <w:left w:val="nil"/>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01-01-2025</w:t>
            </w:r>
          </w:p>
        </w:tc>
        <w:tc>
          <w:tcPr>
            <w:tcW w:w="1560" w:type="dxa"/>
            <w:gridSpan w:val="2"/>
            <w:tcBorders>
              <w:top w:val="single" w:sz="2" w:space="0" w:color="000000"/>
              <w:left w:val="nil"/>
              <w:bottom w:val="nil"/>
              <w:right w:val="single" w:sz="8"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01-04-2026</w:t>
            </w:r>
          </w:p>
        </w:tc>
        <w:tc>
          <w:tcPr>
            <w:tcW w:w="1560" w:type="dxa"/>
            <w:gridSpan w:val="2"/>
            <w:tcBorders>
              <w:top w:val="single" w:sz="2" w:space="0" w:color="000000"/>
              <w:left w:val="nil"/>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FFFFFF"/>
                <w:sz w:val="12"/>
                <w:u w:val="none"/>
              </w:rPr>
              <w:t>01-04-2025</w:t>
            </w:r>
          </w:p>
        </w:tc>
      </w:tr>
      <w:tr>
        <w:tblPrEx>
          <w:tblW w:w="7785" w:type="dxa"/>
          <w:tblInd w:w="2126" w:type="dxa"/>
          <w:tblLayout w:type="fixed"/>
        </w:tblPrEx>
        <w:trPr>
          <w:cantSplit/>
          <w:trHeight w:hRule="auto" w:val="0"/>
        </w:trPr>
        <w:tc>
          <w:tcPr>
            <w:tcW w:w="1545" w:type="dxa"/>
            <w:vMerge/>
            <w:tcBorders>
              <w:top w:val="nil"/>
              <w:left w:val="single" w:sz="2" w:space="0" w:color="000000"/>
              <w:bottom w:val="nil"/>
              <w:right w:val="single" w:sz="4" w:space="0" w:color="FFFFFF"/>
            </w:tcBorders>
          </w:tcPr>
          <w:p>
            <w:pPr>
              <w:keepNext/>
              <w:pageBreakBefore w:val="0"/>
            </w:pPr>
          </w:p>
        </w:tc>
        <w:tc>
          <w:tcPr>
            <w:tcW w:w="1560" w:type="dxa"/>
            <w:gridSpan w:val="2"/>
            <w:tcBorders>
              <w:top w:val="nil"/>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30-06-2026</w:t>
            </w:r>
          </w:p>
        </w:tc>
        <w:tc>
          <w:tcPr>
            <w:tcW w:w="1560" w:type="dxa"/>
            <w:gridSpan w:val="2"/>
            <w:tcBorders>
              <w:top w:val="nil"/>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30-06-2025</w:t>
            </w:r>
          </w:p>
        </w:tc>
        <w:tc>
          <w:tcPr>
            <w:tcW w:w="1560" w:type="dxa"/>
            <w:gridSpan w:val="2"/>
            <w:tcBorders>
              <w:top w:val="nil"/>
              <w:left w:val="nil"/>
              <w:bottom w:val="single" w:sz="8" w:space="0" w:color="FFFFFF"/>
              <w:right w:val="single" w:sz="8"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30-06-2026</w:t>
            </w:r>
          </w:p>
        </w:tc>
        <w:tc>
          <w:tcPr>
            <w:tcW w:w="1560" w:type="dxa"/>
            <w:gridSpan w:val="2"/>
            <w:tcBorders>
              <w:top w:val="nil"/>
              <w:left w:val="nil"/>
              <w:bottom w:val="single" w:sz="8"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30-06-2025</w:t>
            </w:r>
          </w:p>
        </w:tc>
      </w:tr>
      <w:tr>
        <w:tblPrEx>
          <w:tblW w:w="7785" w:type="dxa"/>
          <w:tblInd w:w="2126" w:type="dxa"/>
          <w:tblLayout w:type="fixed"/>
        </w:tblPrEx>
        <w:trPr>
          <w:cantSplit/>
          <w:trHeight w:hRule="auto" w:val="0"/>
        </w:trPr>
        <w:tc>
          <w:tcPr>
            <w:tcW w:w="1545" w:type="dxa"/>
            <w:vMerge/>
            <w:tcBorders>
              <w:top w:val="nil"/>
              <w:left w:val="single" w:sz="2" w:space="0" w:color="000000"/>
              <w:bottom w:val="nil"/>
              <w:right w:val="nil"/>
            </w:tcBorders>
          </w:tcPr>
          <w:p>
            <w:pPr>
              <w:keepNext/>
              <w:pageBreakBefore w:val="0"/>
            </w:pPr>
          </w:p>
        </w:tc>
        <w:tc>
          <w:tcPr>
            <w:tcW w:w="78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Programas informáticos</w:t>
            </w:r>
          </w:p>
        </w:tc>
        <w:tc>
          <w:tcPr>
            <w:tcW w:w="78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Otros activos intangibles identificables</w:t>
            </w:r>
          </w:p>
        </w:tc>
        <w:tc>
          <w:tcPr>
            <w:tcW w:w="78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Programas informáticos</w:t>
            </w:r>
          </w:p>
        </w:tc>
        <w:tc>
          <w:tcPr>
            <w:tcW w:w="78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Otros activos intangibles identificables</w:t>
            </w:r>
          </w:p>
        </w:tc>
        <w:tc>
          <w:tcPr>
            <w:tcW w:w="780" w:type="dxa"/>
            <w:tcBorders>
              <w:top w:val="nil"/>
              <w:left w:val="single" w:sz="8"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Programas informáticos</w:t>
            </w:r>
          </w:p>
        </w:tc>
        <w:tc>
          <w:tcPr>
            <w:tcW w:w="780" w:type="dxa"/>
            <w:tcBorders>
              <w:top w:val="single" w:sz="8" w:space="0" w:color="FFFFFF"/>
              <w:left w:val="single" w:sz="8"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Otros activos intangibles identificables</w:t>
            </w:r>
          </w:p>
        </w:tc>
        <w:tc>
          <w:tcPr>
            <w:tcW w:w="780" w:type="dxa"/>
            <w:tcBorders>
              <w:top w:val="nil"/>
              <w:left w:val="single" w:sz="8"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Programas informáticos</w:t>
            </w:r>
          </w:p>
        </w:tc>
        <w:tc>
          <w:tcPr>
            <w:tcW w:w="780" w:type="dxa"/>
            <w:tcBorders>
              <w:top w:val="single" w:sz="8" w:space="0" w:color="FFFFFF"/>
              <w:left w:val="single" w:sz="8"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Otros activos intangibles identificables</w:t>
            </w:r>
          </w:p>
        </w:tc>
      </w:tr>
      <w:tr>
        <w:tblPrEx>
          <w:tblW w:w="7785" w:type="dxa"/>
          <w:tblInd w:w="2126" w:type="dxa"/>
          <w:tblLayout w:type="fixed"/>
        </w:tblPrEx>
        <w:trPr>
          <w:cantSplit/>
          <w:trHeight w:hRule="auto" w:val="0"/>
        </w:trPr>
        <w:tc>
          <w:tcPr>
            <w:tcW w:w="1545" w:type="dxa"/>
            <w:vMerge/>
            <w:tcBorders>
              <w:top w:val="nil"/>
              <w:left w:val="single" w:sz="2" w:space="0" w:color="000000"/>
              <w:bottom w:val="single" w:sz="2" w:space="0" w:color="000000"/>
              <w:right w:val="nil"/>
            </w:tcBorders>
          </w:tcPr>
          <w:p>
            <w:pPr>
              <w:keepNext/>
              <w:pageBreakBefore w:val="0"/>
            </w:pPr>
          </w:p>
        </w:tc>
        <w:tc>
          <w:tcPr>
            <w:tcW w:w="78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8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8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8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80" w:type="dxa"/>
            <w:tcBorders>
              <w:top w:val="nil"/>
              <w:left w:val="single" w:sz="8"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80" w:type="dxa"/>
            <w:tcBorders>
              <w:top w:val="nil"/>
              <w:left w:val="single" w:sz="8"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80" w:type="dxa"/>
            <w:tcBorders>
              <w:top w:val="nil"/>
              <w:left w:val="single" w:sz="8"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80" w:type="dxa"/>
            <w:tcBorders>
              <w:top w:val="nil"/>
              <w:left w:val="single" w:sz="8"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r>
      <w:tr>
        <w:tblPrEx>
          <w:tblW w:w="7785" w:type="dxa"/>
          <w:tblInd w:w="2126" w:type="dxa"/>
          <w:tblLayout w:type="fixed"/>
        </w:tblPrEx>
        <w:trPr>
          <w:cantSplit/>
          <w:trHeight w:hRule="auto" w:val="0"/>
        </w:trPr>
        <w:tc>
          <w:tcPr>
            <w:tcW w:w="15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Costo de ventas.</w:t>
            </w:r>
          </w:p>
        </w:tc>
        <w:tc>
          <w:tcPr>
            <w:tcW w:w="7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7.650</w:t>
            </w:r>
          </w:p>
        </w:tc>
        <w:tc>
          <w:tcPr>
            <w:tcW w:w="7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(3.825)</w:t>
            </w:r>
          </w:p>
        </w:tc>
        <w:tc>
          <w:tcPr>
            <w:tcW w:w="7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8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3.825</w:t>
            </w:r>
          </w:p>
        </w:tc>
      </w:tr>
      <w:tr>
        <w:tblPrEx>
          <w:tblW w:w="7785" w:type="dxa"/>
          <w:tblInd w:w="2126" w:type="dxa"/>
          <w:tblLayout w:type="fixed"/>
        </w:tblPrEx>
        <w:trPr>
          <w:cantSplit/>
          <w:trHeight w:hRule="auto" w:val="0"/>
        </w:trPr>
        <w:tc>
          <w:tcPr>
            <w:tcW w:w="15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Gastos de administración.</w:t>
            </w:r>
          </w:p>
        </w:tc>
        <w:tc>
          <w:tcPr>
            <w:tcW w:w="7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400.081</w:t>
            </w:r>
          </w:p>
        </w:tc>
        <w:tc>
          <w:tcPr>
            <w:tcW w:w="7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246</w:t>
            </w:r>
          </w:p>
        </w:tc>
        <w:tc>
          <w:tcPr>
            <w:tcW w:w="7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842.736</w:t>
            </w:r>
          </w:p>
        </w:tc>
        <w:tc>
          <w:tcPr>
            <w:tcW w:w="7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493</w:t>
            </w:r>
          </w:p>
        </w:tc>
        <w:tc>
          <w:tcPr>
            <w:tcW w:w="7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(17.221)</w:t>
            </w:r>
          </w:p>
        </w:tc>
        <w:tc>
          <w:tcPr>
            <w:tcW w:w="7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424.825</w:t>
            </w:r>
          </w:p>
        </w:tc>
        <w:tc>
          <w:tcPr>
            <w:tcW w:w="78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247</w:t>
            </w:r>
          </w:p>
        </w:tc>
      </w:tr>
      <w:tr>
        <w:tblPrEx>
          <w:tblW w:w="7785" w:type="dxa"/>
          <w:tblInd w:w="2126" w:type="dxa"/>
          <w:tblLayout w:type="fixed"/>
        </w:tblPrEx>
        <w:trPr>
          <w:cantSplit/>
          <w:trHeight w:hRule="auto" w:val="0"/>
        </w:trPr>
        <w:tc>
          <w:tcPr>
            <w:tcW w:w="15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2"/>
                <w:u w:val="none"/>
              </w:rPr>
              <w:t>Total</w:t>
            </w:r>
          </w:p>
        </w:tc>
        <w:tc>
          <w:tcPr>
            <w:tcW w:w="78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400.081</w:t>
            </w:r>
          </w:p>
        </w:tc>
        <w:tc>
          <w:tcPr>
            <w:tcW w:w="78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246</w:t>
            </w:r>
          </w:p>
        </w:tc>
        <w:tc>
          <w:tcPr>
            <w:tcW w:w="78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842.736</w:t>
            </w:r>
          </w:p>
        </w:tc>
        <w:tc>
          <w:tcPr>
            <w:tcW w:w="78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8.143</w:t>
            </w:r>
          </w:p>
        </w:tc>
        <w:tc>
          <w:tcPr>
            <w:tcW w:w="780" w:type="dxa"/>
            <w:tcBorders>
              <w:top w:val="single" w:sz="2" w:space="0" w:color="000000"/>
              <w:left w:val="single" w:sz="8"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(17.221)</w:t>
            </w:r>
          </w:p>
        </w:tc>
        <w:tc>
          <w:tcPr>
            <w:tcW w:w="780" w:type="dxa"/>
            <w:tcBorders>
              <w:top w:val="single" w:sz="2" w:space="0" w:color="000000"/>
              <w:left w:val="single" w:sz="8"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(3.825)</w:t>
            </w:r>
          </w:p>
        </w:tc>
        <w:tc>
          <w:tcPr>
            <w:tcW w:w="780" w:type="dxa"/>
            <w:tcBorders>
              <w:top w:val="single" w:sz="2" w:space="0" w:color="000000"/>
              <w:left w:val="single" w:sz="8"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424.825</w:t>
            </w:r>
          </w:p>
        </w:tc>
        <w:tc>
          <w:tcPr>
            <w:tcW w:w="780" w:type="dxa"/>
            <w:tcBorders>
              <w:top w:val="single" w:sz="2" w:space="0" w:color="000000"/>
              <w:left w:val="single" w:sz="8"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4.072</w:t>
            </w:r>
          </w:p>
        </w:tc>
      </w:tr>
    </w:tbl>
    <w:p>
      <w:pPr>
        <w:keepNext w:val="0"/>
        <w:keepLines/>
        <w:pageBreakBefore w:val="0"/>
        <w:widowControl w:val="0"/>
        <w:numPr>
          <w:ilvl w:val="0"/>
          <w:numId w:val="0"/>
        </w:numPr>
        <w:spacing w:before="0" w:after="0" w:line="288" w:lineRule="auto"/>
        <w:ind w:left="1985" w:right="0" w:firstLine="142"/>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985" w:right="0" w:firstLine="142"/>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2-wk"/>
        <w:keepNext w:val="0"/>
        <w:keepLines/>
        <w:pageBreakBefore w:val="0"/>
        <w:widowControl w:val="0"/>
        <w:numPr>
          <w:ilvl w:val="0"/>
          <w:numId w:val="0"/>
        </w:numPr>
        <w:spacing w:before="0" w:after="0" w:line="240" w:lineRule="exact"/>
        <w:ind w:left="709" w:right="0" w:firstLine="0"/>
        <w:jc w:val="both"/>
        <w:outlineLvl w:val="1"/>
        <w:rPr>
          <w:rFonts w:ascii="Times New Roman" w:eastAsia="Times New Roman" w:hAnsi="Times New Roman" w:cs="Times New Roman"/>
          <w:b/>
          <w:i w:val="0"/>
          <w:color w:val="000000"/>
          <w:sz w:val="24"/>
          <w:u w:val="none"/>
        </w:rPr>
      </w:pPr>
      <w:bookmarkStart w:id="143" w:name="Section75"/>
      <w:bookmarkEnd w:id="143"/>
      <w:bookmarkStart w:id="144" w:name="7d69adbdd76b4f71a7ba26ac5c66d52f"/>
      <w:r>
        <w:rPr>
          <w:rFonts w:ascii="Calibri" w:eastAsia="Calibri" w:hAnsi="Calibri" w:cs="Calibri"/>
          <w:b/>
          <w:i w:val="0"/>
          <w:color w:val="000000"/>
          <w:sz w:val="20"/>
          <w:u w:val="none"/>
        </w:rPr>
        <w:t>14.2.-</w:t>
      </w:r>
      <w:r>
        <w:rPr>
          <w:rFonts w:ascii="Calibri" w:eastAsia="Calibri" w:hAnsi="Calibri" w:cs="Calibri"/>
          <w:b/>
          <w:i w:val="0"/>
          <w:color w:val="000000"/>
          <w:sz w:val="20"/>
          <w:u w:val="none"/>
        </w:rPr>
        <w:tab/>
      </w:r>
      <w:r>
        <w:rPr>
          <w:rFonts w:ascii="Calibri" w:eastAsia="Calibri" w:hAnsi="Calibri" w:cs="Calibri"/>
          <w:b/>
          <w:i w:val="0"/>
          <w:color w:val="000000"/>
          <w:sz w:val="20"/>
          <w:u w:val="none"/>
        </w:rPr>
        <w:t>Activos inta</w:t>
      </w:r>
      <w:r>
        <w:rPr>
          <w:rFonts w:ascii="Calibri" w:eastAsia="Calibri" w:hAnsi="Calibri" w:cs="Calibri"/>
          <w:b/>
          <w:i w:val="0"/>
          <w:color w:val="000000"/>
          <w:sz w:val="20"/>
          <w:u w:val="none"/>
        </w:rPr>
        <w:t xml:space="preserve">ngibles con vida útil </w:t>
      </w:r>
      <w:r>
        <w:rPr>
          <w:rFonts w:ascii="Calibri" w:eastAsia="Calibri" w:hAnsi="Calibri" w:cs="Calibri"/>
          <w:b/>
          <w:i w:val="0"/>
          <w:color w:val="000000"/>
          <w:sz w:val="20"/>
          <w:u w:val="none"/>
        </w:rPr>
        <w:t>indefinida.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44"/>
    </w:p>
    <w:p>
      <w:pPr>
        <w:pStyle w:val="Normal-wk"/>
        <w:keepNext w:val="0"/>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14.2.1.-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Servidumbres.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derechos de servidumbre se presentan al costo. El periodo de explotación de dichos derechos en general no tiene límite por lo que son considerados activos con una vida útil indefinida, y en consecuencia no están sujetos a amortización.</w:t>
      </w:r>
    </w:p>
    <w:p>
      <w:pPr>
        <w:keepNext w:val="0"/>
        <w:keepLines/>
        <w:pageBreakBefore w:val="0"/>
        <w:widowControl w:val="0"/>
        <w:numPr>
          <w:ilvl w:val="0"/>
          <w:numId w:val="0"/>
        </w:numPr>
        <w:spacing w:before="0" w:after="0" w:line="288" w:lineRule="auto"/>
        <w:ind w:left="2118"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40" w:lineRule="exact"/>
        <w:ind w:left="708" w:right="0" w:firstLine="708"/>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14.2.2.-</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Información sobre las concesiones de servicio.</w:t>
      </w:r>
    </w:p>
    <w:p>
      <w:pPr>
        <w:keepNext w:val="0"/>
        <w:keepLines/>
        <w:pageBreakBefore w:val="0"/>
        <w:widowControl w:val="0"/>
        <w:numPr>
          <w:ilvl w:val="0"/>
          <w:numId w:val="0"/>
        </w:numPr>
        <w:spacing w:before="0" w:after="0" w:line="288" w:lineRule="auto"/>
        <w:ind w:left="2118"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derechos de explotación adquiridos a través de combinaciones de negocios han sido determinados en base a los flujos netos estimados a la fecha de adquisición que se recibirán por el uso de dicho activo. Dichos intangibles no se amortizan pues poseen vida útil indefinida, ya que dicha concesión no posee un plazo de expiración.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vida útil de todos los activos intangibles de vida útil indefinida, previamente enunciados es objeto de revisión en cada período para el que se presente información, para determinar si la consideración de vida útil indefinida sigue siendo aplicable. Estos activos se someten a pruebas de deterioro de valor anualmente.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40" w:lineRule="exact"/>
        <w:ind w:left="0" w:right="0" w:firstLine="0"/>
        <w:jc w:val="left"/>
        <w:outlineLvl w:val="0"/>
        <w:rPr>
          <w:rFonts w:ascii="Cambria" w:eastAsia="Cambria" w:hAnsi="Cambria" w:cs="Cambria"/>
          <w:b/>
          <w:i w:val="0"/>
          <w:color w:val="365F91"/>
          <w:sz w:val="28"/>
          <w:u w:val="none"/>
        </w:rPr>
      </w:pPr>
      <w:bookmarkStart w:id="145" w:name="Section76"/>
      <w:bookmarkEnd w:id="145"/>
      <w:bookmarkStart w:id="146" w:name="2742f2c20e3a4d089cd3239ffbea77f9"/>
      <w:r>
        <w:rPr>
          <w:rFonts w:ascii="Calibri" w:eastAsia="Calibri" w:hAnsi="Calibri" w:cs="Calibri"/>
          <w:b/>
          <w:i w:val="0"/>
          <w:color w:val="000000"/>
          <w:sz w:val="20"/>
          <w:u w:val="none"/>
        </w:rPr>
        <w:t>15.-</w:t>
      </w:r>
      <w:r>
        <w:rPr>
          <w:rFonts w:ascii="Calibri" w:eastAsia="Calibri" w:hAnsi="Calibri" w:cs="Calibri"/>
          <w:b/>
          <w:i w:val="0"/>
          <w:color w:val="000000"/>
          <w:sz w:val="20"/>
          <w:u w:val="none"/>
        </w:rPr>
        <w:tab/>
      </w:r>
      <w:r>
        <w:rPr>
          <w:rFonts w:ascii="Calibri" w:eastAsia="Calibri" w:hAnsi="Calibri" w:cs="Calibri"/>
          <w:b/>
          <w:i w:val="0"/>
          <w:color w:val="000000"/>
          <w:sz w:val="20"/>
          <w:u w:val="none"/>
        </w:rPr>
        <w:t>PLUSVALÍA.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46"/>
    </w:p>
    <w:p>
      <w:pPr>
        <w:pStyle w:val="Normal-wk"/>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detalle de la plusvalía comprada al </w:t>
      </w:r>
      <w:r>
        <w:rPr>
          <w:rFonts w:ascii="Calibri" w:eastAsia="Calibri" w:hAnsi="Calibri" w:cs="Calibri"/>
          <w:b w:val="0"/>
          <w:i w:val="0"/>
          <w:color w:val="000000"/>
          <w:sz w:val="20"/>
          <w:u w:val="none"/>
        </w:rPr>
        <w:t>30 de junio de 2026</w:t>
      </w:r>
      <w:r>
        <w:rPr>
          <w:rFonts w:ascii="Calibri" w:eastAsia="Calibri" w:hAnsi="Calibri" w:cs="Calibri"/>
          <w:b w:val="0"/>
          <w:i w:val="0"/>
          <w:sz w:val="20"/>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 xml:space="preserve"> es la siguiente: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9255"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705"/>
        <w:gridCol w:w="1740"/>
        <w:gridCol w:w="705"/>
        <w:gridCol w:w="2655"/>
        <w:gridCol w:w="795"/>
        <w:gridCol w:w="885"/>
        <w:gridCol w:w="885"/>
        <w:gridCol w:w="885"/>
      </w:tblGrid>
      <w:tr>
        <w:tblPrEx>
          <w:tblW w:w="9255" w:type="dxa"/>
          <w:tblInd w:w="709" w:type="dxa"/>
          <w:tblLayout w:type="fixed"/>
        </w:tblPrEx>
        <w:trPr>
          <w:cantSplit/>
          <w:trHeight w:hRule="auto" w:val="0"/>
        </w:trPr>
        <w:tc>
          <w:tcPr>
            <w:tcW w:w="70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RUT</w:t>
            </w:r>
          </w:p>
        </w:tc>
        <w:tc>
          <w:tcPr>
            <w:tcW w:w="1740"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Sociedad sobre la cual se mantiene la plusvalía</w:t>
            </w:r>
          </w:p>
        </w:tc>
        <w:tc>
          <w:tcPr>
            <w:tcW w:w="70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Fecha de generación plusvalía</w:t>
            </w:r>
          </w:p>
        </w:tc>
        <w:tc>
          <w:tcPr>
            <w:tcW w:w="265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Sociedad adquirente</w:t>
            </w:r>
          </w:p>
        </w:tc>
        <w:tc>
          <w:tcPr>
            <w:tcW w:w="795" w:type="dxa"/>
            <w:vMerge w:val="restart"/>
            <w:tcBorders>
              <w:top w:val="single" w:sz="2" w:space="0" w:color="000000"/>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Relación con vendedor</w:t>
            </w:r>
          </w:p>
        </w:tc>
        <w:tc>
          <w:tcPr>
            <w:tcW w:w="1770" w:type="dxa"/>
            <w:gridSpan w:val="2"/>
            <w:tcBorders>
              <w:top w:val="single" w:sz="2" w:space="0" w:color="000000"/>
              <w:left w:val="nil"/>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Movimientos  2025</w:t>
            </w:r>
          </w:p>
        </w:tc>
        <w:tc>
          <w:tcPr>
            <w:tcW w:w="885" w:type="dxa"/>
            <w:tcBorders>
              <w:top w:val="single" w:sz="2" w:space="0" w:color="000000"/>
              <w:left w:val="single" w:sz="4" w:space="0" w:color="FFFFFF"/>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Movimientos  2026</w:t>
            </w:r>
          </w:p>
        </w:tc>
      </w:tr>
      <w:tr>
        <w:tblPrEx>
          <w:tblW w:w="9255" w:type="dxa"/>
          <w:tblInd w:w="709" w:type="dxa"/>
          <w:tblLayout w:type="fixed"/>
        </w:tblPrEx>
        <w:trPr>
          <w:cantSplit/>
          <w:trHeight w:hRule="auto" w:val="0"/>
        </w:trPr>
        <w:tc>
          <w:tcPr>
            <w:tcW w:w="705" w:type="dxa"/>
            <w:vMerge/>
            <w:tcBorders>
              <w:top w:val="nil"/>
              <w:left w:val="single" w:sz="2" w:space="0" w:color="000000"/>
              <w:bottom w:val="nil"/>
              <w:right w:val="nil"/>
            </w:tcBorders>
          </w:tcPr>
          <w:p>
            <w:pPr>
              <w:keepNext/>
              <w:pageBreakBefore w:val="0"/>
            </w:pPr>
          </w:p>
        </w:tc>
        <w:tc>
          <w:tcPr>
            <w:tcW w:w="1740" w:type="dxa"/>
            <w:vMerge/>
            <w:tcBorders>
              <w:top w:val="nil"/>
              <w:left w:val="single" w:sz="4" w:space="0" w:color="FFFFFF"/>
              <w:bottom w:val="nil"/>
              <w:right w:val="nil"/>
            </w:tcBorders>
          </w:tcPr>
          <w:p>
            <w:pPr>
              <w:keepNext/>
              <w:pageBreakBefore w:val="0"/>
            </w:pPr>
          </w:p>
        </w:tc>
        <w:tc>
          <w:tcPr>
            <w:tcW w:w="705" w:type="dxa"/>
            <w:vMerge/>
            <w:tcBorders>
              <w:top w:val="nil"/>
              <w:left w:val="single" w:sz="4" w:space="0" w:color="FFFFFF"/>
              <w:bottom w:val="nil"/>
              <w:right w:val="nil"/>
            </w:tcBorders>
          </w:tcPr>
          <w:p>
            <w:pPr>
              <w:keepNext/>
              <w:pageBreakBefore w:val="0"/>
            </w:pPr>
          </w:p>
        </w:tc>
        <w:tc>
          <w:tcPr>
            <w:tcW w:w="2655" w:type="dxa"/>
            <w:vMerge/>
            <w:tcBorders>
              <w:top w:val="nil"/>
              <w:left w:val="single" w:sz="4" w:space="0" w:color="FFFFFF"/>
              <w:bottom w:val="nil"/>
              <w:right w:val="nil"/>
            </w:tcBorders>
          </w:tcPr>
          <w:p>
            <w:pPr>
              <w:keepNext/>
              <w:pageBreakBefore w:val="0"/>
            </w:pPr>
          </w:p>
        </w:tc>
        <w:tc>
          <w:tcPr>
            <w:tcW w:w="795" w:type="dxa"/>
            <w:vMerge/>
            <w:tcBorders>
              <w:top w:val="nil"/>
              <w:left w:val="single" w:sz="4" w:space="0" w:color="FFFFFF"/>
              <w:bottom w:val="nil"/>
              <w:right w:val="nil"/>
            </w:tcBorders>
          </w:tcPr>
          <w:p>
            <w:pPr>
              <w:keepNext/>
              <w:pageBreakBefore w:val="0"/>
            </w:pPr>
          </w:p>
        </w:tc>
        <w:tc>
          <w:tcPr>
            <w:tcW w:w="88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Saldo al</w:t>
            </w:r>
          </w:p>
        </w:tc>
        <w:tc>
          <w:tcPr>
            <w:tcW w:w="88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Saldo al</w:t>
            </w:r>
          </w:p>
        </w:tc>
        <w:tc>
          <w:tcPr>
            <w:tcW w:w="88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Saldo al</w:t>
            </w:r>
          </w:p>
        </w:tc>
      </w:tr>
      <w:tr>
        <w:tblPrEx>
          <w:tblW w:w="9255" w:type="dxa"/>
          <w:tblInd w:w="709" w:type="dxa"/>
          <w:tblLayout w:type="fixed"/>
        </w:tblPrEx>
        <w:trPr>
          <w:cantSplit/>
          <w:trHeight w:hRule="auto" w:val="0"/>
        </w:trPr>
        <w:tc>
          <w:tcPr>
            <w:tcW w:w="705" w:type="dxa"/>
            <w:vMerge/>
            <w:tcBorders>
              <w:top w:val="nil"/>
              <w:left w:val="single" w:sz="2" w:space="0" w:color="000000"/>
              <w:bottom w:val="single" w:sz="2" w:space="0" w:color="000000"/>
              <w:right w:val="nil"/>
            </w:tcBorders>
          </w:tcPr>
          <w:p>
            <w:pPr>
              <w:keepNext/>
              <w:pageBreakBefore w:val="0"/>
            </w:pPr>
          </w:p>
        </w:tc>
        <w:tc>
          <w:tcPr>
            <w:tcW w:w="1740" w:type="dxa"/>
            <w:vMerge/>
            <w:tcBorders>
              <w:top w:val="nil"/>
              <w:left w:val="single" w:sz="4" w:space="0" w:color="FFFFFF"/>
              <w:bottom w:val="single" w:sz="2" w:space="0" w:color="000000"/>
              <w:right w:val="nil"/>
            </w:tcBorders>
          </w:tcPr>
          <w:p>
            <w:pPr>
              <w:keepNext/>
              <w:pageBreakBefore w:val="0"/>
            </w:pPr>
          </w:p>
        </w:tc>
        <w:tc>
          <w:tcPr>
            <w:tcW w:w="705" w:type="dxa"/>
            <w:vMerge/>
            <w:tcBorders>
              <w:top w:val="nil"/>
              <w:left w:val="single" w:sz="4" w:space="0" w:color="FFFFFF"/>
              <w:bottom w:val="single" w:sz="2" w:space="0" w:color="000000"/>
              <w:right w:val="nil"/>
            </w:tcBorders>
          </w:tcPr>
          <w:p>
            <w:pPr>
              <w:keepNext/>
              <w:pageBreakBefore w:val="0"/>
            </w:pPr>
          </w:p>
        </w:tc>
        <w:tc>
          <w:tcPr>
            <w:tcW w:w="2655" w:type="dxa"/>
            <w:vMerge/>
            <w:tcBorders>
              <w:top w:val="nil"/>
              <w:left w:val="single" w:sz="4" w:space="0" w:color="FFFFFF"/>
              <w:bottom w:val="single" w:sz="2" w:space="0" w:color="000000"/>
              <w:right w:val="nil"/>
            </w:tcBorders>
          </w:tcPr>
          <w:p>
            <w:pPr>
              <w:keepNext/>
              <w:pageBreakBefore w:val="0"/>
            </w:pPr>
          </w:p>
        </w:tc>
        <w:tc>
          <w:tcPr>
            <w:tcW w:w="795" w:type="dxa"/>
            <w:vMerge/>
            <w:tcBorders>
              <w:top w:val="nil"/>
              <w:left w:val="single" w:sz="4" w:space="0" w:color="FFFFFF"/>
              <w:bottom w:val="single" w:sz="2" w:space="0" w:color="000000"/>
              <w:right w:val="nil"/>
            </w:tcBorders>
          </w:tcPr>
          <w:p>
            <w:pPr>
              <w:keepNext/>
              <w:pageBreakBefore w:val="0"/>
            </w:pPr>
          </w:p>
        </w:tc>
        <w:tc>
          <w:tcPr>
            <w:tcW w:w="88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01-01-2025</w:t>
            </w:r>
          </w:p>
        </w:tc>
        <w:tc>
          <w:tcPr>
            <w:tcW w:w="88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31-12-2025</w:t>
            </w:r>
          </w:p>
        </w:tc>
        <w:tc>
          <w:tcPr>
            <w:tcW w:w="88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30-06-2026</w:t>
            </w:r>
          </w:p>
        </w:tc>
      </w:tr>
      <w:tr>
        <w:tblPrEx>
          <w:tblW w:w="9255" w:type="dxa"/>
          <w:tblInd w:w="709" w:type="dxa"/>
          <w:tblLayout w:type="fixed"/>
        </w:tblPrEx>
        <w:trPr>
          <w:cantSplit/>
          <w:trHeight w:hRule="auto" w:val="0"/>
        </w:trPr>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1"/>
                <w:u w:val="none"/>
              </w:rPr>
              <w:t>96.719.210-4</w:t>
            </w:r>
          </w:p>
        </w:tc>
        <w:tc>
          <w:tcPr>
            <w:tcW w:w="17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1"/>
                <w:u w:val="none"/>
              </w:rPr>
              <w:t xml:space="preserve"> Transnet S.A. </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1"/>
                <w:u w:val="none"/>
              </w:rPr>
              <w:t>14-11-2014</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1"/>
                <w:u w:val="none"/>
              </w:rPr>
              <w:t xml:space="preserve"> Compañía General de Electricidad S.A. escindida en CGE Transmisión S.A. </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1"/>
                <w:u w:val="none"/>
              </w:rPr>
              <w:t>Sin relación</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61.388.000</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61.388.000</w:t>
            </w:r>
          </w:p>
        </w:tc>
        <w:tc>
          <w:tcPr>
            <w:tcW w:w="88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61.388.000</w:t>
            </w:r>
          </w:p>
        </w:tc>
      </w:tr>
      <w:tr>
        <w:tblPrEx>
          <w:tblW w:w="9255" w:type="dxa"/>
          <w:tblInd w:w="709" w:type="dxa"/>
          <w:tblLayout w:type="fixed"/>
        </w:tblPrEx>
        <w:trPr>
          <w:cantSplit/>
          <w:trHeight w:hRule="auto" w:val="0"/>
        </w:trPr>
        <w:tc>
          <w:tcPr>
            <w:tcW w:w="6600" w:type="dxa"/>
            <w:gridSpan w:val="5"/>
            <w:tcBorders>
              <w:top w:val="nil"/>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1"/>
                <w:u w:val="none"/>
              </w:rPr>
              <w:t>Totales</w:t>
            </w:r>
          </w:p>
        </w:tc>
        <w:tc>
          <w:tcPr>
            <w:tcW w:w="88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1"/>
                <w:u w:val="none"/>
              </w:rPr>
              <w:t>61.388.000</w:t>
            </w:r>
          </w:p>
        </w:tc>
        <w:tc>
          <w:tcPr>
            <w:tcW w:w="88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1"/>
                <w:u w:val="none"/>
              </w:rPr>
              <w:t>61.388.000</w:t>
            </w:r>
          </w:p>
        </w:tc>
        <w:tc>
          <w:tcPr>
            <w:tcW w:w="88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1"/>
                <w:u w:val="none"/>
              </w:rPr>
              <w:t>61.388.000</w:t>
            </w:r>
          </w:p>
        </w:tc>
      </w:tr>
    </w:tbl>
    <w:p>
      <w:pPr>
        <w:keepNext w:val="0"/>
        <w:keepLines/>
        <w:pageBreakBefore w:val="0"/>
        <w:widowControl w:val="0"/>
        <w:numPr>
          <w:ilvl w:val="0"/>
          <w:numId w:val="0"/>
        </w:numPr>
        <w:tabs>
          <w:tab w:val="left" w:pos="700"/>
        </w:tabs>
        <w:spacing w:before="0" w:after="0" w:line="288" w:lineRule="auto"/>
        <w:ind w:left="709"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plusvalías registradas se originan de la combinación de negocios por la adquisición de las acciones de Compañía General de Electricidad S.A. y subsidiarias por Gas Natural Fenosa Chile S.A. (hoy Compañía General de Electricidad S.A.) en noviembre de 2014, de cuyo monto en el proceso de división aprobado por la Junta Extraordinaria de Compañía General de Electricidad S.A. de fecha 24 de septiembre de 2021 fueron asignados los activos anteriormente indicados a CGE Transmisión S.A. La sociedad sobre las cuales se mantenía la plusvalía Transnet S.A. producto de la reorganización societaria fue absorbida por Compañía General de Electricidad S.A. y posteriormente aportada mediante el proceso de división Social a CGE Transmisión S.A.</w:t>
      </w: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40" w:lineRule="exact"/>
        <w:ind w:left="0" w:right="0" w:firstLine="0"/>
        <w:jc w:val="left"/>
        <w:outlineLvl w:val="0"/>
        <w:rPr>
          <w:rFonts w:ascii="Cambria" w:eastAsia="Cambria" w:hAnsi="Cambria" w:cs="Cambria"/>
          <w:b/>
          <w:i w:val="0"/>
          <w:color w:val="365F91"/>
          <w:sz w:val="28"/>
          <w:u w:val="none"/>
        </w:rPr>
      </w:pPr>
      <w:bookmarkStart w:id="147" w:name="Section77"/>
      <w:bookmarkEnd w:id="147"/>
      <w:bookmarkStart w:id="148" w:name="055531b08edd4ae1a1f19d2a39230213"/>
      <w:r>
        <w:rPr>
          <w:rFonts w:ascii="Calibri" w:eastAsia="Calibri" w:hAnsi="Calibri" w:cs="Calibri"/>
          <w:b/>
          <w:i w:val="0"/>
          <w:color w:val="000000"/>
          <w:sz w:val="20"/>
          <w:u w:val="none"/>
        </w:rPr>
        <w:t>16.-</w:t>
      </w:r>
      <w:r>
        <w:rPr>
          <w:rFonts w:ascii="Calibri" w:eastAsia="Calibri" w:hAnsi="Calibri" w:cs="Calibri"/>
          <w:b/>
          <w:i w:val="0"/>
          <w:color w:val="000000"/>
          <w:sz w:val="20"/>
          <w:u w:val="none"/>
        </w:rPr>
        <w:tab/>
      </w:r>
      <w:r>
        <w:rPr>
          <w:rFonts w:ascii="Calibri" w:eastAsia="Calibri" w:hAnsi="Calibri" w:cs="Calibri"/>
          <w:b/>
          <w:i w:val="0"/>
          <w:color w:val="000000"/>
          <w:sz w:val="20"/>
          <w:u w:val="none"/>
        </w:rPr>
        <w:t>PROPIEDADES DE INVERSIÓN</w:t>
      </w:r>
      <w:r>
        <w:rPr>
          <w:rFonts w:ascii="Calibri" w:eastAsia="Calibri" w:hAnsi="Calibri" w:cs="Calibri"/>
          <w:b w:val="0"/>
          <w:i w:val="0"/>
          <w:color w:val="365F91"/>
          <w:sz w:val="20"/>
          <w:u w:val="none"/>
        </w:rPr>
        <w:t>.</w:t>
      </w:r>
    </w:p>
    <w:p>
      <w:pPr>
        <w:keepNext w:val="0"/>
        <w:keepLines/>
        <w:pageBreakBefore w:val="0"/>
        <w:widowControl w:val="0"/>
        <w:numPr>
          <w:ilvl w:val="0"/>
          <w:numId w:val="0"/>
        </w:numPr>
        <w:spacing w:before="0" w:after="0" w:line="288" w:lineRule="auto"/>
        <w:ind w:left="705" w:right="0" w:hanging="705"/>
        <w:jc w:val="both"/>
        <w:outlineLvl w:val="9"/>
        <w:rPr>
          <w:rFonts w:ascii="Calibri" w:eastAsia="Calibri" w:hAnsi="Calibri" w:cs="Calibri"/>
          <w:b w:val="0"/>
          <w:i w:val="0"/>
          <w:color w:val="000000"/>
          <w:sz w:val="20"/>
          <w:u w:val="none"/>
        </w:rPr>
      </w:pPr>
      <w:bookmarkEnd w:id="148"/>
    </w:p>
    <w:p>
      <w:pPr>
        <w:pStyle w:val="Normal-wk"/>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composición y el movimiento de este rubro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sz w:val="20"/>
        </w:rPr>
        <w:t xml:space="preserve"> </w:t>
      </w:r>
      <w:r>
        <w:rPr>
          <w:rFonts w:ascii="Calibri" w:eastAsia="Calibri" w:hAnsi="Calibri" w:cs="Calibri"/>
          <w:b w:val="0"/>
          <w:i w:val="0"/>
          <w:color w:val="000000"/>
          <w:sz w:val="20"/>
          <w:u w:val="none"/>
        </w:rPr>
        <w:t>es el siguiente: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149" w:name="Section78"/>
      <w:bookmarkEnd w:id="149"/>
      <w:bookmarkStart w:id="150" w:name="e790deda3c7b400da3a7cf8bf7d3d326"/>
      <w:r>
        <w:rPr>
          <w:rFonts w:ascii="Calibri" w:eastAsia="Calibri" w:hAnsi="Calibri" w:cs="Calibri"/>
          <w:b/>
          <w:i w:val="0"/>
          <w:color w:val="000000"/>
          <w:sz w:val="20"/>
          <w:u w:val="none"/>
        </w:rPr>
        <w:t>16.1.-</w:t>
      </w:r>
      <w:r>
        <w:rPr>
          <w:rFonts w:ascii="Calibri" w:eastAsia="Calibri" w:hAnsi="Calibri" w:cs="Calibri"/>
          <w:b/>
          <w:i w:val="0"/>
          <w:color w:val="000000"/>
          <w:sz w:val="20"/>
          <w:u w:val="none"/>
        </w:rPr>
        <w:tab/>
      </w:r>
      <w:r>
        <w:rPr>
          <w:rFonts w:ascii="Calibri" w:eastAsia="Calibri" w:hAnsi="Calibri" w:cs="Calibri"/>
          <w:b/>
          <w:i w:val="0"/>
          <w:color w:val="000000"/>
          <w:sz w:val="20"/>
          <w:u w:val="none"/>
        </w:rPr>
        <w:t>Composición y movimientos de las propiedades de inversión.</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150"/>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360"/>
        <w:gridCol w:w="1095"/>
        <w:gridCol w:w="1095"/>
      </w:tblGrid>
      <w:tr>
        <w:tblPrEx>
          <w:tblW w:w="8550" w:type="dxa"/>
          <w:tblInd w:w="1417" w:type="dxa"/>
          <w:tblLayout w:type="fixed"/>
        </w:tblPrEx>
        <w:trPr>
          <w:cantSplit/>
          <w:trHeight w:hRule="auto" w:val="0"/>
        </w:trPr>
        <w:tc>
          <w:tcPr>
            <w:tcW w:w="636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Propiedades de inversión, modelo del valor razonable</w:t>
            </w:r>
          </w:p>
        </w:tc>
        <w:tc>
          <w:tcPr>
            <w:tcW w:w="109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095"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8550" w:type="dxa"/>
          <w:tblInd w:w="1417" w:type="dxa"/>
          <w:tblLayout w:type="fixed"/>
        </w:tblPrEx>
        <w:trPr>
          <w:cantSplit/>
          <w:trHeight w:hRule="auto" w:val="0"/>
        </w:trPr>
        <w:tc>
          <w:tcPr>
            <w:tcW w:w="6360" w:type="dxa"/>
            <w:vMerge/>
            <w:tcBorders>
              <w:top w:val="nil"/>
              <w:left w:val="single" w:sz="2" w:space="0" w:color="000000"/>
              <w:bottom w:val="single" w:sz="2" w:space="0" w:color="000000"/>
              <w:right w:val="nil"/>
            </w:tcBorders>
          </w:tcPr>
          <w:p>
            <w:pPr>
              <w:keepNext/>
              <w:pageBreakBefore w:val="0"/>
            </w:pP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9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exact" w:val="60"/>
        </w:trPr>
        <w:tc>
          <w:tcPr>
            <w:tcW w:w="636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3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Propiedades de inversión al comienzo del periodo</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14.927.470</w:t>
            </w:r>
          </w:p>
        </w:tc>
        <w:tc>
          <w:tcPr>
            <w:tcW w:w="10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11.472.225</w:t>
            </w:r>
          </w:p>
        </w:tc>
      </w:tr>
      <w:tr>
        <w:tblPrEx>
          <w:tblW w:w="8550" w:type="dxa"/>
          <w:tblInd w:w="1417" w:type="dxa"/>
          <w:tblLayout w:type="fixed"/>
        </w:tblPrEx>
        <w:trPr>
          <w:cantSplit/>
          <w:trHeight w:hRule="auto" w:val="0"/>
        </w:trPr>
        <w:tc>
          <w:tcPr>
            <w:tcW w:w="63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Transferencias de (a) bienes inmuebles ocupados por el propietario.</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1.263.387</w:t>
            </w:r>
          </w:p>
        </w:tc>
      </w:tr>
      <w:tr>
        <w:tblPrEx>
          <w:tblW w:w="8550" w:type="dxa"/>
          <w:tblInd w:w="1417" w:type="dxa"/>
          <w:tblLayout w:type="fixed"/>
        </w:tblPrEx>
        <w:trPr>
          <w:cantSplit/>
          <w:trHeight w:hRule="auto" w:val="0"/>
        </w:trPr>
        <w:tc>
          <w:tcPr>
            <w:tcW w:w="63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Ganancias (pérdidas) por ajustes del valor razonable.</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2.191.858</w:t>
            </w:r>
          </w:p>
        </w:tc>
      </w:tr>
      <w:tr>
        <w:tblPrEx>
          <w:tblW w:w="8550" w:type="dxa"/>
          <w:tblInd w:w="1417" w:type="dxa"/>
          <w:tblLayout w:type="fixed"/>
        </w:tblPrEx>
        <w:trPr>
          <w:cantSplit/>
          <w:trHeight w:hRule="auto" w:val="0"/>
        </w:trPr>
        <w:tc>
          <w:tcPr>
            <w:tcW w:w="63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Total incremento (disminución) en propiedades de inversión</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0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3.455.245</w:t>
            </w:r>
          </w:p>
        </w:tc>
      </w:tr>
      <w:tr>
        <w:tblPrEx>
          <w:tblW w:w="8550" w:type="dxa"/>
          <w:tblInd w:w="1417" w:type="dxa"/>
          <w:tblLayout w:type="fixed"/>
        </w:tblPrEx>
        <w:trPr>
          <w:cantSplit/>
          <w:trHeight w:hRule="auto" w:val="0"/>
        </w:trPr>
        <w:tc>
          <w:tcPr>
            <w:tcW w:w="636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3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Propiedades de inversión al final del periodo</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14.927.470</w:t>
            </w:r>
          </w:p>
        </w:tc>
        <w:tc>
          <w:tcPr>
            <w:tcW w:w="10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14.927.470</w:t>
            </w:r>
          </w:p>
        </w:tc>
      </w:tr>
    </w:tbl>
    <w:p>
      <w:pPr>
        <w:keepNext w:val="0"/>
        <w:keepLines/>
        <w:pageBreakBefore w:val="0"/>
        <w:widowControl w:val="0"/>
        <w:numPr>
          <w:ilvl w:val="0"/>
          <w:numId w:val="0"/>
        </w:numPr>
        <w:spacing w:before="0" w:after="0" w:line="288" w:lineRule="auto"/>
        <w:ind w:left="1413"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Los elementos de propiedades de inversión (edificios y terrenos) han sido contabilizados a valor razonable en el estado de situación financiera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 en base a lo previsto en la NIC 40. Dicha metodología aplicada para estos bienes se clasifica en Nivel II de la jerarquía de valor razonable, donde la información proviene de fuentes distintas a los valores de cotización del Nivel de jerarquía I, pero son observables en mercados para los activos y pasivos ya sea de manera directa (precios) o indirecta (obtenidos a partir de precios), ya que debido al método de retasación periódica los valores se obtienen de tasaciones que se llevan a cabo, a base del valor de mercado.</w:t>
      </w: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tasaciones para los efectos de determinar el valor razonable de las propiedades de inversión son evaluadas y efectuadas en forma anual. El valor razonable de las propiedades de inversión fue determinado por peritos externos independientes con una capacidad profesional reconocida y experiencia en la valorización de activos similares.</w:t>
      </w:r>
    </w:p>
    <w:p>
      <w:pPr>
        <w:keepNext w:val="0"/>
        <w:keepLines/>
        <w:pageBreakBefore w:val="0"/>
        <w:widowControl w:val="0"/>
        <w:numPr>
          <w:ilvl w:val="0"/>
          <w:numId w:val="0"/>
        </w:numPr>
        <w:spacing w:before="0" w:after="0" w:line="288" w:lineRule="auto"/>
        <w:ind w:left="1413"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Valor de Tasación informado por dichos profesionales corresponde a una estimación metodológica del valor de cada activo a través de un enfoque de Valor de Mercado o Valor Comercial, que reconoce un mercado definido y comparable para cada activo.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El valor de costo histórico de las propiedades de inversión</w:t>
      </w:r>
      <w:r>
        <w:rPr>
          <w:rFonts w:ascii="Calibri" w:eastAsia="Calibri" w:hAnsi="Calibri" w:cs="Calibri"/>
          <w:b w:val="0"/>
          <w:i w:val="0"/>
          <w:color w:val="000000"/>
          <w:sz w:val="20"/>
          <w:u w:val="none"/>
        </w:rPr>
        <w:t xml:space="preserve">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 xml:space="preserve"> es de M$ </w:t>
      </w:r>
      <w:r>
        <w:rPr>
          <w:rFonts w:ascii="Calibri" w:eastAsia="Calibri" w:hAnsi="Calibri" w:cs="Calibri"/>
          <w:b w:val="0"/>
          <w:i w:val="0"/>
          <w:color w:val="000000"/>
          <w:sz w:val="20"/>
          <w:u w:val="none"/>
        </w:rPr>
        <w:t>9.071.516</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151" w:name="Section79"/>
      <w:bookmarkEnd w:id="151"/>
      <w:bookmarkStart w:id="152" w:name="8997e2acdee04ee59fd8e93874dea1b1"/>
      <w:r>
        <w:rPr>
          <w:rFonts w:ascii="Calibri" w:eastAsia="Calibri" w:hAnsi="Calibri" w:cs="Calibri"/>
          <w:b/>
          <w:i w:val="0"/>
          <w:color w:val="000000"/>
          <w:sz w:val="20"/>
          <w:u w:val="none"/>
        </w:rPr>
        <w:t>16.2.-</w:t>
      </w:r>
      <w:r>
        <w:rPr>
          <w:rFonts w:ascii="Calibri" w:eastAsia="Calibri" w:hAnsi="Calibri" w:cs="Calibri"/>
          <w:b/>
          <w:i w:val="0"/>
          <w:color w:val="000000"/>
          <w:sz w:val="20"/>
          <w:u w:val="none"/>
        </w:rPr>
        <w:tab/>
      </w:r>
      <w:r>
        <w:rPr>
          <w:rFonts w:ascii="Calibri" w:eastAsia="Calibri" w:hAnsi="Calibri" w:cs="Calibri"/>
          <w:b/>
          <w:i w:val="0"/>
          <w:color w:val="000000"/>
          <w:sz w:val="20"/>
          <w:u w:val="none"/>
        </w:rPr>
        <w:t>Ingresos y gastos de propiedades de inversión.</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152"/>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150"/>
        <w:gridCol w:w="1200"/>
        <w:gridCol w:w="1200"/>
      </w:tblGrid>
      <w:tr>
        <w:tblPrEx>
          <w:tblW w:w="8550" w:type="dxa"/>
          <w:tblInd w:w="1417" w:type="dxa"/>
          <w:tblLayout w:type="fixed"/>
        </w:tblPrEx>
        <w:trPr>
          <w:cantSplit/>
          <w:trHeight w:hRule="auto" w:val="0"/>
        </w:trPr>
        <w:tc>
          <w:tcPr>
            <w:tcW w:w="615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Ingresos y gastos de propiedades de inversión</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01-01-2025</w:t>
            </w:r>
          </w:p>
        </w:tc>
      </w:tr>
      <w:tr>
        <w:tblPrEx>
          <w:tblW w:w="8550" w:type="dxa"/>
          <w:tblInd w:w="1417" w:type="dxa"/>
          <w:tblLayout w:type="fixed"/>
        </w:tblPrEx>
        <w:trPr>
          <w:cantSplit/>
          <w:trHeight w:hRule="auto" w:val="0"/>
        </w:trPr>
        <w:tc>
          <w:tcPr>
            <w:tcW w:w="6150"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30-06-2025</w:t>
            </w:r>
          </w:p>
        </w:tc>
      </w:tr>
      <w:tr>
        <w:tblPrEx>
          <w:tblW w:w="8550" w:type="dxa"/>
          <w:tblInd w:w="1417" w:type="dxa"/>
          <w:tblLayout w:type="fixed"/>
        </w:tblPrEx>
        <w:trPr>
          <w:cantSplit/>
          <w:trHeight w:hRule="auto" w:val="0"/>
        </w:trPr>
        <w:tc>
          <w:tcPr>
            <w:tcW w:w="6150" w:type="dxa"/>
            <w:vMerge/>
            <w:tcBorders>
              <w:top w:val="nil"/>
              <w:left w:val="single" w:sz="2" w:space="0" w:color="000000"/>
              <w:bottom w:val="single" w:sz="2" w:space="0" w:color="000000"/>
              <w:right w:val="nil"/>
            </w:tcBorders>
          </w:tcPr>
          <w:p>
            <w:pPr>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6"/>
                <w:u w:val="none"/>
              </w:rPr>
              <w:t>Importe de ingresos por alquileres de propiedades de inversión.</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6"/>
                <w:u w:val="none"/>
              </w:rPr>
              <w:t>247.682</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6"/>
                <w:u w:val="none"/>
              </w:rPr>
              <w:t>Importes de gastos directos de operación de las propiedades de inversión generadoras de ingresos de alquileres.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6"/>
                <w:u w:val="none"/>
              </w:rPr>
              <w:t>600</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p>
        </w:tc>
      </w:tr>
    </w:tbl>
    <w:p>
      <w:pPr>
        <w:keepNext w:val="0"/>
        <w:keepLines/>
        <w:pageBreakBefore w:val="0"/>
        <w:widowControl w:val="0"/>
        <w:numPr>
          <w:ilvl w:val="0"/>
          <w:numId w:val="0"/>
        </w:numPr>
        <w:spacing w:before="0" w:after="0" w:line="288" w:lineRule="auto"/>
        <w:ind w:left="1418" w:right="0" w:hanging="1418"/>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8" w:right="0" w:hanging="1418"/>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left"/>
        <w:outlineLvl w:val="0"/>
        <w:rPr>
          <w:rFonts w:ascii="Cambria" w:eastAsia="Cambria" w:hAnsi="Cambria" w:cs="Cambria"/>
          <w:b/>
          <w:i w:val="0"/>
          <w:color w:val="365F91"/>
          <w:sz w:val="28"/>
          <w:u w:val="none"/>
        </w:rPr>
      </w:pPr>
      <w:bookmarkStart w:id="153" w:name="Section80"/>
      <w:bookmarkEnd w:id="153"/>
      <w:bookmarkStart w:id="154" w:name="c55cb80350c948cea1cd4fc9c98edec6"/>
      <w:r>
        <w:rPr>
          <w:rFonts w:ascii="Calibri" w:eastAsia="Calibri" w:hAnsi="Calibri" w:cs="Calibri"/>
          <w:b/>
          <w:i w:val="0"/>
          <w:color w:val="000000"/>
          <w:sz w:val="20"/>
          <w:u w:val="none"/>
        </w:rPr>
        <w:t>17.-</w:t>
      </w:r>
      <w:r>
        <w:rPr>
          <w:rFonts w:ascii="Calibri" w:eastAsia="Calibri" w:hAnsi="Calibri" w:cs="Calibri"/>
          <w:b/>
          <w:i w:val="0"/>
          <w:color w:val="000000"/>
          <w:sz w:val="20"/>
          <w:u w:val="none"/>
        </w:rPr>
        <w:tab/>
      </w:r>
      <w:r>
        <w:rPr>
          <w:rFonts w:ascii="Calibri" w:eastAsia="Calibri" w:hAnsi="Calibri" w:cs="Calibri"/>
          <w:b/>
          <w:i w:val="0"/>
          <w:color w:val="000000"/>
          <w:sz w:val="20"/>
          <w:u w:val="none"/>
        </w:rPr>
        <w:t>PROPIEDADES, PLANTA Y EQUIPO.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54"/>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155" w:name="Section81"/>
      <w:bookmarkEnd w:id="155"/>
      <w:bookmarkStart w:id="156" w:name="db3fa260955f4820aa33b2dfa9582cc8"/>
      <w:r>
        <w:rPr>
          <w:rFonts w:ascii="Calibri" w:eastAsia="Calibri" w:hAnsi="Calibri" w:cs="Calibri"/>
          <w:b/>
          <w:i w:val="0"/>
          <w:color w:val="000000"/>
          <w:sz w:val="20"/>
          <w:u w:val="none"/>
        </w:rPr>
        <w:t>17.1.-</w:t>
      </w:r>
      <w:r>
        <w:rPr>
          <w:rFonts w:ascii="Calibri" w:eastAsia="Calibri" w:hAnsi="Calibri" w:cs="Calibri"/>
          <w:b/>
          <w:i w:val="0"/>
          <w:color w:val="000000"/>
          <w:sz w:val="20"/>
          <w:u w:val="none"/>
        </w:rPr>
        <w:tab/>
      </w:r>
      <w:r>
        <w:rPr>
          <w:rFonts w:ascii="Calibri" w:eastAsia="Calibri" w:hAnsi="Calibri" w:cs="Calibri"/>
          <w:b/>
          <w:i w:val="0"/>
          <w:color w:val="000000"/>
          <w:sz w:val="20"/>
          <w:u w:val="none"/>
        </w:rPr>
        <w:t>Vidas útiles.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56"/>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siguiente cuadro muestra las vidas útiles técnicas para los bienes de CGE Transmisión S.A. y subsidiarias: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2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520"/>
        <w:gridCol w:w="1395"/>
        <w:gridCol w:w="1605"/>
      </w:tblGrid>
      <w:tr>
        <w:tblPrEx>
          <w:tblW w:w="8520" w:type="dxa"/>
          <w:tblInd w:w="1417" w:type="dxa"/>
          <w:tblLayout w:type="fixed"/>
        </w:tblPrEx>
        <w:trPr>
          <w:cantSplit/>
          <w:trHeight w:hRule="auto" w:val="0"/>
        </w:trPr>
        <w:tc>
          <w:tcPr>
            <w:tcW w:w="552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Vida útil para la depreciación de propiedades, planta y equipo</w:t>
            </w:r>
          </w:p>
        </w:tc>
        <w:tc>
          <w:tcPr>
            <w:tcW w:w="300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6"/>
                <w:u w:val="none"/>
              </w:rPr>
              <w:t>Vida útil</w:t>
            </w:r>
          </w:p>
        </w:tc>
      </w:tr>
      <w:tr>
        <w:tblPrEx>
          <w:tblW w:w="8520" w:type="dxa"/>
          <w:tblInd w:w="1417" w:type="dxa"/>
          <w:tblLayout w:type="fixed"/>
        </w:tblPrEx>
        <w:trPr>
          <w:cantSplit/>
          <w:trHeight w:hRule="auto" w:val="0"/>
        </w:trPr>
        <w:tc>
          <w:tcPr>
            <w:tcW w:w="5520" w:type="dxa"/>
            <w:vMerge/>
            <w:tcBorders>
              <w:top w:val="nil"/>
              <w:left w:val="single" w:sz="2" w:space="0" w:color="000000"/>
              <w:bottom w:val="single" w:sz="2" w:space="0" w:color="000000"/>
              <w:right w:val="nil"/>
            </w:tcBorders>
          </w:tcPr>
          <w:p>
            <w:pPr>
              <w:pageBreakBefore w:val="0"/>
            </w:pPr>
          </w:p>
        </w:tc>
        <w:tc>
          <w:tcPr>
            <w:tcW w:w="1395" w:type="dxa"/>
            <w:tcBorders>
              <w:top w:val="nil"/>
              <w:left w:val="single" w:sz="4" w:space="0" w:color="FFFFFF"/>
              <w:bottom w:val="single" w:sz="2" w:space="0" w:color="000000"/>
              <w:right w:val="nil"/>
            </w:tcBorders>
            <w:tcMar>
              <w:top w:w="0" w:type="dxa"/>
              <w:left w:w="53" w:type="dxa"/>
              <w:bottom w:w="0" w:type="dxa"/>
              <w:right w:w="53" w:type="dxa"/>
            </w:tcMar>
            <w:vAlign w:val="bottom"/>
          </w:tcPr>
          <w:p>
            <w:pPr>
              <w:pageBreakBefore w:val="0"/>
              <w:spacing w:before="33" w:after="20" w:line="240" w:lineRule="auto"/>
              <w:jc w:val="center"/>
            </w:pPr>
            <w:r>
              <w:rPr>
                <w:rFonts w:ascii="Calibri" w:eastAsia="Calibri" w:hAnsi="Calibri" w:cs="Calibri"/>
                <w:b/>
                <w:i w:val="0"/>
                <w:color w:val="FFFFFF"/>
                <w:sz w:val="16"/>
                <w:u w:val="none"/>
              </w:rPr>
              <w:t>Mínima</w:t>
            </w:r>
          </w:p>
        </w:tc>
        <w:tc>
          <w:tcPr>
            <w:tcW w:w="1605" w:type="dxa"/>
            <w:tcBorders>
              <w:top w:val="single" w:sz="4" w:space="0" w:color="FFFFFF"/>
              <w:left w:val="single" w:sz="4" w:space="0" w:color="FFFFFF"/>
              <w:bottom w:val="single" w:sz="2" w:space="0" w:color="000000"/>
              <w:right w:val="single" w:sz="2" w:space="0" w:color="000000"/>
            </w:tcBorders>
            <w:tcMar>
              <w:top w:w="0" w:type="dxa"/>
              <w:left w:w="53" w:type="dxa"/>
              <w:bottom w:w="0" w:type="dxa"/>
              <w:right w:w="53" w:type="dxa"/>
            </w:tcMar>
            <w:vAlign w:val="bottom"/>
          </w:tcPr>
          <w:p>
            <w:pPr>
              <w:pageBreakBefore w:val="0"/>
              <w:spacing w:before="33" w:after="20" w:line="240" w:lineRule="auto"/>
              <w:jc w:val="center"/>
            </w:pPr>
            <w:r>
              <w:rPr>
                <w:rFonts w:ascii="Calibri" w:eastAsia="Calibri" w:hAnsi="Calibri" w:cs="Calibri"/>
                <w:b/>
                <w:i w:val="0"/>
                <w:color w:val="FFFFFF"/>
                <w:sz w:val="16"/>
                <w:u w:val="none"/>
              </w:rPr>
              <w:t>Máxima</w:t>
            </w:r>
          </w:p>
        </w:tc>
      </w:tr>
      <w:tr>
        <w:tblPrEx>
          <w:tblW w:w="8520" w:type="dxa"/>
          <w:tblInd w:w="1417" w:type="dxa"/>
          <w:tblLayout w:type="fixed"/>
        </w:tblPrEx>
        <w:trPr>
          <w:cantSplit/>
          <w:trHeight w:hRule="auto" w:val="0"/>
        </w:trPr>
        <w:tc>
          <w:tcPr>
            <w:tcW w:w="55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6"/>
                <w:u w:val="none"/>
              </w:rPr>
              <w:t xml:space="preserve"> Vida útil para edificios. </w:t>
            </w:r>
          </w:p>
        </w:tc>
        <w:tc>
          <w:tcPr>
            <w:tcW w:w="13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6"/>
                <w:u w:val="none"/>
              </w:rPr>
              <w:t>60</w:t>
            </w:r>
          </w:p>
        </w:tc>
        <w:tc>
          <w:tcPr>
            <w:tcW w:w="16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6"/>
                <w:u w:val="none"/>
              </w:rPr>
              <w:t>60</w:t>
            </w:r>
          </w:p>
        </w:tc>
      </w:tr>
      <w:tr>
        <w:tblPrEx>
          <w:tblW w:w="8520" w:type="dxa"/>
          <w:tblInd w:w="1417" w:type="dxa"/>
          <w:tblLayout w:type="fixed"/>
        </w:tblPrEx>
        <w:trPr>
          <w:cantSplit/>
          <w:trHeight w:hRule="auto" w:val="0"/>
        </w:trPr>
        <w:tc>
          <w:tcPr>
            <w:tcW w:w="55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6"/>
                <w:u w:val="none"/>
              </w:rPr>
              <w:t xml:space="preserve"> Vida útil para planta y equipo. </w:t>
            </w:r>
          </w:p>
        </w:tc>
        <w:tc>
          <w:tcPr>
            <w:tcW w:w="13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6"/>
                <w:u w:val="none"/>
              </w:rPr>
              <w:t>20</w:t>
            </w:r>
          </w:p>
        </w:tc>
        <w:tc>
          <w:tcPr>
            <w:tcW w:w="16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6"/>
                <w:u w:val="none"/>
              </w:rPr>
              <w:t>60</w:t>
            </w:r>
          </w:p>
        </w:tc>
      </w:tr>
      <w:tr>
        <w:tblPrEx>
          <w:tblW w:w="8520" w:type="dxa"/>
          <w:tblInd w:w="1417" w:type="dxa"/>
          <w:tblLayout w:type="fixed"/>
        </w:tblPrEx>
        <w:trPr>
          <w:cantSplit/>
          <w:trHeight w:hRule="auto" w:val="0"/>
        </w:trPr>
        <w:tc>
          <w:tcPr>
            <w:tcW w:w="55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6"/>
                <w:u w:val="none"/>
              </w:rPr>
              <w:t xml:space="preserve"> Vida útil para equipamiento de tecnologías de la información. </w:t>
            </w:r>
          </w:p>
        </w:tc>
        <w:tc>
          <w:tcPr>
            <w:tcW w:w="13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6"/>
                <w:u w:val="none"/>
              </w:rPr>
              <w:t>5</w:t>
            </w:r>
          </w:p>
        </w:tc>
        <w:tc>
          <w:tcPr>
            <w:tcW w:w="16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6"/>
                <w:u w:val="none"/>
              </w:rPr>
              <w:t>8</w:t>
            </w:r>
          </w:p>
        </w:tc>
      </w:tr>
      <w:tr>
        <w:tblPrEx>
          <w:tblW w:w="8520" w:type="dxa"/>
          <w:tblInd w:w="1417" w:type="dxa"/>
          <w:tblLayout w:type="fixed"/>
        </w:tblPrEx>
        <w:trPr>
          <w:cantSplit/>
          <w:trHeight w:hRule="auto" w:val="0"/>
        </w:trPr>
        <w:tc>
          <w:tcPr>
            <w:tcW w:w="55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6"/>
                <w:u w:val="none"/>
              </w:rPr>
              <w:t xml:space="preserve"> Vida útil para instalaciones fijas y accesorios. </w:t>
            </w:r>
          </w:p>
        </w:tc>
        <w:tc>
          <w:tcPr>
            <w:tcW w:w="13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6"/>
                <w:u w:val="none"/>
              </w:rPr>
              <w:t>20</w:t>
            </w:r>
          </w:p>
        </w:tc>
        <w:tc>
          <w:tcPr>
            <w:tcW w:w="16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6"/>
                <w:u w:val="none"/>
              </w:rPr>
              <w:t>45</w:t>
            </w:r>
          </w:p>
        </w:tc>
      </w:tr>
      <w:tr>
        <w:tblPrEx>
          <w:tblW w:w="8520" w:type="dxa"/>
          <w:tblInd w:w="1417" w:type="dxa"/>
          <w:tblLayout w:type="fixed"/>
        </w:tblPrEx>
        <w:trPr>
          <w:cantSplit/>
          <w:trHeight w:hRule="auto" w:val="0"/>
        </w:trPr>
        <w:tc>
          <w:tcPr>
            <w:tcW w:w="55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6"/>
                <w:u w:val="none"/>
              </w:rPr>
              <w:t xml:space="preserve"> Vida útil para vehículos de motor. </w:t>
            </w:r>
          </w:p>
        </w:tc>
        <w:tc>
          <w:tcPr>
            <w:tcW w:w="13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6"/>
                <w:u w:val="none"/>
              </w:rPr>
              <w:t>7</w:t>
            </w:r>
          </w:p>
        </w:tc>
        <w:tc>
          <w:tcPr>
            <w:tcW w:w="16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6"/>
                <w:u w:val="none"/>
              </w:rPr>
              <w:t>7</w:t>
            </w:r>
          </w:p>
        </w:tc>
      </w:tr>
      <w:tr>
        <w:tblPrEx>
          <w:tblW w:w="8520" w:type="dxa"/>
          <w:tblInd w:w="1417" w:type="dxa"/>
          <w:tblLayout w:type="fixed"/>
        </w:tblPrEx>
        <w:trPr>
          <w:cantSplit/>
          <w:trHeight w:hRule="auto" w:val="0"/>
        </w:trPr>
        <w:tc>
          <w:tcPr>
            <w:tcW w:w="55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6"/>
                <w:u w:val="none"/>
              </w:rPr>
              <w:t xml:space="preserve"> Vida útil para otras propiedades, planta y equipo.  </w:t>
            </w:r>
          </w:p>
        </w:tc>
        <w:tc>
          <w:tcPr>
            <w:tcW w:w="13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6"/>
                <w:u w:val="none"/>
              </w:rPr>
              <w:t>5</w:t>
            </w:r>
          </w:p>
        </w:tc>
        <w:tc>
          <w:tcPr>
            <w:tcW w:w="16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6"/>
                <w:u w:val="none"/>
              </w:rPr>
              <w:t>10</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9"/>
        <w:jc w:val="both"/>
        <w:outlineLvl w:val="1"/>
        <w:rPr>
          <w:rFonts w:ascii="Times New Roman" w:eastAsia="Times New Roman" w:hAnsi="Times New Roman" w:cs="Times New Roman"/>
          <w:b/>
          <w:i w:val="0"/>
          <w:color w:val="000000"/>
          <w:sz w:val="24"/>
          <w:u w:val="none"/>
        </w:rPr>
      </w:pPr>
      <w:bookmarkStart w:id="157" w:name="Section82"/>
      <w:bookmarkEnd w:id="157"/>
      <w:bookmarkStart w:id="158" w:name="752e6d8ce9024e6b80753f4f4e35e41f"/>
      <w:r>
        <w:rPr>
          <w:rFonts w:ascii="Calibri" w:eastAsia="Calibri" w:hAnsi="Calibri" w:cs="Calibri"/>
          <w:b/>
          <w:i w:val="0"/>
          <w:color w:val="000000"/>
          <w:sz w:val="20"/>
          <w:u w:val="none"/>
        </w:rPr>
        <w:t>17.2.-</w:t>
      </w:r>
      <w:r>
        <w:rPr>
          <w:rFonts w:ascii="Calibri" w:eastAsia="Calibri" w:hAnsi="Calibri" w:cs="Calibri"/>
          <w:b/>
          <w:i w:val="0"/>
          <w:color w:val="000000"/>
          <w:sz w:val="20"/>
          <w:u w:val="none"/>
        </w:rPr>
        <w:tab/>
      </w:r>
      <w:r>
        <w:rPr>
          <w:rFonts w:ascii="Calibri" w:eastAsia="Calibri" w:hAnsi="Calibri" w:cs="Calibri"/>
          <w:b/>
          <w:i w:val="0"/>
          <w:color w:val="000000"/>
          <w:sz w:val="20"/>
          <w:u w:val="none"/>
        </w:rPr>
        <w:t>Detalle de los rubros.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58"/>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composición de este rubro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 xml:space="preserve"> es la siguiente: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88" w:lineRule="auto"/>
        <w:ind w:left="708" w:right="0" w:firstLine="708"/>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17.2.1.-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Valores netos de propiedades, planta y equipo.</w:t>
      </w:r>
    </w:p>
    <w:p>
      <w:pPr>
        <w:keepNext w:val="0"/>
        <w:keepLines/>
        <w:pageBreakBefore w:val="0"/>
        <w:widowControl w:val="0"/>
        <w:numPr>
          <w:ilvl w:val="0"/>
          <w:numId w:val="0"/>
        </w:numPr>
        <w:spacing w:before="0" w:after="0" w:line="288" w:lineRule="auto"/>
        <w:ind w:left="1418" w:right="-1"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150"/>
        <w:gridCol w:w="1200"/>
        <w:gridCol w:w="1200"/>
      </w:tblGrid>
      <w:tr>
        <w:tblPrEx>
          <w:tblW w:w="8550" w:type="dxa"/>
          <w:tblInd w:w="1417" w:type="dxa"/>
          <w:tblLayout w:type="fixed"/>
        </w:tblPrEx>
        <w:trPr>
          <w:cantSplit/>
          <w:trHeight w:hRule="auto" w:val="0"/>
        </w:trPr>
        <w:tc>
          <w:tcPr>
            <w:tcW w:w="615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Clases de propiedades, planta y equipo, neto</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8550" w:type="dxa"/>
          <w:tblInd w:w="1417" w:type="dxa"/>
          <w:tblLayout w:type="fixed"/>
        </w:tblPrEx>
        <w:trPr>
          <w:cantSplit/>
          <w:trHeight w:hRule="auto" w:val="0"/>
        </w:trPr>
        <w:tc>
          <w:tcPr>
            <w:tcW w:w="615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exact" w:val="60"/>
        </w:trPr>
        <w:tc>
          <w:tcPr>
            <w:tcW w:w="61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Construcciones en curso.</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130.148.402</w:t>
            </w:r>
          </w:p>
        </w:tc>
      </w:tr>
      <w:tr>
        <w:tblPrEx>
          <w:tblW w:w="8550" w:type="dxa"/>
          <w:tblInd w:w="1417" w:type="dxa"/>
          <w:tblLayout w:type="fixed"/>
        </w:tblPrEx>
        <w:trPr>
          <w:cantSplit/>
          <w:trHeight w:hRule="exact" w:val="60"/>
        </w:trPr>
        <w:tc>
          <w:tcPr>
            <w:tcW w:w="61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Terrenos.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37.187.756</w:t>
            </w:r>
          </w:p>
        </w:tc>
      </w:tr>
      <w:tr>
        <w:tblPrEx>
          <w:tblW w:w="8550" w:type="dxa"/>
          <w:tblInd w:w="1417" w:type="dxa"/>
          <w:tblLayout w:type="fixed"/>
        </w:tblPrEx>
        <w:trPr>
          <w:cantSplit/>
          <w:trHeight w:hRule="exact" w:val="60"/>
        </w:trPr>
        <w:tc>
          <w:tcPr>
            <w:tcW w:w="61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Edificios.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10.580.432</w:t>
            </w:r>
          </w:p>
        </w:tc>
      </w:tr>
      <w:tr>
        <w:tblPrEx>
          <w:tblW w:w="8550" w:type="dxa"/>
          <w:tblInd w:w="1417" w:type="dxa"/>
          <w:tblLayout w:type="fixed"/>
        </w:tblPrEx>
        <w:trPr>
          <w:cantSplit/>
          <w:trHeight w:hRule="exact" w:val="60"/>
        </w:trPr>
        <w:tc>
          <w:tcPr>
            <w:tcW w:w="61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Planta y equipo.</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687.685.069</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Subestaciones de poder.</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450.564.169</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Líneas de transporte energía.</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234.087.494</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Máquinas y equipos de producción.</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3.033.406</w:t>
            </w:r>
          </w:p>
        </w:tc>
      </w:tr>
      <w:tr>
        <w:tblPrEx>
          <w:tblW w:w="8550" w:type="dxa"/>
          <w:tblInd w:w="1417" w:type="dxa"/>
          <w:tblLayout w:type="fixed"/>
        </w:tblPrEx>
        <w:trPr>
          <w:cantSplit/>
          <w:trHeight w:hRule="auto" w:val="0"/>
        </w:trPr>
        <w:tc>
          <w:tcPr>
            <w:tcW w:w="61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Equipamiento de tecnología de la información.</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187.138</w:t>
            </w:r>
          </w:p>
        </w:tc>
      </w:tr>
      <w:tr>
        <w:tblPrEx>
          <w:tblW w:w="8550" w:type="dxa"/>
          <w:tblInd w:w="1417" w:type="dxa"/>
          <w:tblLayout w:type="fixed"/>
        </w:tblPrEx>
        <w:trPr>
          <w:cantSplit/>
          <w:trHeight w:hRule="auto" w:val="0"/>
        </w:trPr>
        <w:tc>
          <w:tcPr>
            <w:tcW w:w="61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Instalaciones fijas y accesorios.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11.109.958</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Equipos de comunicaciones.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70.744</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Herramientas.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1.439.929</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Muebles y útiles.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3.002.825</w:t>
            </w:r>
          </w:p>
        </w:tc>
      </w:tr>
      <w:tr>
        <w:tblPrEx>
          <w:tblW w:w="8550" w:type="dxa"/>
          <w:tblInd w:w="1417" w:type="dxa"/>
          <w:tblLayout w:type="fixed"/>
        </w:tblPrEx>
        <w:trPr>
          <w:cantSplit/>
          <w:trHeight w:hRule="exact" w:val="255"/>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Instalaciones y accesorios diversos.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val="0"/>
                <w:i w:val="0"/>
                <w:color w:val="000000"/>
                <w:sz w:val="16"/>
                <w:u w:val="none"/>
              </w:rPr>
              <w:t>6.596.460</w:t>
            </w:r>
          </w:p>
        </w:tc>
      </w:tr>
      <w:tr>
        <w:tblPrEx>
          <w:tblW w:w="8550" w:type="dxa"/>
          <w:tblInd w:w="1417" w:type="dxa"/>
          <w:tblLayout w:type="fixed"/>
        </w:tblPrEx>
        <w:trPr>
          <w:cantSplit/>
          <w:trHeight w:hRule="auto" w:val="0"/>
        </w:trPr>
        <w:tc>
          <w:tcPr>
            <w:tcW w:w="61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exact" w:val="255"/>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Vehículos de motor.</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i w:val="0"/>
                <w:color w:val="FFFFFF"/>
                <w:sz w:val="16"/>
                <w:u w:val="none"/>
              </w:rPr>
              <w:t>1.285.162</w:t>
            </w:r>
          </w:p>
        </w:tc>
      </w:tr>
      <w:tr>
        <w:tblPrEx>
          <w:tblW w:w="8550" w:type="dxa"/>
          <w:tblInd w:w="1417" w:type="dxa"/>
          <w:tblLayout w:type="fixed"/>
        </w:tblPrEx>
        <w:trPr>
          <w:cantSplit/>
          <w:trHeight w:hRule="auto" w:val="0"/>
        </w:trPr>
        <w:tc>
          <w:tcPr>
            <w:tcW w:w="61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878.183.917</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17.2.2.-</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Valores brutos de propiedades, planta y equipo.</w:t>
      </w:r>
    </w:p>
    <w:p>
      <w:pPr>
        <w:keepNext w:val="0"/>
        <w:keepLines/>
        <w:pageBreakBefore w:val="0"/>
        <w:widowControl w:val="0"/>
        <w:numPr>
          <w:ilvl w:val="0"/>
          <w:numId w:val="0"/>
        </w:numPr>
        <w:tabs>
          <w:tab w:val="left" w:pos="700"/>
        </w:tabs>
        <w:spacing w:before="0" w:after="0" w:line="288" w:lineRule="auto"/>
        <w:ind w:left="0" w:right="-1"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150"/>
        <w:gridCol w:w="1200"/>
        <w:gridCol w:w="1200"/>
      </w:tblGrid>
      <w:tr>
        <w:tblPrEx>
          <w:tblW w:w="8550" w:type="dxa"/>
          <w:tblInd w:w="1417" w:type="dxa"/>
          <w:tblLayout w:type="fixed"/>
        </w:tblPrEx>
        <w:trPr>
          <w:cantSplit/>
          <w:trHeight w:hRule="auto" w:val="0"/>
        </w:trPr>
        <w:tc>
          <w:tcPr>
            <w:tcW w:w="615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Clases de propiedades, planta y equipo, bruto</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8550" w:type="dxa"/>
          <w:tblInd w:w="1417" w:type="dxa"/>
          <w:tblLayout w:type="fixed"/>
        </w:tblPrEx>
        <w:trPr>
          <w:cantSplit/>
          <w:trHeight w:hRule="auto" w:val="0"/>
        </w:trPr>
        <w:tc>
          <w:tcPr>
            <w:tcW w:w="615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exact" w:val="60"/>
        </w:trPr>
        <w:tc>
          <w:tcPr>
            <w:tcW w:w="61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Construcciones en curso.</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130.148.402</w:t>
            </w:r>
          </w:p>
        </w:tc>
      </w:tr>
      <w:tr>
        <w:tblPrEx>
          <w:tblW w:w="8550" w:type="dxa"/>
          <w:tblInd w:w="1417" w:type="dxa"/>
          <w:tblLayout w:type="fixed"/>
        </w:tblPrEx>
        <w:trPr>
          <w:cantSplit/>
          <w:trHeight w:hRule="exact" w:val="60"/>
        </w:trPr>
        <w:tc>
          <w:tcPr>
            <w:tcW w:w="61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Terrenos.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37.187.756</w:t>
            </w:r>
          </w:p>
        </w:tc>
      </w:tr>
      <w:tr>
        <w:tblPrEx>
          <w:tblW w:w="8550" w:type="dxa"/>
          <w:tblInd w:w="1417" w:type="dxa"/>
          <w:tblLayout w:type="fixed"/>
        </w:tblPrEx>
        <w:trPr>
          <w:cantSplit/>
          <w:trHeight w:hRule="exact" w:val="60"/>
        </w:trPr>
        <w:tc>
          <w:tcPr>
            <w:tcW w:w="61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Edificios.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21.744.889</w:t>
            </w:r>
          </w:p>
        </w:tc>
      </w:tr>
      <w:tr>
        <w:tblPrEx>
          <w:tblW w:w="8550" w:type="dxa"/>
          <w:tblInd w:w="1417" w:type="dxa"/>
          <w:tblLayout w:type="fixed"/>
        </w:tblPrEx>
        <w:trPr>
          <w:cantSplit/>
          <w:trHeight w:hRule="exact" w:val="60"/>
        </w:trPr>
        <w:tc>
          <w:tcPr>
            <w:tcW w:w="61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Planta y equipo.</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1.054.283.058</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Subestaciones de poder.</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682.299.295</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Líneas de transporte energía.</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366.357.196</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Máquinas y equipos de producción.</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5.626.567</w:t>
            </w:r>
          </w:p>
        </w:tc>
      </w:tr>
      <w:tr>
        <w:tblPrEx>
          <w:tblW w:w="8550" w:type="dxa"/>
          <w:tblInd w:w="1417" w:type="dxa"/>
          <w:tblLayout w:type="fixed"/>
        </w:tblPrEx>
        <w:trPr>
          <w:cantSplit/>
          <w:trHeight w:hRule="auto" w:val="0"/>
        </w:trPr>
        <w:tc>
          <w:tcPr>
            <w:tcW w:w="61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Equipamiento de tecnología de la información.</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634.224</w:t>
            </w:r>
          </w:p>
        </w:tc>
      </w:tr>
      <w:tr>
        <w:tblPrEx>
          <w:tblW w:w="8550" w:type="dxa"/>
          <w:tblInd w:w="1417" w:type="dxa"/>
          <w:tblLayout w:type="fixed"/>
        </w:tblPrEx>
        <w:trPr>
          <w:cantSplit/>
          <w:trHeight w:hRule="auto" w:val="0"/>
        </w:trPr>
        <w:tc>
          <w:tcPr>
            <w:tcW w:w="61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Instalaciones fijas y accesorios.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22.412.679</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Equipos de comunicaciones.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1.164.787</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Herramientas.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4.670.253</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Muebles y útiles.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7.192.223</w:t>
            </w:r>
          </w:p>
        </w:tc>
      </w:tr>
      <w:tr>
        <w:tblPrEx>
          <w:tblW w:w="8550" w:type="dxa"/>
          <w:tblInd w:w="1417" w:type="dxa"/>
          <w:tblLayout w:type="fixed"/>
        </w:tblPrEx>
        <w:trPr>
          <w:cantSplit/>
          <w:trHeight w:hRule="exact" w:val="255"/>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Instalaciones y accesorios diversos.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val="0"/>
                <w:i w:val="0"/>
                <w:color w:val="000000"/>
                <w:sz w:val="16"/>
                <w:u w:val="none"/>
              </w:rPr>
              <w:t>9.385.416</w:t>
            </w:r>
          </w:p>
        </w:tc>
      </w:tr>
      <w:tr>
        <w:tblPrEx>
          <w:tblW w:w="8550" w:type="dxa"/>
          <w:tblInd w:w="1417" w:type="dxa"/>
          <w:tblLayout w:type="fixed"/>
        </w:tblPrEx>
        <w:trPr>
          <w:cantSplit/>
          <w:trHeight w:hRule="auto" w:val="0"/>
        </w:trPr>
        <w:tc>
          <w:tcPr>
            <w:tcW w:w="61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exact" w:val="255"/>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Vehículos de motor.</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i w:val="0"/>
                <w:color w:val="FFFFFF"/>
                <w:sz w:val="16"/>
                <w:u w:val="none"/>
              </w:rPr>
              <w:t>2.368.834</w:t>
            </w:r>
          </w:p>
        </w:tc>
      </w:tr>
      <w:tr>
        <w:tblPrEx>
          <w:tblW w:w="8550" w:type="dxa"/>
          <w:tblInd w:w="1417" w:type="dxa"/>
          <w:tblLayout w:type="fixed"/>
        </w:tblPrEx>
        <w:trPr>
          <w:cantSplit/>
          <w:trHeight w:hRule="auto" w:val="0"/>
        </w:trPr>
        <w:tc>
          <w:tcPr>
            <w:tcW w:w="61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1.268.779.842</w:t>
            </w:r>
          </w:p>
        </w:tc>
      </w:tr>
    </w:tbl>
    <w:p>
      <w:pPr>
        <w:keepNext w:val="0"/>
        <w:keepLines/>
        <w:pageBreakBefore w:val="0"/>
        <w:widowControl w:val="0"/>
        <w:numPr>
          <w:ilvl w:val="0"/>
          <w:numId w:val="0"/>
        </w:numPr>
        <w:tabs>
          <w:tab w:val="left" w:pos="700"/>
        </w:tabs>
        <w:spacing w:before="0" w:after="0" w:line="288" w:lineRule="auto"/>
        <w:ind w:left="1417" w:right="-1" w:firstLine="0"/>
        <w:jc w:val="both"/>
        <w:outlineLvl w:val="9"/>
        <w:rPr>
          <w:rFonts w:ascii="Calibri" w:eastAsia="Calibri" w:hAnsi="Calibri" w:cs="Calibri"/>
          <w:b w:val="0"/>
          <w:i w:val="0"/>
          <w:sz w:val="20"/>
        </w:rPr>
      </w:pPr>
    </w:p>
    <w:p>
      <w:pPr>
        <w:pStyle w:val="Normal-wk"/>
        <w:keepNext/>
        <w:keepLines/>
        <w:pageBreakBefore w:val="0"/>
        <w:widowControl w:val="0"/>
        <w:numPr>
          <w:ilvl w:val="0"/>
          <w:numId w:val="0"/>
        </w:numPr>
        <w:tabs>
          <w:tab w:val="left" w:pos="700"/>
        </w:tabs>
        <w:spacing w:before="0" w:after="0" w:line="240" w:lineRule="exact"/>
        <w:ind w:left="1417" w:right="-1"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17.2.3.-</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Depreciación acumulada de propiedades, planta y equipo.</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p>
    <w:tbl>
      <w:tblPr>
        <w:tblW w:w="852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120"/>
        <w:gridCol w:w="1200"/>
        <w:gridCol w:w="1200"/>
      </w:tblGrid>
      <w:tr>
        <w:tblPrEx>
          <w:tblW w:w="8520" w:type="dxa"/>
          <w:tblInd w:w="1417" w:type="dxa"/>
          <w:tblLayout w:type="fixed"/>
        </w:tblPrEx>
        <w:trPr>
          <w:cantSplit/>
          <w:trHeight w:hRule="auto" w:val="0"/>
        </w:trPr>
        <w:tc>
          <w:tcPr>
            <w:tcW w:w="612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Depreciación acumulada y deterioro, propiedades, planta y equipo</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8520" w:type="dxa"/>
          <w:tblInd w:w="1417" w:type="dxa"/>
          <w:tblLayout w:type="fixed"/>
        </w:tblPrEx>
        <w:trPr>
          <w:cantSplit/>
          <w:trHeight w:hRule="auto" w:val="0"/>
        </w:trPr>
        <w:tc>
          <w:tcPr>
            <w:tcW w:w="612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20" w:type="dxa"/>
          <w:tblInd w:w="1417" w:type="dxa"/>
          <w:tblLayout w:type="fixed"/>
        </w:tblPrEx>
        <w:trPr>
          <w:cantSplit/>
          <w:trHeight w:hRule="exact" w:val="60"/>
        </w:trPr>
        <w:tc>
          <w:tcPr>
            <w:tcW w:w="61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20" w:type="dxa"/>
          <w:tblInd w:w="1417" w:type="dxa"/>
          <w:tblLayout w:type="fixed"/>
        </w:tblPrEx>
        <w:trPr>
          <w:cantSplit/>
          <w:trHeight w:hRule="auto" w:val="0"/>
        </w:trPr>
        <w:tc>
          <w:tcPr>
            <w:tcW w:w="6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Edificios.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11.164.456</w:t>
            </w:r>
          </w:p>
        </w:tc>
      </w:tr>
      <w:tr>
        <w:tblPrEx>
          <w:tblW w:w="8520" w:type="dxa"/>
          <w:tblInd w:w="1417" w:type="dxa"/>
          <w:tblLayout w:type="fixed"/>
        </w:tblPrEx>
        <w:trPr>
          <w:cantSplit/>
          <w:trHeight w:hRule="exact" w:val="60"/>
        </w:trPr>
        <w:tc>
          <w:tcPr>
            <w:tcW w:w="61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20" w:type="dxa"/>
          <w:tblInd w:w="1417" w:type="dxa"/>
          <w:tblLayout w:type="fixed"/>
        </w:tblPrEx>
        <w:trPr>
          <w:cantSplit/>
          <w:trHeight w:hRule="auto" w:val="0"/>
        </w:trPr>
        <w:tc>
          <w:tcPr>
            <w:tcW w:w="6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Planta y equipo.</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366.597.989</w:t>
            </w:r>
          </w:p>
        </w:tc>
      </w:tr>
      <w:tr>
        <w:tblPrEx>
          <w:tblW w:w="8520" w:type="dxa"/>
          <w:tblInd w:w="1417" w:type="dxa"/>
          <w:tblLayout w:type="fixed"/>
        </w:tblPrEx>
        <w:trPr>
          <w:cantSplit/>
          <w:trHeight w:hRule="auto" w:val="0"/>
        </w:trPr>
        <w:tc>
          <w:tcPr>
            <w:tcW w:w="6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Subestaciones de poder.</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231.735.126</w:t>
            </w:r>
          </w:p>
        </w:tc>
      </w:tr>
      <w:tr>
        <w:tblPrEx>
          <w:tblW w:w="8520" w:type="dxa"/>
          <w:tblInd w:w="1417" w:type="dxa"/>
          <w:tblLayout w:type="fixed"/>
        </w:tblPrEx>
        <w:trPr>
          <w:cantSplit/>
          <w:trHeight w:hRule="auto" w:val="0"/>
        </w:trPr>
        <w:tc>
          <w:tcPr>
            <w:tcW w:w="6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Líneas de transporte energía.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132.269.702</w:t>
            </w:r>
          </w:p>
        </w:tc>
      </w:tr>
      <w:tr>
        <w:tblPrEx>
          <w:tblW w:w="8520" w:type="dxa"/>
          <w:tblInd w:w="1417" w:type="dxa"/>
          <w:tblLayout w:type="fixed"/>
        </w:tblPrEx>
        <w:trPr>
          <w:cantSplit/>
          <w:trHeight w:hRule="auto" w:val="0"/>
        </w:trPr>
        <w:tc>
          <w:tcPr>
            <w:tcW w:w="6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Máquinas y equipos de producción.</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2.593.161</w:t>
            </w:r>
          </w:p>
        </w:tc>
      </w:tr>
      <w:tr>
        <w:tblPrEx>
          <w:tblW w:w="8520" w:type="dxa"/>
          <w:tblInd w:w="1417" w:type="dxa"/>
          <w:tblLayout w:type="fixed"/>
        </w:tblPrEx>
        <w:trPr>
          <w:cantSplit/>
          <w:trHeight w:hRule="auto" w:val="0"/>
        </w:trPr>
        <w:tc>
          <w:tcPr>
            <w:tcW w:w="61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20" w:type="dxa"/>
          <w:tblInd w:w="1417" w:type="dxa"/>
          <w:tblLayout w:type="fixed"/>
        </w:tblPrEx>
        <w:trPr>
          <w:cantSplit/>
          <w:trHeight w:hRule="auto" w:val="0"/>
        </w:trPr>
        <w:tc>
          <w:tcPr>
            <w:tcW w:w="6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Equipamiento de tecnología de la información.</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447.086</w:t>
            </w:r>
          </w:p>
        </w:tc>
      </w:tr>
      <w:tr>
        <w:tblPrEx>
          <w:tblW w:w="8520" w:type="dxa"/>
          <w:tblInd w:w="1417" w:type="dxa"/>
          <w:tblLayout w:type="fixed"/>
        </w:tblPrEx>
        <w:trPr>
          <w:cantSplit/>
          <w:trHeight w:hRule="auto" w:val="0"/>
        </w:trPr>
        <w:tc>
          <w:tcPr>
            <w:tcW w:w="61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20" w:type="dxa"/>
          <w:tblInd w:w="1417" w:type="dxa"/>
          <w:tblLayout w:type="fixed"/>
        </w:tblPrEx>
        <w:trPr>
          <w:cantSplit/>
          <w:trHeight w:hRule="auto" w:val="0"/>
        </w:trPr>
        <w:tc>
          <w:tcPr>
            <w:tcW w:w="6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Instalaciones fijas y accesorios.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11.302.722</w:t>
            </w:r>
          </w:p>
        </w:tc>
      </w:tr>
      <w:tr>
        <w:tblPrEx>
          <w:tblW w:w="8520" w:type="dxa"/>
          <w:tblInd w:w="1417" w:type="dxa"/>
          <w:tblLayout w:type="fixed"/>
        </w:tblPrEx>
        <w:trPr>
          <w:cantSplit/>
          <w:trHeight w:hRule="auto" w:val="0"/>
        </w:trPr>
        <w:tc>
          <w:tcPr>
            <w:tcW w:w="6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Equipos de comunicaciones.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1.094.043</w:t>
            </w:r>
          </w:p>
        </w:tc>
      </w:tr>
      <w:tr>
        <w:tblPrEx>
          <w:tblW w:w="8520" w:type="dxa"/>
          <w:tblInd w:w="1417" w:type="dxa"/>
          <w:tblLayout w:type="fixed"/>
        </w:tblPrEx>
        <w:trPr>
          <w:cantSplit/>
          <w:trHeight w:hRule="auto" w:val="0"/>
        </w:trPr>
        <w:tc>
          <w:tcPr>
            <w:tcW w:w="6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Herramientas.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3.230.324</w:t>
            </w:r>
          </w:p>
        </w:tc>
      </w:tr>
      <w:tr>
        <w:tblPrEx>
          <w:tblW w:w="8520" w:type="dxa"/>
          <w:tblInd w:w="1417" w:type="dxa"/>
          <w:tblLayout w:type="fixed"/>
        </w:tblPrEx>
        <w:trPr>
          <w:cantSplit/>
          <w:trHeight w:hRule="auto" w:val="0"/>
        </w:trPr>
        <w:tc>
          <w:tcPr>
            <w:tcW w:w="6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Muebles y útiles.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4.189.398</w:t>
            </w:r>
          </w:p>
        </w:tc>
      </w:tr>
      <w:tr>
        <w:tblPrEx>
          <w:tblW w:w="8520" w:type="dxa"/>
          <w:tblInd w:w="1417" w:type="dxa"/>
          <w:tblLayout w:type="fixed"/>
        </w:tblPrEx>
        <w:trPr>
          <w:cantSplit/>
          <w:trHeight w:hRule="exact" w:val="255"/>
        </w:trPr>
        <w:tc>
          <w:tcPr>
            <w:tcW w:w="6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Instalaciones y accesorios diversos.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val="0"/>
                <w:i w:val="0"/>
                <w:color w:val="000000"/>
                <w:sz w:val="16"/>
                <w:u w:val="none"/>
              </w:rPr>
              <w:t>2.788.957</w:t>
            </w:r>
          </w:p>
        </w:tc>
      </w:tr>
      <w:tr>
        <w:tblPrEx>
          <w:tblW w:w="8520" w:type="dxa"/>
          <w:tblInd w:w="1417" w:type="dxa"/>
          <w:tblLayout w:type="fixed"/>
        </w:tblPrEx>
        <w:trPr>
          <w:cantSplit/>
          <w:trHeight w:hRule="auto" w:val="0"/>
        </w:trPr>
        <w:tc>
          <w:tcPr>
            <w:tcW w:w="61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20" w:type="dxa"/>
          <w:tblInd w:w="1417" w:type="dxa"/>
          <w:tblLayout w:type="fixed"/>
        </w:tblPrEx>
        <w:trPr>
          <w:cantSplit/>
          <w:trHeight w:hRule="exact" w:val="255"/>
        </w:trPr>
        <w:tc>
          <w:tcPr>
            <w:tcW w:w="6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Vehículos de motor.</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i w:val="0"/>
                <w:color w:val="FFFFFF"/>
                <w:sz w:val="16"/>
                <w:u w:val="none"/>
              </w:rPr>
              <w:t>1.083.672</w:t>
            </w:r>
          </w:p>
        </w:tc>
      </w:tr>
      <w:tr>
        <w:tblPrEx>
          <w:tblW w:w="8520" w:type="dxa"/>
          <w:tblInd w:w="1417" w:type="dxa"/>
          <w:tblLayout w:type="fixed"/>
        </w:tblPrEx>
        <w:trPr>
          <w:cantSplit/>
          <w:trHeight w:hRule="auto" w:val="0"/>
        </w:trPr>
        <w:tc>
          <w:tcPr>
            <w:tcW w:w="61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20" w:type="dxa"/>
          <w:tblInd w:w="1417" w:type="dxa"/>
          <w:tblLayout w:type="fixed"/>
        </w:tblPrEx>
        <w:trPr>
          <w:cantSplit/>
          <w:trHeight w:hRule="auto" w:val="0"/>
        </w:trPr>
        <w:tc>
          <w:tcPr>
            <w:tcW w:w="6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390.595.925</w:t>
            </w:r>
          </w:p>
        </w:tc>
      </w:tr>
    </w:tbl>
    <w:p>
      <w:pPr>
        <w:keepNext w:val="0"/>
        <w:keepLines/>
        <w:pageBreakBefore w:val="0"/>
        <w:widowControl w:val="0"/>
        <w:numPr>
          <w:ilvl w:val="0"/>
          <w:numId w:val="0"/>
        </w:numPr>
        <w:spacing w:before="0" w:after="0" w:line="288" w:lineRule="auto"/>
        <w:ind w:left="0" w:right="0" w:firstLine="1418"/>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1418"/>
        <w:jc w:val="both"/>
        <w:outlineLvl w:val="9"/>
        <w:rPr>
          <w:rFonts w:ascii="Calibri" w:eastAsia="Calibri" w:hAnsi="Calibri" w:cs="Calibri"/>
          <w:b w:val="0"/>
          <w:i w:val="0"/>
          <w:color w:val="000000"/>
          <w:sz w:val="20"/>
          <w:u w:val="none"/>
        </w:rPr>
        <w:sectPr>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159" w:name="Section83"/>
      <w:bookmarkEnd w:id="159"/>
      <w:bookmarkStart w:id="160" w:name="ad6bc8d467b741cf9292fcb8b2ba73cb"/>
      <w:r>
        <w:rPr>
          <w:rFonts w:ascii="Calibri" w:eastAsia="Calibri" w:hAnsi="Calibri" w:cs="Calibri"/>
          <w:b/>
          <w:i w:val="0"/>
          <w:color w:val="000000"/>
          <w:sz w:val="20"/>
          <w:u w:val="none"/>
        </w:rPr>
        <w:t>17.3.-</w:t>
      </w:r>
      <w:r>
        <w:rPr>
          <w:rFonts w:ascii="Calibri" w:eastAsia="Calibri" w:hAnsi="Calibri" w:cs="Calibri"/>
          <w:b/>
          <w:i w:val="0"/>
          <w:color w:val="000000"/>
          <w:sz w:val="20"/>
          <w:u w:val="none"/>
        </w:rPr>
        <w:tab/>
      </w:r>
      <w:r>
        <w:rPr>
          <w:rFonts w:ascii="Calibri" w:eastAsia="Calibri" w:hAnsi="Calibri" w:cs="Calibri"/>
          <w:b/>
          <w:i w:val="0"/>
          <w:color w:val="000000"/>
          <w:sz w:val="20"/>
          <w:u w:val="none"/>
        </w:rPr>
        <w:t>Reconciliación de cambios en propiedades, planta y equipo.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60"/>
    </w:p>
    <w:p>
      <w:pPr>
        <w:pStyle w:val="Normal-wk"/>
        <w:keepNext w:val="0"/>
        <w:keepLines/>
        <w:pageBreakBefore w:val="0"/>
        <w:widowControl w:val="0"/>
        <w:numPr>
          <w:ilvl w:val="0"/>
          <w:numId w:val="0"/>
        </w:numPr>
        <w:spacing w:before="0" w:after="0" w:line="288" w:lineRule="auto"/>
        <w:ind w:left="708" w:right="0" w:firstLine="708"/>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Movimiento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708" w:right="0" w:firstLine="708"/>
        <w:jc w:val="both"/>
        <w:outlineLvl w:val="9"/>
        <w:rPr>
          <w:rFonts w:ascii="Calibri" w:eastAsia="Calibri" w:hAnsi="Calibri" w:cs="Calibri"/>
          <w:b w:val="0"/>
          <w:i w:val="0"/>
          <w:color w:val="000000"/>
          <w:sz w:val="20"/>
          <w:u w:val="none"/>
        </w:rPr>
      </w:pPr>
    </w:p>
    <w:tbl>
      <w:tblPr>
        <w:tblW w:w="121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240"/>
        <w:gridCol w:w="3060"/>
        <w:gridCol w:w="1650"/>
        <w:gridCol w:w="900"/>
        <w:gridCol w:w="900"/>
        <w:gridCol w:w="900"/>
        <w:gridCol w:w="900"/>
        <w:gridCol w:w="900"/>
        <w:gridCol w:w="900"/>
        <w:gridCol w:w="900"/>
        <w:gridCol w:w="900"/>
      </w:tblGrid>
      <w:tr>
        <w:tblPrEx>
          <w:tblW w:w="12150" w:type="dxa"/>
          <w:tblInd w:w="1417" w:type="dxa"/>
          <w:tblLayout w:type="fixed"/>
        </w:tblPrEx>
        <w:trPr>
          <w:cantSplit/>
          <w:trHeight w:hRule="exact" w:val="120"/>
        </w:trPr>
        <w:tc>
          <w:tcPr>
            <w:tcW w:w="4950" w:type="dxa"/>
            <w:gridSpan w:val="3"/>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Movimiento año 2026</w:t>
            </w:r>
          </w:p>
        </w:tc>
        <w:tc>
          <w:tcPr>
            <w:tcW w:w="900"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Construcción en curso</w:t>
            </w:r>
          </w:p>
        </w:tc>
        <w:tc>
          <w:tcPr>
            <w:tcW w:w="900"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Terrenos</w:t>
            </w:r>
          </w:p>
        </w:tc>
        <w:tc>
          <w:tcPr>
            <w:tcW w:w="900"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Edificios, neto</w:t>
            </w:r>
          </w:p>
        </w:tc>
        <w:tc>
          <w:tcPr>
            <w:tcW w:w="900"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Planta y equipo, neto</w:t>
            </w:r>
          </w:p>
        </w:tc>
        <w:tc>
          <w:tcPr>
            <w:tcW w:w="900"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Equipamiento de tecnologías de la información, neto</w:t>
            </w:r>
          </w:p>
        </w:tc>
        <w:tc>
          <w:tcPr>
            <w:tcW w:w="900"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Instalaciones fijas y accesorios, neto</w:t>
            </w:r>
          </w:p>
        </w:tc>
        <w:tc>
          <w:tcPr>
            <w:tcW w:w="900" w:type="dxa"/>
            <w:vMerge w:val="restart"/>
            <w:tcBorders>
              <w:top w:val="single" w:sz="2" w:space="0" w:color="000000"/>
              <w:left w:val="nil"/>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Vehículos de motor, neto</w:t>
            </w:r>
          </w:p>
        </w:tc>
        <w:tc>
          <w:tcPr>
            <w:tcW w:w="900" w:type="dxa"/>
            <w:vMerge w:val="restart"/>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Propiedades, planta y equipo, neto</w:t>
            </w:r>
          </w:p>
        </w:tc>
      </w:tr>
      <w:tr>
        <w:tblPrEx>
          <w:tblW w:w="12150" w:type="dxa"/>
          <w:tblInd w:w="1417" w:type="dxa"/>
          <w:tblLayout w:type="fixed"/>
        </w:tblPrEx>
        <w:trPr>
          <w:cantSplit/>
          <w:trHeight w:hRule="exact" w:val="120"/>
        </w:trPr>
        <w:tc>
          <w:tcPr>
            <w:tcW w:w="4950" w:type="dxa"/>
            <w:gridSpan w:val="3"/>
            <w:vMerge/>
            <w:tcBorders>
              <w:top w:val="nil"/>
              <w:left w:val="single" w:sz="2" w:space="0" w:color="000000"/>
              <w:bottom w:val="nil"/>
              <w:right w:val="single" w:sz="4" w:space="0" w:color="FFFFFF"/>
            </w:tcBorders>
          </w:tcPr>
          <w:p>
            <w:pPr>
              <w:keepNext/>
              <w:pageBreakBefore w:val="0"/>
            </w:pPr>
          </w:p>
        </w:tc>
        <w:tc>
          <w:tcPr>
            <w:tcW w:w="900" w:type="dxa"/>
            <w:vMerge/>
            <w:tcBorders>
              <w:top w:val="nil"/>
              <w:left w:val="nil"/>
              <w:bottom w:val="nil"/>
              <w:right w:val="single" w:sz="4" w:space="0" w:color="FFFFFF"/>
            </w:tcBorders>
          </w:tcPr>
          <w:p>
            <w:pPr>
              <w:keepNext/>
              <w:pageBreakBefore w:val="0"/>
            </w:pPr>
          </w:p>
        </w:tc>
        <w:tc>
          <w:tcPr>
            <w:tcW w:w="900" w:type="dxa"/>
            <w:vMerge/>
            <w:tcBorders>
              <w:top w:val="nil"/>
              <w:left w:val="nil"/>
              <w:bottom w:val="nil"/>
              <w:right w:val="single" w:sz="4" w:space="0" w:color="FFFFFF"/>
            </w:tcBorders>
          </w:tcPr>
          <w:p>
            <w:pPr>
              <w:keepNext/>
              <w:pageBreakBefore w:val="0"/>
            </w:pPr>
          </w:p>
        </w:tc>
        <w:tc>
          <w:tcPr>
            <w:tcW w:w="900" w:type="dxa"/>
            <w:vMerge/>
            <w:tcBorders>
              <w:top w:val="nil"/>
              <w:left w:val="nil"/>
              <w:bottom w:val="nil"/>
              <w:right w:val="single" w:sz="4" w:space="0" w:color="FFFFFF"/>
            </w:tcBorders>
          </w:tcPr>
          <w:p>
            <w:pPr>
              <w:keepNext/>
              <w:pageBreakBefore w:val="0"/>
            </w:pPr>
          </w:p>
        </w:tc>
        <w:tc>
          <w:tcPr>
            <w:tcW w:w="900" w:type="dxa"/>
            <w:vMerge/>
            <w:tcBorders>
              <w:top w:val="nil"/>
              <w:left w:val="nil"/>
              <w:bottom w:val="nil"/>
              <w:right w:val="single" w:sz="4" w:space="0" w:color="FFFFFF"/>
            </w:tcBorders>
          </w:tcPr>
          <w:p>
            <w:pPr>
              <w:keepNext/>
              <w:pageBreakBefore w:val="0"/>
            </w:pPr>
          </w:p>
        </w:tc>
        <w:tc>
          <w:tcPr>
            <w:tcW w:w="900" w:type="dxa"/>
            <w:vMerge/>
            <w:tcBorders>
              <w:top w:val="nil"/>
              <w:left w:val="nil"/>
              <w:bottom w:val="nil"/>
              <w:right w:val="single" w:sz="4" w:space="0" w:color="FFFFFF"/>
            </w:tcBorders>
          </w:tcPr>
          <w:p>
            <w:pPr>
              <w:keepNext/>
              <w:pageBreakBefore w:val="0"/>
            </w:pPr>
          </w:p>
        </w:tc>
        <w:tc>
          <w:tcPr>
            <w:tcW w:w="900" w:type="dxa"/>
            <w:vMerge/>
            <w:tcBorders>
              <w:top w:val="nil"/>
              <w:left w:val="nil"/>
              <w:bottom w:val="nil"/>
              <w:right w:val="single" w:sz="4" w:space="0" w:color="FFFFFF"/>
            </w:tcBorders>
          </w:tcPr>
          <w:p>
            <w:pPr>
              <w:keepNext/>
              <w:pageBreakBefore w:val="0"/>
            </w:pPr>
          </w:p>
        </w:tc>
        <w:tc>
          <w:tcPr>
            <w:tcW w:w="900" w:type="dxa"/>
            <w:vMerge/>
            <w:tcBorders>
              <w:top w:val="nil"/>
              <w:left w:val="nil"/>
              <w:bottom w:val="nil"/>
              <w:right w:val="nil"/>
            </w:tcBorders>
          </w:tcPr>
          <w:p>
            <w:pPr>
              <w:keepNext/>
              <w:pageBreakBefore w:val="0"/>
            </w:pPr>
          </w:p>
        </w:tc>
        <w:tc>
          <w:tcPr>
            <w:tcW w:w="900" w:type="dxa"/>
            <w:vMerge/>
            <w:tcBorders>
              <w:top w:val="nil"/>
              <w:left w:val="single" w:sz="4" w:space="0" w:color="FFFFFF"/>
              <w:bottom w:val="nil"/>
              <w:right w:val="single" w:sz="2" w:space="0" w:color="000000"/>
            </w:tcBorders>
          </w:tcPr>
          <w:p>
            <w:pPr>
              <w:keepNext/>
              <w:pageBreakBefore w:val="0"/>
            </w:pPr>
          </w:p>
        </w:tc>
      </w:tr>
      <w:tr>
        <w:tblPrEx>
          <w:tblW w:w="12150" w:type="dxa"/>
          <w:tblInd w:w="1417" w:type="dxa"/>
          <w:tblLayout w:type="fixed"/>
        </w:tblPrEx>
        <w:trPr>
          <w:cantSplit/>
          <w:trHeight w:hRule="exact" w:val="120"/>
        </w:trPr>
        <w:tc>
          <w:tcPr>
            <w:tcW w:w="4950" w:type="dxa"/>
            <w:gridSpan w:val="3"/>
            <w:vMerge/>
            <w:tcBorders>
              <w:top w:val="nil"/>
              <w:left w:val="single" w:sz="2" w:space="0" w:color="000000"/>
              <w:bottom w:val="nil"/>
              <w:right w:val="single" w:sz="4" w:space="0" w:color="FFFFFF"/>
            </w:tcBorders>
          </w:tcPr>
          <w:p>
            <w:pPr>
              <w:keepNext/>
              <w:pageBreakBefore w:val="0"/>
            </w:pPr>
          </w:p>
        </w:tc>
        <w:tc>
          <w:tcPr>
            <w:tcW w:w="900" w:type="dxa"/>
            <w:vMerge/>
            <w:tcBorders>
              <w:top w:val="nil"/>
              <w:left w:val="nil"/>
              <w:bottom w:val="nil"/>
              <w:right w:val="single" w:sz="4" w:space="0" w:color="FFFFFF"/>
            </w:tcBorders>
          </w:tcPr>
          <w:p>
            <w:pPr>
              <w:keepNext/>
              <w:pageBreakBefore w:val="0"/>
            </w:pPr>
          </w:p>
        </w:tc>
        <w:tc>
          <w:tcPr>
            <w:tcW w:w="900" w:type="dxa"/>
            <w:vMerge/>
            <w:tcBorders>
              <w:top w:val="nil"/>
              <w:left w:val="nil"/>
              <w:bottom w:val="nil"/>
              <w:right w:val="single" w:sz="4" w:space="0" w:color="FFFFFF"/>
            </w:tcBorders>
          </w:tcPr>
          <w:p>
            <w:pPr>
              <w:keepNext/>
              <w:pageBreakBefore w:val="0"/>
            </w:pPr>
          </w:p>
        </w:tc>
        <w:tc>
          <w:tcPr>
            <w:tcW w:w="900" w:type="dxa"/>
            <w:vMerge/>
            <w:tcBorders>
              <w:top w:val="nil"/>
              <w:left w:val="nil"/>
              <w:bottom w:val="nil"/>
              <w:right w:val="single" w:sz="4" w:space="0" w:color="FFFFFF"/>
            </w:tcBorders>
          </w:tcPr>
          <w:p>
            <w:pPr>
              <w:keepNext/>
              <w:pageBreakBefore w:val="0"/>
            </w:pPr>
          </w:p>
        </w:tc>
        <w:tc>
          <w:tcPr>
            <w:tcW w:w="900" w:type="dxa"/>
            <w:vMerge/>
            <w:tcBorders>
              <w:top w:val="nil"/>
              <w:left w:val="nil"/>
              <w:bottom w:val="nil"/>
              <w:right w:val="single" w:sz="4" w:space="0" w:color="FFFFFF"/>
            </w:tcBorders>
          </w:tcPr>
          <w:p>
            <w:pPr>
              <w:keepNext/>
              <w:pageBreakBefore w:val="0"/>
            </w:pPr>
          </w:p>
        </w:tc>
        <w:tc>
          <w:tcPr>
            <w:tcW w:w="900" w:type="dxa"/>
            <w:vMerge/>
            <w:tcBorders>
              <w:top w:val="nil"/>
              <w:left w:val="nil"/>
              <w:bottom w:val="nil"/>
              <w:right w:val="single" w:sz="4" w:space="0" w:color="FFFFFF"/>
            </w:tcBorders>
          </w:tcPr>
          <w:p>
            <w:pPr>
              <w:keepNext/>
              <w:pageBreakBefore w:val="0"/>
            </w:pPr>
          </w:p>
        </w:tc>
        <w:tc>
          <w:tcPr>
            <w:tcW w:w="900" w:type="dxa"/>
            <w:vMerge/>
            <w:tcBorders>
              <w:top w:val="nil"/>
              <w:left w:val="nil"/>
              <w:bottom w:val="nil"/>
              <w:right w:val="single" w:sz="4" w:space="0" w:color="FFFFFF"/>
            </w:tcBorders>
          </w:tcPr>
          <w:p>
            <w:pPr>
              <w:keepNext/>
              <w:pageBreakBefore w:val="0"/>
            </w:pPr>
          </w:p>
        </w:tc>
        <w:tc>
          <w:tcPr>
            <w:tcW w:w="900" w:type="dxa"/>
            <w:vMerge/>
            <w:tcBorders>
              <w:top w:val="nil"/>
              <w:left w:val="nil"/>
              <w:bottom w:val="nil"/>
              <w:right w:val="nil"/>
            </w:tcBorders>
          </w:tcPr>
          <w:p>
            <w:pPr>
              <w:keepNext/>
              <w:pageBreakBefore w:val="0"/>
            </w:pPr>
          </w:p>
        </w:tc>
        <w:tc>
          <w:tcPr>
            <w:tcW w:w="900" w:type="dxa"/>
            <w:vMerge/>
            <w:tcBorders>
              <w:top w:val="nil"/>
              <w:left w:val="single" w:sz="4" w:space="0" w:color="FFFFFF"/>
              <w:bottom w:val="nil"/>
              <w:right w:val="single" w:sz="2" w:space="0" w:color="000000"/>
            </w:tcBorders>
          </w:tcPr>
          <w:p>
            <w:pPr>
              <w:keepNext/>
              <w:pageBreakBefore w:val="0"/>
            </w:pPr>
          </w:p>
        </w:tc>
      </w:tr>
      <w:tr>
        <w:tblPrEx>
          <w:tblW w:w="12150" w:type="dxa"/>
          <w:tblInd w:w="1417" w:type="dxa"/>
          <w:tblLayout w:type="fixed"/>
        </w:tblPrEx>
        <w:trPr>
          <w:cantSplit/>
          <w:trHeight w:hRule="exact" w:val="120"/>
        </w:trPr>
        <w:tc>
          <w:tcPr>
            <w:tcW w:w="4950" w:type="dxa"/>
            <w:gridSpan w:val="3"/>
            <w:vMerge/>
            <w:tcBorders>
              <w:top w:val="nil"/>
              <w:left w:val="single" w:sz="2" w:space="0" w:color="000000"/>
              <w:bottom w:val="nil"/>
              <w:right w:val="single" w:sz="4" w:space="0" w:color="FFFFFF"/>
            </w:tcBorders>
          </w:tcPr>
          <w:p>
            <w:pPr>
              <w:keepNext/>
              <w:pageBreakBefore w:val="0"/>
            </w:pPr>
          </w:p>
        </w:tc>
        <w:tc>
          <w:tcPr>
            <w:tcW w:w="900" w:type="dxa"/>
            <w:vMerge/>
            <w:tcBorders>
              <w:top w:val="nil"/>
              <w:left w:val="nil"/>
              <w:bottom w:val="nil"/>
              <w:right w:val="single" w:sz="4" w:space="0" w:color="FFFFFF"/>
            </w:tcBorders>
          </w:tcPr>
          <w:p>
            <w:pPr>
              <w:keepNext/>
              <w:pageBreakBefore w:val="0"/>
            </w:pPr>
          </w:p>
        </w:tc>
        <w:tc>
          <w:tcPr>
            <w:tcW w:w="900" w:type="dxa"/>
            <w:vMerge/>
            <w:tcBorders>
              <w:top w:val="nil"/>
              <w:left w:val="nil"/>
              <w:bottom w:val="nil"/>
              <w:right w:val="single" w:sz="4" w:space="0" w:color="FFFFFF"/>
            </w:tcBorders>
          </w:tcPr>
          <w:p>
            <w:pPr>
              <w:keepNext/>
              <w:pageBreakBefore w:val="0"/>
            </w:pPr>
          </w:p>
        </w:tc>
        <w:tc>
          <w:tcPr>
            <w:tcW w:w="900" w:type="dxa"/>
            <w:vMerge/>
            <w:tcBorders>
              <w:top w:val="nil"/>
              <w:left w:val="nil"/>
              <w:bottom w:val="nil"/>
              <w:right w:val="single" w:sz="4" w:space="0" w:color="FFFFFF"/>
            </w:tcBorders>
          </w:tcPr>
          <w:p>
            <w:pPr>
              <w:keepNext/>
              <w:pageBreakBefore w:val="0"/>
            </w:pPr>
          </w:p>
        </w:tc>
        <w:tc>
          <w:tcPr>
            <w:tcW w:w="900" w:type="dxa"/>
            <w:vMerge/>
            <w:tcBorders>
              <w:top w:val="nil"/>
              <w:left w:val="nil"/>
              <w:bottom w:val="nil"/>
              <w:right w:val="single" w:sz="4" w:space="0" w:color="FFFFFF"/>
            </w:tcBorders>
          </w:tcPr>
          <w:p>
            <w:pPr>
              <w:keepNext/>
              <w:pageBreakBefore w:val="0"/>
            </w:pPr>
          </w:p>
        </w:tc>
        <w:tc>
          <w:tcPr>
            <w:tcW w:w="900" w:type="dxa"/>
            <w:vMerge/>
            <w:tcBorders>
              <w:top w:val="nil"/>
              <w:left w:val="nil"/>
              <w:bottom w:val="nil"/>
              <w:right w:val="single" w:sz="4" w:space="0" w:color="FFFFFF"/>
            </w:tcBorders>
          </w:tcPr>
          <w:p>
            <w:pPr>
              <w:keepNext/>
              <w:pageBreakBefore w:val="0"/>
            </w:pPr>
          </w:p>
        </w:tc>
        <w:tc>
          <w:tcPr>
            <w:tcW w:w="900" w:type="dxa"/>
            <w:vMerge/>
            <w:tcBorders>
              <w:top w:val="nil"/>
              <w:left w:val="nil"/>
              <w:bottom w:val="nil"/>
              <w:right w:val="single" w:sz="4" w:space="0" w:color="FFFFFF"/>
            </w:tcBorders>
          </w:tcPr>
          <w:p>
            <w:pPr>
              <w:keepNext/>
              <w:pageBreakBefore w:val="0"/>
            </w:pPr>
          </w:p>
        </w:tc>
        <w:tc>
          <w:tcPr>
            <w:tcW w:w="900" w:type="dxa"/>
            <w:vMerge/>
            <w:tcBorders>
              <w:top w:val="nil"/>
              <w:left w:val="nil"/>
              <w:bottom w:val="nil"/>
              <w:right w:val="nil"/>
            </w:tcBorders>
          </w:tcPr>
          <w:p>
            <w:pPr>
              <w:keepNext/>
              <w:pageBreakBefore w:val="0"/>
            </w:pPr>
          </w:p>
        </w:tc>
        <w:tc>
          <w:tcPr>
            <w:tcW w:w="900" w:type="dxa"/>
            <w:vMerge/>
            <w:tcBorders>
              <w:top w:val="nil"/>
              <w:left w:val="single" w:sz="4" w:space="0" w:color="FFFFFF"/>
              <w:bottom w:val="nil"/>
              <w:right w:val="single" w:sz="2" w:space="0" w:color="000000"/>
            </w:tcBorders>
          </w:tcPr>
          <w:p>
            <w:pPr>
              <w:keepNext/>
              <w:pageBreakBefore w:val="0"/>
            </w:pPr>
          </w:p>
        </w:tc>
      </w:tr>
      <w:tr>
        <w:tblPrEx>
          <w:tblW w:w="12150" w:type="dxa"/>
          <w:tblInd w:w="1417" w:type="dxa"/>
          <w:tblLayout w:type="fixed"/>
        </w:tblPrEx>
        <w:trPr>
          <w:cantSplit/>
          <w:trHeight w:hRule="exact" w:val="120"/>
        </w:trPr>
        <w:tc>
          <w:tcPr>
            <w:tcW w:w="4950" w:type="dxa"/>
            <w:gridSpan w:val="3"/>
            <w:vMerge/>
            <w:tcBorders>
              <w:top w:val="nil"/>
              <w:left w:val="single" w:sz="2" w:space="0" w:color="000000"/>
              <w:bottom w:val="nil"/>
              <w:right w:val="single" w:sz="4" w:space="0" w:color="FFFFFF"/>
            </w:tcBorders>
          </w:tcPr>
          <w:p>
            <w:pPr>
              <w:keepNext/>
              <w:pageBreakBefore w:val="0"/>
            </w:pPr>
          </w:p>
        </w:tc>
        <w:tc>
          <w:tcPr>
            <w:tcW w:w="900" w:type="dxa"/>
            <w:vMerge/>
            <w:tcBorders>
              <w:top w:val="nil"/>
              <w:left w:val="nil"/>
              <w:bottom w:val="nil"/>
              <w:right w:val="single" w:sz="4" w:space="0" w:color="FFFFFF"/>
            </w:tcBorders>
          </w:tcPr>
          <w:p>
            <w:pPr>
              <w:keepNext/>
              <w:pageBreakBefore w:val="0"/>
            </w:pPr>
          </w:p>
        </w:tc>
        <w:tc>
          <w:tcPr>
            <w:tcW w:w="900" w:type="dxa"/>
            <w:vMerge/>
            <w:tcBorders>
              <w:top w:val="nil"/>
              <w:left w:val="nil"/>
              <w:bottom w:val="nil"/>
              <w:right w:val="single" w:sz="4" w:space="0" w:color="FFFFFF"/>
            </w:tcBorders>
          </w:tcPr>
          <w:p>
            <w:pPr>
              <w:keepNext/>
              <w:pageBreakBefore w:val="0"/>
            </w:pPr>
          </w:p>
        </w:tc>
        <w:tc>
          <w:tcPr>
            <w:tcW w:w="900" w:type="dxa"/>
            <w:vMerge/>
            <w:tcBorders>
              <w:top w:val="nil"/>
              <w:left w:val="nil"/>
              <w:bottom w:val="nil"/>
              <w:right w:val="single" w:sz="4" w:space="0" w:color="FFFFFF"/>
            </w:tcBorders>
          </w:tcPr>
          <w:p>
            <w:pPr>
              <w:keepNext/>
              <w:pageBreakBefore w:val="0"/>
            </w:pPr>
          </w:p>
        </w:tc>
        <w:tc>
          <w:tcPr>
            <w:tcW w:w="900" w:type="dxa"/>
            <w:vMerge/>
            <w:tcBorders>
              <w:top w:val="nil"/>
              <w:left w:val="nil"/>
              <w:bottom w:val="nil"/>
              <w:right w:val="single" w:sz="4" w:space="0" w:color="FFFFFF"/>
            </w:tcBorders>
          </w:tcPr>
          <w:p>
            <w:pPr>
              <w:keepNext/>
              <w:pageBreakBefore w:val="0"/>
            </w:pPr>
          </w:p>
        </w:tc>
        <w:tc>
          <w:tcPr>
            <w:tcW w:w="900" w:type="dxa"/>
            <w:vMerge/>
            <w:tcBorders>
              <w:top w:val="nil"/>
              <w:left w:val="nil"/>
              <w:bottom w:val="nil"/>
              <w:right w:val="single" w:sz="4" w:space="0" w:color="FFFFFF"/>
            </w:tcBorders>
          </w:tcPr>
          <w:p>
            <w:pPr>
              <w:keepNext/>
              <w:pageBreakBefore w:val="0"/>
            </w:pPr>
          </w:p>
        </w:tc>
        <w:tc>
          <w:tcPr>
            <w:tcW w:w="900" w:type="dxa"/>
            <w:vMerge/>
            <w:tcBorders>
              <w:top w:val="nil"/>
              <w:left w:val="nil"/>
              <w:bottom w:val="nil"/>
              <w:right w:val="single" w:sz="4" w:space="0" w:color="FFFFFF"/>
            </w:tcBorders>
          </w:tcPr>
          <w:p>
            <w:pPr>
              <w:keepNext/>
              <w:pageBreakBefore w:val="0"/>
            </w:pPr>
          </w:p>
        </w:tc>
        <w:tc>
          <w:tcPr>
            <w:tcW w:w="900" w:type="dxa"/>
            <w:vMerge/>
            <w:tcBorders>
              <w:top w:val="nil"/>
              <w:left w:val="nil"/>
              <w:bottom w:val="nil"/>
              <w:right w:val="nil"/>
            </w:tcBorders>
          </w:tcPr>
          <w:p>
            <w:pPr>
              <w:keepNext/>
              <w:pageBreakBefore w:val="0"/>
            </w:pPr>
          </w:p>
        </w:tc>
        <w:tc>
          <w:tcPr>
            <w:tcW w:w="900" w:type="dxa"/>
            <w:vMerge/>
            <w:tcBorders>
              <w:top w:val="nil"/>
              <w:left w:val="single" w:sz="4" w:space="0" w:color="FFFFFF"/>
              <w:bottom w:val="nil"/>
              <w:right w:val="single" w:sz="2" w:space="0" w:color="000000"/>
            </w:tcBorders>
          </w:tcPr>
          <w:p>
            <w:pPr>
              <w:keepNext/>
              <w:pageBreakBefore w:val="0"/>
            </w:pPr>
          </w:p>
        </w:tc>
      </w:tr>
      <w:tr>
        <w:tblPrEx>
          <w:tblW w:w="12150" w:type="dxa"/>
          <w:tblInd w:w="1417" w:type="dxa"/>
          <w:tblLayout w:type="fixed"/>
        </w:tblPrEx>
        <w:trPr>
          <w:cantSplit/>
          <w:trHeight w:hRule="exact" w:val="120"/>
        </w:trPr>
        <w:tc>
          <w:tcPr>
            <w:tcW w:w="4950" w:type="dxa"/>
            <w:gridSpan w:val="3"/>
            <w:vMerge/>
            <w:tcBorders>
              <w:top w:val="nil"/>
              <w:left w:val="single" w:sz="2" w:space="0" w:color="000000"/>
              <w:bottom w:val="nil"/>
              <w:right w:val="single" w:sz="4" w:space="0" w:color="FFFFFF"/>
            </w:tcBorders>
          </w:tcPr>
          <w:p>
            <w:pPr>
              <w:keepNext/>
              <w:pageBreakBefore w:val="0"/>
            </w:pPr>
          </w:p>
        </w:tc>
        <w:tc>
          <w:tcPr>
            <w:tcW w:w="900" w:type="dxa"/>
            <w:vMerge/>
            <w:tcBorders>
              <w:top w:val="nil"/>
              <w:left w:val="nil"/>
              <w:bottom w:val="nil"/>
              <w:right w:val="single" w:sz="4" w:space="0" w:color="FFFFFF"/>
            </w:tcBorders>
          </w:tcPr>
          <w:p>
            <w:pPr>
              <w:keepNext/>
              <w:pageBreakBefore w:val="0"/>
            </w:pPr>
          </w:p>
        </w:tc>
        <w:tc>
          <w:tcPr>
            <w:tcW w:w="900" w:type="dxa"/>
            <w:vMerge/>
            <w:tcBorders>
              <w:top w:val="nil"/>
              <w:left w:val="nil"/>
              <w:bottom w:val="nil"/>
              <w:right w:val="single" w:sz="4" w:space="0" w:color="FFFFFF"/>
            </w:tcBorders>
          </w:tcPr>
          <w:p>
            <w:pPr>
              <w:keepNext/>
              <w:pageBreakBefore w:val="0"/>
            </w:pPr>
          </w:p>
        </w:tc>
        <w:tc>
          <w:tcPr>
            <w:tcW w:w="900" w:type="dxa"/>
            <w:vMerge/>
            <w:tcBorders>
              <w:top w:val="nil"/>
              <w:left w:val="nil"/>
              <w:bottom w:val="nil"/>
              <w:right w:val="single" w:sz="4" w:space="0" w:color="FFFFFF"/>
            </w:tcBorders>
          </w:tcPr>
          <w:p>
            <w:pPr>
              <w:keepNext/>
              <w:pageBreakBefore w:val="0"/>
            </w:pPr>
          </w:p>
        </w:tc>
        <w:tc>
          <w:tcPr>
            <w:tcW w:w="900" w:type="dxa"/>
            <w:vMerge/>
            <w:tcBorders>
              <w:top w:val="nil"/>
              <w:left w:val="nil"/>
              <w:bottom w:val="nil"/>
              <w:right w:val="single" w:sz="4" w:space="0" w:color="FFFFFF"/>
            </w:tcBorders>
          </w:tcPr>
          <w:p>
            <w:pPr>
              <w:keepNext/>
              <w:pageBreakBefore w:val="0"/>
            </w:pPr>
          </w:p>
        </w:tc>
        <w:tc>
          <w:tcPr>
            <w:tcW w:w="900" w:type="dxa"/>
            <w:vMerge/>
            <w:tcBorders>
              <w:top w:val="nil"/>
              <w:left w:val="nil"/>
              <w:bottom w:val="nil"/>
              <w:right w:val="single" w:sz="4" w:space="0" w:color="FFFFFF"/>
            </w:tcBorders>
          </w:tcPr>
          <w:p>
            <w:pPr>
              <w:keepNext/>
              <w:pageBreakBefore w:val="0"/>
            </w:pPr>
          </w:p>
        </w:tc>
        <w:tc>
          <w:tcPr>
            <w:tcW w:w="900" w:type="dxa"/>
            <w:vMerge/>
            <w:tcBorders>
              <w:top w:val="nil"/>
              <w:left w:val="nil"/>
              <w:bottom w:val="nil"/>
              <w:right w:val="single" w:sz="4" w:space="0" w:color="FFFFFF"/>
            </w:tcBorders>
          </w:tcPr>
          <w:p>
            <w:pPr>
              <w:keepNext/>
              <w:pageBreakBefore w:val="0"/>
            </w:pPr>
          </w:p>
        </w:tc>
        <w:tc>
          <w:tcPr>
            <w:tcW w:w="900" w:type="dxa"/>
            <w:vMerge/>
            <w:tcBorders>
              <w:top w:val="nil"/>
              <w:left w:val="nil"/>
              <w:bottom w:val="nil"/>
              <w:right w:val="nil"/>
            </w:tcBorders>
          </w:tcPr>
          <w:p>
            <w:pPr>
              <w:keepNext/>
              <w:pageBreakBefore w:val="0"/>
            </w:pPr>
          </w:p>
        </w:tc>
        <w:tc>
          <w:tcPr>
            <w:tcW w:w="900" w:type="dxa"/>
            <w:vMerge/>
            <w:tcBorders>
              <w:top w:val="nil"/>
              <w:left w:val="single" w:sz="4" w:space="0" w:color="FFFFFF"/>
              <w:bottom w:val="nil"/>
              <w:right w:val="single" w:sz="2" w:space="0" w:color="000000"/>
            </w:tcBorders>
          </w:tcPr>
          <w:p>
            <w:pPr>
              <w:keepNext/>
              <w:pageBreakBefore w:val="0"/>
            </w:pPr>
          </w:p>
        </w:tc>
      </w:tr>
      <w:tr>
        <w:tblPrEx>
          <w:tblW w:w="12150" w:type="dxa"/>
          <w:tblInd w:w="1417" w:type="dxa"/>
          <w:tblLayout w:type="fixed"/>
        </w:tblPrEx>
        <w:trPr>
          <w:cantSplit/>
          <w:trHeight w:hRule="exact" w:val="180"/>
        </w:trPr>
        <w:tc>
          <w:tcPr>
            <w:tcW w:w="4950" w:type="dxa"/>
            <w:gridSpan w:val="3"/>
            <w:vMerge/>
            <w:tcBorders>
              <w:top w:val="nil"/>
              <w:left w:val="single" w:sz="2" w:space="0" w:color="000000"/>
              <w:bottom w:val="single" w:sz="2" w:space="0" w:color="000000"/>
              <w:right w:val="nil"/>
            </w:tcBorders>
          </w:tcPr>
          <w:p>
            <w:pPr>
              <w:keepNext/>
              <w:pageBreakBefore w:val="0"/>
            </w:pP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r>
      <w:tr>
        <w:tblPrEx>
          <w:tblW w:w="12150" w:type="dxa"/>
          <w:tblInd w:w="1417" w:type="dxa"/>
          <w:tblLayout w:type="fixed"/>
        </w:tblPrEx>
        <w:trPr>
          <w:cantSplit/>
          <w:trHeight w:hRule="exact" w:val="60"/>
        </w:trPr>
        <w:tc>
          <w:tcPr>
            <w:tcW w:w="24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306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6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2150" w:type="dxa"/>
          <w:tblInd w:w="1417" w:type="dxa"/>
          <w:tblLayout w:type="fixed"/>
        </w:tblPrEx>
        <w:trPr>
          <w:cantSplit/>
          <w:trHeight w:hRule="auto" w:val="0"/>
        </w:trPr>
        <w:tc>
          <w:tcPr>
            <w:tcW w:w="4950" w:type="dxa"/>
            <w:gridSpan w:val="3"/>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Saldo inicial al 1 de enero de 2026</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130.148.402</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37.187.756</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10.580.432</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687.685.069</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187.138</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11.109.958</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1.285.162</w:t>
            </w:r>
          </w:p>
        </w:tc>
        <w:tc>
          <w:tcPr>
            <w:tcW w:w="9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878.183.917</w:t>
            </w:r>
          </w:p>
        </w:tc>
      </w:tr>
      <w:tr>
        <w:tblPrEx>
          <w:tblW w:w="12150" w:type="dxa"/>
          <w:tblInd w:w="1417" w:type="dxa"/>
          <w:tblLayout w:type="fixed"/>
        </w:tblPrEx>
        <w:trPr>
          <w:cantSplit/>
          <w:trHeight w:hRule="exact" w:val="60"/>
        </w:trPr>
        <w:tc>
          <w:tcPr>
            <w:tcW w:w="24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306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6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2150" w:type="dxa"/>
          <w:tblInd w:w="1417" w:type="dxa"/>
          <w:tblLayout w:type="fixed"/>
        </w:tblPrEx>
        <w:trPr>
          <w:cantSplit/>
          <w:trHeight w:hRule="exact" w:val="225"/>
        </w:trPr>
        <w:tc>
          <w:tcPr>
            <w:tcW w:w="240" w:type="dxa"/>
            <w:vMerge w:val="restart"/>
            <w:tcBorders>
              <w:top w:val="nil"/>
              <w:left w:val="single" w:sz="2" w:space="0" w:color="000000"/>
              <w:bottom w:val="nil"/>
              <w:right w:val="single" w:sz="2" w:space="0" w:color="000000"/>
            </w:tcBorders>
            <w:tcMar>
              <w:top w:w="0" w:type="dxa"/>
              <w:left w:w="53" w:type="dxa"/>
              <w:bottom w:w="0" w:type="dxa"/>
              <w:right w:w="53" w:type="dxa"/>
            </w:tcMar>
            <w:textDirection w:val="btLr"/>
            <w:vAlign w:val="top"/>
          </w:tcPr>
          <w:p>
            <w:pPr>
              <w:keepNext/>
              <w:pageBreakBefore w:val="0"/>
              <w:spacing w:line="240" w:lineRule="auto"/>
              <w:ind w:left="0" w:right="0"/>
              <w:jc w:val="center"/>
            </w:pPr>
            <w:r>
              <w:rPr>
                <w:rFonts w:ascii="Calibri" w:eastAsia="Calibri" w:hAnsi="Calibri" w:cs="Calibri"/>
                <w:b/>
                <w:i w:val="0"/>
                <w:color w:val="000000"/>
                <w:sz w:val="12"/>
                <w:u w:val="none"/>
              </w:rPr>
              <w:t>Cambios</w:t>
            </w:r>
          </w:p>
        </w:tc>
        <w:tc>
          <w:tcPr>
            <w:tcW w:w="4710" w:type="dxa"/>
            <w:gridSpan w:val="2"/>
            <w:tcBorders>
              <w:top w:val="nil"/>
              <w:left w:val="nil"/>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Incrementos distintos de los procedentes de combinaciones de negocios.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11.797.451</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82.184</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11.879.635</w:t>
            </w:r>
          </w:p>
        </w:tc>
      </w:tr>
      <w:tr>
        <w:tblPrEx>
          <w:tblW w:w="12150" w:type="dxa"/>
          <w:tblInd w:w="1417" w:type="dxa"/>
          <w:tblLayout w:type="fixed"/>
        </w:tblPrEx>
        <w:trPr>
          <w:cantSplit/>
          <w:trHeight w:hRule="auto" w:val="0"/>
        </w:trPr>
        <w:tc>
          <w:tcPr>
            <w:tcW w:w="240" w:type="dxa"/>
            <w:vMerge/>
            <w:tcBorders>
              <w:top w:val="nil"/>
              <w:left w:val="single" w:sz="2" w:space="0" w:color="000000"/>
              <w:bottom w:val="nil"/>
              <w:right w:val="nil"/>
            </w:tcBorders>
          </w:tcPr>
          <w:p>
            <w:pPr>
              <w:keepNext/>
              <w:pageBreakBefore w:val="0"/>
            </w:pPr>
          </w:p>
        </w:tc>
        <w:tc>
          <w:tcPr>
            <w:tcW w:w="4710" w:type="dxa"/>
            <w:gridSpan w:val="2"/>
            <w:tcBorders>
              <w:top w:val="nil"/>
              <w:left w:val="nil"/>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Retiros.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(4.188)</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(122.838)</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(3.967)</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(130.993)</w:t>
            </w:r>
          </w:p>
        </w:tc>
      </w:tr>
      <w:tr>
        <w:tblPrEx>
          <w:tblW w:w="12150" w:type="dxa"/>
          <w:tblInd w:w="1417" w:type="dxa"/>
          <w:tblLayout w:type="fixed"/>
        </w:tblPrEx>
        <w:trPr>
          <w:cantSplit/>
          <w:trHeight w:hRule="auto" w:val="0"/>
        </w:trPr>
        <w:tc>
          <w:tcPr>
            <w:tcW w:w="240" w:type="dxa"/>
            <w:vMerge/>
            <w:tcBorders>
              <w:top w:val="nil"/>
              <w:left w:val="single" w:sz="2" w:space="0" w:color="000000"/>
              <w:bottom w:val="nil"/>
              <w:right w:val="nil"/>
            </w:tcBorders>
          </w:tcPr>
          <w:p>
            <w:pPr>
              <w:keepNext/>
              <w:pageBreakBefore w:val="0"/>
            </w:pPr>
          </w:p>
        </w:tc>
        <w:tc>
          <w:tcPr>
            <w:tcW w:w="4710" w:type="dxa"/>
            <w:gridSpan w:val="2"/>
            <w:tcBorders>
              <w:top w:val="nil"/>
              <w:left w:val="nil"/>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Depreciación.</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(96.412)</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(7.335.615)</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(1.071)</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(345.928)</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(52.108)</w:t>
            </w:r>
          </w:p>
        </w:tc>
        <w:tc>
          <w:tcPr>
            <w:tcW w:w="90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(7.831.134)</w:t>
            </w:r>
          </w:p>
        </w:tc>
      </w:tr>
      <w:tr>
        <w:tblPrEx>
          <w:tblW w:w="12150" w:type="dxa"/>
          <w:tblInd w:w="1417" w:type="dxa"/>
          <w:tblLayout w:type="fixed"/>
        </w:tblPrEx>
        <w:trPr>
          <w:cantSplit/>
          <w:trHeight w:hRule="auto" w:val="0"/>
        </w:trPr>
        <w:tc>
          <w:tcPr>
            <w:tcW w:w="240" w:type="dxa"/>
            <w:vMerge/>
            <w:tcBorders>
              <w:top w:val="nil"/>
              <w:left w:val="single" w:sz="2" w:space="0" w:color="000000"/>
              <w:bottom w:val="nil"/>
              <w:right w:val="nil"/>
            </w:tcBorders>
          </w:tcPr>
          <w:p>
            <w:pPr>
              <w:keepNext/>
              <w:pageBreakBefore w:val="0"/>
            </w:pPr>
          </w:p>
        </w:tc>
        <w:tc>
          <w:tcPr>
            <w:tcW w:w="4710" w:type="dxa"/>
            <w:gridSpan w:val="2"/>
            <w:tcBorders>
              <w:top w:val="nil"/>
              <w:left w:val="nil"/>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Incrementos (disminuciones) por transferencias desde construcciones en proceso, propiedades, planta y equipo.</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(5.396.625)</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5.396.625</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r>
      <w:tr>
        <w:tblPrEx>
          <w:tblW w:w="12150" w:type="dxa"/>
          <w:tblInd w:w="1417" w:type="dxa"/>
          <w:tblLayout w:type="fixed"/>
        </w:tblPrEx>
        <w:trPr>
          <w:cantSplit/>
          <w:trHeight w:hRule="auto" w:val="0"/>
        </w:trPr>
        <w:tc>
          <w:tcPr>
            <w:tcW w:w="240" w:type="dxa"/>
            <w:vMerge/>
            <w:tcBorders>
              <w:top w:val="nil"/>
              <w:left w:val="single" w:sz="2" w:space="0" w:color="000000"/>
              <w:bottom w:val="single" w:sz="2" w:space="0" w:color="000000"/>
              <w:right w:val="nil"/>
            </w:tcBorders>
          </w:tcPr>
          <w:p>
            <w:pPr>
              <w:keepNext/>
              <w:pageBreakBefore w:val="0"/>
            </w:pPr>
          </w:p>
        </w:tc>
        <w:tc>
          <w:tcPr>
            <w:tcW w:w="4710" w:type="dxa"/>
            <w:gridSpan w:val="2"/>
            <w:tcBorders>
              <w:top w:val="nil"/>
              <w:left w:val="nil"/>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Incrementos (disminuciones) por otros cambios.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(6.365)</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4" w:space="0" w:color="FFFFFF"/>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(6.365)</w:t>
            </w:r>
          </w:p>
        </w:tc>
      </w:tr>
      <w:tr>
        <w:tblPrEx>
          <w:tblW w:w="12150" w:type="dxa"/>
          <w:tblInd w:w="1417" w:type="dxa"/>
          <w:tblLayout w:type="fixed"/>
        </w:tblPrEx>
        <w:trPr>
          <w:cantSplit/>
          <w:trHeight w:hRule="auto" w:val="0"/>
        </w:trPr>
        <w:tc>
          <w:tcPr>
            <w:tcW w:w="24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306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6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2150" w:type="dxa"/>
          <w:tblInd w:w="1417" w:type="dxa"/>
          <w:tblLayout w:type="fixed"/>
        </w:tblPrEx>
        <w:trPr>
          <w:cantSplit/>
          <w:trHeight w:hRule="auto" w:val="0"/>
        </w:trPr>
        <w:tc>
          <w:tcPr>
            <w:tcW w:w="4950" w:type="dxa"/>
            <w:gridSpan w:val="3"/>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Total cambios</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6.396.638</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(96.412)</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(2.061.828)</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(1.071)</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(274.076)</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(52.108)</w:t>
            </w:r>
          </w:p>
        </w:tc>
        <w:tc>
          <w:tcPr>
            <w:tcW w:w="9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3.911.143</w:t>
            </w:r>
          </w:p>
        </w:tc>
      </w:tr>
      <w:tr>
        <w:tblPrEx>
          <w:tblW w:w="12150" w:type="dxa"/>
          <w:tblInd w:w="1417" w:type="dxa"/>
          <w:tblLayout w:type="fixed"/>
        </w:tblPrEx>
        <w:trPr>
          <w:cantSplit/>
          <w:trHeight w:hRule="auto" w:val="0"/>
        </w:trPr>
        <w:tc>
          <w:tcPr>
            <w:tcW w:w="24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306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6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2150" w:type="dxa"/>
          <w:tblInd w:w="1417" w:type="dxa"/>
          <w:tblLayout w:type="fixed"/>
        </w:tblPrEx>
        <w:trPr>
          <w:cantSplit/>
          <w:trHeight w:hRule="auto" w:val="0"/>
        </w:trPr>
        <w:tc>
          <w:tcPr>
            <w:tcW w:w="4950" w:type="dxa"/>
            <w:gridSpan w:val="3"/>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Saldo final al 30 de junio de 2026</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136.545.040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37.187.756</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10.484.020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685.623.241</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186.067</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10.835.882</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1.233.054</w:t>
            </w:r>
          </w:p>
        </w:tc>
        <w:tc>
          <w:tcPr>
            <w:tcW w:w="9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882.095.060</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708" w:right="0" w:firstLine="708"/>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Movimiento al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121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240"/>
        <w:gridCol w:w="3060"/>
        <w:gridCol w:w="1650"/>
        <w:gridCol w:w="900"/>
        <w:gridCol w:w="900"/>
        <w:gridCol w:w="900"/>
        <w:gridCol w:w="900"/>
        <w:gridCol w:w="900"/>
        <w:gridCol w:w="900"/>
        <w:gridCol w:w="900"/>
        <w:gridCol w:w="900"/>
      </w:tblGrid>
      <w:tr>
        <w:tblPrEx>
          <w:tblW w:w="12150" w:type="dxa"/>
          <w:tblInd w:w="1417" w:type="dxa"/>
          <w:tblLayout w:type="fixed"/>
        </w:tblPrEx>
        <w:trPr>
          <w:cantSplit/>
          <w:trHeight w:hRule="exact" w:val="120"/>
        </w:trPr>
        <w:tc>
          <w:tcPr>
            <w:tcW w:w="4950" w:type="dxa"/>
            <w:gridSpan w:val="3"/>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Movimiento año 2025</w:t>
            </w:r>
          </w:p>
        </w:tc>
        <w:tc>
          <w:tcPr>
            <w:tcW w:w="900"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Construcción en curso</w:t>
            </w:r>
          </w:p>
        </w:tc>
        <w:tc>
          <w:tcPr>
            <w:tcW w:w="900"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Terrenos</w:t>
            </w:r>
          </w:p>
        </w:tc>
        <w:tc>
          <w:tcPr>
            <w:tcW w:w="900"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Edificios, neto</w:t>
            </w:r>
          </w:p>
        </w:tc>
        <w:tc>
          <w:tcPr>
            <w:tcW w:w="900"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Planta y equipo, neto</w:t>
            </w:r>
          </w:p>
        </w:tc>
        <w:tc>
          <w:tcPr>
            <w:tcW w:w="900"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Equipamiento de tecnologías de la información, neto</w:t>
            </w:r>
          </w:p>
        </w:tc>
        <w:tc>
          <w:tcPr>
            <w:tcW w:w="900"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Instalaciones fijas y accesorios, neto</w:t>
            </w:r>
          </w:p>
        </w:tc>
        <w:tc>
          <w:tcPr>
            <w:tcW w:w="900" w:type="dxa"/>
            <w:vMerge w:val="restart"/>
            <w:tcBorders>
              <w:top w:val="single" w:sz="2" w:space="0" w:color="000000"/>
              <w:left w:val="nil"/>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Vehículos de motor, neto</w:t>
            </w:r>
          </w:p>
        </w:tc>
        <w:tc>
          <w:tcPr>
            <w:tcW w:w="900" w:type="dxa"/>
            <w:vMerge w:val="restart"/>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Propiedades, planta y equipo, neto</w:t>
            </w:r>
          </w:p>
        </w:tc>
      </w:tr>
      <w:tr>
        <w:tblPrEx>
          <w:tblW w:w="12150" w:type="dxa"/>
          <w:tblInd w:w="1417" w:type="dxa"/>
          <w:tblLayout w:type="fixed"/>
        </w:tblPrEx>
        <w:trPr>
          <w:cantSplit/>
          <w:trHeight w:hRule="exact" w:val="120"/>
        </w:trPr>
        <w:tc>
          <w:tcPr>
            <w:tcW w:w="4950" w:type="dxa"/>
            <w:gridSpan w:val="3"/>
            <w:vMerge/>
            <w:tcBorders>
              <w:top w:val="nil"/>
              <w:left w:val="single" w:sz="2" w:space="0" w:color="000000"/>
              <w:bottom w:val="nil"/>
              <w:right w:val="single" w:sz="4" w:space="0" w:color="FFFFFF"/>
            </w:tcBorders>
          </w:tcPr>
          <w:p>
            <w:pPr>
              <w:keepNext/>
              <w:pageBreakBefore w:val="0"/>
            </w:pPr>
          </w:p>
        </w:tc>
        <w:tc>
          <w:tcPr>
            <w:tcW w:w="900" w:type="dxa"/>
            <w:vMerge/>
            <w:tcBorders>
              <w:top w:val="nil"/>
              <w:left w:val="nil"/>
              <w:bottom w:val="nil"/>
              <w:right w:val="single" w:sz="4" w:space="0" w:color="FFFFFF"/>
            </w:tcBorders>
          </w:tcPr>
          <w:p>
            <w:pPr>
              <w:keepNext/>
              <w:pageBreakBefore w:val="0"/>
            </w:pPr>
          </w:p>
        </w:tc>
        <w:tc>
          <w:tcPr>
            <w:tcW w:w="900" w:type="dxa"/>
            <w:vMerge/>
            <w:tcBorders>
              <w:top w:val="nil"/>
              <w:left w:val="nil"/>
              <w:bottom w:val="nil"/>
              <w:right w:val="single" w:sz="4" w:space="0" w:color="FFFFFF"/>
            </w:tcBorders>
          </w:tcPr>
          <w:p>
            <w:pPr>
              <w:keepNext/>
              <w:pageBreakBefore w:val="0"/>
            </w:pPr>
          </w:p>
        </w:tc>
        <w:tc>
          <w:tcPr>
            <w:tcW w:w="900" w:type="dxa"/>
            <w:vMerge/>
            <w:tcBorders>
              <w:top w:val="nil"/>
              <w:left w:val="nil"/>
              <w:bottom w:val="nil"/>
              <w:right w:val="single" w:sz="4" w:space="0" w:color="FFFFFF"/>
            </w:tcBorders>
          </w:tcPr>
          <w:p>
            <w:pPr>
              <w:keepNext/>
              <w:pageBreakBefore w:val="0"/>
            </w:pPr>
          </w:p>
        </w:tc>
        <w:tc>
          <w:tcPr>
            <w:tcW w:w="900" w:type="dxa"/>
            <w:vMerge/>
            <w:tcBorders>
              <w:top w:val="nil"/>
              <w:left w:val="nil"/>
              <w:bottom w:val="nil"/>
              <w:right w:val="single" w:sz="4" w:space="0" w:color="FFFFFF"/>
            </w:tcBorders>
          </w:tcPr>
          <w:p>
            <w:pPr>
              <w:keepNext/>
              <w:pageBreakBefore w:val="0"/>
            </w:pPr>
          </w:p>
        </w:tc>
        <w:tc>
          <w:tcPr>
            <w:tcW w:w="900" w:type="dxa"/>
            <w:vMerge/>
            <w:tcBorders>
              <w:top w:val="nil"/>
              <w:left w:val="nil"/>
              <w:bottom w:val="nil"/>
              <w:right w:val="single" w:sz="4" w:space="0" w:color="FFFFFF"/>
            </w:tcBorders>
          </w:tcPr>
          <w:p>
            <w:pPr>
              <w:keepNext/>
              <w:pageBreakBefore w:val="0"/>
            </w:pPr>
          </w:p>
        </w:tc>
        <w:tc>
          <w:tcPr>
            <w:tcW w:w="900" w:type="dxa"/>
            <w:vMerge/>
            <w:tcBorders>
              <w:top w:val="nil"/>
              <w:left w:val="nil"/>
              <w:bottom w:val="nil"/>
              <w:right w:val="single" w:sz="4" w:space="0" w:color="FFFFFF"/>
            </w:tcBorders>
          </w:tcPr>
          <w:p>
            <w:pPr>
              <w:keepNext/>
              <w:pageBreakBefore w:val="0"/>
            </w:pPr>
          </w:p>
        </w:tc>
        <w:tc>
          <w:tcPr>
            <w:tcW w:w="900" w:type="dxa"/>
            <w:vMerge/>
            <w:tcBorders>
              <w:top w:val="nil"/>
              <w:left w:val="nil"/>
              <w:bottom w:val="nil"/>
              <w:right w:val="nil"/>
            </w:tcBorders>
          </w:tcPr>
          <w:p>
            <w:pPr>
              <w:keepNext/>
              <w:pageBreakBefore w:val="0"/>
            </w:pPr>
          </w:p>
        </w:tc>
        <w:tc>
          <w:tcPr>
            <w:tcW w:w="900" w:type="dxa"/>
            <w:vMerge/>
            <w:tcBorders>
              <w:top w:val="nil"/>
              <w:left w:val="single" w:sz="4" w:space="0" w:color="FFFFFF"/>
              <w:bottom w:val="nil"/>
              <w:right w:val="single" w:sz="2" w:space="0" w:color="000000"/>
            </w:tcBorders>
          </w:tcPr>
          <w:p>
            <w:pPr>
              <w:keepNext/>
              <w:pageBreakBefore w:val="0"/>
            </w:pPr>
          </w:p>
        </w:tc>
      </w:tr>
      <w:tr>
        <w:tblPrEx>
          <w:tblW w:w="12150" w:type="dxa"/>
          <w:tblInd w:w="1417" w:type="dxa"/>
          <w:tblLayout w:type="fixed"/>
        </w:tblPrEx>
        <w:trPr>
          <w:cantSplit/>
          <w:trHeight w:hRule="exact" w:val="120"/>
        </w:trPr>
        <w:tc>
          <w:tcPr>
            <w:tcW w:w="4950" w:type="dxa"/>
            <w:gridSpan w:val="3"/>
            <w:vMerge/>
            <w:tcBorders>
              <w:top w:val="nil"/>
              <w:left w:val="single" w:sz="2" w:space="0" w:color="000000"/>
              <w:bottom w:val="nil"/>
              <w:right w:val="single" w:sz="4" w:space="0" w:color="FFFFFF"/>
            </w:tcBorders>
          </w:tcPr>
          <w:p>
            <w:pPr>
              <w:keepNext/>
              <w:pageBreakBefore w:val="0"/>
            </w:pPr>
          </w:p>
        </w:tc>
        <w:tc>
          <w:tcPr>
            <w:tcW w:w="900" w:type="dxa"/>
            <w:vMerge/>
            <w:tcBorders>
              <w:top w:val="nil"/>
              <w:left w:val="nil"/>
              <w:bottom w:val="nil"/>
              <w:right w:val="single" w:sz="4" w:space="0" w:color="FFFFFF"/>
            </w:tcBorders>
          </w:tcPr>
          <w:p>
            <w:pPr>
              <w:keepNext/>
              <w:pageBreakBefore w:val="0"/>
            </w:pPr>
          </w:p>
        </w:tc>
        <w:tc>
          <w:tcPr>
            <w:tcW w:w="900" w:type="dxa"/>
            <w:vMerge/>
            <w:tcBorders>
              <w:top w:val="nil"/>
              <w:left w:val="nil"/>
              <w:bottom w:val="nil"/>
              <w:right w:val="single" w:sz="4" w:space="0" w:color="FFFFFF"/>
            </w:tcBorders>
          </w:tcPr>
          <w:p>
            <w:pPr>
              <w:keepNext/>
              <w:pageBreakBefore w:val="0"/>
            </w:pPr>
          </w:p>
        </w:tc>
        <w:tc>
          <w:tcPr>
            <w:tcW w:w="900" w:type="dxa"/>
            <w:vMerge/>
            <w:tcBorders>
              <w:top w:val="nil"/>
              <w:left w:val="nil"/>
              <w:bottom w:val="nil"/>
              <w:right w:val="single" w:sz="4" w:space="0" w:color="FFFFFF"/>
            </w:tcBorders>
          </w:tcPr>
          <w:p>
            <w:pPr>
              <w:keepNext/>
              <w:pageBreakBefore w:val="0"/>
            </w:pPr>
          </w:p>
        </w:tc>
        <w:tc>
          <w:tcPr>
            <w:tcW w:w="900" w:type="dxa"/>
            <w:vMerge/>
            <w:tcBorders>
              <w:top w:val="nil"/>
              <w:left w:val="nil"/>
              <w:bottom w:val="nil"/>
              <w:right w:val="single" w:sz="4" w:space="0" w:color="FFFFFF"/>
            </w:tcBorders>
          </w:tcPr>
          <w:p>
            <w:pPr>
              <w:keepNext/>
              <w:pageBreakBefore w:val="0"/>
            </w:pPr>
          </w:p>
        </w:tc>
        <w:tc>
          <w:tcPr>
            <w:tcW w:w="900" w:type="dxa"/>
            <w:vMerge/>
            <w:tcBorders>
              <w:top w:val="nil"/>
              <w:left w:val="nil"/>
              <w:bottom w:val="nil"/>
              <w:right w:val="single" w:sz="4" w:space="0" w:color="FFFFFF"/>
            </w:tcBorders>
          </w:tcPr>
          <w:p>
            <w:pPr>
              <w:keepNext/>
              <w:pageBreakBefore w:val="0"/>
            </w:pPr>
          </w:p>
        </w:tc>
        <w:tc>
          <w:tcPr>
            <w:tcW w:w="900" w:type="dxa"/>
            <w:vMerge/>
            <w:tcBorders>
              <w:top w:val="nil"/>
              <w:left w:val="nil"/>
              <w:bottom w:val="nil"/>
              <w:right w:val="single" w:sz="4" w:space="0" w:color="FFFFFF"/>
            </w:tcBorders>
          </w:tcPr>
          <w:p>
            <w:pPr>
              <w:keepNext/>
              <w:pageBreakBefore w:val="0"/>
            </w:pPr>
          </w:p>
        </w:tc>
        <w:tc>
          <w:tcPr>
            <w:tcW w:w="900" w:type="dxa"/>
            <w:vMerge/>
            <w:tcBorders>
              <w:top w:val="nil"/>
              <w:left w:val="nil"/>
              <w:bottom w:val="nil"/>
              <w:right w:val="nil"/>
            </w:tcBorders>
          </w:tcPr>
          <w:p>
            <w:pPr>
              <w:keepNext/>
              <w:pageBreakBefore w:val="0"/>
            </w:pPr>
          </w:p>
        </w:tc>
        <w:tc>
          <w:tcPr>
            <w:tcW w:w="900" w:type="dxa"/>
            <w:vMerge/>
            <w:tcBorders>
              <w:top w:val="nil"/>
              <w:left w:val="single" w:sz="4" w:space="0" w:color="FFFFFF"/>
              <w:bottom w:val="nil"/>
              <w:right w:val="single" w:sz="2" w:space="0" w:color="000000"/>
            </w:tcBorders>
          </w:tcPr>
          <w:p>
            <w:pPr>
              <w:keepNext/>
              <w:pageBreakBefore w:val="0"/>
            </w:pPr>
          </w:p>
        </w:tc>
      </w:tr>
      <w:tr>
        <w:tblPrEx>
          <w:tblW w:w="12150" w:type="dxa"/>
          <w:tblInd w:w="1417" w:type="dxa"/>
          <w:tblLayout w:type="fixed"/>
        </w:tblPrEx>
        <w:trPr>
          <w:cantSplit/>
          <w:trHeight w:hRule="exact" w:val="120"/>
        </w:trPr>
        <w:tc>
          <w:tcPr>
            <w:tcW w:w="4950" w:type="dxa"/>
            <w:gridSpan w:val="3"/>
            <w:vMerge/>
            <w:tcBorders>
              <w:top w:val="nil"/>
              <w:left w:val="single" w:sz="2" w:space="0" w:color="000000"/>
              <w:bottom w:val="nil"/>
              <w:right w:val="single" w:sz="4" w:space="0" w:color="FFFFFF"/>
            </w:tcBorders>
          </w:tcPr>
          <w:p>
            <w:pPr>
              <w:keepNext/>
              <w:pageBreakBefore w:val="0"/>
            </w:pPr>
          </w:p>
        </w:tc>
        <w:tc>
          <w:tcPr>
            <w:tcW w:w="900" w:type="dxa"/>
            <w:vMerge/>
            <w:tcBorders>
              <w:top w:val="nil"/>
              <w:left w:val="nil"/>
              <w:bottom w:val="nil"/>
              <w:right w:val="single" w:sz="4" w:space="0" w:color="FFFFFF"/>
            </w:tcBorders>
          </w:tcPr>
          <w:p>
            <w:pPr>
              <w:keepNext/>
              <w:pageBreakBefore w:val="0"/>
            </w:pPr>
          </w:p>
        </w:tc>
        <w:tc>
          <w:tcPr>
            <w:tcW w:w="900" w:type="dxa"/>
            <w:vMerge/>
            <w:tcBorders>
              <w:top w:val="nil"/>
              <w:left w:val="nil"/>
              <w:bottom w:val="nil"/>
              <w:right w:val="single" w:sz="4" w:space="0" w:color="FFFFFF"/>
            </w:tcBorders>
          </w:tcPr>
          <w:p>
            <w:pPr>
              <w:keepNext/>
              <w:pageBreakBefore w:val="0"/>
            </w:pPr>
          </w:p>
        </w:tc>
        <w:tc>
          <w:tcPr>
            <w:tcW w:w="900" w:type="dxa"/>
            <w:vMerge/>
            <w:tcBorders>
              <w:top w:val="nil"/>
              <w:left w:val="nil"/>
              <w:bottom w:val="nil"/>
              <w:right w:val="single" w:sz="4" w:space="0" w:color="FFFFFF"/>
            </w:tcBorders>
          </w:tcPr>
          <w:p>
            <w:pPr>
              <w:keepNext/>
              <w:pageBreakBefore w:val="0"/>
            </w:pPr>
          </w:p>
        </w:tc>
        <w:tc>
          <w:tcPr>
            <w:tcW w:w="900" w:type="dxa"/>
            <w:vMerge/>
            <w:tcBorders>
              <w:top w:val="nil"/>
              <w:left w:val="nil"/>
              <w:bottom w:val="nil"/>
              <w:right w:val="single" w:sz="4" w:space="0" w:color="FFFFFF"/>
            </w:tcBorders>
          </w:tcPr>
          <w:p>
            <w:pPr>
              <w:keepNext/>
              <w:pageBreakBefore w:val="0"/>
            </w:pPr>
          </w:p>
        </w:tc>
        <w:tc>
          <w:tcPr>
            <w:tcW w:w="900" w:type="dxa"/>
            <w:vMerge/>
            <w:tcBorders>
              <w:top w:val="nil"/>
              <w:left w:val="nil"/>
              <w:bottom w:val="nil"/>
              <w:right w:val="single" w:sz="4" w:space="0" w:color="FFFFFF"/>
            </w:tcBorders>
          </w:tcPr>
          <w:p>
            <w:pPr>
              <w:keepNext/>
              <w:pageBreakBefore w:val="0"/>
            </w:pPr>
          </w:p>
        </w:tc>
        <w:tc>
          <w:tcPr>
            <w:tcW w:w="900" w:type="dxa"/>
            <w:vMerge/>
            <w:tcBorders>
              <w:top w:val="nil"/>
              <w:left w:val="nil"/>
              <w:bottom w:val="nil"/>
              <w:right w:val="single" w:sz="4" w:space="0" w:color="FFFFFF"/>
            </w:tcBorders>
          </w:tcPr>
          <w:p>
            <w:pPr>
              <w:keepNext/>
              <w:pageBreakBefore w:val="0"/>
            </w:pPr>
          </w:p>
        </w:tc>
        <w:tc>
          <w:tcPr>
            <w:tcW w:w="900" w:type="dxa"/>
            <w:vMerge/>
            <w:tcBorders>
              <w:top w:val="nil"/>
              <w:left w:val="nil"/>
              <w:bottom w:val="nil"/>
              <w:right w:val="nil"/>
            </w:tcBorders>
          </w:tcPr>
          <w:p>
            <w:pPr>
              <w:keepNext/>
              <w:pageBreakBefore w:val="0"/>
            </w:pPr>
          </w:p>
        </w:tc>
        <w:tc>
          <w:tcPr>
            <w:tcW w:w="900" w:type="dxa"/>
            <w:vMerge/>
            <w:tcBorders>
              <w:top w:val="nil"/>
              <w:left w:val="single" w:sz="4" w:space="0" w:color="FFFFFF"/>
              <w:bottom w:val="nil"/>
              <w:right w:val="single" w:sz="2" w:space="0" w:color="000000"/>
            </w:tcBorders>
          </w:tcPr>
          <w:p>
            <w:pPr>
              <w:keepNext/>
              <w:pageBreakBefore w:val="0"/>
            </w:pPr>
          </w:p>
        </w:tc>
      </w:tr>
      <w:tr>
        <w:tblPrEx>
          <w:tblW w:w="12150" w:type="dxa"/>
          <w:tblInd w:w="1417" w:type="dxa"/>
          <w:tblLayout w:type="fixed"/>
        </w:tblPrEx>
        <w:trPr>
          <w:cantSplit/>
          <w:trHeight w:hRule="exact" w:val="120"/>
        </w:trPr>
        <w:tc>
          <w:tcPr>
            <w:tcW w:w="4950" w:type="dxa"/>
            <w:gridSpan w:val="3"/>
            <w:vMerge/>
            <w:tcBorders>
              <w:top w:val="nil"/>
              <w:left w:val="single" w:sz="2" w:space="0" w:color="000000"/>
              <w:bottom w:val="nil"/>
              <w:right w:val="single" w:sz="4" w:space="0" w:color="FFFFFF"/>
            </w:tcBorders>
          </w:tcPr>
          <w:p>
            <w:pPr>
              <w:keepNext/>
              <w:pageBreakBefore w:val="0"/>
            </w:pPr>
          </w:p>
        </w:tc>
        <w:tc>
          <w:tcPr>
            <w:tcW w:w="900" w:type="dxa"/>
            <w:vMerge/>
            <w:tcBorders>
              <w:top w:val="nil"/>
              <w:left w:val="nil"/>
              <w:bottom w:val="nil"/>
              <w:right w:val="single" w:sz="4" w:space="0" w:color="FFFFFF"/>
            </w:tcBorders>
          </w:tcPr>
          <w:p>
            <w:pPr>
              <w:keepNext/>
              <w:pageBreakBefore w:val="0"/>
            </w:pPr>
          </w:p>
        </w:tc>
        <w:tc>
          <w:tcPr>
            <w:tcW w:w="900" w:type="dxa"/>
            <w:vMerge/>
            <w:tcBorders>
              <w:top w:val="nil"/>
              <w:left w:val="nil"/>
              <w:bottom w:val="nil"/>
              <w:right w:val="single" w:sz="4" w:space="0" w:color="FFFFFF"/>
            </w:tcBorders>
          </w:tcPr>
          <w:p>
            <w:pPr>
              <w:keepNext/>
              <w:pageBreakBefore w:val="0"/>
            </w:pPr>
          </w:p>
        </w:tc>
        <w:tc>
          <w:tcPr>
            <w:tcW w:w="900" w:type="dxa"/>
            <w:vMerge/>
            <w:tcBorders>
              <w:top w:val="nil"/>
              <w:left w:val="nil"/>
              <w:bottom w:val="nil"/>
              <w:right w:val="single" w:sz="4" w:space="0" w:color="FFFFFF"/>
            </w:tcBorders>
          </w:tcPr>
          <w:p>
            <w:pPr>
              <w:keepNext/>
              <w:pageBreakBefore w:val="0"/>
            </w:pPr>
          </w:p>
        </w:tc>
        <w:tc>
          <w:tcPr>
            <w:tcW w:w="900" w:type="dxa"/>
            <w:vMerge/>
            <w:tcBorders>
              <w:top w:val="nil"/>
              <w:left w:val="nil"/>
              <w:bottom w:val="nil"/>
              <w:right w:val="single" w:sz="4" w:space="0" w:color="FFFFFF"/>
            </w:tcBorders>
          </w:tcPr>
          <w:p>
            <w:pPr>
              <w:keepNext/>
              <w:pageBreakBefore w:val="0"/>
            </w:pPr>
          </w:p>
        </w:tc>
        <w:tc>
          <w:tcPr>
            <w:tcW w:w="900" w:type="dxa"/>
            <w:vMerge/>
            <w:tcBorders>
              <w:top w:val="nil"/>
              <w:left w:val="nil"/>
              <w:bottom w:val="nil"/>
              <w:right w:val="single" w:sz="4" w:space="0" w:color="FFFFFF"/>
            </w:tcBorders>
          </w:tcPr>
          <w:p>
            <w:pPr>
              <w:keepNext/>
              <w:pageBreakBefore w:val="0"/>
            </w:pPr>
          </w:p>
        </w:tc>
        <w:tc>
          <w:tcPr>
            <w:tcW w:w="900" w:type="dxa"/>
            <w:vMerge/>
            <w:tcBorders>
              <w:top w:val="nil"/>
              <w:left w:val="nil"/>
              <w:bottom w:val="nil"/>
              <w:right w:val="single" w:sz="4" w:space="0" w:color="FFFFFF"/>
            </w:tcBorders>
          </w:tcPr>
          <w:p>
            <w:pPr>
              <w:keepNext/>
              <w:pageBreakBefore w:val="0"/>
            </w:pPr>
          </w:p>
        </w:tc>
        <w:tc>
          <w:tcPr>
            <w:tcW w:w="900" w:type="dxa"/>
            <w:vMerge/>
            <w:tcBorders>
              <w:top w:val="nil"/>
              <w:left w:val="nil"/>
              <w:bottom w:val="nil"/>
              <w:right w:val="nil"/>
            </w:tcBorders>
          </w:tcPr>
          <w:p>
            <w:pPr>
              <w:keepNext/>
              <w:pageBreakBefore w:val="0"/>
            </w:pPr>
          </w:p>
        </w:tc>
        <w:tc>
          <w:tcPr>
            <w:tcW w:w="900" w:type="dxa"/>
            <w:vMerge/>
            <w:tcBorders>
              <w:top w:val="nil"/>
              <w:left w:val="single" w:sz="4" w:space="0" w:color="FFFFFF"/>
              <w:bottom w:val="nil"/>
              <w:right w:val="single" w:sz="2" w:space="0" w:color="000000"/>
            </w:tcBorders>
          </w:tcPr>
          <w:p>
            <w:pPr>
              <w:keepNext/>
              <w:pageBreakBefore w:val="0"/>
            </w:pPr>
          </w:p>
        </w:tc>
      </w:tr>
      <w:tr>
        <w:tblPrEx>
          <w:tblW w:w="12150" w:type="dxa"/>
          <w:tblInd w:w="1417" w:type="dxa"/>
          <w:tblLayout w:type="fixed"/>
        </w:tblPrEx>
        <w:trPr>
          <w:cantSplit/>
          <w:trHeight w:hRule="exact" w:val="120"/>
        </w:trPr>
        <w:tc>
          <w:tcPr>
            <w:tcW w:w="4950" w:type="dxa"/>
            <w:gridSpan w:val="3"/>
            <w:vMerge/>
            <w:tcBorders>
              <w:top w:val="nil"/>
              <w:left w:val="single" w:sz="2" w:space="0" w:color="000000"/>
              <w:bottom w:val="nil"/>
              <w:right w:val="single" w:sz="4" w:space="0" w:color="FFFFFF"/>
            </w:tcBorders>
          </w:tcPr>
          <w:p>
            <w:pPr>
              <w:keepNext/>
              <w:pageBreakBefore w:val="0"/>
            </w:pPr>
          </w:p>
        </w:tc>
        <w:tc>
          <w:tcPr>
            <w:tcW w:w="900" w:type="dxa"/>
            <w:vMerge/>
            <w:tcBorders>
              <w:top w:val="nil"/>
              <w:left w:val="nil"/>
              <w:bottom w:val="nil"/>
              <w:right w:val="single" w:sz="4" w:space="0" w:color="FFFFFF"/>
            </w:tcBorders>
          </w:tcPr>
          <w:p>
            <w:pPr>
              <w:keepNext/>
              <w:pageBreakBefore w:val="0"/>
            </w:pPr>
          </w:p>
        </w:tc>
        <w:tc>
          <w:tcPr>
            <w:tcW w:w="900" w:type="dxa"/>
            <w:vMerge/>
            <w:tcBorders>
              <w:top w:val="nil"/>
              <w:left w:val="nil"/>
              <w:bottom w:val="nil"/>
              <w:right w:val="single" w:sz="4" w:space="0" w:color="FFFFFF"/>
            </w:tcBorders>
          </w:tcPr>
          <w:p>
            <w:pPr>
              <w:keepNext/>
              <w:pageBreakBefore w:val="0"/>
            </w:pPr>
          </w:p>
        </w:tc>
        <w:tc>
          <w:tcPr>
            <w:tcW w:w="900" w:type="dxa"/>
            <w:vMerge/>
            <w:tcBorders>
              <w:top w:val="nil"/>
              <w:left w:val="nil"/>
              <w:bottom w:val="nil"/>
              <w:right w:val="single" w:sz="4" w:space="0" w:color="FFFFFF"/>
            </w:tcBorders>
          </w:tcPr>
          <w:p>
            <w:pPr>
              <w:keepNext/>
              <w:pageBreakBefore w:val="0"/>
            </w:pPr>
          </w:p>
        </w:tc>
        <w:tc>
          <w:tcPr>
            <w:tcW w:w="900" w:type="dxa"/>
            <w:vMerge/>
            <w:tcBorders>
              <w:top w:val="nil"/>
              <w:left w:val="nil"/>
              <w:bottom w:val="nil"/>
              <w:right w:val="single" w:sz="4" w:space="0" w:color="FFFFFF"/>
            </w:tcBorders>
          </w:tcPr>
          <w:p>
            <w:pPr>
              <w:keepNext/>
              <w:pageBreakBefore w:val="0"/>
            </w:pPr>
          </w:p>
        </w:tc>
        <w:tc>
          <w:tcPr>
            <w:tcW w:w="900" w:type="dxa"/>
            <w:vMerge/>
            <w:tcBorders>
              <w:top w:val="nil"/>
              <w:left w:val="nil"/>
              <w:bottom w:val="nil"/>
              <w:right w:val="single" w:sz="4" w:space="0" w:color="FFFFFF"/>
            </w:tcBorders>
          </w:tcPr>
          <w:p>
            <w:pPr>
              <w:keepNext/>
              <w:pageBreakBefore w:val="0"/>
            </w:pPr>
          </w:p>
        </w:tc>
        <w:tc>
          <w:tcPr>
            <w:tcW w:w="900" w:type="dxa"/>
            <w:vMerge/>
            <w:tcBorders>
              <w:top w:val="nil"/>
              <w:left w:val="nil"/>
              <w:bottom w:val="nil"/>
              <w:right w:val="single" w:sz="4" w:space="0" w:color="FFFFFF"/>
            </w:tcBorders>
          </w:tcPr>
          <w:p>
            <w:pPr>
              <w:keepNext/>
              <w:pageBreakBefore w:val="0"/>
            </w:pPr>
          </w:p>
        </w:tc>
        <w:tc>
          <w:tcPr>
            <w:tcW w:w="900" w:type="dxa"/>
            <w:vMerge/>
            <w:tcBorders>
              <w:top w:val="nil"/>
              <w:left w:val="nil"/>
              <w:bottom w:val="nil"/>
              <w:right w:val="nil"/>
            </w:tcBorders>
          </w:tcPr>
          <w:p>
            <w:pPr>
              <w:keepNext/>
              <w:pageBreakBefore w:val="0"/>
            </w:pPr>
          </w:p>
        </w:tc>
        <w:tc>
          <w:tcPr>
            <w:tcW w:w="900" w:type="dxa"/>
            <w:vMerge/>
            <w:tcBorders>
              <w:top w:val="nil"/>
              <w:left w:val="single" w:sz="4" w:space="0" w:color="FFFFFF"/>
              <w:bottom w:val="nil"/>
              <w:right w:val="single" w:sz="2" w:space="0" w:color="000000"/>
            </w:tcBorders>
          </w:tcPr>
          <w:p>
            <w:pPr>
              <w:keepNext/>
              <w:pageBreakBefore w:val="0"/>
            </w:pPr>
          </w:p>
        </w:tc>
      </w:tr>
      <w:tr>
        <w:tblPrEx>
          <w:tblW w:w="12150" w:type="dxa"/>
          <w:tblInd w:w="1417" w:type="dxa"/>
          <w:tblLayout w:type="fixed"/>
        </w:tblPrEx>
        <w:trPr>
          <w:cantSplit/>
          <w:trHeight w:hRule="exact" w:val="180"/>
        </w:trPr>
        <w:tc>
          <w:tcPr>
            <w:tcW w:w="4950" w:type="dxa"/>
            <w:gridSpan w:val="3"/>
            <w:vMerge/>
            <w:tcBorders>
              <w:top w:val="nil"/>
              <w:left w:val="single" w:sz="2" w:space="0" w:color="000000"/>
              <w:bottom w:val="single" w:sz="2" w:space="0" w:color="000000"/>
              <w:right w:val="nil"/>
            </w:tcBorders>
          </w:tcPr>
          <w:p>
            <w:pPr>
              <w:keepNext/>
              <w:pageBreakBefore w:val="0"/>
            </w:pP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r>
      <w:tr>
        <w:tblPrEx>
          <w:tblW w:w="12150" w:type="dxa"/>
          <w:tblInd w:w="1417" w:type="dxa"/>
          <w:tblLayout w:type="fixed"/>
        </w:tblPrEx>
        <w:trPr>
          <w:cantSplit/>
          <w:trHeight w:hRule="exact" w:val="60"/>
        </w:trPr>
        <w:tc>
          <w:tcPr>
            <w:tcW w:w="24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306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6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2150" w:type="dxa"/>
          <w:tblInd w:w="1417" w:type="dxa"/>
          <w:tblLayout w:type="fixed"/>
        </w:tblPrEx>
        <w:trPr>
          <w:cantSplit/>
          <w:trHeight w:hRule="auto" w:val="0"/>
        </w:trPr>
        <w:tc>
          <w:tcPr>
            <w:tcW w:w="4950" w:type="dxa"/>
            <w:gridSpan w:val="3"/>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Saldo inicial al 1 de enero de 2025</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139.277.818</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37.560.648</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11.906.515</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640.025.032</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75.952</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8.207.662</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1.101.140</w:t>
            </w:r>
          </w:p>
        </w:tc>
        <w:tc>
          <w:tcPr>
            <w:tcW w:w="9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838.154.767</w:t>
            </w:r>
          </w:p>
        </w:tc>
      </w:tr>
      <w:tr>
        <w:tblPrEx>
          <w:tblW w:w="12150" w:type="dxa"/>
          <w:tblInd w:w="1417" w:type="dxa"/>
          <w:tblLayout w:type="fixed"/>
        </w:tblPrEx>
        <w:trPr>
          <w:cantSplit/>
          <w:trHeight w:hRule="exact" w:val="60"/>
        </w:trPr>
        <w:tc>
          <w:tcPr>
            <w:tcW w:w="24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306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6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2150" w:type="dxa"/>
          <w:tblInd w:w="1417" w:type="dxa"/>
          <w:tblLayout w:type="fixed"/>
        </w:tblPrEx>
        <w:trPr>
          <w:cantSplit/>
          <w:trHeight w:hRule="exact" w:val="225"/>
        </w:trPr>
        <w:tc>
          <w:tcPr>
            <w:tcW w:w="240" w:type="dxa"/>
            <w:vMerge w:val="restart"/>
            <w:tcBorders>
              <w:top w:val="nil"/>
              <w:left w:val="single" w:sz="2" w:space="0" w:color="000000"/>
              <w:bottom w:val="nil"/>
              <w:right w:val="single" w:sz="2" w:space="0" w:color="000000"/>
            </w:tcBorders>
            <w:tcMar>
              <w:top w:w="0" w:type="dxa"/>
              <w:left w:w="53" w:type="dxa"/>
              <w:bottom w:w="0" w:type="dxa"/>
              <w:right w:w="53" w:type="dxa"/>
            </w:tcMar>
            <w:textDirection w:val="btLr"/>
            <w:vAlign w:val="top"/>
          </w:tcPr>
          <w:p>
            <w:pPr>
              <w:keepNext/>
              <w:pageBreakBefore w:val="0"/>
              <w:spacing w:line="240" w:lineRule="auto"/>
              <w:ind w:left="0" w:right="0"/>
              <w:jc w:val="center"/>
            </w:pPr>
            <w:r>
              <w:rPr>
                <w:rFonts w:ascii="Calibri" w:eastAsia="Calibri" w:hAnsi="Calibri" w:cs="Calibri"/>
                <w:b/>
                <w:i w:val="0"/>
                <w:color w:val="000000"/>
                <w:sz w:val="12"/>
                <w:u w:val="none"/>
              </w:rPr>
              <w:t>Cambios</w:t>
            </w:r>
          </w:p>
        </w:tc>
        <w:tc>
          <w:tcPr>
            <w:tcW w:w="4710" w:type="dxa"/>
            <w:gridSpan w:val="2"/>
            <w:tcBorders>
              <w:top w:val="nil"/>
              <w:left w:val="nil"/>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Incrementos distintos de los procedentes de combinaciones de negocios.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69.239.894</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8.286</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1.575.445</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54.550</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885.307</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252.851</w:t>
            </w:r>
          </w:p>
        </w:tc>
        <w:tc>
          <w:tcPr>
            <w:tcW w:w="900" w:type="dxa"/>
            <w:tcBorders>
              <w:top w:val="single" w:sz="2" w:space="0" w:color="000000"/>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72.016.333</w:t>
            </w:r>
          </w:p>
        </w:tc>
      </w:tr>
      <w:tr>
        <w:tblPrEx>
          <w:tblW w:w="12150" w:type="dxa"/>
          <w:tblInd w:w="1417" w:type="dxa"/>
          <w:tblLayout w:type="fixed"/>
        </w:tblPrEx>
        <w:trPr>
          <w:cantSplit/>
          <w:trHeight w:hRule="auto" w:val="0"/>
        </w:trPr>
        <w:tc>
          <w:tcPr>
            <w:tcW w:w="240" w:type="dxa"/>
            <w:vMerge/>
            <w:tcBorders>
              <w:top w:val="nil"/>
              <w:left w:val="single" w:sz="2" w:space="0" w:color="000000"/>
              <w:bottom w:val="nil"/>
              <w:right w:val="nil"/>
            </w:tcBorders>
          </w:tcPr>
          <w:p>
            <w:pPr>
              <w:keepNext/>
              <w:pageBreakBefore w:val="0"/>
            </w:pPr>
          </w:p>
        </w:tc>
        <w:tc>
          <w:tcPr>
            <w:tcW w:w="4710" w:type="dxa"/>
            <w:gridSpan w:val="2"/>
            <w:tcBorders>
              <w:top w:val="nil"/>
              <w:left w:val="nil"/>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Disposiciones.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(1.034)</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(1.034)</w:t>
            </w:r>
          </w:p>
        </w:tc>
      </w:tr>
      <w:tr>
        <w:tblPrEx>
          <w:tblW w:w="12150" w:type="dxa"/>
          <w:tblInd w:w="1417" w:type="dxa"/>
          <w:tblLayout w:type="fixed"/>
        </w:tblPrEx>
        <w:trPr>
          <w:cantSplit/>
          <w:trHeight w:hRule="auto" w:val="0"/>
        </w:trPr>
        <w:tc>
          <w:tcPr>
            <w:tcW w:w="240" w:type="dxa"/>
            <w:vMerge/>
            <w:tcBorders>
              <w:top w:val="nil"/>
              <w:left w:val="single" w:sz="2" w:space="0" w:color="000000"/>
              <w:bottom w:val="nil"/>
              <w:right w:val="single" w:sz="2" w:space="0" w:color="000000"/>
            </w:tcBorders>
          </w:tcPr>
          <w:p>
            <w:pPr>
              <w:keepNext/>
              <w:pageBreakBefore w:val="0"/>
            </w:pPr>
          </w:p>
        </w:tc>
        <w:tc>
          <w:tcPr>
            <w:tcW w:w="4710" w:type="dxa"/>
            <w:gridSpan w:val="2"/>
            <w:tcBorders>
              <w:top w:val="nil"/>
              <w:left w:val="nil"/>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Incrementos (disminuciones) por transferencias desde (hacia) propiedades de inversión.</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(372.892)</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(890.495)</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(1.263.387)</w:t>
            </w:r>
          </w:p>
        </w:tc>
      </w:tr>
      <w:tr>
        <w:tblPrEx>
          <w:tblW w:w="12150" w:type="dxa"/>
          <w:tblInd w:w="1417" w:type="dxa"/>
          <w:tblLayout w:type="fixed"/>
        </w:tblPrEx>
        <w:trPr>
          <w:cantSplit/>
          <w:trHeight w:hRule="auto" w:val="0"/>
        </w:trPr>
        <w:tc>
          <w:tcPr>
            <w:tcW w:w="240" w:type="dxa"/>
            <w:vMerge/>
            <w:tcBorders>
              <w:top w:val="nil"/>
              <w:left w:val="single" w:sz="2" w:space="0" w:color="000000"/>
              <w:bottom w:val="nil"/>
              <w:right w:val="nil"/>
            </w:tcBorders>
          </w:tcPr>
          <w:p>
            <w:pPr>
              <w:keepNext/>
              <w:pageBreakBefore w:val="0"/>
            </w:pPr>
          </w:p>
        </w:tc>
        <w:tc>
          <w:tcPr>
            <w:tcW w:w="4710" w:type="dxa"/>
            <w:gridSpan w:val="2"/>
            <w:tcBorders>
              <w:top w:val="nil"/>
              <w:left w:val="nil"/>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Retiros.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(1.817.743)</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(19.333)</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(1.837.076)</w:t>
            </w:r>
          </w:p>
        </w:tc>
      </w:tr>
      <w:tr>
        <w:tblPrEx>
          <w:tblW w:w="12150" w:type="dxa"/>
          <w:tblInd w:w="1417" w:type="dxa"/>
          <w:tblLayout w:type="fixed"/>
        </w:tblPrEx>
        <w:trPr>
          <w:cantSplit/>
          <w:trHeight w:hRule="auto" w:val="0"/>
        </w:trPr>
        <w:tc>
          <w:tcPr>
            <w:tcW w:w="240" w:type="dxa"/>
            <w:vMerge/>
            <w:tcBorders>
              <w:top w:val="nil"/>
              <w:left w:val="single" w:sz="2" w:space="0" w:color="000000"/>
              <w:bottom w:val="nil"/>
              <w:right w:val="single" w:sz="2" w:space="0" w:color="000000"/>
            </w:tcBorders>
          </w:tcPr>
          <w:p>
            <w:pPr>
              <w:keepNext/>
              <w:pageBreakBefore w:val="0"/>
            </w:pPr>
          </w:p>
        </w:tc>
        <w:tc>
          <w:tcPr>
            <w:tcW w:w="4710" w:type="dxa"/>
            <w:gridSpan w:val="2"/>
            <w:tcBorders>
              <w:top w:val="nil"/>
              <w:left w:val="nil"/>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Depreciación.</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(443.874)</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(26.884.790)</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(30.928)</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(1.261.611)</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(264.483)</w:t>
            </w:r>
          </w:p>
        </w:tc>
        <w:tc>
          <w:tcPr>
            <w:tcW w:w="90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(28.885.686)</w:t>
            </w:r>
          </w:p>
        </w:tc>
      </w:tr>
      <w:tr>
        <w:tblPrEx>
          <w:tblW w:w="12150" w:type="dxa"/>
          <w:tblInd w:w="1417" w:type="dxa"/>
          <w:tblLayout w:type="fixed"/>
        </w:tblPrEx>
        <w:trPr>
          <w:cantSplit/>
          <w:trHeight w:hRule="auto" w:val="0"/>
        </w:trPr>
        <w:tc>
          <w:tcPr>
            <w:tcW w:w="240" w:type="dxa"/>
            <w:vMerge/>
            <w:tcBorders>
              <w:top w:val="nil"/>
              <w:left w:val="single" w:sz="2" w:space="0" w:color="000000"/>
              <w:bottom w:val="nil"/>
              <w:right w:val="nil"/>
            </w:tcBorders>
          </w:tcPr>
          <w:p>
            <w:pPr>
              <w:keepNext/>
              <w:pageBreakBefore w:val="0"/>
            </w:pPr>
          </w:p>
        </w:tc>
        <w:tc>
          <w:tcPr>
            <w:tcW w:w="4710" w:type="dxa"/>
            <w:gridSpan w:val="2"/>
            <w:tcBorders>
              <w:top w:val="nil"/>
              <w:left w:val="nil"/>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Incrementos (disminuciones) por transferencias desde construcciones en proceso, propiedades, planta y equipo.</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(78.377.423)</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74.795.238</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87.564</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3.298.967</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195.654</w:t>
            </w:r>
          </w:p>
        </w:tc>
        <w:tc>
          <w:tcPr>
            <w:tcW w:w="90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r>
      <w:tr>
        <w:tblPrEx>
          <w:tblW w:w="12150" w:type="dxa"/>
          <w:tblInd w:w="1417" w:type="dxa"/>
          <w:tblLayout w:type="fixed"/>
        </w:tblPrEx>
        <w:trPr>
          <w:cantSplit/>
          <w:trHeight w:hRule="auto" w:val="0"/>
        </w:trPr>
        <w:tc>
          <w:tcPr>
            <w:tcW w:w="240" w:type="dxa"/>
            <w:vMerge/>
            <w:tcBorders>
              <w:top w:val="nil"/>
              <w:left w:val="single" w:sz="2" w:space="0" w:color="000000"/>
              <w:bottom w:val="single" w:sz="2" w:space="0" w:color="000000"/>
              <w:right w:val="nil"/>
            </w:tcBorders>
          </w:tcPr>
          <w:p>
            <w:pPr>
              <w:keepNext/>
              <w:pageBreakBefore w:val="0"/>
            </w:pPr>
          </w:p>
        </w:tc>
        <w:tc>
          <w:tcPr>
            <w:tcW w:w="4710" w:type="dxa"/>
            <w:gridSpan w:val="2"/>
            <w:tcBorders>
              <w:top w:val="nil"/>
              <w:left w:val="nil"/>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Incrementos (disminuciones) por otros cambios.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8.113</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(8.113)</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4" w:space="0" w:color="FFFFFF"/>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r>
      <w:tr>
        <w:tblPrEx>
          <w:tblW w:w="12150" w:type="dxa"/>
          <w:tblInd w:w="1417" w:type="dxa"/>
          <w:tblLayout w:type="fixed"/>
        </w:tblPrEx>
        <w:trPr>
          <w:cantSplit/>
          <w:trHeight w:hRule="auto" w:val="0"/>
        </w:trPr>
        <w:tc>
          <w:tcPr>
            <w:tcW w:w="24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306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6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2150" w:type="dxa"/>
          <w:tblInd w:w="1417" w:type="dxa"/>
          <w:tblLayout w:type="fixed"/>
        </w:tblPrEx>
        <w:trPr>
          <w:cantSplit/>
          <w:trHeight w:hRule="auto" w:val="0"/>
        </w:trPr>
        <w:tc>
          <w:tcPr>
            <w:tcW w:w="4950" w:type="dxa"/>
            <w:gridSpan w:val="3"/>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Total cambios</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(9.129.416)</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(372.892)</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(1.326.083)</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47.660.037</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111.186</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2.902.296</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184.022</w:t>
            </w:r>
          </w:p>
        </w:tc>
        <w:tc>
          <w:tcPr>
            <w:tcW w:w="9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40.029.150</w:t>
            </w:r>
          </w:p>
        </w:tc>
      </w:tr>
      <w:tr>
        <w:tblPrEx>
          <w:tblW w:w="12150" w:type="dxa"/>
          <w:tblInd w:w="1417" w:type="dxa"/>
          <w:tblLayout w:type="fixed"/>
        </w:tblPrEx>
        <w:trPr>
          <w:cantSplit/>
          <w:trHeight w:hRule="exact" w:val="60"/>
        </w:trPr>
        <w:tc>
          <w:tcPr>
            <w:tcW w:w="24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306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6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2150" w:type="dxa"/>
          <w:tblInd w:w="1417" w:type="dxa"/>
          <w:tblLayout w:type="fixed"/>
        </w:tblPrEx>
        <w:trPr>
          <w:cantSplit/>
          <w:trHeight w:hRule="auto" w:val="0"/>
        </w:trPr>
        <w:tc>
          <w:tcPr>
            <w:tcW w:w="4950" w:type="dxa"/>
            <w:gridSpan w:val="3"/>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Saldo final al 31 de diciembre de 2025</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130.148.402</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37.187.756</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10.580.432</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687.685.069</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187.138</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11.109.958</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1.285.162</w:t>
            </w:r>
          </w:p>
        </w:tc>
        <w:tc>
          <w:tcPr>
            <w:tcW w:w="9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878.183.917</w:t>
            </w:r>
          </w:p>
        </w:tc>
      </w:tr>
    </w:tbl>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
          <w:u w:val="none"/>
        </w:rPr>
      </w:pP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
          <w:u w:val="none"/>
        </w:rPr>
        <w:sectPr>
          <w:headerReference w:type="default" r:id="rId40"/>
          <w:footerReference w:type="default" r:id="rId41"/>
          <w:type w:val="continuous"/>
          <w:pgSz w:w="15840" w:h="12240" w:orient="landscape"/>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161" w:name="Section84"/>
      <w:bookmarkEnd w:id="161"/>
      <w:bookmarkStart w:id="162" w:name="7892850cc5444b9bbd628bf49684efaa"/>
      <w:r>
        <w:rPr>
          <w:rFonts w:ascii="Calibri" w:eastAsia="Calibri" w:hAnsi="Calibri" w:cs="Calibri"/>
          <w:b/>
          <w:i w:val="0"/>
          <w:color w:val="000000"/>
          <w:sz w:val="20"/>
          <w:u w:val="none"/>
        </w:rPr>
        <w:t>17.4.-</w:t>
      </w:r>
      <w:r>
        <w:rPr>
          <w:rFonts w:ascii="Calibri" w:eastAsia="Calibri" w:hAnsi="Calibri" w:cs="Calibri"/>
          <w:b/>
          <w:i w:val="0"/>
          <w:color w:val="000000"/>
          <w:sz w:val="20"/>
          <w:u w:val="none"/>
        </w:rPr>
        <w:tab/>
      </w:r>
      <w:r>
        <w:rPr>
          <w:rFonts w:ascii="Calibri" w:eastAsia="Calibri" w:hAnsi="Calibri" w:cs="Calibri"/>
          <w:b/>
          <w:i w:val="0"/>
          <w:color w:val="000000"/>
          <w:sz w:val="20"/>
          <w:u w:val="none"/>
        </w:rPr>
        <w:t>Política de inversiones en propiedades, planta y equipo.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62"/>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CGE Transmisión S.A. y subsidiarias, han mantenido tradicionalmente una política de llevar a cabo todas las obras necesarias para satisfacer los incrementos de la demanda, conservar en buen estado las instalaciones y adaptar el sistema a los avances tecnológicos, con el objeto de cumplir cabalmente con las normas de calidad y continuidad de suministro establecidos por la regulación vigente tanto en el sector electricidad, como asimismo con los contratos comerciales suscritos con sus clientes. El monto de adiciones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alcanzó a M$ </w:t>
      </w:r>
      <w:r>
        <w:rPr>
          <w:rFonts w:ascii="Calibri" w:eastAsia="Calibri" w:hAnsi="Calibri" w:cs="Calibri"/>
          <w:b w:val="0"/>
          <w:i w:val="0"/>
          <w:color w:val="000000"/>
          <w:sz w:val="20"/>
          <w:u w:val="none"/>
        </w:rPr>
        <w:t>11.879.635</w:t>
      </w:r>
      <w:r>
        <w:rPr>
          <w:rFonts w:ascii="Calibri" w:eastAsia="Calibri" w:hAnsi="Calibri" w:cs="Calibri"/>
          <w:b w:val="0"/>
          <w:i w:val="0"/>
          <w:color w:val="000000"/>
          <w:sz w:val="20"/>
          <w:u w:val="none"/>
        </w:rPr>
        <w:t xml:space="preserve"> (M$ </w:t>
      </w:r>
      <w:r>
        <w:rPr>
          <w:rFonts w:ascii="Calibri" w:eastAsia="Calibri" w:hAnsi="Calibri" w:cs="Calibri"/>
          <w:b w:val="0"/>
          <w:i w:val="0"/>
          <w:color w:val="000000"/>
          <w:sz w:val="20"/>
          <w:u w:val="none"/>
        </w:rPr>
        <w:t>72.016.333</w:t>
      </w:r>
      <w:r>
        <w:rPr>
          <w:rFonts w:ascii="Calibri" w:eastAsia="Calibri" w:hAnsi="Calibri" w:cs="Calibri"/>
          <w:b w:val="0"/>
          <w:i w:val="0"/>
          <w:color w:val="000000"/>
          <w:sz w:val="20"/>
          <w:u w:val="none"/>
        </w:rPr>
        <w:t xml:space="preserve"> al</w:t>
      </w:r>
      <w:r>
        <w:rPr>
          <w:rFonts w:ascii="Calibri" w:eastAsia="Calibri" w:hAnsi="Calibri" w:cs="Calibri"/>
          <w:b w:val="0"/>
          <w:i w:val="0"/>
          <w:color w:val="000000"/>
          <w:sz w:val="20"/>
          <w:highlight w:val="white"/>
          <w:u w:val="none"/>
        </w:rPr>
        <w:t xml:space="preserve">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 xml:space="preserve">) y el valor contable de obras en curso alcanzó a un monto de M$ </w:t>
      </w:r>
      <w:r>
        <w:rPr>
          <w:rFonts w:ascii="Calibri" w:eastAsia="Calibri" w:hAnsi="Calibri" w:cs="Calibri"/>
          <w:b w:val="0"/>
          <w:i w:val="0"/>
          <w:color w:val="000000"/>
          <w:sz w:val="20"/>
          <w:u w:val="none"/>
        </w:rPr>
        <w:t>136.545.040</w:t>
      </w:r>
      <w:r>
        <w:rPr>
          <w:rFonts w:ascii="Calibri" w:eastAsia="Calibri" w:hAnsi="Calibri" w:cs="Calibri"/>
          <w:b w:val="0"/>
          <w:i w:val="0"/>
          <w:color w:val="000000"/>
          <w:sz w:val="20"/>
          <w:u w:val="none"/>
        </w:rPr>
        <w:t xml:space="preserve"> y M$ </w:t>
      </w:r>
      <w:r>
        <w:rPr>
          <w:rFonts w:ascii="Calibri" w:eastAsia="Calibri" w:hAnsi="Calibri" w:cs="Calibri"/>
          <w:b w:val="0"/>
          <w:i w:val="0"/>
          <w:color w:val="000000"/>
          <w:sz w:val="20"/>
          <w:u w:val="none"/>
        </w:rPr>
        <w:t>130.148.402</w:t>
      </w:r>
      <w:r>
        <w:rPr>
          <w:rFonts w:ascii="Calibri" w:eastAsia="Calibri" w:hAnsi="Calibri" w:cs="Calibri"/>
          <w:b w:val="0"/>
          <w:i w:val="0"/>
          <w:color w:val="000000"/>
          <w:sz w:val="20"/>
          <w:u w:val="none"/>
        </w:rPr>
        <w:t xml:space="preserve"> al </w:t>
      </w:r>
      <w:r>
        <w:rPr>
          <w:rFonts w:ascii="Calibri" w:eastAsia="Calibri" w:hAnsi="Calibri" w:cs="Calibri"/>
          <w:b w:val="0"/>
          <w:i w:val="0"/>
          <w:color w:val="000000"/>
          <w:sz w:val="20"/>
          <w:u w:val="none"/>
        </w:rPr>
        <w:t>30 de junio de 2026</w:t>
      </w:r>
      <w:r>
        <w:rPr>
          <w:rFonts w:ascii="Calibri" w:eastAsia="Calibri" w:hAnsi="Calibri" w:cs="Calibri"/>
          <w:b w:val="0"/>
          <w:i w:val="0"/>
          <w:sz w:val="20"/>
        </w:rPr>
        <w:t xml:space="preserve"> y al </w:t>
      </w:r>
      <w:r>
        <w:rPr>
          <w:rFonts w:ascii="Calibri" w:eastAsia="Calibri" w:hAnsi="Calibri" w:cs="Calibri"/>
          <w:b w:val="0"/>
          <w:i w:val="0"/>
          <w:color w:val="000000"/>
          <w:sz w:val="20"/>
          <w:u w:val="none"/>
        </w:rPr>
        <w:t>31 de diciembre de 2025</w:t>
      </w:r>
      <w:r>
        <w:rPr>
          <w:rFonts w:ascii="Calibri" w:eastAsia="Calibri" w:hAnsi="Calibri" w:cs="Calibri"/>
          <w:b w:val="0"/>
          <w:i w:val="0"/>
          <w:sz w:val="20"/>
        </w:rPr>
        <w:t>, respectivamente.</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40" w:lineRule="exact"/>
        <w:ind w:left="1410" w:right="0" w:firstLine="0"/>
        <w:jc w:val="both"/>
        <w:outlineLvl w:val="9"/>
        <w:rPr>
          <w:rFonts w:ascii="Calibri" w:eastAsia="Calibri" w:hAnsi="Calibri" w:cs="Calibri"/>
          <w:b w:val="0"/>
          <w:i w:val="0"/>
          <w:color w:val="000000"/>
          <w:sz w:val="20"/>
          <w:highlight w:val="yellow"/>
          <w:u w:val="none"/>
        </w:rPr>
      </w:pPr>
      <w:r>
        <w:rPr>
          <w:rFonts w:ascii="Calibri" w:eastAsia="Calibri" w:hAnsi="Calibri" w:cs="Calibri"/>
          <w:b w:val="0"/>
          <w:i w:val="0"/>
          <w:color w:val="000000"/>
          <w:sz w:val="20"/>
          <w:u w:val="none"/>
        </w:rPr>
        <w:t>En el ejercicio 2025 se han actualizado las vidas útiles y valor residual de los bienes de propiedades, planta y equipo de CGE Transmisión S.A., generando un menor gasto por depreciación en el ejercicio por M$ 1.295.430.</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0"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No existen restricciones en la titularidad de propiedades, planta y equipo de CGE Transmisión S.A. y subsidiarias.</w:t>
      </w:r>
    </w:p>
    <w:p>
      <w:pPr>
        <w:keepNext w:val="0"/>
        <w:keepLines/>
        <w:pageBreakBefore w:val="0"/>
        <w:widowControl w:val="0"/>
        <w:numPr>
          <w:ilvl w:val="0"/>
          <w:numId w:val="0"/>
        </w:numPr>
        <w:spacing w:before="0" w:after="0" w:line="288" w:lineRule="auto"/>
        <w:ind w:left="141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17.4.1.-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 xml:space="preserve">Informaciones adicionales a revelar sobre </w:t>
      </w:r>
      <w:r>
        <w:rPr>
          <w:rFonts w:ascii="Calibri" w:eastAsia="Calibri" w:hAnsi="Calibri" w:cs="Calibri"/>
          <w:b w:val="0"/>
          <w:i w:val="0"/>
          <w:sz w:val="20"/>
        </w:rPr>
        <w:t>propiedades</w:t>
      </w:r>
      <w:r>
        <w:rPr>
          <w:rFonts w:ascii="Calibri" w:eastAsia="Calibri" w:hAnsi="Calibri" w:cs="Calibri"/>
          <w:b w:val="0"/>
          <w:i w:val="0"/>
          <w:color w:val="000000"/>
          <w:sz w:val="20"/>
          <w:u w:val="none"/>
        </w:rPr>
        <w:t>, planta y equipo.</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p>
    <w:tbl>
      <w:tblPr>
        <w:tblW w:w="7845" w:type="dxa"/>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445"/>
        <w:gridCol w:w="1200"/>
        <w:gridCol w:w="1200"/>
      </w:tblGrid>
      <w:tr>
        <w:tblPrEx>
          <w:tblW w:w="7845" w:type="dxa"/>
          <w:tblInd w:w="2126" w:type="dxa"/>
          <w:tblLayout w:type="fixed"/>
        </w:tblPrEx>
        <w:trPr>
          <w:cantSplit/>
          <w:trHeight w:hRule="auto" w:val="0"/>
        </w:trPr>
        <w:tc>
          <w:tcPr>
            <w:tcW w:w="544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Informaciones adicionales a revelar sobre propiedades, planta y equipo</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31-12-2025</w:t>
            </w:r>
          </w:p>
        </w:tc>
      </w:tr>
      <w:tr>
        <w:tblPrEx>
          <w:tblW w:w="7845" w:type="dxa"/>
          <w:tblInd w:w="2126" w:type="dxa"/>
          <w:tblLayout w:type="fixed"/>
        </w:tblPrEx>
        <w:trPr>
          <w:cantSplit/>
          <w:trHeight w:hRule="auto" w:val="0"/>
        </w:trPr>
        <w:tc>
          <w:tcPr>
            <w:tcW w:w="5445"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Importe en libros de Propiedades, planta y equipo retiradas no mantenidas para la venta.</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130.993</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1.837.076</w:t>
            </w: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Importe de desembolsos sobre cuentas de propiedades, planta y equipo en proceso de construcción.</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11.797.451</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69.239.895</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sectPr>
          <w:headerReference w:type="default" r:id="rId42"/>
          <w:footerReference w:type="default" r:id="rId43"/>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163" w:name="Section85"/>
      <w:bookmarkEnd w:id="163"/>
      <w:bookmarkStart w:id="164" w:name="2625a7ae66e041afac9a4bd30ba2b2b9"/>
      <w:r>
        <w:rPr>
          <w:rFonts w:ascii="Calibri" w:eastAsia="Calibri" w:hAnsi="Calibri" w:cs="Calibri"/>
          <w:b/>
          <w:i w:val="0"/>
          <w:color w:val="000000"/>
          <w:sz w:val="20"/>
          <w:u w:val="none"/>
        </w:rPr>
        <w:t>17.5.-</w:t>
      </w:r>
      <w:r>
        <w:rPr>
          <w:rFonts w:ascii="Calibri" w:eastAsia="Calibri" w:hAnsi="Calibri" w:cs="Calibri"/>
          <w:b/>
          <w:i w:val="0"/>
          <w:color w:val="000000"/>
          <w:sz w:val="20"/>
          <w:u w:val="none"/>
        </w:rPr>
        <w:tab/>
      </w:r>
      <w:r>
        <w:rPr>
          <w:rFonts w:ascii="Calibri" w:eastAsia="Calibri" w:hAnsi="Calibri" w:cs="Calibri"/>
          <w:b/>
          <w:i w:val="0"/>
          <w:color w:val="000000"/>
          <w:sz w:val="20"/>
          <w:u w:val="none"/>
        </w:rPr>
        <w:t>Costo por intereses.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64"/>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Durante </w:t>
      </w:r>
      <w:r>
        <w:rPr>
          <w:rFonts w:ascii="Calibri" w:eastAsia="Calibri" w:hAnsi="Calibri" w:cs="Calibri"/>
          <w:b w:val="0"/>
          <w:i w:val="0"/>
          <w:sz w:val="20"/>
        </w:rPr>
        <w:t>el</w:t>
      </w:r>
      <w:r>
        <w:rPr>
          <w:rFonts w:ascii="Calibri" w:eastAsia="Calibri" w:hAnsi="Calibri" w:cs="Calibri"/>
          <w:b w:val="0"/>
          <w:i w:val="0"/>
          <w:color w:val="000000"/>
          <w:sz w:val="20"/>
          <w:u w:val="none"/>
        </w:rPr>
        <w:t xml:space="preserve"> periodo terminado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se han capitalizado intereses por</w:t>
      </w:r>
      <w:r>
        <w:rPr>
          <w:rFonts w:ascii="Calibri" w:eastAsia="Calibri" w:hAnsi="Calibri" w:cs="Calibri"/>
          <w:b w:val="0"/>
          <w:i w:val="0"/>
          <w:sz w:val="20"/>
        </w:rPr>
        <w:t xml:space="preserve"> </w:t>
      </w:r>
      <w:r>
        <w:rPr>
          <w:rFonts w:ascii="Calibri" w:eastAsia="Calibri" w:hAnsi="Calibri" w:cs="Calibri"/>
          <w:b w:val="0"/>
          <w:i w:val="0"/>
          <w:color w:val="000000"/>
          <w:sz w:val="20"/>
          <w:u w:val="none"/>
        </w:rPr>
        <w:t xml:space="preserve">M$ </w:t>
      </w:r>
      <w:r>
        <w:rPr>
          <w:rFonts w:ascii="Calibri" w:eastAsia="Calibri" w:hAnsi="Calibri" w:cs="Calibri"/>
          <w:b w:val="0"/>
          <w:i w:val="0"/>
          <w:color w:val="000000"/>
          <w:sz w:val="20"/>
          <w:u w:val="none"/>
        </w:rPr>
        <w:t>0</w:t>
      </w:r>
      <w:r>
        <w:rPr>
          <w:rFonts w:ascii="Calibri" w:eastAsia="Calibri" w:hAnsi="Calibri" w:cs="Calibri"/>
          <w:b w:val="0"/>
          <w:i w:val="0"/>
          <w:color w:val="000000"/>
          <w:sz w:val="20"/>
          <w:u w:val="none"/>
        </w:rPr>
        <w:t xml:space="preserve"> </w:t>
      </w:r>
      <w:r>
        <w:rPr>
          <w:rFonts w:ascii="Calibri" w:eastAsia="Calibri" w:hAnsi="Calibri" w:cs="Calibri"/>
          <w:b w:val="0"/>
          <w:i w:val="0"/>
          <w:sz w:val="20"/>
        </w:rPr>
        <w:t>a</w:t>
      </w:r>
      <w:r>
        <w:rPr>
          <w:rFonts w:ascii="Calibri" w:eastAsia="Calibri" w:hAnsi="Calibri" w:cs="Calibri"/>
          <w:b w:val="0"/>
          <w:i w:val="0"/>
          <w:color w:val="000000"/>
          <w:sz w:val="20"/>
          <w:u w:val="none"/>
        </w:rPr>
        <w:t xml:space="preserve"> una tasa de interés promedio ponderada de 5,16% y </w:t>
      </w:r>
      <w:r>
        <w:rPr>
          <w:rFonts w:ascii="Calibri" w:eastAsia="Calibri" w:hAnsi="Calibri" w:cs="Calibri"/>
          <w:b w:val="0"/>
          <w:i w:val="0"/>
          <w:color w:val="000000"/>
          <w:sz w:val="20"/>
          <w:highlight w:val="white"/>
          <w:u w:val="none"/>
        </w:rPr>
        <w:t xml:space="preserve">M$ 2.604.955 </w:t>
      </w:r>
      <w:r>
        <w:rPr>
          <w:rFonts w:ascii="Calibri" w:eastAsia="Calibri" w:hAnsi="Calibri" w:cs="Calibri"/>
          <w:b w:val="0"/>
          <w:i w:val="0"/>
          <w:color w:val="000000"/>
          <w:sz w:val="20"/>
          <w:u w:val="none"/>
        </w:rPr>
        <w:t xml:space="preserve">para el ejercicio terminado al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 a una tasa de interés promedio ponderada d</w:t>
      </w:r>
      <w:r>
        <w:rPr>
          <w:rFonts w:ascii="Calibri" w:eastAsia="Calibri" w:hAnsi="Calibri" w:cs="Calibri"/>
          <w:b w:val="0"/>
          <w:i w:val="0"/>
          <w:color w:val="000000"/>
          <w:sz w:val="20"/>
          <w:highlight w:val="white"/>
          <w:u w:val="none"/>
        </w:rPr>
        <w:t>e 5,50% s</w:t>
      </w:r>
      <w:r>
        <w:rPr>
          <w:rFonts w:ascii="Calibri" w:eastAsia="Calibri" w:hAnsi="Calibri" w:cs="Calibri"/>
          <w:b w:val="0"/>
          <w:i w:val="0"/>
          <w:color w:val="000000"/>
          <w:sz w:val="20"/>
          <w:u w:val="none"/>
        </w:rPr>
        <w:t>obre los activos calificados para este efecto.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left"/>
        <w:outlineLvl w:val="0"/>
        <w:rPr>
          <w:rFonts w:ascii="Cambria" w:eastAsia="Cambria" w:hAnsi="Cambria" w:cs="Cambria"/>
          <w:b/>
          <w:i w:val="0"/>
          <w:color w:val="365F91"/>
          <w:sz w:val="28"/>
          <w:highlight w:val="white"/>
          <w:u w:val="none"/>
        </w:rPr>
      </w:pPr>
      <w:bookmarkStart w:id="165" w:name="Section86"/>
      <w:bookmarkEnd w:id="165"/>
      <w:bookmarkStart w:id="166" w:name="93ef6d2629a1432f8e3444111c1eeaa4"/>
      <w:r>
        <w:rPr>
          <w:rFonts w:ascii="Calibri" w:eastAsia="Calibri" w:hAnsi="Calibri" w:cs="Calibri"/>
          <w:b/>
          <w:i w:val="0"/>
          <w:color w:val="000000"/>
          <w:sz w:val="20"/>
          <w:highlight w:val="white"/>
          <w:u w:val="none"/>
        </w:rPr>
        <w:t>18.-</w:t>
      </w:r>
      <w:r>
        <w:rPr>
          <w:rFonts w:ascii="Calibri" w:eastAsia="Calibri" w:hAnsi="Calibri" w:cs="Calibri"/>
          <w:b/>
          <w:i w:val="0"/>
          <w:color w:val="000000"/>
          <w:sz w:val="20"/>
          <w:highlight w:val="white"/>
          <w:u w:val="none"/>
        </w:rPr>
        <w:tab/>
      </w:r>
      <w:r>
        <w:rPr>
          <w:rFonts w:ascii="Calibri" w:eastAsia="Calibri" w:hAnsi="Calibri" w:cs="Calibri"/>
          <w:b/>
          <w:i w:val="0"/>
          <w:color w:val="000000"/>
          <w:sz w:val="20"/>
          <w:highlight w:val="white"/>
          <w:u w:val="none"/>
        </w:rPr>
        <w:t>DETERIORO DE ACTIVOS.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bookmarkEnd w:id="166"/>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1416" w:right="0" w:hanging="708"/>
        <w:jc w:val="both"/>
        <w:outlineLvl w:val="1"/>
        <w:rPr>
          <w:rFonts w:ascii="Times New Roman" w:eastAsia="Times New Roman" w:hAnsi="Times New Roman" w:cs="Times New Roman"/>
          <w:b/>
          <w:i w:val="0"/>
          <w:color w:val="000000"/>
          <w:sz w:val="24"/>
          <w:u w:val="none"/>
        </w:rPr>
      </w:pPr>
      <w:bookmarkStart w:id="167" w:name="Section87"/>
      <w:bookmarkEnd w:id="167"/>
      <w:bookmarkStart w:id="168" w:name="fc09e57e0ecf4893aa354c7f3a445615"/>
      <w:r>
        <w:rPr>
          <w:rFonts w:ascii="Calibri" w:eastAsia="Calibri" w:hAnsi="Calibri" w:cs="Calibri"/>
          <w:b/>
          <w:i w:val="0"/>
          <w:color w:val="000000"/>
          <w:sz w:val="20"/>
          <w:u w:val="none"/>
        </w:rPr>
        <w:t>18.1.-</w:t>
      </w:r>
      <w:r>
        <w:rPr>
          <w:rFonts w:ascii="Calibri" w:eastAsia="Calibri" w:hAnsi="Calibri" w:cs="Calibri"/>
          <w:b/>
          <w:i w:val="0"/>
          <w:color w:val="000000"/>
          <w:sz w:val="20"/>
          <w:u w:val="none"/>
        </w:rPr>
        <w:tab/>
      </w:r>
      <w:r>
        <w:rPr>
          <w:rFonts w:ascii="Calibri" w:eastAsia="Calibri" w:hAnsi="Calibri" w:cs="Calibri"/>
          <w:b/>
          <w:i w:val="0"/>
          <w:color w:val="000000"/>
          <w:sz w:val="20"/>
          <w:u w:val="none"/>
        </w:rPr>
        <w:t>Prueba de deterioro de propiedad, planta y equipos, plusvalía y otros activos intangibles de vida útil indefinida.</w:t>
      </w:r>
    </w:p>
    <w:p>
      <w:pPr>
        <w:keepNext w:val="0"/>
        <w:keepLines/>
        <w:pageBreakBefore w:val="0"/>
        <w:widowControl w:val="0"/>
        <w:numPr>
          <w:ilvl w:val="0"/>
          <w:numId w:val="0"/>
        </w:numPr>
        <w:spacing w:before="0" w:after="0" w:line="288" w:lineRule="auto"/>
        <w:ind w:left="0" w:right="0" w:firstLine="708"/>
        <w:jc w:val="both"/>
        <w:outlineLvl w:val="9"/>
        <w:rPr>
          <w:rFonts w:ascii="Calibri" w:eastAsia="Calibri" w:hAnsi="Calibri" w:cs="Calibri"/>
          <w:b w:val="0"/>
          <w:i w:val="0"/>
          <w:color w:val="000000"/>
          <w:sz w:val="20"/>
          <w:u w:val="none"/>
        </w:rPr>
      </w:pPr>
      <w:bookmarkEnd w:id="168"/>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CGE Transmisión S.A. evalúa anualmente o siempre y cuando existan indicadores, si la plusvalía generada y demás activos intangibles de vida útil indefinida han sufrido algún deterioro, de acuerdo con la política contable que se describe en la Nota 3.13.- Los montos recuperables de las unidades generadoras de efectivo han sido determinados sobre la base de cálculos de sus valores en uso. En el caso de las Unidades Generadoras de Efectivo a las que se han asignado plusvalías o activos intangibles con una vida útil indefinida, el análisis de su recuperabilidad se realiza de forma sistemática anualmente al cierre de cada ejercicio, a menos que existan indicios de deterioro que impliquen una revisión previa.</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 xml:space="preserve">El criterio utilizado para identificar las Unidades generadoras de efectivo se basa en las características específicas del negocio, en las normas y regulaciones operativas del mercado en que la Sociedad opera y en la organización corporativa, y como tal se han realizado dos ejercicios, </w:t>
      </w:r>
      <w:r>
        <w:rPr>
          <w:rFonts w:ascii="Calibri" w:eastAsia="Calibri" w:hAnsi="Calibri" w:cs="Calibri"/>
          <w:b w:val="0"/>
          <w:i w:val="0"/>
          <w:color w:val="000000"/>
          <w:sz w:val="20"/>
          <w:u w:val="none"/>
        </w:rPr>
        <w:t>considerando</w:t>
      </w:r>
      <w:r>
        <w:rPr>
          <w:rFonts w:ascii="Calibri" w:eastAsia="Calibri" w:hAnsi="Calibri" w:cs="Calibri"/>
          <w:b w:val="0"/>
          <w:i w:val="0"/>
          <w:sz w:val="20"/>
        </w:rPr>
        <w:t xml:space="preserve"> una única UGE para todo el negocio y adicionalmente solo para la UGE de servicios (Tusan).</w:t>
      </w:r>
      <w:r>
        <w:rPr>
          <w:rFonts w:ascii="Calibri" w:eastAsia="Calibri" w:hAnsi="Calibri" w:cs="Calibri"/>
          <w:b w:val="0"/>
          <w:i w:val="0"/>
          <w:sz w:val="20"/>
        </w:rPr>
        <w:tab/>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La estimación del valor en uso ha requerido que la administración realice las estimaciones de los flujos de efectivo futuros esperados, utilizando las proyecciones sectoriales, la experiencia del pasado y las expectativas futuras</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 xml:space="preserve">Para estimar el valor en uso, la Sociedad </w:t>
      </w:r>
      <w:r>
        <w:rPr>
          <w:rFonts w:ascii="Calibri" w:eastAsia="Calibri" w:hAnsi="Calibri" w:cs="Calibri"/>
          <w:b w:val="0"/>
          <w:i w:val="0"/>
          <w:color w:val="000000"/>
          <w:sz w:val="20"/>
          <w:u w:val="none"/>
        </w:rPr>
        <w:t>y</w:t>
      </w:r>
      <w:r>
        <w:rPr>
          <w:rFonts w:ascii="Calibri" w:eastAsia="Calibri" w:hAnsi="Calibri" w:cs="Calibri"/>
          <w:b w:val="0"/>
          <w:i w:val="0"/>
          <w:sz w:val="20"/>
        </w:rPr>
        <w:t xml:space="preserve"> subsidiarias preparan las proyecciones de flujos de caja futuros, éstos han sido proyectados hasta el </w:t>
      </w:r>
      <w:r>
        <w:rPr>
          <w:rFonts w:ascii="Calibri" w:eastAsia="Calibri" w:hAnsi="Calibri" w:cs="Calibri"/>
          <w:b w:val="0"/>
          <w:i w:val="0"/>
          <w:color w:val="000000"/>
          <w:sz w:val="20"/>
          <w:u w:val="none"/>
        </w:rPr>
        <w:t>año</w:t>
      </w:r>
      <w:r>
        <w:rPr>
          <w:rFonts w:ascii="Calibri" w:eastAsia="Calibri" w:hAnsi="Calibri" w:cs="Calibri"/>
          <w:b w:val="0"/>
          <w:i w:val="0"/>
          <w:sz w:val="20"/>
        </w:rPr>
        <w:t xml:space="preserve"> 2031</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Los principales parámetros e indicadores utilizados por CGE Transmisión S.A. para la determinación de valor en uso y la evaluación de un eventual deterioro son</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22"/>
        </w:numPr>
        <w:spacing w:before="0" w:after="0" w:line="240" w:lineRule="exact"/>
        <w:ind w:left="2126"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Margen de energía, IPC, CPI, TC (CLP/USD), estimación de nuevas obras puestas en servicio.</w:t>
      </w:r>
    </w:p>
    <w:p>
      <w:pPr>
        <w:pStyle w:val="Normal-wk"/>
        <w:keepNext w:val="0"/>
        <w:keepLines/>
        <w:pageBreakBefore w:val="0"/>
        <w:widowControl w:val="0"/>
        <w:numPr>
          <w:ilvl w:val="0"/>
          <w:numId w:val="23"/>
        </w:numPr>
        <w:spacing w:before="0" w:after="0" w:line="240" w:lineRule="exact"/>
        <w:ind w:left="2126"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Margen de servicios complementarios, se incrementan según número de clientes, IPC, </w:t>
      </w:r>
      <w:r>
        <w:rPr>
          <w:rFonts w:ascii="Calibri" w:eastAsia="Calibri" w:hAnsi="Calibri" w:cs="Calibri"/>
          <w:b w:val="0"/>
          <w:i w:val="0"/>
          <w:sz w:val="20"/>
        </w:rPr>
        <w:t>crecimiento de nuevos negocios.</w:t>
      </w:r>
    </w:p>
    <w:p>
      <w:pPr>
        <w:pStyle w:val="Normal-wk"/>
        <w:keepNext w:val="0"/>
        <w:keepLines/>
        <w:pageBreakBefore w:val="0"/>
        <w:widowControl w:val="0"/>
        <w:numPr>
          <w:ilvl w:val="0"/>
          <w:numId w:val="24"/>
        </w:numPr>
        <w:spacing w:before="0" w:after="0" w:line="240" w:lineRule="exact"/>
        <w:ind w:left="2132"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Gastos de personal, ajustes en dotación en base a necesidades de la compañía, ajustes salariales en línea con el IPC.</w:t>
      </w:r>
    </w:p>
    <w:p>
      <w:pPr>
        <w:pStyle w:val="Normal-wk"/>
        <w:keepNext w:val="0"/>
        <w:keepLines/>
        <w:pageBreakBefore w:val="0"/>
        <w:widowControl w:val="0"/>
        <w:numPr>
          <w:ilvl w:val="0"/>
          <w:numId w:val="25"/>
        </w:numPr>
        <w:spacing w:before="0" w:after="0" w:line="240" w:lineRule="exact"/>
        <w:ind w:left="2126"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Costo O&amp;M y Administración, los cuales se incrementan según número de clientes, IPC, variación de propiedades, planta y equipo.</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 xml:space="preserve">Para extender las estimaciones se utilizaron los supuestos macroeconómicos (IPC, CPI, USD/CLP) extraídos desde distintas fuentes, entre </w:t>
      </w:r>
      <w:r>
        <w:rPr>
          <w:rFonts w:ascii="Calibri" w:eastAsia="Calibri" w:hAnsi="Calibri" w:cs="Calibri"/>
          <w:b w:val="0"/>
          <w:i w:val="0"/>
          <w:color w:val="000000"/>
          <w:sz w:val="20"/>
          <w:u w:val="none"/>
        </w:rPr>
        <w:t>las</w:t>
      </w:r>
      <w:r>
        <w:rPr>
          <w:rFonts w:ascii="Calibri" w:eastAsia="Calibri" w:hAnsi="Calibri" w:cs="Calibri"/>
          <w:b w:val="0"/>
          <w:i w:val="0"/>
          <w:sz w:val="20"/>
        </w:rPr>
        <w:t xml:space="preserve"> que se incluyen Bloomberg, Risk America y estimaciones internas de la Sociedad en base a información histórica</w:t>
      </w:r>
      <w:r>
        <w:rPr>
          <w:rFonts w:ascii="Calibri" w:eastAsia="Calibri" w:hAnsi="Calibri" w:cs="Calibri"/>
          <w:b w:val="0"/>
          <w:i w:val="0"/>
          <w:color w:val="000000"/>
          <w:sz w:val="20"/>
          <w:u w:val="none"/>
        </w:rPr>
        <w:t xml:space="preserve">. </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 xml:space="preserve">Para el flujo terminal se utiliza una tasa de 3,0% </w:t>
      </w:r>
      <w:r>
        <w:rPr>
          <w:rFonts w:ascii="Calibri" w:eastAsia="Calibri" w:hAnsi="Calibri" w:cs="Calibri"/>
          <w:b w:val="0"/>
          <w:i w:val="0"/>
          <w:color w:val="000000"/>
          <w:sz w:val="20"/>
          <w:u w:val="none"/>
        </w:rPr>
        <w:t>que</w:t>
      </w:r>
      <w:r>
        <w:rPr>
          <w:rFonts w:ascii="Calibri" w:eastAsia="Calibri" w:hAnsi="Calibri" w:cs="Calibri"/>
          <w:b w:val="0"/>
          <w:i w:val="0"/>
          <w:sz w:val="20"/>
        </w:rPr>
        <w:t xml:space="preserve"> es la meta inflacionaria de largo plazo de Chile</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La</w:t>
      </w:r>
      <w:r>
        <w:rPr>
          <w:rFonts w:ascii="Calibri" w:eastAsia="Calibri" w:hAnsi="Calibri" w:cs="Calibri"/>
          <w:b w:val="0"/>
          <w:i w:val="0"/>
          <w:sz w:val="20"/>
        </w:rPr>
        <w:t xml:space="preserve"> tasa de descuento nominal después de impuesto aplicada al cierre de los estados financieros consolidados al 31 de diciembre de 2025 fue de un 6,41%.</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Como resultado de estas pruebas, CGE Transmisión S.A. determinó que no existen deterioros en el rubro propiedad, planta y equipos, activos intangibles de vida útil indefinida y plusvalía al 31 de diciembre de 2025</w:t>
      </w:r>
      <w:r>
        <w:rPr>
          <w:rFonts w:ascii="Calibri" w:eastAsia="Calibri" w:hAnsi="Calibri" w:cs="Calibri"/>
          <w:b w:val="0"/>
          <w:i w:val="0"/>
          <w:color w:val="000000"/>
          <w:sz w:val="20"/>
          <w:u w:val="none"/>
        </w:rPr>
        <w:t xml:space="preserve">. </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Adicionalmente se han realizado sensibilizaciones del efecto de la variación en la tasa de descuento al 31 de diciembre de 2025, específicamente aumentándola y disminuyéndola en un 1%, teniendo el siguiente efecto en el valor presente de los flujos futuros M$ (717.604.988) y M$ 1.314.349.174, respectivamente</w:t>
      </w:r>
      <w:r>
        <w:rPr>
          <w:rFonts w:ascii="Calibri" w:eastAsia="Calibri" w:hAnsi="Calibri" w:cs="Calibri"/>
          <w:b w:val="0"/>
          <w:i w:val="0"/>
          <w:color w:val="000000"/>
          <w:sz w:val="20"/>
          <w:u w:val="none"/>
        </w:rPr>
        <w:t xml:space="preserve">.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 xml:space="preserve">Para el caso de la UGE de servicios (Tusan), también se determinó que no existen deterioros en el rubro propiedad, planta y equipos y demás activos intangibles de vida útil indefinida al 31 de diciembre de 2025.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Adicionalmente se han realizado sensibilizaciones del efecto de la variación en la tasa de descuento al 31 de diciembre de 2025, específicamente aumentándola y disminuyéndola en un 1%, teniendo el siguiente efecto en el valor presente de los flujos futuros M$ (26.432.883) y M$ 44.761.680, respectivamente</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9"/>
        <w:jc w:val="both"/>
        <w:outlineLvl w:val="1"/>
        <w:rPr>
          <w:rFonts w:ascii="Times New Roman" w:eastAsia="Times New Roman" w:hAnsi="Times New Roman" w:cs="Times New Roman"/>
          <w:b/>
          <w:i w:val="0"/>
          <w:color w:val="000000"/>
          <w:sz w:val="24"/>
          <w:u w:val="none"/>
        </w:rPr>
      </w:pPr>
      <w:bookmarkStart w:id="169" w:name="Section88"/>
      <w:bookmarkEnd w:id="169"/>
      <w:bookmarkStart w:id="170" w:name="f472d109b8c641eab6c55545f5b24a5d"/>
      <w:r>
        <w:rPr>
          <w:rFonts w:ascii="Calibri" w:eastAsia="Calibri" w:hAnsi="Calibri" w:cs="Calibri"/>
          <w:b/>
          <w:i w:val="0"/>
          <w:color w:val="000000"/>
          <w:sz w:val="20"/>
          <w:u w:val="none"/>
        </w:rPr>
        <w:t>18.2.-</w:t>
      </w:r>
      <w:r>
        <w:rPr>
          <w:rFonts w:ascii="Calibri" w:eastAsia="Calibri" w:hAnsi="Calibri" w:cs="Calibri"/>
          <w:b/>
          <w:i w:val="0"/>
          <w:color w:val="000000"/>
          <w:sz w:val="20"/>
          <w:u w:val="none"/>
        </w:rPr>
        <w:tab/>
      </w:r>
      <w:r>
        <w:rPr>
          <w:rFonts w:ascii="Calibri" w:eastAsia="Calibri" w:hAnsi="Calibri" w:cs="Calibri"/>
          <w:b/>
          <w:i w:val="0"/>
          <w:color w:val="000000"/>
          <w:sz w:val="20"/>
          <w:u w:val="none"/>
        </w:rPr>
        <w:t>Pérdidas por deterioro del valor y reversión de las pérdidas por deterioro del valor.</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bookmarkEnd w:id="170"/>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Los montos reconocidos en resultados por pérdidas por deterioro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se detallan a continuación: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950"/>
        <w:gridCol w:w="900"/>
        <w:gridCol w:w="900"/>
        <w:gridCol w:w="900"/>
        <w:gridCol w:w="900"/>
      </w:tblGrid>
      <w:tr>
        <w:tblPrEx>
          <w:tblW w:w="8550" w:type="dxa"/>
          <w:tblInd w:w="1417" w:type="dxa"/>
          <w:tblLayout w:type="fixed"/>
        </w:tblPrEx>
        <w:trPr>
          <w:cantSplit/>
          <w:trHeight w:hRule="auto" w:val="0"/>
        </w:trPr>
        <w:tc>
          <w:tcPr>
            <w:tcW w:w="495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Pérdidas por deterioro del valor y reversión de las pérdidas por deterioro del valor</w:t>
            </w:r>
          </w:p>
        </w:tc>
        <w:tc>
          <w:tcPr>
            <w:tcW w:w="1800" w:type="dxa"/>
            <w:gridSpan w:val="2"/>
            <w:tcBorders>
              <w:top w:val="single" w:sz="2" w:space="0" w:color="000000"/>
              <w:left w:val="nil"/>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01-01-2026</w:t>
            </w:r>
          </w:p>
        </w:tc>
        <w:tc>
          <w:tcPr>
            <w:tcW w:w="1800" w:type="dxa"/>
            <w:gridSpan w:val="2"/>
            <w:tcBorders>
              <w:top w:val="single" w:sz="2" w:space="0" w:color="000000"/>
              <w:left w:val="nil"/>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01-04-2026</w:t>
            </w:r>
          </w:p>
        </w:tc>
      </w:tr>
      <w:tr>
        <w:tblPrEx>
          <w:tblW w:w="8550" w:type="dxa"/>
          <w:tblInd w:w="1417" w:type="dxa"/>
          <w:tblLayout w:type="fixed"/>
        </w:tblPrEx>
        <w:trPr>
          <w:cantSplit/>
          <w:trHeight w:hRule="auto" w:val="0"/>
        </w:trPr>
        <w:tc>
          <w:tcPr>
            <w:tcW w:w="4950" w:type="dxa"/>
            <w:vMerge/>
            <w:tcBorders>
              <w:top w:val="nil"/>
              <w:left w:val="single" w:sz="2" w:space="0" w:color="000000"/>
              <w:bottom w:val="nil"/>
              <w:right w:val="single" w:sz="4" w:space="0" w:color="FFFFFF"/>
            </w:tcBorders>
          </w:tcPr>
          <w:p>
            <w:pPr>
              <w:keepNext/>
              <w:pageBreakBefore w:val="0"/>
            </w:pPr>
          </w:p>
        </w:tc>
        <w:tc>
          <w:tcPr>
            <w:tcW w:w="1800" w:type="dxa"/>
            <w:gridSpan w:val="2"/>
            <w:tcBorders>
              <w:top w:val="nil"/>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30-06-2026</w:t>
            </w:r>
          </w:p>
        </w:tc>
        <w:tc>
          <w:tcPr>
            <w:tcW w:w="1800" w:type="dxa"/>
            <w:gridSpan w:val="2"/>
            <w:tcBorders>
              <w:top w:val="nil"/>
              <w:left w:val="nil"/>
              <w:bottom w:val="single" w:sz="8"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30-06-2026</w:t>
            </w:r>
          </w:p>
        </w:tc>
      </w:tr>
      <w:tr>
        <w:tblPrEx>
          <w:tblW w:w="8550" w:type="dxa"/>
          <w:tblInd w:w="1417" w:type="dxa"/>
          <w:tblLayout w:type="fixed"/>
        </w:tblPrEx>
        <w:trPr>
          <w:cantSplit/>
          <w:trHeight w:hRule="auto" w:val="0"/>
        </w:trPr>
        <w:tc>
          <w:tcPr>
            <w:tcW w:w="4950" w:type="dxa"/>
            <w:vMerge/>
            <w:tcBorders>
              <w:top w:val="nil"/>
              <w:left w:val="single" w:sz="2" w:space="0" w:color="000000"/>
              <w:bottom w:val="nil"/>
              <w:right w:val="nil"/>
            </w:tcBorders>
          </w:tcPr>
          <w:p>
            <w:pPr>
              <w:keepNext/>
              <w:pageBreakBefore w:val="0"/>
            </w:pPr>
          </w:p>
        </w:tc>
        <w:tc>
          <w:tcPr>
            <w:tcW w:w="9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 xml:space="preserve"> Activos financieros</w:t>
            </w:r>
          </w:p>
        </w:tc>
        <w:tc>
          <w:tcPr>
            <w:tcW w:w="9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Total</w:t>
            </w:r>
          </w:p>
        </w:tc>
        <w:tc>
          <w:tcPr>
            <w:tcW w:w="900" w:type="dxa"/>
            <w:tcBorders>
              <w:top w:val="nil"/>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 xml:space="preserve"> Activos financieros</w:t>
            </w:r>
          </w:p>
        </w:tc>
        <w:tc>
          <w:tcPr>
            <w:tcW w:w="900" w:type="dxa"/>
            <w:tcBorders>
              <w:top w:val="single" w:sz="8" w:space="0" w:color="FFFFFF"/>
              <w:left w:val="single" w:sz="8"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Total</w:t>
            </w:r>
          </w:p>
        </w:tc>
      </w:tr>
      <w:tr>
        <w:tblPrEx>
          <w:tblW w:w="8550" w:type="dxa"/>
          <w:tblInd w:w="1417" w:type="dxa"/>
          <w:tblLayout w:type="fixed"/>
        </w:tblPrEx>
        <w:trPr>
          <w:cantSplit/>
          <w:trHeight w:hRule="exact" w:val="285"/>
        </w:trPr>
        <w:tc>
          <w:tcPr>
            <w:tcW w:w="4950" w:type="dxa"/>
            <w:vMerge/>
            <w:tcBorders>
              <w:top w:val="nil"/>
              <w:left w:val="single" w:sz="2" w:space="0" w:color="000000"/>
              <w:bottom w:val="single" w:sz="2" w:space="0" w:color="000000"/>
              <w:right w:val="nil"/>
            </w:tcBorders>
          </w:tcPr>
          <w:p>
            <w:pPr>
              <w:keepNext/>
              <w:pageBreakBefore w:val="0"/>
            </w:pP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00" w:type="dxa"/>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00" w:type="dxa"/>
            <w:tcBorders>
              <w:top w:val="nil"/>
              <w:left w:val="single" w:sz="8"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r>
      <w:tr>
        <w:tblPrEx>
          <w:tblW w:w="8550" w:type="dxa"/>
          <w:tblInd w:w="1417" w:type="dxa"/>
          <w:tblLayout w:type="fixed"/>
        </w:tblPrEx>
        <w:trPr>
          <w:cantSplit/>
          <w:trHeight w:hRule="auto" w:val="0"/>
        </w:trPr>
        <w:tc>
          <w:tcPr>
            <w:tcW w:w="49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2"/>
                <w:u w:val="none"/>
              </w:rPr>
              <w:t>Pérdidas por deterioro de valor reconocidas en el resultado del periodo.</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540.287</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000000"/>
                <w:sz w:val="12"/>
                <w:u w:val="none"/>
              </w:rPr>
              <w:t>540.287</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640.633</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000000"/>
                <w:sz w:val="12"/>
                <w:u w:val="none"/>
              </w:rPr>
              <w:t>640.633</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950"/>
        <w:gridCol w:w="900"/>
        <w:gridCol w:w="900"/>
        <w:gridCol w:w="900"/>
        <w:gridCol w:w="900"/>
      </w:tblGrid>
      <w:tr>
        <w:tblPrEx>
          <w:tblW w:w="8550" w:type="dxa"/>
          <w:tblInd w:w="1417" w:type="dxa"/>
          <w:tblLayout w:type="fixed"/>
        </w:tblPrEx>
        <w:trPr>
          <w:cantSplit/>
          <w:trHeight w:hRule="auto" w:val="0"/>
        </w:trPr>
        <w:tc>
          <w:tcPr>
            <w:tcW w:w="495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Pérdidas por deterioro del valor y reversión de las pérdidas por deterioro del valor</w:t>
            </w:r>
          </w:p>
        </w:tc>
        <w:tc>
          <w:tcPr>
            <w:tcW w:w="1800" w:type="dxa"/>
            <w:gridSpan w:val="2"/>
            <w:tcBorders>
              <w:top w:val="single" w:sz="2" w:space="0" w:color="000000"/>
              <w:left w:val="nil"/>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01-01-2025</w:t>
            </w:r>
          </w:p>
        </w:tc>
        <w:tc>
          <w:tcPr>
            <w:tcW w:w="1800" w:type="dxa"/>
            <w:gridSpan w:val="2"/>
            <w:tcBorders>
              <w:top w:val="single" w:sz="2" w:space="0" w:color="000000"/>
              <w:left w:val="nil"/>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01-04-2025</w:t>
            </w:r>
          </w:p>
        </w:tc>
      </w:tr>
      <w:tr>
        <w:tblPrEx>
          <w:tblW w:w="8550" w:type="dxa"/>
          <w:tblInd w:w="1417" w:type="dxa"/>
          <w:tblLayout w:type="fixed"/>
        </w:tblPrEx>
        <w:trPr>
          <w:cantSplit/>
          <w:trHeight w:hRule="auto" w:val="0"/>
        </w:trPr>
        <w:tc>
          <w:tcPr>
            <w:tcW w:w="4950" w:type="dxa"/>
            <w:vMerge/>
            <w:tcBorders>
              <w:top w:val="nil"/>
              <w:left w:val="single" w:sz="2" w:space="0" w:color="000000"/>
              <w:bottom w:val="nil"/>
              <w:right w:val="single" w:sz="4" w:space="0" w:color="FFFFFF"/>
            </w:tcBorders>
          </w:tcPr>
          <w:p>
            <w:pPr>
              <w:keepNext/>
              <w:pageBreakBefore w:val="0"/>
            </w:pPr>
          </w:p>
        </w:tc>
        <w:tc>
          <w:tcPr>
            <w:tcW w:w="1800" w:type="dxa"/>
            <w:gridSpan w:val="2"/>
            <w:tcBorders>
              <w:top w:val="nil"/>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30-06-2025</w:t>
            </w:r>
          </w:p>
        </w:tc>
        <w:tc>
          <w:tcPr>
            <w:tcW w:w="1800" w:type="dxa"/>
            <w:gridSpan w:val="2"/>
            <w:tcBorders>
              <w:top w:val="nil"/>
              <w:left w:val="nil"/>
              <w:bottom w:val="single" w:sz="8"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30-06-2025</w:t>
            </w:r>
          </w:p>
        </w:tc>
      </w:tr>
      <w:tr>
        <w:tblPrEx>
          <w:tblW w:w="8550" w:type="dxa"/>
          <w:tblInd w:w="1417" w:type="dxa"/>
          <w:tblLayout w:type="fixed"/>
        </w:tblPrEx>
        <w:trPr>
          <w:cantSplit/>
          <w:trHeight w:hRule="auto" w:val="0"/>
        </w:trPr>
        <w:tc>
          <w:tcPr>
            <w:tcW w:w="4950" w:type="dxa"/>
            <w:vMerge/>
            <w:tcBorders>
              <w:top w:val="nil"/>
              <w:left w:val="single" w:sz="2" w:space="0" w:color="000000"/>
              <w:bottom w:val="nil"/>
              <w:right w:val="nil"/>
            </w:tcBorders>
          </w:tcPr>
          <w:p>
            <w:pPr>
              <w:keepNext/>
              <w:pageBreakBefore w:val="0"/>
            </w:pPr>
          </w:p>
        </w:tc>
        <w:tc>
          <w:tcPr>
            <w:tcW w:w="9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 xml:space="preserve"> Activos financieros</w:t>
            </w:r>
          </w:p>
        </w:tc>
        <w:tc>
          <w:tcPr>
            <w:tcW w:w="9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Total</w:t>
            </w:r>
          </w:p>
        </w:tc>
        <w:tc>
          <w:tcPr>
            <w:tcW w:w="900" w:type="dxa"/>
            <w:tcBorders>
              <w:top w:val="nil"/>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 xml:space="preserve"> Activos financieros</w:t>
            </w:r>
          </w:p>
        </w:tc>
        <w:tc>
          <w:tcPr>
            <w:tcW w:w="900" w:type="dxa"/>
            <w:tcBorders>
              <w:top w:val="single" w:sz="8" w:space="0" w:color="FFFFFF"/>
              <w:left w:val="single" w:sz="8"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Total</w:t>
            </w:r>
          </w:p>
        </w:tc>
      </w:tr>
      <w:tr>
        <w:tblPrEx>
          <w:tblW w:w="8550" w:type="dxa"/>
          <w:tblInd w:w="1417" w:type="dxa"/>
          <w:tblLayout w:type="fixed"/>
        </w:tblPrEx>
        <w:trPr>
          <w:cantSplit/>
          <w:trHeight w:hRule="auto" w:val="0"/>
        </w:trPr>
        <w:tc>
          <w:tcPr>
            <w:tcW w:w="4950" w:type="dxa"/>
            <w:vMerge/>
            <w:tcBorders>
              <w:top w:val="nil"/>
              <w:left w:val="single" w:sz="2" w:space="0" w:color="000000"/>
              <w:bottom w:val="single" w:sz="2" w:space="0" w:color="000000"/>
              <w:right w:val="nil"/>
            </w:tcBorders>
          </w:tcPr>
          <w:p>
            <w:pPr>
              <w:keepNext/>
              <w:pageBreakBefore w:val="0"/>
            </w:pP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00" w:type="dxa"/>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00" w:type="dxa"/>
            <w:tcBorders>
              <w:top w:val="nil"/>
              <w:left w:val="single" w:sz="8"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r>
      <w:tr>
        <w:tblPrEx>
          <w:tblW w:w="8550" w:type="dxa"/>
          <w:tblInd w:w="1417" w:type="dxa"/>
          <w:tblLayout w:type="fixed"/>
        </w:tblPrEx>
        <w:trPr>
          <w:cantSplit/>
          <w:trHeight w:hRule="auto" w:val="0"/>
        </w:trPr>
        <w:tc>
          <w:tcPr>
            <w:tcW w:w="49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2"/>
                <w:u w:val="none"/>
              </w:rPr>
              <w:t>Pérdidas por deterioro de valor reconocidas en el resultado del periodo</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(18.302)</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000000"/>
                <w:sz w:val="12"/>
                <w:u w:val="none"/>
              </w:rPr>
              <w:t>(18.302)</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68.193</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000000"/>
                <w:sz w:val="12"/>
                <w:u w:val="none"/>
              </w:rPr>
              <w:t>68.193</w:t>
            </w:r>
          </w:p>
        </w:tc>
      </w:tr>
    </w:tbl>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Las pérdidas por deterioro de activos financieros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corresponden al deterioro de cuentas por cobrar registrado en nota 8.5.</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40" w:lineRule="exact"/>
        <w:ind w:left="709" w:right="0" w:firstLine="709"/>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18.2.1-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Pérdidas por deterioro de valor reconocidas o revertidas por segmento.</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p>
    <w:tbl>
      <w:tblPr>
        <w:tblW w:w="7845" w:type="dxa"/>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075"/>
        <w:gridCol w:w="795"/>
        <w:gridCol w:w="795"/>
        <w:gridCol w:w="795"/>
        <w:gridCol w:w="795"/>
        <w:gridCol w:w="795"/>
        <w:gridCol w:w="795"/>
      </w:tblGrid>
      <w:tr>
        <w:tblPrEx>
          <w:tblW w:w="7845" w:type="dxa"/>
          <w:tblInd w:w="2126" w:type="dxa"/>
          <w:tblLayout w:type="fixed"/>
        </w:tblPrEx>
        <w:trPr>
          <w:cantSplit/>
          <w:trHeight w:hRule="auto" w:val="0"/>
        </w:trPr>
        <w:tc>
          <w:tcPr>
            <w:tcW w:w="3075"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Pérdidas por deterioro de valor reconocidas o revertidas por segmento</w:t>
            </w:r>
          </w:p>
        </w:tc>
        <w:tc>
          <w:tcPr>
            <w:tcW w:w="2385" w:type="dxa"/>
            <w:gridSpan w:val="3"/>
            <w:tcBorders>
              <w:top w:val="single" w:sz="2" w:space="0" w:color="000000"/>
              <w:left w:val="nil"/>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01-01-2026</w:t>
            </w:r>
          </w:p>
        </w:tc>
        <w:tc>
          <w:tcPr>
            <w:tcW w:w="2385" w:type="dxa"/>
            <w:gridSpan w:val="3"/>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01-04-2026</w:t>
            </w:r>
          </w:p>
        </w:tc>
      </w:tr>
      <w:tr>
        <w:tblPrEx>
          <w:tblW w:w="7845" w:type="dxa"/>
          <w:tblInd w:w="2126" w:type="dxa"/>
          <w:tblLayout w:type="fixed"/>
        </w:tblPrEx>
        <w:trPr>
          <w:cantSplit/>
          <w:trHeight w:hRule="auto" w:val="0"/>
        </w:trPr>
        <w:tc>
          <w:tcPr>
            <w:tcW w:w="3075" w:type="dxa"/>
            <w:vMerge/>
            <w:tcBorders>
              <w:top w:val="nil"/>
              <w:left w:val="single" w:sz="2" w:space="0" w:color="000000"/>
              <w:bottom w:val="nil"/>
              <w:right w:val="single" w:sz="4" w:space="0" w:color="FFFFFF"/>
            </w:tcBorders>
          </w:tcPr>
          <w:p>
            <w:pPr>
              <w:keepNext/>
              <w:pageBreakBefore w:val="0"/>
            </w:pPr>
          </w:p>
        </w:tc>
        <w:tc>
          <w:tcPr>
            <w:tcW w:w="2385" w:type="dxa"/>
            <w:gridSpan w:val="3"/>
            <w:tcBorders>
              <w:top w:val="nil"/>
              <w:left w:val="nil"/>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30-06-2026</w:t>
            </w:r>
          </w:p>
        </w:tc>
        <w:tc>
          <w:tcPr>
            <w:tcW w:w="2385" w:type="dxa"/>
            <w:gridSpan w:val="3"/>
            <w:tcBorders>
              <w:top w:val="nil"/>
              <w:left w:val="single" w:sz="4" w:space="0" w:color="FFFFFF"/>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30-06-2026</w:t>
            </w:r>
          </w:p>
        </w:tc>
      </w:tr>
      <w:tr>
        <w:tblPrEx>
          <w:tblW w:w="7845" w:type="dxa"/>
          <w:tblInd w:w="2126" w:type="dxa"/>
          <w:tblLayout w:type="fixed"/>
        </w:tblPrEx>
        <w:trPr>
          <w:cantSplit/>
          <w:trHeight w:hRule="auto" w:val="0"/>
        </w:trPr>
        <w:tc>
          <w:tcPr>
            <w:tcW w:w="3075" w:type="dxa"/>
            <w:vMerge/>
            <w:tcBorders>
              <w:top w:val="nil"/>
              <w:left w:val="single" w:sz="2" w:space="0" w:color="000000"/>
              <w:bottom w:val="nil"/>
              <w:right w:val="nil"/>
            </w:tcBorders>
          </w:tcPr>
          <w:p>
            <w:pPr>
              <w:keepNext/>
              <w:pageBreakBefore w:val="0"/>
            </w:pPr>
          </w:p>
        </w:tc>
        <w:tc>
          <w:tcPr>
            <w:tcW w:w="79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Eléctrico Chile</w:t>
            </w:r>
          </w:p>
        </w:tc>
        <w:tc>
          <w:tcPr>
            <w:tcW w:w="79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Servicios</w:t>
            </w:r>
          </w:p>
        </w:tc>
        <w:tc>
          <w:tcPr>
            <w:tcW w:w="79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Total</w:t>
            </w:r>
          </w:p>
        </w:tc>
        <w:tc>
          <w:tcPr>
            <w:tcW w:w="79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Eléctrico Chile</w:t>
            </w:r>
          </w:p>
        </w:tc>
        <w:tc>
          <w:tcPr>
            <w:tcW w:w="79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Servicios</w:t>
            </w:r>
          </w:p>
        </w:tc>
        <w:tc>
          <w:tcPr>
            <w:tcW w:w="795" w:type="dxa"/>
            <w:tcBorders>
              <w:top w:val="single" w:sz="4" w:space="0" w:color="FFFFFF"/>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Total</w:t>
            </w:r>
          </w:p>
        </w:tc>
      </w:tr>
      <w:tr>
        <w:tblPrEx>
          <w:tblW w:w="7845" w:type="dxa"/>
          <w:tblInd w:w="2126" w:type="dxa"/>
          <w:tblLayout w:type="fixed"/>
        </w:tblPrEx>
        <w:trPr>
          <w:cantSplit/>
          <w:trHeight w:hRule="auto" w:val="0"/>
        </w:trPr>
        <w:tc>
          <w:tcPr>
            <w:tcW w:w="3075" w:type="dxa"/>
            <w:vMerge/>
            <w:tcBorders>
              <w:top w:val="nil"/>
              <w:left w:val="single" w:sz="2" w:space="0" w:color="000000"/>
              <w:bottom w:val="single" w:sz="2" w:space="0" w:color="000000"/>
              <w:right w:val="nil"/>
            </w:tcBorders>
          </w:tcPr>
          <w:p>
            <w:pPr>
              <w:keepNext/>
              <w:pageBreakBefore w:val="0"/>
            </w:pP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9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r>
      <w:tr>
        <w:tblPrEx>
          <w:tblW w:w="7845" w:type="dxa"/>
          <w:tblInd w:w="2126" w:type="dxa"/>
          <w:tblLayout w:type="fixed"/>
        </w:tblPrEx>
        <w:trPr>
          <w:cantSplit/>
          <w:trHeight w:hRule="auto" w:val="0"/>
        </w:trPr>
        <w:tc>
          <w:tcPr>
            <w:tcW w:w="30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2"/>
                <w:u w:val="none"/>
              </w:rPr>
              <w:t>Pérdidas por deterioro de valor.</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540.506</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(219)</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540.287</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640.633</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640.633</w:t>
            </w:r>
          </w:p>
        </w:tc>
      </w:tr>
    </w:tbl>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p>
    <w:tbl>
      <w:tblPr>
        <w:tblW w:w="7845" w:type="dxa"/>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075"/>
        <w:gridCol w:w="795"/>
        <w:gridCol w:w="795"/>
        <w:gridCol w:w="795"/>
        <w:gridCol w:w="795"/>
        <w:gridCol w:w="795"/>
        <w:gridCol w:w="795"/>
      </w:tblGrid>
      <w:tr>
        <w:tblPrEx>
          <w:tblW w:w="7845" w:type="dxa"/>
          <w:tblInd w:w="2126" w:type="dxa"/>
          <w:tblLayout w:type="fixed"/>
        </w:tblPrEx>
        <w:trPr>
          <w:cantSplit/>
          <w:trHeight w:hRule="auto" w:val="0"/>
        </w:trPr>
        <w:tc>
          <w:tcPr>
            <w:tcW w:w="3075"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Pérdidas por deterioro de valor reconocidas o revertidas por segmento</w:t>
            </w:r>
          </w:p>
        </w:tc>
        <w:tc>
          <w:tcPr>
            <w:tcW w:w="2385" w:type="dxa"/>
            <w:gridSpan w:val="3"/>
            <w:tcBorders>
              <w:top w:val="single" w:sz="2" w:space="0" w:color="000000"/>
              <w:left w:val="nil"/>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01-01-2025</w:t>
            </w:r>
          </w:p>
        </w:tc>
        <w:tc>
          <w:tcPr>
            <w:tcW w:w="2385" w:type="dxa"/>
            <w:gridSpan w:val="3"/>
            <w:tcBorders>
              <w:top w:val="single" w:sz="2" w:space="0" w:color="000000"/>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01-04-2025</w:t>
            </w:r>
          </w:p>
        </w:tc>
      </w:tr>
      <w:tr>
        <w:tblPrEx>
          <w:tblW w:w="7845" w:type="dxa"/>
          <w:tblInd w:w="2126" w:type="dxa"/>
          <w:tblLayout w:type="fixed"/>
        </w:tblPrEx>
        <w:trPr>
          <w:cantSplit/>
          <w:trHeight w:hRule="auto" w:val="0"/>
        </w:trPr>
        <w:tc>
          <w:tcPr>
            <w:tcW w:w="3075" w:type="dxa"/>
            <w:vMerge/>
            <w:tcBorders>
              <w:top w:val="nil"/>
              <w:left w:val="single" w:sz="2" w:space="0" w:color="000000"/>
              <w:bottom w:val="nil"/>
              <w:right w:val="single" w:sz="4" w:space="0" w:color="FFFFFF"/>
            </w:tcBorders>
          </w:tcPr>
          <w:p>
            <w:pPr>
              <w:keepNext/>
              <w:pageBreakBefore w:val="0"/>
            </w:pPr>
          </w:p>
        </w:tc>
        <w:tc>
          <w:tcPr>
            <w:tcW w:w="2385" w:type="dxa"/>
            <w:gridSpan w:val="3"/>
            <w:tcBorders>
              <w:top w:val="nil"/>
              <w:left w:val="nil"/>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30-06-2025</w:t>
            </w:r>
          </w:p>
        </w:tc>
        <w:tc>
          <w:tcPr>
            <w:tcW w:w="2385" w:type="dxa"/>
            <w:gridSpan w:val="3"/>
            <w:tcBorders>
              <w:top w:val="nil"/>
              <w:left w:val="single" w:sz="4" w:space="0" w:color="FFFFFF"/>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30-06-2025</w:t>
            </w:r>
          </w:p>
        </w:tc>
      </w:tr>
      <w:tr>
        <w:tblPrEx>
          <w:tblW w:w="7845" w:type="dxa"/>
          <w:tblInd w:w="2126" w:type="dxa"/>
          <w:tblLayout w:type="fixed"/>
        </w:tblPrEx>
        <w:trPr>
          <w:cantSplit/>
          <w:trHeight w:hRule="auto" w:val="0"/>
        </w:trPr>
        <w:tc>
          <w:tcPr>
            <w:tcW w:w="3075" w:type="dxa"/>
            <w:vMerge/>
            <w:tcBorders>
              <w:top w:val="nil"/>
              <w:left w:val="single" w:sz="2" w:space="0" w:color="000000"/>
              <w:bottom w:val="nil"/>
              <w:right w:val="nil"/>
            </w:tcBorders>
          </w:tcPr>
          <w:p>
            <w:pPr>
              <w:keepNext/>
              <w:pageBreakBefore w:val="0"/>
            </w:pPr>
          </w:p>
        </w:tc>
        <w:tc>
          <w:tcPr>
            <w:tcW w:w="79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Eléctrico Chile</w:t>
            </w:r>
          </w:p>
        </w:tc>
        <w:tc>
          <w:tcPr>
            <w:tcW w:w="79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Servicios</w:t>
            </w:r>
          </w:p>
        </w:tc>
        <w:tc>
          <w:tcPr>
            <w:tcW w:w="79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Total</w:t>
            </w:r>
          </w:p>
        </w:tc>
        <w:tc>
          <w:tcPr>
            <w:tcW w:w="79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Eléctrico Chile</w:t>
            </w:r>
          </w:p>
        </w:tc>
        <w:tc>
          <w:tcPr>
            <w:tcW w:w="79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Servicios</w:t>
            </w:r>
          </w:p>
        </w:tc>
        <w:tc>
          <w:tcPr>
            <w:tcW w:w="79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Total</w:t>
            </w:r>
          </w:p>
        </w:tc>
      </w:tr>
      <w:tr>
        <w:tblPrEx>
          <w:tblW w:w="7845" w:type="dxa"/>
          <w:tblInd w:w="2126" w:type="dxa"/>
          <w:tblLayout w:type="fixed"/>
        </w:tblPrEx>
        <w:trPr>
          <w:cantSplit/>
          <w:trHeight w:hRule="auto" w:val="0"/>
        </w:trPr>
        <w:tc>
          <w:tcPr>
            <w:tcW w:w="3075" w:type="dxa"/>
            <w:vMerge/>
            <w:tcBorders>
              <w:top w:val="nil"/>
              <w:left w:val="single" w:sz="2" w:space="0" w:color="000000"/>
              <w:bottom w:val="single" w:sz="2" w:space="0" w:color="000000"/>
              <w:right w:val="nil"/>
            </w:tcBorders>
          </w:tcPr>
          <w:p>
            <w:pPr>
              <w:keepNext/>
              <w:pageBreakBefore w:val="0"/>
            </w:pP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9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r>
      <w:tr>
        <w:tblPrEx>
          <w:tblW w:w="7845" w:type="dxa"/>
          <w:tblInd w:w="2126" w:type="dxa"/>
          <w:tblLayout w:type="fixed"/>
        </w:tblPrEx>
        <w:trPr>
          <w:cantSplit/>
          <w:trHeight w:hRule="auto" w:val="0"/>
        </w:trPr>
        <w:tc>
          <w:tcPr>
            <w:tcW w:w="30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2"/>
                <w:u w:val="none"/>
              </w:rPr>
              <w:t>Pérdidas por deterioro de valor.</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(18.302)</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(18.302)</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66.436</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1.757</w:t>
            </w: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68.193</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left"/>
        <w:outlineLvl w:val="0"/>
        <w:rPr>
          <w:rFonts w:ascii="Cambria" w:eastAsia="Cambria" w:hAnsi="Cambria" w:cs="Cambria"/>
          <w:b/>
          <w:i w:val="0"/>
          <w:color w:val="365F91"/>
          <w:sz w:val="28"/>
          <w:u w:val="none"/>
        </w:rPr>
      </w:pPr>
      <w:bookmarkStart w:id="171" w:name="Section89"/>
      <w:bookmarkEnd w:id="171"/>
      <w:bookmarkStart w:id="172" w:name="c4fabd3d98ad44ce99aebf6104deeecc"/>
      <w:r>
        <w:rPr>
          <w:rFonts w:ascii="Calibri" w:eastAsia="Calibri" w:hAnsi="Calibri" w:cs="Calibri"/>
          <w:b/>
          <w:i w:val="0"/>
          <w:color w:val="000000"/>
          <w:sz w:val="20"/>
          <w:u w:val="none"/>
        </w:rPr>
        <w:t>19.-</w:t>
      </w:r>
      <w:r>
        <w:rPr>
          <w:rFonts w:ascii="Calibri" w:eastAsia="Calibri" w:hAnsi="Calibri" w:cs="Calibri"/>
          <w:b/>
          <w:i w:val="0"/>
          <w:color w:val="000000"/>
          <w:sz w:val="20"/>
          <w:u w:val="none"/>
        </w:rPr>
        <w:tab/>
      </w:r>
      <w:r>
        <w:rPr>
          <w:rFonts w:ascii="Calibri" w:eastAsia="Calibri" w:hAnsi="Calibri" w:cs="Calibri"/>
          <w:b/>
          <w:i w:val="0"/>
          <w:color w:val="000000"/>
          <w:sz w:val="20"/>
          <w:u w:val="none"/>
        </w:rPr>
        <w:t>IMPUESTOS DIFERIDOS.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bookmarkEnd w:id="172"/>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173" w:name="Section90"/>
      <w:bookmarkEnd w:id="173"/>
      <w:bookmarkStart w:id="174" w:name="c3667c9a48734b4d8183be0f8ac7c4ac"/>
      <w:r>
        <w:rPr>
          <w:rFonts w:ascii="Calibri" w:eastAsia="Calibri" w:hAnsi="Calibri" w:cs="Calibri"/>
          <w:b/>
          <w:i w:val="0"/>
          <w:color w:val="000000"/>
          <w:sz w:val="20"/>
          <w:u w:val="none"/>
        </w:rPr>
        <w:t>19.1.-</w:t>
      </w:r>
      <w:r>
        <w:rPr>
          <w:rFonts w:ascii="Calibri" w:eastAsia="Calibri" w:hAnsi="Calibri" w:cs="Calibri"/>
          <w:b/>
          <w:i w:val="0"/>
          <w:color w:val="000000"/>
          <w:sz w:val="20"/>
          <w:u w:val="none"/>
        </w:rPr>
        <w:tab/>
      </w:r>
      <w:r>
        <w:rPr>
          <w:rFonts w:ascii="Calibri" w:eastAsia="Calibri" w:hAnsi="Calibri" w:cs="Calibri"/>
          <w:b/>
          <w:i w:val="0"/>
          <w:color w:val="000000"/>
          <w:sz w:val="20"/>
          <w:u w:val="none"/>
        </w:rPr>
        <w:t>Activos por impuestos diferidos.</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174"/>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150"/>
        <w:gridCol w:w="1200"/>
        <w:gridCol w:w="1200"/>
      </w:tblGrid>
      <w:tr>
        <w:tblPrEx>
          <w:tblW w:w="8550" w:type="dxa"/>
          <w:tblInd w:w="1417" w:type="dxa"/>
          <w:tblLayout w:type="fixed"/>
        </w:tblPrEx>
        <w:trPr>
          <w:cantSplit/>
          <w:trHeight w:hRule="auto" w:val="0"/>
        </w:trPr>
        <w:tc>
          <w:tcPr>
            <w:tcW w:w="615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Activos por impuestos diferidos</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8550" w:type="dxa"/>
          <w:tblInd w:w="1417" w:type="dxa"/>
          <w:tblLayout w:type="fixed"/>
        </w:tblPrEx>
        <w:trPr>
          <w:cantSplit/>
          <w:trHeight w:hRule="auto" w:val="0"/>
        </w:trPr>
        <w:tc>
          <w:tcPr>
            <w:tcW w:w="615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Relativos a propiedades, planta y equipo.</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475.643</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Relativos a intangibles.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29.157.438</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Relativos a ingresos anticipados.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183.713</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Relativos a provisiones.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12.688</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Relativos a obligaciones por beneficios a los empleados.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859.477</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Relativos a cuentas por cobrar.</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275.706</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Relativos a los inventarios.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15.329</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Relativos a contratos de leasing.</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192.012</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31.172.006</w:t>
            </w:r>
          </w:p>
        </w:tc>
      </w:tr>
    </w:tbl>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recuperación de los saldos de activos por impuestos diferidos, requieren de la obtención de utilidades tributarias suficientes en el futuro. CGE Transmisión S.A. estima con proyecciones futuras de utilidades que estas cubrirán el recupero de estos activos. </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2-wk"/>
        <w:keepNext w:val="0"/>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175" w:name="Section91"/>
      <w:bookmarkEnd w:id="175"/>
      <w:bookmarkStart w:id="176" w:name="bf17bf4124124cdbbbbcb6b80f8bb173"/>
      <w:r>
        <w:rPr>
          <w:rFonts w:ascii="Calibri" w:eastAsia="Calibri" w:hAnsi="Calibri" w:cs="Calibri"/>
          <w:b/>
          <w:i w:val="0"/>
          <w:color w:val="000000"/>
          <w:sz w:val="20"/>
          <w:u w:val="none"/>
        </w:rPr>
        <w:t>19.2.-</w:t>
      </w:r>
      <w:r>
        <w:rPr>
          <w:rFonts w:ascii="Calibri" w:eastAsia="Calibri" w:hAnsi="Calibri" w:cs="Calibri"/>
          <w:b/>
          <w:i w:val="0"/>
          <w:color w:val="000000"/>
          <w:sz w:val="20"/>
          <w:u w:val="none"/>
        </w:rPr>
        <w:tab/>
      </w:r>
      <w:r>
        <w:rPr>
          <w:rFonts w:ascii="Calibri" w:eastAsia="Calibri" w:hAnsi="Calibri" w:cs="Calibri"/>
          <w:b/>
          <w:i w:val="0"/>
          <w:color w:val="000000"/>
          <w:sz w:val="20"/>
          <w:u w:val="none"/>
        </w:rPr>
        <w:t>Pasivos por impuestos diferidos.</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176"/>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150"/>
        <w:gridCol w:w="1200"/>
        <w:gridCol w:w="1200"/>
      </w:tblGrid>
      <w:tr>
        <w:tblPrEx>
          <w:tblW w:w="8550" w:type="dxa"/>
          <w:tblInd w:w="1417" w:type="dxa"/>
          <w:tblLayout w:type="fixed"/>
        </w:tblPrEx>
        <w:trPr>
          <w:cantSplit/>
          <w:trHeight w:hRule="auto" w:val="0"/>
        </w:trPr>
        <w:tc>
          <w:tcPr>
            <w:tcW w:w="615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Pasivos por impuestos diferidos</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8550" w:type="dxa"/>
          <w:tblInd w:w="1417" w:type="dxa"/>
          <w:tblLayout w:type="fixed"/>
        </w:tblPrEx>
        <w:trPr>
          <w:cantSplit/>
          <w:trHeight w:hRule="auto" w:val="0"/>
        </w:trPr>
        <w:tc>
          <w:tcPr>
            <w:tcW w:w="615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Relativos a propiedades, planta y equipo.</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53.586.600</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Relativos a intangibles.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49.054.690</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Relativos a los inventarios.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310.952</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Relativos a otros.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173.877</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Relativos a propiedades de inversión.</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1.776.520</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104.902.639</w:t>
            </w:r>
          </w:p>
        </w:tc>
      </w:tr>
    </w:tbl>
    <w:p>
      <w:pPr>
        <w:keepNext w:val="0"/>
        <w:keepLines/>
        <w:pageBreakBefore w:val="0"/>
        <w:widowControl w:val="0"/>
        <w:numPr>
          <w:ilvl w:val="0"/>
          <w:numId w:val="0"/>
        </w:numPr>
        <w:spacing w:before="0" w:after="0" w:line="288" w:lineRule="auto"/>
        <w:ind w:left="0" w:right="0" w:firstLine="1418"/>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1418"/>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177" w:name="Section92"/>
      <w:bookmarkEnd w:id="177"/>
      <w:bookmarkStart w:id="178" w:name="25a5795ab09e47a49e701dbe6ba70b3f"/>
      <w:r>
        <w:rPr>
          <w:rFonts w:ascii="Calibri" w:eastAsia="Calibri" w:hAnsi="Calibri" w:cs="Calibri"/>
          <w:b/>
          <w:i w:val="0"/>
          <w:color w:val="000000"/>
          <w:sz w:val="20"/>
          <w:u w:val="none"/>
        </w:rPr>
        <w:t>19.3.-</w:t>
      </w:r>
      <w:r>
        <w:rPr>
          <w:rFonts w:ascii="Calibri" w:eastAsia="Calibri" w:hAnsi="Calibri" w:cs="Calibri"/>
          <w:b/>
          <w:i w:val="0"/>
          <w:color w:val="000000"/>
          <w:sz w:val="20"/>
          <w:u w:val="none"/>
        </w:rPr>
        <w:tab/>
      </w:r>
      <w:r>
        <w:rPr>
          <w:rFonts w:ascii="Calibri" w:eastAsia="Calibri" w:hAnsi="Calibri" w:cs="Calibri"/>
          <w:b/>
          <w:i w:val="0"/>
          <w:color w:val="000000"/>
          <w:sz w:val="20"/>
          <w:u w:val="none"/>
        </w:rPr>
        <w:t>Movimientos de impuesto diferido del estado de situación financiera.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78"/>
    </w:p>
    <w:p>
      <w:pPr>
        <w:pStyle w:val="Normal-wk"/>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siguiente es el movimiento de los activos por impuestos diferidos al </w:t>
      </w:r>
      <w:r>
        <w:rPr>
          <w:rFonts w:ascii="Calibri" w:eastAsia="Calibri" w:hAnsi="Calibri" w:cs="Calibri"/>
          <w:b w:val="0"/>
          <w:i w:val="0"/>
          <w:color w:val="000000"/>
          <w:sz w:val="20"/>
          <w:u w:val="none"/>
        </w:rPr>
        <w:t>30 de junio de 2026</w:t>
      </w:r>
      <w:r>
        <w:rPr>
          <w:rFonts w:ascii="Calibri" w:eastAsia="Calibri" w:hAnsi="Calibri" w:cs="Calibri"/>
          <w:b w:val="0"/>
          <w:i w:val="0"/>
          <w:sz w:val="20"/>
        </w:rPr>
        <w:t xml:space="preserve"> y</w:t>
      </w:r>
      <w:r>
        <w:rPr>
          <w:rFonts w:ascii="Calibri" w:eastAsia="Calibri" w:hAnsi="Calibri" w:cs="Calibri"/>
          <w:b w:val="0"/>
          <w:i w:val="0"/>
          <w:color w:val="000000"/>
          <w:sz w:val="20"/>
          <w:u w:val="none"/>
        </w:rPr>
        <w:t xml:space="preserve">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150"/>
        <w:gridCol w:w="1200"/>
        <w:gridCol w:w="1200"/>
      </w:tblGrid>
      <w:tr>
        <w:tblPrEx>
          <w:tblW w:w="8550" w:type="dxa"/>
          <w:tblInd w:w="1417" w:type="dxa"/>
          <w:tblLayout w:type="fixed"/>
        </w:tblPrEx>
        <w:trPr>
          <w:cantSplit/>
          <w:trHeight w:hRule="auto" w:val="0"/>
        </w:trPr>
        <w:tc>
          <w:tcPr>
            <w:tcW w:w="615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Movimientos en activos por impuestos diferidos</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8550" w:type="dxa"/>
          <w:tblInd w:w="1417" w:type="dxa"/>
          <w:tblLayout w:type="fixed"/>
        </w:tblPrEx>
        <w:trPr>
          <w:cantSplit/>
          <w:trHeight w:hRule="auto" w:val="0"/>
        </w:trPr>
        <w:tc>
          <w:tcPr>
            <w:tcW w:w="615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exact" w:val="60"/>
        </w:trPr>
        <w:tc>
          <w:tcPr>
            <w:tcW w:w="61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Saldo inicial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31.172.006</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30.969.022</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(Gasto) ingreso por impuestos diferidos reconocidos como resultados.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(84.434)</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288.631</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Impuesto a las ganancias relacionado con componentes de otro resultado integral.</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31.564</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(85.647)</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Cambios en activos por impuestos diferidos, 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(52.870)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202.984</w:t>
            </w:r>
          </w:p>
        </w:tc>
      </w:tr>
      <w:tr>
        <w:tblPrEx>
          <w:tblW w:w="8550" w:type="dxa"/>
          <w:tblInd w:w="1417" w:type="dxa"/>
          <w:tblLayout w:type="fixed"/>
        </w:tblPrEx>
        <w:trPr>
          <w:cantSplit/>
          <w:trHeight w:hRule="auto" w:val="0"/>
        </w:trPr>
        <w:tc>
          <w:tcPr>
            <w:tcW w:w="61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31.119.136</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31.172.006</w:t>
            </w:r>
          </w:p>
        </w:tc>
      </w:tr>
    </w:tbl>
    <w:p>
      <w:pPr>
        <w:keepNext w:val="0"/>
        <w:keepLines/>
        <w:pageBreakBefore w:val="0"/>
        <w:widowControl w:val="0"/>
        <w:numPr>
          <w:ilvl w:val="0"/>
          <w:numId w:val="0"/>
        </w:numPr>
        <w:spacing w:before="0" w:after="0" w:line="288" w:lineRule="auto"/>
        <w:ind w:left="1418" w:right="48"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siguiente es el movimiento de los pasivos por impuestos diferidos al </w:t>
      </w:r>
      <w:r>
        <w:rPr>
          <w:rFonts w:ascii="Calibri" w:eastAsia="Calibri" w:hAnsi="Calibri" w:cs="Calibri"/>
          <w:b w:val="0"/>
          <w:i w:val="0"/>
          <w:color w:val="000000"/>
          <w:sz w:val="20"/>
          <w:u w:val="none"/>
        </w:rPr>
        <w:t>30 de junio de 2026</w:t>
      </w:r>
      <w:r>
        <w:rPr>
          <w:rFonts w:ascii="Calibri" w:eastAsia="Calibri" w:hAnsi="Calibri" w:cs="Calibri"/>
          <w:b w:val="0"/>
          <w:i w:val="0"/>
          <w:sz w:val="20"/>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150"/>
        <w:gridCol w:w="1200"/>
        <w:gridCol w:w="1200"/>
      </w:tblGrid>
      <w:tr>
        <w:tblPrEx>
          <w:tblW w:w="8550" w:type="dxa"/>
          <w:tblInd w:w="1417" w:type="dxa"/>
          <w:tblLayout w:type="fixed"/>
        </w:tblPrEx>
        <w:trPr>
          <w:cantSplit/>
          <w:trHeight w:hRule="auto" w:val="0"/>
        </w:trPr>
        <w:tc>
          <w:tcPr>
            <w:tcW w:w="615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Movimientos en pasivos por impuestos diferidos</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8550" w:type="dxa"/>
          <w:tblInd w:w="1417" w:type="dxa"/>
          <w:tblLayout w:type="fixed"/>
        </w:tblPrEx>
        <w:trPr>
          <w:cantSplit/>
          <w:trHeight w:hRule="auto" w:val="0"/>
        </w:trPr>
        <w:tc>
          <w:tcPr>
            <w:tcW w:w="615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exact" w:val="60"/>
        </w:trPr>
        <w:tc>
          <w:tcPr>
            <w:tcW w:w="61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Saldo inicial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104.902.639</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95.338.951</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Gasto (ingreso) por impuestos diferidos reconocidos como resultados.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(104.902.639)</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9.563.688</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Cambios en pasivos por impuestos diferidos, 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(104.902.639)</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9.563.688</w:t>
            </w:r>
          </w:p>
        </w:tc>
      </w:tr>
      <w:tr>
        <w:tblPrEx>
          <w:tblW w:w="8550" w:type="dxa"/>
          <w:tblInd w:w="1417" w:type="dxa"/>
          <w:tblLayout w:type="fixed"/>
        </w:tblPrEx>
        <w:trPr>
          <w:cantSplit/>
          <w:trHeight w:hRule="auto" w:val="0"/>
        </w:trPr>
        <w:tc>
          <w:tcPr>
            <w:tcW w:w="61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104.902.639</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179" w:name="Section93"/>
      <w:bookmarkEnd w:id="179"/>
      <w:bookmarkStart w:id="180" w:name="8684c9e327114218b5b3bd60615d07b8"/>
      <w:r>
        <w:rPr>
          <w:rFonts w:ascii="Calibri" w:eastAsia="Calibri" w:hAnsi="Calibri" w:cs="Calibri"/>
          <w:b/>
          <w:i w:val="0"/>
          <w:color w:val="000000"/>
          <w:sz w:val="20"/>
          <w:u w:val="none"/>
        </w:rPr>
        <w:t>19.4.-</w:t>
      </w:r>
      <w:r>
        <w:rPr>
          <w:rFonts w:ascii="Calibri" w:eastAsia="Calibri" w:hAnsi="Calibri" w:cs="Calibri"/>
          <w:b/>
          <w:i w:val="0"/>
          <w:color w:val="000000"/>
          <w:sz w:val="20"/>
          <w:u w:val="none"/>
        </w:rPr>
        <w:tab/>
      </w:r>
      <w:r>
        <w:rPr>
          <w:rFonts w:ascii="Calibri" w:eastAsia="Calibri" w:hAnsi="Calibri" w:cs="Calibri"/>
          <w:b/>
          <w:i w:val="0"/>
          <w:color w:val="000000"/>
          <w:sz w:val="20"/>
          <w:u w:val="none"/>
        </w:rPr>
        <w:t>Compensación de partidas.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16"/>
          <w:u w:val="none"/>
        </w:rPr>
      </w:pPr>
      <w:bookmarkEnd w:id="180"/>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impuestos diferidos activos y pasivos se compensan cuando existe derecho legalmente ejecutable de compensar los activos tributarios corrientes contra los pasivos tributarios corrientes y cuando los impuestos a la renta diferidos activos y pasivos están relacionados con el impuesto a la renta que grava la misma autoridad tributaria a la misma entidad gravada o a diferentes entidades gravadas por las que existe la intención de liquidar los saldos sobre bases netas. Los montos compensados son los siguientes: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2700"/>
        <w:gridCol w:w="975"/>
        <w:gridCol w:w="975"/>
        <w:gridCol w:w="975"/>
        <w:gridCol w:w="975"/>
        <w:gridCol w:w="975"/>
        <w:gridCol w:w="975"/>
      </w:tblGrid>
      <w:tr>
        <w:tblPrEx>
          <w:tblW w:w="8550" w:type="dxa"/>
          <w:tblInd w:w="1417" w:type="dxa"/>
          <w:tblLayout w:type="fixed"/>
        </w:tblPrEx>
        <w:trPr>
          <w:cantSplit/>
          <w:trHeight w:hRule="auto" w:val="0"/>
        </w:trPr>
        <w:tc>
          <w:tcPr>
            <w:tcW w:w="270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Concepto</w:t>
            </w:r>
          </w:p>
        </w:tc>
        <w:tc>
          <w:tcPr>
            <w:tcW w:w="2925" w:type="dxa"/>
            <w:gridSpan w:val="3"/>
            <w:tcBorders>
              <w:top w:val="single" w:sz="2" w:space="0" w:color="000000"/>
              <w:left w:val="nil"/>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2925" w:type="dxa"/>
            <w:gridSpan w:val="3"/>
            <w:tcBorders>
              <w:top w:val="single" w:sz="2" w:space="0" w:color="000000"/>
              <w:left w:val="single" w:sz="4" w:space="0" w:color="FFFFFF"/>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31-12-2025</w:t>
            </w:r>
          </w:p>
        </w:tc>
      </w:tr>
      <w:tr>
        <w:tblPrEx>
          <w:tblW w:w="8550" w:type="dxa"/>
          <w:tblInd w:w="1417" w:type="dxa"/>
          <w:tblLayout w:type="fixed"/>
        </w:tblPrEx>
        <w:trPr>
          <w:cantSplit/>
          <w:trHeight w:hRule="auto" w:val="0"/>
        </w:trPr>
        <w:tc>
          <w:tcPr>
            <w:tcW w:w="2700" w:type="dxa"/>
            <w:vMerge/>
            <w:tcBorders>
              <w:top w:val="nil"/>
              <w:left w:val="single" w:sz="2" w:space="0" w:color="000000"/>
              <w:bottom w:val="nil"/>
              <w:right w:val="nil"/>
            </w:tcBorders>
          </w:tcPr>
          <w:p>
            <w:pPr>
              <w:keepNext/>
              <w:pageBreakBefore w:val="0"/>
            </w:pPr>
          </w:p>
        </w:tc>
        <w:tc>
          <w:tcPr>
            <w:tcW w:w="97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Activos  (pasivos)</w:t>
            </w:r>
          </w:p>
        </w:tc>
        <w:tc>
          <w:tcPr>
            <w:tcW w:w="97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Valores compensados</w:t>
            </w:r>
          </w:p>
        </w:tc>
        <w:tc>
          <w:tcPr>
            <w:tcW w:w="97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Saldos netos al cierre</w:t>
            </w:r>
          </w:p>
        </w:tc>
        <w:tc>
          <w:tcPr>
            <w:tcW w:w="97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Activos  (pasivos)</w:t>
            </w:r>
          </w:p>
        </w:tc>
        <w:tc>
          <w:tcPr>
            <w:tcW w:w="97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Valores compensados</w:t>
            </w:r>
          </w:p>
        </w:tc>
        <w:tc>
          <w:tcPr>
            <w:tcW w:w="97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Saldos netos al cierre</w:t>
            </w:r>
          </w:p>
        </w:tc>
      </w:tr>
      <w:tr>
        <w:tblPrEx>
          <w:tblW w:w="8550" w:type="dxa"/>
          <w:tblInd w:w="1417" w:type="dxa"/>
          <w:tblLayout w:type="fixed"/>
        </w:tblPrEx>
        <w:trPr>
          <w:cantSplit/>
          <w:trHeight w:hRule="auto" w:val="0"/>
        </w:trPr>
        <w:tc>
          <w:tcPr>
            <w:tcW w:w="2700" w:type="dxa"/>
            <w:vMerge/>
            <w:tcBorders>
              <w:top w:val="nil"/>
              <w:left w:val="single" w:sz="2" w:space="0" w:color="000000"/>
              <w:bottom w:val="single" w:sz="2" w:space="0" w:color="000000"/>
              <w:right w:val="nil"/>
            </w:tcBorders>
          </w:tcPr>
          <w:p>
            <w:pPr>
              <w:keepNext/>
              <w:pageBreakBefore w:val="0"/>
            </w:pPr>
          </w:p>
        </w:tc>
        <w:tc>
          <w:tcPr>
            <w:tcW w:w="9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7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8550" w:type="dxa"/>
          <w:tblInd w:w="1417" w:type="dxa"/>
          <w:tblLayout w:type="fixed"/>
        </w:tblPrEx>
        <w:trPr>
          <w:cantSplit/>
          <w:trHeight w:hRule="auto" w:val="0"/>
        </w:trPr>
        <w:tc>
          <w:tcPr>
            <w:tcW w:w="27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Activos por impuestos diferidos.</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31.172.006</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(30.236.794)</w:t>
            </w:r>
          </w:p>
        </w:tc>
        <w:tc>
          <w:tcPr>
            <w:tcW w:w="9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935.212</w:t>
            </w:r>
          </w:p>
        </w:tc>
      </w:tr>
      <w:tr>
        <w:tblPrEx>
          <w:tblW w:w="8550" w:type="dxa"/>
          <w:tblInd w:w="1417" w:type="dxa"/>
          <w:tblLayout w:type="fixed"/>
        </w:tblPrEx>
        <w:trPr>
          <w:cantSplit/>
          <w:trHeight w:hRule="auto" w:val="0"/>
        </w:trPr>
        <w:tc>
          <w:tcPr>
            <w:tcW w:w="27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Pasivos por impuestos diferidos.</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(104.902.639)</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30.236.794</w:t>
            </w:r>
          </w:p>
        </w:tc>
        <w:tc>
          <w:tcPr>
            <w:tcW w:w="9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(74.665.845)</w:t>
            </w:r>
          </w:p>
        </w:tc>
      </w:tr>
      <w:tr>
        <w:tblPrEx>
          <w:tblW w:w="8550" w:type="dxa"/>
          <w:tblInd w:w="1417" w:type="dxa"/>
          <w:tblLayout w:type="fixed"/>
        </w:tblPrEx>
        <w:trPr>
          <w:cantSplit/>
          <w:trHeight w:hRule="auto" w:val="0"/>
        </w:trPr>
        <w:tc>
          <w:tcPr>
            <w:tcW w:w="27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Total</w:t>
            </w:r>
          </w:p>
        </w:tc>
        <w:tc>
          <w:tcPr>
            <w:tcW w:w="9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0</w:t>
            </w:r>
          </w:p>
        </w:tc>
        <w:tc>
          <w:tcPr>
            <w:tcW w:w="9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0</w:t>
            </w:r>
          </w:p>
        </w:tc>
        <w:tc>
          <w:tcPr>
            <w:tcW w:w="9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0</w:t>
            </w:r>
          </w:p>
        </w:tc>
        <w:tc>
          <w:tcPr>
            <w:tcW w:w="9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(73.730.633)</w:t>
            </w:r>
          </w:p>
        </w:tc>
        <w:tc>
          <w:tcPr>
            <w:tcW w:w="9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0</w:t>
            </w:r>
          </w:p>
        </w:tc>
        <w:tc>
          <w:tcPr>
            <w:tcW w:w="97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(73.730.633)</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left"/>
        <w:outlineLvl w:val="0"/>
        <w:rPr>
          <w:rFonts w:ascii="Cambria" w:eastAsia="Cambria" w:hAnsi="Cambria" w:cs="Cambria"/>
          <w:b/>
          <w:i w:val="0"/>
          <w:color w:val="365F91"/>
          <w:sz w:val="28"/>
          <w:u w:val="none"/>
        </w:rPr>
      </w:pPr>
      <w:bookmarkStart w:id="181" w:name="Section94"/>
      <w:bookmarkEnd w:id="181"/>
      <w:bookmarkStart w:id="182" w:name="f7be72f23d6a4b0b83f6b528edd537eb"/>
      <w:r>
        <w:rPr>
          <w:rFonts w:ascii="Calibri" w:eastAsia="Calibri" w:hAnsi="Calibri" w:cs="Calibri"/>
          <w:b/>
          <w:i w:val="0"/>
          <w:color w:val="000000"/>
          <w:sz w:val="20"/>
          <w:u w:val="none"/>
        </w:rPr>
        <w:t>20.-</w:t>
      </w:r>
      <w:r>
        <w:rPr>
          <w:rFonts w:ascii="Calibri" w:eastAsia="Calibri" w:hAnsi="Calibri" w:cs="Calibri"/>
          <w:b/>
          <w:i w:val="0"/>
          <w:color w:val="000000"/>
          <w:sz w:val="20"/>
          <w:u w:val="none"/>
        </w:rPr>
        <w:tab/>
      </w:r>
      <w:r>
        <w:rPr>
          <w:rFonts w:ascii="Calibri" w:eastAsia="Calibri" w:hAnsi="Calibri" w:cs="Calibri"/>
          <w:b/>
          <w:i w:val="0"/>
          <w:color w:val="000000"/>
          <w:sz w:val="20"/>
          <w:u w:val="none"/>
        </w:rPr>
        <w:t>OTROS PASIVOS FINANCIEROS</w:t>
      </w:r>
      <w:r>
        <w:rPr>
          <w:rFonts w:ascii="Calibri" w:eastAsia="Calibri" w:hAnsi="Calibri" w:cs="Calibri"/>
          <w:b w:val="0"/>
          <w:i w:val="0"/>
          <w:color w:val="365F91"/>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82"/>
    </w:p>
    <w:p>
      <w:pPr>
        <w:pStyle w:val="Normal-wk"/>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detalle de este rubro para el cierre al </w:t>
      </w:r>
      <w:r>
        <w:rPr>
          <w:rFonts w:ascii="Calibri" w:eastAsia="Calibri" w:hAnsi="Calibri" w:cs="Calibri"/>
          <w:b w:val="0"/>
          <w:i w:val="0"/>
          <w:color w:val="000000"/>
          <w:sz w:val="20"/>
          <w:u w:val="none"/>
        </w:rPr>
        <w:t>30 de junio de 2026</w:t>
      </w:r>
      <w:r>
        <w:rPr>
          <w:rFonts w:ascii="Calibri" w:eastAsia="Calibri" w:hAnsi="Calibri" w:cs="Calibri"/>
          <w:b w:val="0"/>
          <w:i w:val="0"/>
          <w:sz w:val="20"/>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 xml:space="preserve"> es el siguiente: </w:t>
      </w:r>
    </w:p>
    <w:p>
      <w:pPr>
        <w:keepNext w:val="0"/>
        <w:keepLines/>
        <w:pageBreakBefore w:val="0"/>
        <w:widowControl w:val="0"/>
        <w:numPr>
          <w:ilvl w:val="0"/>
          <w:numId w:val="0"/>
        </w:numPr>
        <w:spacing w:before="0" w:after="0" w:line="288" w:lineRule="auto"/>
        <w:ind w:left="705"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705" w:right="0" w:firstLine="0"/>
        <w:jc w:val="both"/>
        <w:outlineLvl w:val="9"/>
        <w:sectPr>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183" w:name="Section95"/>
      <w:bookmarkEnd w:id="183"/>
      <w:bookmarkStart w:id="184" w:name="40887df3229f4beb889d37c4a249072b"/>
      <w:r>
        <w:rPr>
          <w:rFonts w:ascii="Calibri" w:eastAsia="Calibri" w:hAnsi="Calibri" w:cs="Calibri"/>
          <w:b/>
          <w:i w:val="0"/>
          <w:color w:val="000000"/>
          <w:sz w:val="20"/>
          <w:u w:val="none"/>
        </w:rPr>
        <w:t>20.1.-</w:t>
      </w:r>
      <w:r>
        <w:rPr>
          <w:rFonts w:ascii="Calibri" w:eastAsia="Calibri" w:hAnsi="Calibri" w:cs="Calibri"/>
          <w:b/>
          <w:i w:val="0"/>
          <w:color w:val="000000"/>
          <w:sz w:val="20"/>
          <w:u w:val="none"/>
        </w:rPr>
        <w:tab/>
      </w:r>
      <w:r>
        <w:rPr>
          <w:rFonts w:ascii="Calibri" w:eastAsia="Calibri" w:hAnsi="Calibri" w:cs="Calibri"/>
          <w:b/>
          <w:i w:val="0"/>
          <w:color w:val="000000"/>
          <w:sz w:val="20"/>
          <w:u w:val="none"/>
        </w:rPr>
        <w:t>Clases de otros pasivos financieros.</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184"/>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2850"/>
        <w:gridCol w:w="900"/>
        <w:gridCol w:w="1200"/>
        <w:gridCol w:w="1200"/>
        <w:gridCol w:w="1200"/>
        <w:gridCol w:w="1200"/>
      </w:tblGrid>
      <w:tr>
        <w:tblPrEx>
          <w:tblW w:w="8550" w:type="dxa"/>
          <w:tblInd w:w="1417" w:type="dxa"/>
          <w:tblLayout w:type="fixed"/>
        </w:tblPrEx>
        <w:trPr>
          <w:cantSplit/>
          <w:trHeight w:hRule="auto" w:val="0"/>
        </w:trPr>
        <w:tc>
          <w:tcPr>
            <w:tcW w:w="285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 xml:space="preserve"> Pasivos financieros</w:t>
            </w:r>
          </w:p>
        </w:tc>
        <w:tc>
          <w:tcPr>
            <w:tcW w:w="900" w:type="dxa"/>
            <w:vMerge w:val="restart"/>
            <w:tcBorders>
              <w:top w:val="single" w:sz="2" w:space="0" w:color="000000"/>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Moneda</w:t>
            </w:r>
          </w:p>
        </w:tc>
        <w:tc>
          <w:tcPr>
            <w:tcW w:w="2400"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240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8550" w:type="dxa"/>
          <w:tblInd w:w="1417" w:type="dxa"/>
          <w:tblLayout w:type="fixed"/>
        </w:tblPrEx>
        <w:trPr>
          <w:cantSplit/>
          <w:trHeight w:hRule="auto" w:val="0"/>
        </w:trPr>
        <w:tc>
          <w:tcPr>
            <w:tcW w:w="2850" w:type="dxa"/>
            <w:vMerge/>
            <w:tcBorders>
              <w:top w:val="nil"/>
              <w:left w:val="single" w:sz="2" w:space="0" w:color="000000"/>
              <w:bottom w:val="nil"/>
              <w:right w:val="nil"/>
            </w:tcBorders>
          </w:tcPr>
          <w:p>
            <w:pPr>
              <w:keepNext/>
              <w:pageBreakBefore w:val="0"/>
            </w:pPr>
          </w:p>
        </w:tc>
        <w:tc>
          <w:tcPr>
            <w:tcW w:w="900" w:type="dxa"/>
            <w:vMerge/>
            <w:tcBorders>
              <w:top w:val="nil"/>
              <w:left w:val="single" w:sz="4" w:space="0" w:color="FFFFFF"/>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Corrientes</w:t>
            </w:r>
          </w:p>
        </w:tc>
        <w:tc>
          <w:tcPr>
            <w:tcW w:w="1200" w:type="dxa"/>
            <w:tcBorders>
              <w:top w:val="single" w:sz="4" w:space="0" w:color="FFFFFF"/>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No corrientes</w:t>
            </w:r>
          </w:p>
        </w:tc>
        <w:tc>
          <w:tcPr>
            <w:tcW w:w="1200"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Corrientes</w:t>
            </w:r>
          </w:p>
        </w:tc>
        <w:tc>
          <w:tcPr>
            <w:tcW w:w="12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No corrientes</w:t>
            </w:r>
          </w:p>
        </w:tc>
      </w:tr>
      <w:tr>
        <w:tblPrEx>
          <w:tblW w:w="8550" w:type="dxa"/>
          <w:tblInd w:w="1417" w:type="dxa"/>
          <w:tblLayout w:type="fixed"/>
        </w:tblPrEx>
        <w:trPr>
          <w:cantSplit/>
          <w:trHeight w:hRule="auto" w:val="0"/>
        </w:trPr>
        <w:tc>
          <w:tcPr>
            <w:tcW w:w="2850" w:type="dxa"/>
            <w:vMerge/>
            <w:tcBorders>
              <w:top w:val="nil"/>
              <w:left w:val="single" w:sz="2" w:space="0" w:color="000000"/>
              <w:bottom w:val="single" w:sz="2" w:space="0" w:color="000000"/>
              <w:right w:val="nil"/>
            </w:tcBorders>
          </w:tcPr>
          <w:p>
            <w:pPr>
              <w:keepNext/>
              <w:pageBreakBefore w:val="0"/>
            </w:pPr>
          </w:p>
        </w:tc>
        <w:tc>
          <w:tcPr>
            <w:tcW w:w="900" w:type="dxa"/>
            <w:vMerge/>
            <w:tcBorders>
              <w:top w:val="nil"/>
              <w:left w:val="single" w:sz="4" w:space="0" w:color="FFFFFF"/>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auto" w:val="0"/>
        </w:trPr>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Préstamos bancarios.</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val="0"/>
                <w:i w:val="0"/>
                <w:color w:val="000000"/>
                <w:sz w:val="16"/>
                <w:u w:val="none"/>
              </w:rPr>
              <w:t>CL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280.634.147</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129.161.983</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316.922.137</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93.034.136</w:t>
            </w:r>
          </w:p>
        </w:tc>
      </w:tr>
      <w:tr>
        <w:tblPrEx>
          <w:tblW w:w="8550" w:type="dxa"/>
          <w:tblInd w:w="1417" w:type="dxa"/>
          <w:tblLayout w:type="fixed"/>
        </w:tblPrEx>
        <w:trPr>
          <w:cantSplit/>
          <w:trHeight w:hRule="auto" w:val="0"/>
        </w:trPr>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Préstamos bancarios.</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val="0"/>
                <w:i w:val="0"/>
                <w:color w:val="000000"/>
                <w:sz w:val="16"/>
                <w:u w:val="none"/>
              </w:rPr>
              <w:t>US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82.005.109</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80.564.805</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8550" w:type="dxa"/>
          <w:tblInd w:w="1417" w:type="dxa"/>
          <w:tblLayout w:type="fixed"/>
        </w:tblPrEx>
        <w:trPr>
          <w:cantSplit/>
          <w:trHeight w:hRule="auto" w:val="0"/>
        </w:trPr>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Préstamos bancarios.</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val="0"/>
                <w:i w:val="0"/>
                <w:color w:val="000000"/>
                <w:sz w:val="16"/>
                <w:u w:val="none"/>
              </w:rPr>
              <w:t>CNH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31.883.463</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10.416.492</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30.047.346</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10.891.881</w:t>
            </w:r>
          </w:p>
        </w:tc>
      </w:tr>
      <w:tr>
        <w:tblPrEx>
          <w:tblW w:w="8550" w:type="dxa"/>
          <w:tblInd w:w="1417" w:type="dxa"/>
          <w:tblLayout w:type="fixed"/>
        </w:tblPrEx>
        <w:trPr>
          <w:cantSplit/>
          <w:trHeight w:hRule="auto" w:val="0"/>
        </w:trPr>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i w:val="0"/>
                <w:color w:val="FFFFFF"/>
                <w:sz w:val="16"/>
                <w:u w:val="none"/>
              </w:rPr>
              <w:t>Total préstamos bancarios</w:t>
            </w:r>
          </w:p>
        </w:tc>
        <w:tc>
          <w:tcPr>
            <w:tcW w:w="900" w:type="dxa"/>
            <w:tcBorders>
              <w:top w:val="single" w:sz="2" w:space="0" w:color="000000"/>
              <w:left w:val="nil"/>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center"/>
            </w:pP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394.522.719</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139.578.475</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427.534.288</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103.926.017</w:t>
            </w:r>
          </w:p>
        </w:tc>
      </w:tr>
      <w:tr>
        <w:tblPrEx>
          <w:tblW w:w="8550" w:type="dxa"/>
          <w:tblInd w:w="1417" w:type="dxa"/>
          <w:tblLayout w:type="fixed"/>
        </w:tblPrEx>
        <w:trPr>
          <w:cantSplit/>
          <w:trHeight w:hRule="exact" w:val="60"/>
        </w:trPr>
        <w:tc>
          <w:tcPr>
            <w:tcW w:w="28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i w:val="0"/>
                <w:color w:val="FFFFFF"/>
                <w:sz w:val="16"/>
                <w:u w:val="none"/>
              </w:rPr>
              <w:t>Obligaciones con el público (bonos)</w:t>
            </w:r>
          </w:p>
        </w:tc>
        <w:tc>
          <w:tcPr>
            <w:tcW w:w="900" w:type="dxa"/>
            <w:tcBorders>
              <w:top w:val="single" w:sz="2" w:space="0" w:color="000000"/>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val="0"/>
                <w:i w:val="0"/>
                <w:color w:val="FFFFFF"/>
                <w:sz w:val="16"/>
                <w:u w:val="none"/>
              </w:rPr>
              <w:t>UF</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927.733</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78.216.033</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317.365</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77.940.248</w:t>
            </w:r>
          </w:p>
        </w:tc>
      </w:tr>
      <w:tr>
        <w:tblPrEx>
          <w:tblW w:w="8550" w:type="dxa"/>
          <w:tblInd w:w="1417" w:type="dxa"/>
          <w:tblLayout w:type="fixed"/>
        </w:tblPrEx>
        <w:trPr>
          <w:cantSplit/>
          <w:trHeight w:hRule="auto" w:val="0"/>
        </w:trPr>
        <w:tc>
          <w:tcPr>
            <w:tcW w:w="28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Pasivos de cobertura (Nota 7.1).</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val="0"/>
                <w:i w:val="0"/>
                <w:color w:val="000000"/>
                <w:sz w:val="16"/>
                <w:u w:val="none"/>
              </w:rPr>
              <w:t>US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991.081</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2.791.961</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8550" w:type="dxa"/>
          <w:tblInd w:w="1417" w:type="dxa"/>
          <w:tblLayout w:type="fixed"/>
        </w:tblPrEx>
        <w:trPr>
          <w:cantSplit/>
          <w:trHeight w:hRule="exact" w:val="255"/>
        </w:trPr>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48" w:after="30" w:line="240" w:lineRule="auto"/>
              <w:jc w:val="left"/>
            </w:pPr>
            <w:r>
              <w:rPr>
                <w:rFonts w:ascii="Calibri" w:eastAsia="Calibri" w:hAnsi="Calibri" w:cs="Calibri"/>
                <w:b w:val="0"/>
                <w:i w:val="0"/>
                <w:color w:val="000000"/>
                <w:sz w:val="16"/>
                <w:u w:val="none"/>
              </w:rPr>
              <w:t>Pasivos de cobertura (Nota 7.1).</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48" w:after="30" w:line="240" w:lineRule="auto"/>
              <w:jc w:val="center"/>
            </w:pPr>
            <w:r>
              <w:rPr>
                <w:rFonts w:ascii="Calibri" w:eastAsia="Calibri" w:hAnsi="Calibri" w:cs="Calibri"/>
                <w:b w:val="0"/>
                <w:i w:val="0"/>
                <w:color w:val="000000"/>
                <w:sz w:val="16"/>
                <w:u w:val="none"/>
              </w:rPr>
              <w:t>CNH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val="0"/>
                <w:i w:val="0"/>
                <w:color w:val="000000"/>
                <w:sz w:val="16"/>
                <w:u w:val="none"/>
              </w:rPr>
              <w:t>273.619</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val="0"/>
                <w:i w:val="0"/>
                <w:color w:val="000000"/>
                <w:sz w:val="16"/>
                <w:u w:val="none"/>
              </w:rPr>
              <w:t>90.243</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val="0"/>
                <w:i w:val="0"/>
                <w:color w:val="000000"/>
                <w:sz w:val="16"/>
                <w:u w:val="none"/>
              </w:rPr>
              <w:t>734.248</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val="0"/>
                <w:i w:val="0"/>
                <w:color w:val="000000"/>
                <w:sz w:val="16"/>
                <w:u w:val="none"/>
              </w:rPr>
              <w:t>197.108</w:t>
            </w:r>
          </w:p>
        </w:tc>
      </w:tr>
      <w:tr>
        <w:tblPrEx>
          <w:tblW w:w="8550" w:type="dxa"/>
          <w:tblInd w:w="1417" w:type="dxa"/>
          <w:tblLayout w:type="fixed"/>
        </w:tblPrEx>
        <w:trPr>
          <w:cantSplit/>
          <w:trHeight w:hRule="auto" w:val="0"/>
        </w:trPr>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i w:val="0"/>
                <w:color w:val="FFFFFF"/>
                <w:sz w:val="16"/>
                <w:u w:val="none"/>
              </w:rPr>
              <w:t>Pasivos de cobertura</w:t>
            </w:r>
          </w:p>
        </w:tc>
        <w:tc>
          <w:tcPr>
            <w:tcW w:w="900" w:type="dxa"/>
            <w:tcBorders>
              <w:top w:val="single" w:sz="2" w:space="0" w:color="000000"/>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center"/>
            </w:pP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1.264.700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90.243</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3.526.209</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197.108</w:t>
            </w:r>
          </w:p>
        </w:tc>
      </w:tr>
      <w:tr>
        <w:tblPrEx>
          <w:tblW w:w="8550" w:type="dxa"/>
          <w:tblInd w:w="1417" w:type="dxa"/>
          <w:tblLayout w:type="fixed"/>
        </w:tblPrEx>
        <w:trPr>
          <w:cantSplit/>
          <w:trHeight w:hRule="exact" w:val="60"/>
        </w:trPr>
        <w:tc>
          <w:tcPr>
            <w:tcW w:w="28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i w:val="0"/>
                <w:color w:val="FFFFFF"/>
                <w:sz w:val="16"/>
                <w:u w:val="none"/>
              </w:rPr>
              <w:t>Total</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0" w:type="dxa"/>
            </w:tcMar>
            <w:vAlign w:val="bottom"/>
          </w:tcPr>
          <w:p>
            <w:pPr>
              <w:pageBreakBefore w:val="0"/>
              <w:spacing w:before="0" w:after="0"/>
            </w:pP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396.715.152</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217.884.751</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431.377.862</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182.063.373</w:t>
            </w:r>
          </w:p>
        </w:tc>
      </w:tr>
    </w:tbl>
    <w:p>
      <w:pPr>
        <w:keepNext/>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18"/>
          <w:u w:val="none"/>
        </w:rPr>
        <w:t>CL $</w:t>
      </w:r>
      <w:r>
        <w:rPr>
          <w:rFonts w:ascii="Calibri" w:eastAsia="Calibri" w:hAnsi="Calibri" w:cs="Calibri"/>
          <w:b w:val="0"/>
          <w:i w:val="0"/>
          <w:color w:val="000000"/>
          <w:sz w:val="18"/>
          <w:u w:val="none"/>
        </w:rPr>
        <w:tab/>
      </w:r>
      <w:r>
        <w:rPr>
          <w:rFonts w:ascii="Calibri" w:eastAsia="Calibri" w:hAnsi="Calibri" w:cs="Calibri"/>
          <w:b w:val="0"/>
          <w:i w:val="0"/>
          <w:color w:val="000000"/>
          <w:sz w:val="18"/>
          <w:u w:val="none"/>
        </w:rPr>
        <w:t>: Peso chileno.</w:t>
      </w:r>
    </w:p>
    <w:p>
      <w:pPr>
        <w:pStyle w:val="Normal-wk"/>
        <w:keepNext w:val="0"/>
        <w:keepLines/>
        <w:pageBreakBefore w:val="0"/>
        <w:widowControl w:val="0"/>
        <w:numPr>
          <w:ilvl w:val="0"/>
          <w:numId w:val="0"/>
        </w:numPr>
        <w:spacing w:before="0" w:after="0" w:line="216"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18"/>
          <w:u w:val="none"/>
        </w:rPr>
        <w:t>US $</w:t>
      </w:r>
      <w:r>
        <w:rPr>
          <w:rFonts w:ascii="Calibri" w:eastAsia="Calibri" w:hAnsi="Calibri" w:cs="Calibri"/>
          <w:b w:val="0"/>
          <w:i w:val="0"/>
          <w:color w:val="000000"/>
          <w:sz w:val="18"/>
          <w:u w:val="none"/>
        </w:rPr>
        <w:tab/>
      </w:r>
      <w:r>
        <w:rPr>
          <w:rFonts w:ascii="Calibri" w:eastAsia="Calibri" w:hAnsi="Calibri" w:cs="Calibri"/>
          <w:b w:val="0"/>
          <w:i w:val="0"/>
          <w:color w:val="000000"/>
          <w:sz w:val="18"/>
          <w:u w:val="none"/>
        </w:rPr>
        <w:t>: Dólar estadounidense.</w:t>
      </w:r>
    </w:p>
    <w:p>
      <w:pPr>
        <w:pStyle w:val="Normal-wk"/>
        <w:keepNext w:val="0"/>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18"/>
          <w:u w:val="none"/>
        </w:rPr>
        <w:t>UF</w:t>
      </w:r>
      <w:r>
        <w:rPr>
          <w:rFonts w:ascii="Calibri" w:eastAsia="Calibri" w:hAnsi="Calibri" w:cs="Calibri"/>
          <w:b w:val="0"/>
          <w:i w:val="0"/>
          <w:color w:val="000000"/>
          <w:sz w:val="18"/>
          <w:u w:val="none"/>
        </w:rPr>
        <w:tab/>
      </w:r>
      <w:r>
        <w:rPr>
          <w:rFonts w:ascii="Calibri" w:eastAsia="Calibri" w:hAnsi="Calibri" w:cs="Calibri"/>
          <w:b w:val="0"/>
          <w:i w:val="0"/>
          <w:color w:val="000000"/>
          <w:sz w:val="18"/>
          <w:u w:val="none"/>
        </w:rPr>
        <w:t>: Unidad de fomento.</w:t>
      </w:r>
    </w:p>
    <w:p>
      <w:pPr>
        <w:pStyle w:val="Normal-wk"/>
        <w:keepNext w:val="0"/>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18"/>
          <w:u w:val="none"/>
        </w:rPr>
        <w:t>CNH $</w:t>
      </w:r>
      <w:r>
        <w:rPr>
          <w:rFonts w:ascii="Calibri" w:eastAsia="Calibri" w:hAnsi="Calibri" w:cs="Calibri"/>
          <w:b w:val="0"/>
          <w:i w:val="0"/>
          <w:color w:val="000000"/>
          <w:sz w:val="18"/>
          <w:u w:val="none"/>
        </w:rPr>
        <w:tab/>
      </w:r>
      <w:r>
        <w:rPr>
          <w:rFonts w:ascii="Calibri" w:eastAsia="Calibri" w:hAnsi="Calibri" w:cs="Calibri"/>
          <w:b w:val="0"/>
          <w:i w:val="0"/>
          <w:color w:val="000000"/>
          <w:sz w:val="18"/>
          <w:u w:val="none"/>
        </w:rPr>
        <w:t>: Yuan chino.</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185" w:name="Section96"/>
      <w:bookmarkEnd w:id="185"/>
      <w:bookmarkStart w:id="186" w:name="7f79aba47668404a9b98dcb29ffb187a"/>
      <w:r>
        <w:rPr>
          <w:rFonts w:ascii="Calibri" w:eastAsia="Calibri" w:hAnsi="Calibri" w:cs="Calibri"/>
          <w:b/>
          <w:i w:val="0"/>
          <w:color w:val="000000"/>
          <w:sz w:val="20"/>
          <w:u w:val="none"/>
        </w:rPr>
        <w:t>20.2.-</w:t>
      </w:r>
      <w:r>
        <w:rPr>
          <w:rFonts w:ascii="Calibri" w:eastAsia="Calibri" w:hAnsi="Calibri" w:cs="Calibri"/>
          <w:b/>
          <w:i w:val="0"/>
          <w:color w:val="000000"/>
          <w:sz w:val="20"/>
          <w:u w:val="none"/>
        </w:rPr>
        <w:tab/>
      </w:r>
      <w:r>
        <w:rPr>
          <w:rFonts w:ascii="Calibri" w:eastAsia="Calibri" w:hAnsi="Calibri" w:cs="Calibri"/>
          <w:b/>
          <w:i w:val="0"/>
          <w:color w:val="000000"/>
          <w:sz w:val="20"/>
          <w:u w:val="none"/>
        </w:rPr>
        <w:t>Préstamos bancarios - desglose de monedas y vencimientos.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86"/>
    </w:p>
    <w:p>
      <w:pPr>
        <w:pStyle w:val="Normal-wk"/>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Saldos al </w:t>
      </w:r>
      <w:r>
        <w:rPr>
          <w:rFonts w:ascii="Calibri" w:eastAsia="Calibri" w:hAnsi="Calibri" w:cs="Calibri"/>
          <w:b w:val="0"/>
          <w:i w:val="0"/>
          <w:color w:val="000000"/>
          <w:sz w:val="20"/>
          <w:u w:val="none"/>
        </w:rPr>
        <w:t>30 de junio de 2026</w:t>
      </w:r>
      <w:r>
        <w:rPr>
          <w:rFonts w:ascii="Calibri" w:eastAsia="Calibri" w:hAnsi="Calibri" w:cs="Calibri"/>
          <w:b w:val="0"/>
          <w:i w:val="0"/>
          <w:sz w:val="20"/>
        </w:rPr>
        <w:t>:</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sz w:val="20"/>
        </w:rPr>
      </w:pPr>
    </w:p>
    <w:tbl>
      <w:tblPr>
        <w:tblW w:w="1341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05"/>
        <w:gridCol w:w="795"/>
        <w:gridCol w:w="1500"/>
        <w:gridCol w:w="1695"/>
        <w:gridCol w:w="600"/>
        <w:gridCol w:w="1005"/>
        <w:gridCol w:w="525"/>
        <w:gridCol w:w="525"/>
        <w:gridCol w:w="795"/>
        <w:gridCol w:w="795"/>
        <w:gridCol w:w="795"/>
        <w:gridCol w:w="795"/>
        <w:gridCol w:w="795"/>
        <w:gridCol w:w="795"/>
        <w:gridCol w:w="795"/>
        <w:gridCol w:w="795"/>
      </w:tblGrid>
      <w:tr>
        <w:tblPrEx>
          <w:tblW w:w="13410" w:type="dxa"/>
          <w:tblInd w:w="0" w:type="dxa"/>
          <w:tblLayout w:type="fixed"/>
        </w:tblPrEx>
        <w:trPr>
          <w:cantSplit/>
          <w:trHeight w:hRule="auto" w:val="0"/>
          <w:tblHeader/>
        </w:trPr>
        <w:tc>
          <w:tcPr>
            <w:tcW w:w="40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País</w:t>
            </w:r>
          </w:p>
        </w:tc>
        <w:tc>
          <w:tcPr>
            <w:tcW w:w="79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RUT Empresa deudora</w:t>
            </w:r>
          </w:p>
        </w:tc>
        <w:tc>
          <w:tcPr>
            <w:tcW w:w="1500"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Sociedad deudora</w:t>
            </w:r>
          </w:p>
        </w:tc>
        <w:tc>
          <w:tcPr>
            <w:tcW w:w="169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Institución acreedora</w:t>
            </w:r>
          </w:p>
        </w:tc>
        <w:tc>
          <w:tcPr>
            <w:tcW w:w="600"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Moneda</w:t>
            </w:r>
          </w:p>
        </w:tc>
        <w:tc>
          <w:tcPr>
            <w:tcW w:w="100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Tipo de amortización</w:t>
            </w:r>
          </w:p>
        </w:tc>
        <w:tc>
          <w:tcPr>
            <w:tcW w:w="52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 xml:space="preserve">Tasa efectiva anual </w:t>
            </w:r>
          </w:p>
        </w:tc>
        <w:tc>
          <w:tcPr>
            <w:tcW w:w="52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Tasa nominal anual</w:t>
            </w:r>
          </w:p>
        </w:tc>
        <w:tc>
          <w:tcPr>
            <w:tcW w:w="795" w:type="dxa"/>
            <w:vMerge w:val="restart"/>
            <w:tcBorders>
              <w:top w:val="single" w:sz="2" w:space="0" w:color="000000"/>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Garantía</w:t>
            </w:r>
          </w:p>
        </w:tc>
        <w:tc>
          <w:tcPr>
            <w:tcW w:w="3180" w:type="dxa"/>
            <w:gridSpan w:val="4"/>
            <w:tcBorders>
              <w:top w:val="single" w:sz="2" w:space="0" w:color="000000"/>
              <w:left w:val="nil"/>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Corrientes</w:t>
            </w:r>
          </w:p>
        </w:tc>
        <w:tc>
          <w:tcPr>
            <w:tcW w:w="2385" w:type="dxa"/>
            <w:gridSpan w:val="3"/>
            <w:tcBorders>
              <w:top w:val="single" w:sz="2" w:space="0" w:color="000000"/>
              <w:left w:val="single" w:sz="4" w:space="0" w:color="FFFFFF"/>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No Corrientes</w:t>
            </w:r>
          </w:p>
        </w:tc>
      </w:tr>
      <w:tr>
        <w:tblPrEx>
          <w:tblW w:w="13410" w:type="dxa"/>
          <w:tblInd w:w="0" w:type="dxa"/>
          <w:tblLayout w:type="fixed"/>
        </w:tblPrEx>
        <w:trPr>
          <w:cantSplit/>
          <w:trHeight w:hRule="auto" w:val="0"/>
          <w:tblHeader/>
        </w:trPr>
        <w:tc>
          <w:tcPr>
            <w:tcW w:w="405" w:type="dxa"/>
            <w:vMerge/>
            <w:tcBorders>
              <w:top w:val="nil"/>
              <w:left w:val="single" w:sz="2" w:space="0" w:color="000000"/>
              <w:bottom w:val="nil"/>
              <w:right w:val="nil"/>
            </w:tcBorders>
          </w:tcPr>
          <w:p>
            <w:pPr>
              <w:keepNext/>
              <w:pageBreakBefore w:val="0"/>
            </w:pPr>
          </w:p>
        </w:tc>
        <w:tc>
          <w:tcPr>
            <w:tcW w:w="795" w:type="dxa"/>
            <w:vMerge/>
            <w:tcBorders>
              <w:top w:val="nil"/>
              <w:left w:val="single" w:sz="4" w:space="0" w:color="FFFFFF"/>
              <w:bottom w:val="nil"/>
              <w:right w:val="nil"/>
            </w:tcBorders>
          </w:tcPr>
          <w:p>
            <w:pPr>
              <w:keepNext/>
              <w:pageBreakBefore w:val="0"/>
            </w:pPr>
          </w:p>
        </w:tc>
        <w:tc>
          <w:tcPr>
            <w:tcW w:w="1500" w:type="dxa"/>
            <w:vMerge/>
            <w:tcBorders>
              <w:top w:val="nil"/>
              <w:left w:val="single" w:sz="4" w:space="0" w:color="FFFFFF"/>
              <w:bottom w:val="nil"/>
              <w:right w:val="nil"/>
            </w:tcBorders>
          </w:tcPr>
          <w:p>
            <w:pPr>
              <w:keepNext/>
              <w:pageBreakBefore w:val="0"/>
            </w:pPr>
          </w:p>
        </w:tc>
        <w:tc>
          <w:tcPr>
            <w:tcW w:w="1695" w:type="dxa"/>
            <w:vMerge/>
            <w:tcBorders>
              <w:top w:val="nil"/>
              <w:left w:val="single" w:sz="4" w:space="0" w:color="FFFFFF"/>
              <w:bottom w:val="nil"/>
              <w:right w:val="nil"/>
            </w:tcBorders>
          </w:tcPr>
          <w:p>
            <w:pPr>
              <w:keepNext/>
              <w:pageBreakBefore w:val="0"/>
            </w:pPr>
          </w:p>
        </w:tc>
        <w:tc>
          <w:tcPr>
            <w:tcW w:w="600" w:type="dxa"/>
            <w:vMerge/>
            <w:tcBorders>
              <w:top w:val="nil"/>
              <w:left w:val="single" w:sz="4" w:space="0" w:color="FFFFFF"/>
              <w:bottom w:val="nil"/>
              <w:right w:val="nil"/>
            </w:tcBorders>
          </w:tcPr>
          <w:p>
            <w:pPr>
              <w:keepNext/>
              <w:pageBreakBefore w:val="0"/>
            </w:pPr>
          </w:p>
        </w:tc>
        <w:tc>
          <w:tcPr>
            <w:tcW w:w="1005" w:type="dxa"/>
            <w:vMerge/>
            <w:tcBorders>
              <w:top w:val="nil"/>
              <w:left w:val="single" w:sz="4" w:space="0" w:color="FFFFFF"/>
              <w:bottom w:val="nil"/>
              <w:right w:val="nil"/>
            </w:tcBorders>
          </w:tcPr>
          <w:p>
            <w:pPr>
              <w:keepNext/>
              <w:pageBreakBefore w:val="0"/>
            </w:pPr>
          </w:p>
        </w:tc>
        <w:tc>
          <w:tcPr>
            <w:tcW w:w="525" w:type="dxa"/>
            <w:vMerge/>
            <w:tcBorders>
              <w:top w:val="nil"/>
              <w:left w:val="single" w:sz="4" w:space="0" w:color="FFFFFF"/>
              <w:bottom w:val="nil"/>
              <w:right w:val="nil"/>
            </w:tcBorders>
          </w:tcPr>
          <w:p>
            <w:pPr>
              <w:keepNext/>
              <w:pageBreakBefore w:val="0"/>
            </w:pPr>
          </w:p>
        </w:tc>
        <w:tc>
          <w:tcPr>
            <w:tcW w:w="525" w:type="dxa"/>
            <w:vMerge/>
            <w:tcBorders>
              <w:top w:val="nil"/>
              <w:left w:val="single" w:sz="4" w:space="0" w:color="FFFFFF"/>
              <w:bottom w:val="nil"/>
              <w:right w:val="nil"/>
            </w:tcBorders>
          </w:tcPr>
          <w:p>
            <w:pPr>
              <w:keepNext/>
              <w:pageBreakBefore w:val="0"/>
            </w:pPr>
          </w:p>
        </w:tc>
        <w:tc>
          <w:tcPr>
            <w:tcW w:w="795" w:type="dxa"/>
            <w:vMerge/>
            <w:tcBorders>
              <w:top w:val="nil"/>
              <w:left w:val="single" w:sz="4" w:space="0" w:color="FFFFFF"/>
              <w:bottom w:val="nil"/>
              <w:right w:val="single" w:sz="4" w:space="0" w:color="FFFFFF"/>
            </w:tcBorders>
          </w:tcPr>
          <w:p>
            <w:pPr>
              <w:keepNext/>
              <w:pageBreakBefore w:val="0"/>
            </w:pPr>
          </w:p>
        </w:tc>
        <w:tc>
          <w:tcPr>
            <w:tcW w:w="2385" w:type="dxa"/>
            <w:gridSpan w:val="3"/>
            <w:tcBorders>
              <w:top w:val="nil"/>
              <w:left w:val="nil"/>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Vencimientos</w:t>
            </w:r>
          </w:p>
        </w:tc>
        <w:tc>
          <w:tcPr>
            <w:tcW w:w="79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Total corrientes</w:t>
            </w:r>
          </w:p>
        </w:tc>
        <w:tc>
          <w:tcPr>
            <w:tcW w:w="1590" w:type="dxa"/>
            <w:gridSpan w:val="2"/>
            <w:tcBorders>
              <w:top w:val="nil"/>
              <w:left w:val="single" w:sz="4" w:space="0" w:color="FFFFFF"/>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Vencimientos</w:t>
            </w:r>
          </w:p>
        </w:tc>
        <w:tc>
          <w:tcPr>
            <w:tcW w:w="79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Total no corrientes</w:t>
            </w:r>
          </w:p>
        </w:tc>
      </w:tr>
      <w:tr>
        <w:tblPrEx>
          <w:tblW w:w="13410" w:type="dxa"/>
          <w:tblInd w:w="0" w:type="dxa"/>
          <w:tblLayout w:type="fixed"/>
        </w:tblPrEx>
        <w:trPr>
          <w:cantSplit/>
          <w:trHeight w:hRule="auto" w:val="0"/>
          <w:tblHeader/>
        </w:trPr>
        <w:tc>
          <w:tcPr>
            <w:tcW w:w="405" w:type="dxa"/>
            <w:vMerge/>
            <w:tcBorders>
              <w:top w:val="nil"/>
              <w:left w:val="single" w:sz="2" w:space="0" w:color="000000"/>
              <w:bottom w:val="nil"/>
              <w:right w:val="nil"/>
            </w:tcBorders>
          </w:tcPr>
          <w:p>
            <w:pPr>
              <w:keepNext/>
              <w:pageBreakBefore w:val="0"/>
            </w:pPr>
          </w:p>
        </w:tc>
        <w:tc>
          <w:tcPr>
            <w:tcW w:w="795" w:type="dxa"/>
            <w:vMerge/>
            <w:tcBorders>
              <w:top w:val="nil"/>
              <w:left w:val="single" w:sz="4" w:space="0" w:color="FFFFFF"/>
              <w:bottom w:val="nil"/>
              <w:right w:val="nil"/>
            </w:tcBorders>
          </w:tcPr>
          <w:p>
            <w:pPr>
              <w:keepNext/>
              <w:pageBreakBefore w:val="0"/>
            </w:pPr>
          </w:p>
        </w:tc>
        <w:tc>
          <w:tcPr>
            <w:tcW w:w="1500" w:type="dxa"/>
            <w:vMerge/>
            <w:tcBorders>
              <w:top w:val="nil"/>
              <w:left w:val="single" w:sz="4" w:space="0" w:color="FFFFFF"/>
              <w:bottom w:val="nil"/>
              <w:right w:val="nil"/>
            </w:tcBorders>
          </w:tcPr>
          <w:p>
            <w:pPr>
              <w:keepNext/>
              <w:pageBreakBefore w:val="0"/>
            </w:pPr>
          </w:p>
        </w:tc>
        <w:tc>
          <w:tcPr>
            <w:tcW w:w="1695" w:type="dxa"/>
            <w:vMerge/>
            <w:tcBorders>
              <w:top w:val="nil"/>
              <w:left w:val="single" w:sz="4" w:space="0" w:color="FFFFFF"/>
              <w:bottom w:val="nil"/>
              <w:right w:val="nil"/>
            </w:tcBorders>
          </w:tcPr>
          <w:p>
            <w:pPr>
              <w:keepNext/>
              <w:pageBreakBefore w:val="0"/>
            </w:pPr>
          </w:p>
        </w:tc>
        <w:tc>
          <w:tcPr>
            <w:tcW w:w="600" w:type="dxa"/>
            <w:vMerge/>
            <w:tcBorders>
              <w:top w:val="nil"/>
              <w:left w:val="single" w:sz="4" w:space="0" w:color="FFFFFF"/>
              <w:bottom w:val="nil"/>
              <w:right w:val="nil"/>
            </w:tcBorders>
          </w:tcPr>
          <w:p>
            <w:pPr>
              <w:keepNext/>
              <w:pageBreakBefore w:val="0"/>
            </w:pPr>
          </w:p>
        </w:tc>
        <w:tc>
          <w:tcPr>
            <w:tcW w:w="1005" w:type="dxa"/>
            <w:vMerge/>
            <w:tcBorders>
              <w:top w:val="nil"/>
              <w:left w:val="single" w:sz="4" w:space="0" w:color="FFFFFF"/>
              <w:bottom w:val="nil"/>
              <w:right w:val="nil"/>
            </w:tcBorders>
          </w:tcPr>
          <w:p>
            <w:pPr>
              <w:keepNext/>
              <w:pageBreakBefore w:val="0"/>
            </w:pPr>
          </w:p>
        </w:tc>
        <w:tc>
          <w:tcPr>
            <w:tcW w:w="525" w:type="dxa"/>
            <w:vMerge/>
            <w:tcBorders>
              <w:top w:val="nil"/>
              <w:left w:val="single" w:sz="4" w:space="0" w:color="FFFFFF"/>
              <w:bottom w:val="nil"/>
              <w:right w:val="nil"/>
            </w:tcBorders>
          </w:tcPr>
          <w:p>
            <w:pPr>
              <w:keepNext/>
              <w:pageBreakBefore w:val="0"/>
            </w:pPr>
          </w:p>
        </w:tc>
        <w:tc>
          <w:tcPr>
            <w:tcW w:w="525" w:type="dxa"/>
            <w:vMerge/>
            <w:tcBorders>
              <w:top w:val="nil"/>
              <w:left w:val="single" w:sz="4" w:space="0" w:color="FFFFFF"/>
              <w:bottom w:val="nil"/>
              <w:right w:val="nil"/>
            </w:tcBorders>
          </w:tcPr>
          <w:p>
            <w:pPr>
              <w:keepNext/>
              <w:pageBreakBefore w:val="0"/>
            </w:pPr>
          </w:p>
        </w:tc>
        <w:tc>
          <w:tcPr>
            <w:tcW w:w="795" w:type="dxa"/>
            <w:vMerge/>
            <w:tcBorders>
              <w:top w:val="nil"/>
              <w:left w:val="single" w:sz="4" w:space="0" w:color="FFFFFF"/>
              <w:bottom w:val="nil"/>
              <w:right w:val="nil"/>
            </w:tcBorders>
          </w:tcPr>
          <w:p>
            <w:pPr>
              <w:keepNext/>
              <w:pageBreakBefore w:val="0"/>
            </w:pPr>
          </w:p>
        </w:tc>
        <w:tc>
          <w:tcPr>
            <w:tcW w:w="79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hasta 1 mes</w:t>
            </w:r>
          </w:p>
        </w:tc>
        <w:tc>
          <w:tcPr>
            <w:tcW w:w="79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1 a 3 meses</w:t>
            </w:r>
          </w:p>
        </w:tc>
        <w:tc>
          <w:tcPr>
            <w:tcW w:w="79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 a 12 meses</w:t>
            </w:r>
          </w:p>
        </w:tc>
        <w:tc>
          <w:tcPr>
            <w:tcW w:w="79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30-06-2026</w:t>
            </w:r>
          </w:p>
        </w:tc>
        <w:tc>
          <w:tcPr>
            <w:tcW w:w="79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1 hasta 2 años</w:t>
            </w:r>
          </w:p>
        </w:tc>
        <w:tc>
          <w:tcPr>
            <w:tcW w:w="79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más de 2</w:t>
            </w:r>
            <w:r>
              <w:br/>
            </w:r>
            <w:r>
              <w:rPr>
                <w:rFonts w:ascii="Calibri" w:eastAsia="Calibri" w:hAnsi="Calibri" w:cs="Calibri"/>
                <w:b/>
                <w:i w:val="0"/>
                <w:color w:val="FFFFFF"/>
                <w:sz w:val="12"/>
                <w:u w:val="none"/>
              </w:rPr>
              <w:t>hasta 3 años</w:t>
            </w:r>
          </w:p>
        </w:tc>
        <w:tc>
          <w:tcPr>
            <w:tcW w:w="795"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30-06-2026</w:t>
            </w:r>
          </w:p>
        </w:tc>
      </w:tr>
      <w:tr>
        <w:tblPrEx>
          <w:tblW w:w="13410" w:type="dxa"/>
          <w:tblInd w:w="0" w:type="dxa"/>
          <w:tblLayout w:type="fixed"/>
        </w:tblPrEx>
        <w:trPr>
          <w:cantSplit/>
          <w:trHeight w:hRule="auto" w:val="0"/>
          <w:tblHeader/>
        </w:trPr>
        <w:tc>
          <w:tcPr>
            <w:tcW w:w="405" w:type="dxa"/>
            <w:vMerge/>
            <w:tcBorders>
              <w:top w:val="nil"/>
              <w:left w:val="single" w:sz="2" w:space="0" w:color="000000"/>
              <w:bottom w:val="single" w:sz="2" w:space="0" w:color="000000"/>
              <w:right w:val="nil"/>
            </w:tcBorders>
          </w:tcPr>
          <w:p>
            <w:pPr>
              <w:keepNext/>
              <w:pageBreakBefore w:val="0"/>
            </w:pPr>
          </w:p>
        </w:tc>
        <w:tc>
          <w:tcPr>
            <w:tcW w:w="795" w:type="dxa"/>
            <w:vMerge/>
            <w:tcBorders>
              <w:top w:val="nil"/>
              <w:left w:val="single" w:sz="4" w:space="0" w:color="FFFFFF"/>
              <w:bottom w:val="single" w:sz="2" w:space="0" w:color="000000"/>
              <w:right w:val="nil"/>
            </w:tcBorders>
          </w:tcPr>
          <w:p>
            <w:pPr>
              <w:keepNext/>
              <w:pageBreakBefore w:val="0"/>
            </w:pPr>
          </w:p>
        </w:tc>
        <w:tc>
          <w:tcPr>
            <w:tcW w:w="1500" w:type="dxa"/>
            <w:vMerge/>
            <w:tcBorders>
              <w:top w:val="nil"/>
              <w:left w:val="single" w:sz="4" w:space="0" w:color="FFFFFF"/>
              <w:bottom w:val="single" w:sz="2" w:space="0" w:color="000000"/>
              <w:right w:val="nil"/>
            </w:tcBorders>
          </w:tcPr>
          <w:p>
            <w:pPr>
              <w:keepNext/>
              <w:pageBreakBefore w:val="0"/>
            </w:pPr>
          </w:p>
        </w:tc>
        <w:tc>
          <w:tcPr>
            <w:tcW w:w="1695" w:type="dxa"/>
            <w:vMerge/>
            <w:tcBorders>
              <w:top w:val="nil"/>
              <w:left w:val="single" w:sz="4" w:space="0" w:color="FFFFFF"/>
              <w:bottom w:val="single" w:sz="2" w:space="0" w:color="000000"/>
              <w:right w:val="nil"/>
            </w:tcBorders>
          </w:tcPr>
          <w:p>
            <w:pPr>
              <w:keepNext/>
              <w:pageBreakBefore w:val="0"/>
            </w:pPr>
          </w:p>
        </w:tc>
        <w:tc>
          <w:tcPr>
            <w:tcW w:w="600" w:type="dxa"/>
            <w:vMerge/>
            <w:tcBorders>
              <w:top w:val="nil"/>
              <w:left w:val="single" w:sz="4" w:space="0" w:color="FFFFFF"/>
              <w:bottom w:val="single" w:sz="2" w:space="0" w:color="000000"/>
              <w:right w:val="nil"/>
            </w:tcBorders>
          </w:tcPr>
          <w:p>
            <w:pPr>
              <w:keepNext/>
              <w:pageBreakBefore w:val="0"/>
            </w:pPr>
          </w:p>
        </w:tc>
        <w:tc>
          <w:tcPr>
            <w:tcW w:w="1005" w:type="dxa"/>
            <w:vMerge/>
            <w:tcBorders>
              <w:top w:val="nil"/>
              <w:left w:val="single" w:sz="4" w:space="0" w:color="FFFFFF"/>
              <w:bottom w:val="single" w:sz="2" w:space="0" w:color="000000"/>
              <w:right w:val="nil"/>
            </w:tcBorders>
          </w:tcPr>
          <w:p>
            <w:pPr>
              <w:keepNext/>
              <w:pageBreakBefore w:val="0"/>
            </w:pPr>
          </w:p>
        </w:tc>
        <w:tc>
          <w:tcPr>
            <w:tcW w:w="525" w:type="dxa"/>
            <w:vMerge/>
            <w:tcBorders>
              <w:top w:val="nil"/>
              <w:left w:val="single" w:sz="4" w:space="0" w:color="FFFFFF"/>
              <w:bottom w:val="single" w:sz="2" w:space="0" w:color="000000"/>
              <w:right w:val="nil"/>
            </w:tcBorders>
          </w:tcPr>
          <w:p>
            <w:pPr>
              <w:keepNext/>
              <w:pageBreakBefore w:val="0"/>
            </w:pPr>
          </w:p>
        </w:tc>
        <w:tc>
          <w:tcPr>
            <w:tcW w:w="525" w:type="dxa"/>
            <w:vMerge/>
            <w:tcBorders>
              <w:top w:val="nil"/>
              <w:left w:val="single" w:sz="4" w:space="0" w:color="FFFFFF"/>
              <w:bottom w:val="single" w:sz="2" w:space="0" w:color="000000"/>
              <w:right w:val="nil"/>
            </w:tcBorders>
          </w:tcPr>
          <w:p>
            <w:pPr>
              <w:keepNext/>
              <w:pageBreakBefore w:val="0"/>
            </w:pPr>
          </w:p>
        </w:tc>
        <w:tc>
          <w:tcPr>
            <w:tcW w:w="795" w:type="dxa"/>
            <w:vMerge/>
            <w:tcBorders>
              <w:top w:val="nil"/>
              <w:left w:val="single" w:sz="4" w:space="0" w:color="FFFFFF"/>
              <w:bottom w:val="single" w:sz="2" w:space="0" w:color="000000"/>
              <w:right w:val="nil"/>
            </w:tcBorders>
          </w:tcPr>
          <w:p>
            <w:pPr>
              <w:keepNext/>
              <w:pageBreakBefore w:val="0"/>
            </w:pP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9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r>
      <w:tr>
        <w:tblPrEx>
          <w:tblW w:w="13410" w:type="dxa"/>
          <w:tblInd w:w="0" w:type="dxa"/>
          <w:tblLayout w:type="fixed"/>
        </w:tblPrEx>
        <w:trPr>
          <w:cantSplit/>
          <w:trHeight w:hRule="exact" w:val="60"/>
          <w:tblHeader/>
        </w:trPr>
        <w:tc>
          <w:tcPr>
            <w:tcW w:w="4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5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6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5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5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3410" w:type="dxa"/>
          <w:tblInd w:w="0" w:type="dxa"/>
          <w:tblLayout w:type="fixed"/>
        </w:tblPrEx>
        <w:trPr>
          <w:cantSplit/>
          <w:trHeight w:hRule="auto" w:val="0"/>
          <w:tblHeader/>
        </w:trPr>
        <w:tc>
          <w:tcPr>
            <w:tcW w:w="4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77.465.741-K</w:t>
            </w:r>
          </w:p>
        </w:tc>
        <w:tc>
          <w:tcPr>
            <w:tcW w:w="15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CGE Transmisión S.A.</w:t>
            </w:r>
          </w:p>
        </w:tc>
        <w:tc>
          <w:tcPr>
            <w:tcW w:w="16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Scotiabank Chile</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CL $</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5,23 %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5,23 %</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Sin Garantía</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180.620</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40.000.000</w:t>
            </w:r>
          </w:p>
        </w:tc>
        <w:tc>
          <w:tcPr>
            <w:tcW w:w="795"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40.180.620</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r>
      <w:tr>
        <w:tblPrEx>
          <w:tblW w:w="13410" w:type="dxa"/>
          <w:tblInd w:w="0" w:type="dxa"/>
          <w:tblLayout w:type="fixed"/>
        </w:tblPrEx>
        <w:trPr>
          <w:cantSplit/>
          <w:trHeight w:hRule="auto" w:val="0"/>
          <w:tblHeader/>
        </w:trPr>
        <w:tc>
          <w:tcPr>
            <w:tcW w:w="4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77.465.741-K</w:t>
            </w:r>
          </w:p>
        </w:tc>
        <w:tc>
          <w:tcPr>
            <w:tcW w:w="15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CGE Transmisión S.A.</w:t>
            </w:r>
          </w:p>
        </w:tc>
        <w:tc>
          <w:tcPr>
            <w:tcW w:w="16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Banco de Crédito e Inversiones</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CL $</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5,57 %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5,35 %</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Sin Garantía</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69.855</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7.620.594</w:t>
            </w:r>
          </w:p>
        </w:tc>
        <w:tc>
          <w:tcPr>
            <w:tcW w:w="79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7.690.449</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r>
      <w:tr>
        <w:tblPrEx>
          <w:tblW w:w="13410" w:type="dxa"/>
          <w:tblInd w:w="0" w:type="dxa"/>
          <w:tblLayout w:type="fixed"/>
        </w:tblPrEx>
        <w:trPr>
          <w:cantSplit/>
          <w:trHeight w:hRule="auto" w:val="0"/>
          <w:tblHeader/>
        </w:trPr>
        <w:tc>
          <w:tcPr>
            <w:tcW w:w="4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77.465.741-K</w:t>
            </w:r>
          </w:p>
        </w:tc>
        <w:tc>
          <w:tcPr>
            <w:tcW w:w="15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CGE Transmisión S.A.</w:t>
            </w:r>
          </w:p>
        </w:tc>
        <w:tc>
          <w:tcPr>
            <w:tcW w:w="16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Banco Itaú Chile</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CL $</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5,41 %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5,15 %</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Sin Garantía</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216.771</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17.238.242</w:t>
            </w:r>
          </w:p>
        </w:tc>
        <w:tc>
          <w:tcPr>
            <w:tcW w:w="79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17.455.013</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r>
      <w:tr>
        <w:tblPrEx>
          <w:tblW w:w="13410" w:type="dxa"/>
          <w:tblInd w:w="0" w:type="dxa"/>
          <w:tblLayout w:type="fixed"/>
        </w:tblPrEx>
        <w:trPr>
          <w:cantSplit/>
          <w:trHeight w:hRule="auto" w:val="0"/>
          <w:tblHeader/>
        </w:trPr>
        <w:tc>
          <w:tcPr>
            <w:tcW w:w="4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77.465.741-K</w:t>
            </w:r>
          </w:p>
        </w:tc>
        <w:tc>
          <w:tcPr>
            <w:tcW w:w="15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CGE Transmisión S.A.</w:t>
            </w:r>
          </w:p>
        </w:tc>
        <w:tc>
          <w:tcPr>
            <w:tcW w:w="16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Banco Bice</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CL $</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5,54 %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5,29 %</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Sin Garantía</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314.111</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25.000.000</w:t>
            </w:r>
          </w:p>
        </w:tc>
        <w:tc>
          <w:tcPr>
            <w:tcW w:w="79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25.314.111</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r>
      <w:tr>
        <w:tblPrEx>
          <w:tblW w:w="13410" w:type="dxa"/>
          <w:tblInd w:w="0" w:type="dxa"/>
          <w:tblLayout w:type="fixed"/>
        </w:tblPrEx>
        <w:trPr>
          <w:cantSplit/>
          <w:trHeight w:hRule="auto" w:val="0"/>
        </w:trPr>
        <w:tc>
          <w:tcPr>
            <w:tcW w:w="4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77.465.741-K</w:t>
            </w:r>
          </w:p>
        </w:tc>
        <w:tc>
          <w:tcPr>
            <w:tcW w:w="15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CGE Transmisión S.A.</w:t>
            </w:r>
          </w:p>
        </w:tc>
        <w:tc>
          <w:tcPr>
            <w:tcW w:w="16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Banco Santander</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CL $</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5,28 %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5,18 %</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Sin Garantía</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5.578</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20.000.000</w:t>
            </w:r>
          </w:p>
        </w:tc>
        <w:tc>
          <w:tcPr>
            <w:tcW w:w="79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20.005.578</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r>
      <w:tr>
        <w:tblPrEx>
          <w:tblW w:w="13410" w:type="dxa"/>
          <w:tblInd w:w="0" w:type="dxa"/>
          <w:tblLayout w:type="fixed"/>
        </w:tblPrEx>
        <w:trPr>
          <w:cantSplit/>
          <w:trHeight w:hRule="auto" w:val="0"/>
        </w:trPr>
        <w:tc>
          <w:tcPr>
            <w:tcW w:w="4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77.465.741-K</w:t>
            </w:r>
          </w:p>
        </w:tc>
        <w:tc>
          <w:tcPr>
            <w:tcW w:w="15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CGE Transmisión S.A.</w:t>
            </w:r>
          </w:p>
        </w:tc>
        <w:tc>
          <w:tcPr>
            <w:tcW w:w="16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Banco Estado</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CL $</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5,48 %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5,39 %</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Sin Garantía</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96.617</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96.617</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14.999.951</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14.999.951</w:t>
            </w:r>
          </w:p>
        </w:tc>
      </w:tr>
      <w:tr>
        <w:tblPrEx>
          <w:tblW w:w="13410" w:type="dxa"/>
          <w:tblInd w:w="0" w:type="dxa"/>
          <w:tblLayout w:type="fixed"/>
        </w:tblPrEx>
        <w:trPr>
          <w:cantSplit/>
          <w:trHeight w:hRule="auto" w:val="0"/>
        </w:trPr>
        <w:tc>
          <w:tcPr>
            <w:tcW w:w="4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77.465.741-K</w:t>
            </w:r>
          </w:p>
        </w:tc>
        <w:tc>
          <w:tcPr>
            <w:tcW w:w="15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CGE Transmisión S.A.</w:t>
            </w:r>
          </w:p>
        </w:tc>
        <w:tc>
          <w:tcPr>
            <w:tcW w:w="16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Banco de Chile</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CL $</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5,85 %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5,59 %</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Sin Garantía</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221.784</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221.784</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22.425.095</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22.425.095</w:t>
            </w:r>
          </w:p>
        </w:tc>
      </w:tr>
      <w:tr>
        <w:tblPrEx>
          <w:tblW w:w="13410" w:type="dxa"/>
          <w:tblInd w:w="0" w:type="dxa"/>
          <w:tblLayout w:type="fixed"/>
        </w:tblPrEx>
        <w:trPr>
          <w:cantSplit/>
          <w:trHeight w:hRule="auto" w:val="0"/>
        </w:trPr>
        <w:tc>
          <w:tcPr>
            <w:tcW w:w="4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77.465.741-K</w:t>
            </w:r>
          </w:p>
        </w:tc>
        <w:tc>
          <w:tcPr>
            <w:tcW w:w="15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CGE Transmisión S.A.</w:t>
            </w:r>
          </w:p>
        </w:tc>
        <w:tc>
          <w:tcPr>
            <w:tcW w:w="16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Banco Estado</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CL $</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5,30 %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5,27 %</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Sin Garantía</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71.971</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71.971</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22.779.676</w:t>
            </w:r>
          </w:p>
        </w:tc>
        <w:tc>
          <w:tcPr>
            <w:tcW w:w="79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22.779.676</w:t>
            </w:r>
          </w:p>
        </w:tc>
      </w:tr>
      <w:tr>
        <w:tblPrEx>
          <w:tblW w:w="13410" w:type="dxa"/>
          <w:tblInd w:w="0" w:type="dxa"/>
          <w:tblLayout w:type="fixed"/>
        </w:tblPrEx>
        <w:trPr>
          <w:cantSplit/>
          <w:trHeight w:hRule="auto" w:val="0"/>
        </w:trPr>
        <w:tc>
          <w:tcPr>
            <w:tcW w:w="4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77.465.741-K</w:t>
            </w:r>
          </w:p>
        </w:tc>
        <w:tc>
          <w:tcPr>
            <w:tcW w:w="15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CGE Transmisión S.A.</w:t>
            </w:r>
          </w:p>
        </w:tc>
        <w:tc>
          <w:tcPr>
            <w:tcW w:w="16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Banco Estado</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CL $</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5,91 %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5,36 %</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Sin Garantía</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8.917</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15.000.000</w:t>
            </w:r>
          </w:p>
        </w:tc>
        <w:tc>
          <w:tcPr>
            <w:tcW w:w="79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15.008.917</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r>
      <w:tr>
        <w:tblPrEx>
          <w:tblW w:w="13410" w:type="dxa"/>
          <w:tblInd w:w="0" w:type="dxa"/>
          <w:tblLayout w:type="fixed"/>
        </w:tblPrEx>
        <w:trPr>
          <w:cantSplit/>
          <w:trHeight w:hRule="auto" w:val="0"/>
        </w:trPr>
        <w:tc>
          <w:tcPr>
            <w:tcW w:w="4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77.465.741-K</w:t>
            </w:r>
          </w:p>
        </w:tc>
        <w:tc>
          <w:tcPr>
            <w:tcW w:w="15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CGE Transmisión S.A.</w:t>
            </w:r>
          </w:p>
        </w:tc>
        <w:tc>
          <w:tcPr>
            <w:tcW w:w="16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China Construction Bank, Agencia en Chile</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CL $</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5,63 %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5,42 %</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Sin Garantía</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83.009</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9.076.932</w:t>
            </w:r>
          </w:p>
        </w:tc>
        <w:tc>
          <w:tcPr>
            <w:tcW w:w="79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9.159.941</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r>
      <w:tr>
        <w:tblPrEx>
          <w:tblW w:w="13410" w:type="dxa"/>
          <w:tblInd w:w="0" w:type="dxa"/>
          <w:tblLayout w:type="fixed"/>
        </w:tblPrEx>
        <w:trPr>
          <w:cantSplit/>
          <w:trHeight w:hRule="auto" w:val="0"/>
        </w:trPr>
        <w:tc>
          <w:tcPr>
            <w:tcW w:w="4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77.465.741-K</w:t>
            </w:r>
          </w:p>
        </w:tc>
        <w:tc>
          <w:tcPr>
            <w:tcW w:w="15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CGE Transmisión S.A.</w:t>
            </w:r>
          </w:p>
        </w:tc>
        <w:tc>
          <w:tcPr>
            <w:tcW w:w="16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Scotiabank Chile</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CL $</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5,23 %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5,23 %</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Sin Garantía</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21.850.261</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21.850.261</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r>
      <w:tr>
        <w:tblPrEx>
          <w:tblW w:w="13410" w:type="dxa"/>
          <w:tblInd w:w="0" w:type="dxa"/>
          <w:tblLayout w:type="fixed"/>
        </w:tblPrEx>
        <w:trPr>
          <w:cantSplit/>
          <w:trHeight w:hRule="auto" w:val="0"/>
        </w:trPr>
        <w:tc>
          <w:tcPr>
            <w:tcW w:w="4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77.465.741-K</w:t>
            </w:r>
          </w:p>
        </w:tc>
        <w:tc>
          <w:tcPr>
            <w:tcW w:w="15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CGE Transmisión S.A.</w:t>
            </w:r>
          </w:p>
        </w:tc>
        <w:tc>
          <w:tcPr>
            <w:tcW w:w="16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Scotiabank Chile</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CL $</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5,23 %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5,19 %</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Sin Garantía</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10.903.055</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10.903.055</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r>
      <w:tr>
        <w:tblPrEx>
          <w:tblW w:w="13410" w:type="dxa"/>
          <w:tblInd w:w="0" w:type="dxa"/>
          <w:tblLayout w:type="fixed"/>
        </w:tblPrEx>
        <w:trPr>
          <w:cantSplit/>
          <w:trHeight w:hRule="auto" w:val="0"/>
        </w:trPr>
        <w:tc>
          <w:tcPr>
            <w:tcW w:w="4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77.465.741-K</w:t>
            </w:r>
          </w:p>
        </w:tc>
        <w:tc>
          <w:tcPr>
            <w:tcW w:w="15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CGE Transmisión S.A.</w:t>
            </w:r>
          </w:p>
        </w:tc>
        <w:tc>
          <w:tcPr>
            <w:tcW w:w="16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Banco Estado</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CL $</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5,37 %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5,27 %</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Sin Garantía</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35.766</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35.766</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48.957.261</w:t>
            </w:r>
          </w:p>
        </w:tc>
        <w:tc>
          <w:tcPr>
            <w:tcW w:w="79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48.957.261</w:t>
            </w:r>
          </w:p>
        </w:tc>
      </w:tr>
      <w:tr>
        <w:tblPrEx>
          <w:tblW w:w="13410" w:type="dxa"/>
          <w:tblInd w:w="0" w:type="dxa"/>
          <w:tblLayout w:type="fixed"/>
        </w:tblPrEx>
        <w:trPr>
          <w:cantSplit/>
          <w:trHeight w:hRule="auto" w:val="0"/>
        </w:trPr>
        <w:tc>
          <w:tcPr>
            <w:tcW w:w="4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77.465.741-K</w:t>
            </w:r>
          </w:p>
        </w:tc>
        <w:tc>
          <w:tcPr>
            <w:tcW w:w="15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CGE Transmisión S.A.</w:t>
            </w:r>
          </w:p>
        </w:tc>
        <w:tc>
          <w:tcPr>
            <w:tcW w:w="16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Banco de Crédito e Inversiones</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CL $</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5,34 %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5,23 %</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Sin Garantía</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9.241.233</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9.241.233</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r>
      <w:tr>
        <w:tblPrEx>
          <w:tblW w:w="13410" w:type="dxa"/>
          <w:tblInd w:w="0" w:type="dxa"/>
          <w:tblLayout w:type="fixed"/>
        </w:tblPrEx>
        <w:trPr>
          <w:cantSplit/>
          <w:trHeight w:hRule="auto" w:val="0"/>
        </w:trPr>
        <w:tc>
          <w:tcPr>
            <w:tcW w:w="4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77.465.741-K</w:t>
            </w:r>
          </w:p>
        </w:tc>
        <w:tc>
          <w:tcPr>
            <w:tcW w:w="15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CGE Transmisión S.A.</w:t>
            </w:r>
          </w:p>
        </w:tc>
        <w:tc>
          <w:tcPr>
            <w:tcW w:w="16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Banco de Crédito e Inversiones</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CL $</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5,26 %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5,21 %</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Sin Garantía</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10.039.356</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10.039.356</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r>
      <w:tr>
        <w:tblPrEx>
          <w:tblW w:w="13410" w:type="dxa"/>
          <w:tblInd w:w="0" w:type="dxa"/>
          <w:tblLayout w:type="fixed"/>
        </w:tblPrEx>
        <w:trPr>
          <w:cantSplit/>
          <w:trHeight w:hRule="auto" w:val="0"/>
        </w:trPr>
        <w:tc>
          <w:tcPr>
            <w:tcW w:w="4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77.465.741-K</w:t>
            </w:r>
          </w:p>
        </w:tc>
        <w:tc>
          <w:tcPr>
            <w:tcW w:w="15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CGE Transmisión S.A.</w:t>
            </w:r>
          </w:p>
        </w:tc>
        <w:tc>
          <w:tcPr>
            <w:tcW w:w="16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China Development Bank</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CNH $</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2,80 %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2,80 %</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Sin Garantía</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8.479</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1.695.708</w:t>
            </w:r>
          </w:p>
        </w:tc>
        <w:tc>
          <w:tcPr>
            <w:tcW w:w="79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1.704.187</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10.416.492</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10.416.492</w:t>
            </w:r>
          </w:p>
        </w:tc>
      </w:tr>
      <w:tr>
        <w:tblPrEx>
          <w:tblW w:w="13410" w:type="dxa"/>
          <w:tblInd w:w="0" w:type="dxa"/>
          <w:tblLayout w:type="fixed"/>
        </w:tblPrEx>
        <w:trPr>
          <w:cantSplit/>
          <w:trHeight w:hRule="auto" w:val="0"/>
        </w:trPr>
        <w:tc>
          <w:tcPr>
            <w:tcW w:w="4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77.465.741-K</w:t>
            </w:r>
          </w:p>
        </w:tc>
        <w:tc>
          <w:tcPr>
            <w:tcW w:w="15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CGE Transmisión S.A.</w:t>
            </w:r>
          </w:p>
        </w:tc>
        <w:tc>
          <w:tcPr>
            <w:tcW w:w="16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China Construction Bank - Asia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US $</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5,74 %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4,85 %</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Sin Garantía</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688.707</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69.412.909</w:t>
            </w:r>
          </w:p>
        </w:tc>
        <w:tc>
          <w:tcPr>
            <w:tcW w:w="79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70.101.616</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r>
      <w:tr>
        <w:tblPrEx>
          <w:tblW w:w="13410" w:type="dxa"/>
          <w:tblInd w:w="0" w:type="dxa"/>
          <w:tblLayout w:type="fixed"/>
        </w:tblPrEx>
        <w:trPr>
          <w:cantSplit/>
          <w:trHeight w:hRule="auto" w:val="0"/>
        </w:trPr>
        <w:tc>
          <w:tcPr>
            <w:tcW w:w="4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77.465.741-K</w:t>
            </w:r>
          </w:p>
        </w:tc>
        <w:tc>
          <w:tcPr>
            <w:tcW w:w="15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CGE Transmisión S.A.</w:t>
            </w:r>
          </w:p>
        </w:tc>
        <w:tc>
          <w:tcPr>
            <w:tcW w:w="16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China Construction Bank - Asia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CNH $</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3,63 %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2,78 %</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Sin Garantía</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33.256</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10.742.410</w:t>
            </w:r>
          </w:p>
        </w:tc>
        <w:tc>
          <w:tcPr>
            <w:tcW w:w="79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10.775.666</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r>
      <w:tr>
        <w:tblPrEx>
          <w:tblW w:w="13410" w:type="dxa"/>
          <w:tblInd w:w="0" w:type="dxa"/>
          <w:tblLayout w:type="fixed"/>
        </w:tblPrEx>
        <w:trPr>
          <w:cantSplit/>
          <w:trHeight w:hRule="auto" w:val="0"/>
        </w:trPr>
        <w:tc>
          <w:tcPr>
            <w:tcW w:w="4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77.465.741-K</w:t>
            </w:r>
          </w:p>
        </w:tc>
        <w:tc>
          <w:tcPr>
            <w:tcW w:w="15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CGE Transmisión S.A.</w:t>
            </w:r>
          </w:p>
        </w:tc>
        <w:tc>
          <w:tcPr>
            <w:tcW w:w="16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China Construction Bank - Asia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US $</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5,06 %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4,19 %</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Sin Garantía</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19.405</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11.884.088</w:t>
            </w:r>
          </w:p>
        </w:tc>
        <w:tc>
          <w:tcPr>
            <w:tcW w:w="79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11.903.493</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r>
      <w:tr>
        <w:tblPrEx>
          <w:tblW w:w="13410" w:type="dxa"/>
          <w:tblInd w:w="0" w:type="dxa"/>
          <w:tblLayout w:type="fixed"/>
        </w:tblPrEx>
        <w:trPr>
          <w:cantSplit/>
          <w:trHeight w:hRule="auto" w:val="0"/>
        </w:trPr>
        <w:tc>
          <w:tcPr>
            <w:tcW w:w="4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77.465.741-K</w:t>
            </w:r>
          </w:p>
        </w:tc>
        <w:tc>
          <w:tcPr>
            <w:tcW w:w="15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CGE Transmisión S.A.</w:t>
            </w:r>
          </w:p>
        </w:tc>
        <w:tc>
          <w:tcPr>
            <w:tcW w:w="16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Banco de Crédito e Inversiones</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CL $</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5,34 %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5,23 %</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Sin Garantía</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54.944.628</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54.944.628</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r>
      <w:tr>
        <w:tblPrEx>
          <w:tblW w:w="13410" w:type="dxa"/>
          <w:tblInd w:w="0" w:type="dxa"/>
          <w:tblLayout w:type="fixed"/>
        </w:tblPrEx>
        <w:trPr>
          <w:cantSplit/>
          <w:trHeight w:hRule="auto" w:val="0"/>
        </w:trPr>
        <w:tc>
          <w:tcPr>
            <w:tcW w:w="4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77.465.741-K</w:t>
            </w:r>
          </w:p>
        </w:tc>
        <w:tc>
          <w:tcPr>
            <w:tcW w:w="15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CGE Transmisión S.A.</w:t>
            </w:r>
          </w:p>
        </w:tc>
        <w:tc>
          <w:tcPr>
            <w:tcW w:w="16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Scotiabank Chile</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CL $</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5,21 %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5,20 %</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Sin Garantía</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16.438.774</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16.438.774</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r>
      <w:tr>
        <w:tblPrEx>
          <w:tblW w:w="13410" w:type="dxa"/>
          <w:tblInd w:w="0" w:type="dxa"/>
          <w:tblLayout w:type="fixed"/>
        </w:tblPrEx>
        <w:trPr>
          <w:cantSplit/>
          <w:trHeight w:hRule="auto" w:val="0"/>
        </w:trPr>
        <w:tc>
          <w:tcPr>
            <w:tcW w:w="4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77.465.741-K</w:t>
            </w:r>
          </w:p>
        </w:tc>
        <w:tc>
          <w:tcPr>
            <w:tcW w:w="15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CGE Transmisión S.A.</w:t>
            </w:r>
          </w:p>
        </w:tc>
        <w:tc>
          <w:tcPr>
            <w:tcW w:w="16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Banco de Crédito e Inversiones</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CL $</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5,23 %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5,21 %</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Sin Garantía</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21.902.262</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21.902.262</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r>
      <w:tr>
        <w:tblPrEx>
          <w:tblW w:w="13410" w:type="dxa"/>
          <w:tblInd w:w="0" w:type="dxa"/>
          <w:tblLayout w:type="fixed"/>
        </w:tblPrEx>
        <w:trPr>
          <w:cantSplit/>
          <w:trHeight w:hRule="auto" w:val="0"/>
        </w:trPr>
        <w:tc>
          <w:tcPr>
            <w:tcW w:w="4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77.465.741-K</w:t>
            </w:r>
          </w:p>
        </w:tc>
        <w:tc>
          <w:tcPr>
            <w:tcW w:w="15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CGE Transmisión S.A.</w:t>
            </w:r>
          </w:p>
        </w:tc>
        <w:tc>
          <w:tcPr>
            <w:tcW w:w="16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Bank of China Panama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CNH $</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2,82 %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2,05 %</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Sin Garantía</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19.403.610</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19.403.610</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r>
      <w:tr>
        <w:tblPrEx>
          <w:tblW w:w="13410" w:type="dxa"/>
          <w:tblInd w:w="0" w:type="dxa"/>
          <w:tblLayout w:type="fixed"/>
        </w:tblPrEx>
        <w:trPr>
          <w:cantSplit/>
          <w:trHeight w:hRule="auto" w:val="0"/>
        </w:trPr>
        <w:tc>
          <w:tcPr>
            <w:tcW w:w="4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77.465.741-K</w:t>
            </w:r>
          </w:p>
        </w:tc>
        <w:tc>
          <w:tcPr>
            <w:tcW w:w="15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CGE Transmisión S.A.</w:t>
            </w:r>
          </w:p>
        </w:tc>
        <w:tc>
          <w:tcPr>
            <w:tcW w:w="16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Banco de Chile</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CL $</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5,28 %</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5,26 %</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Sin Garantía</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73.811</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4" w:space="0" w:color="FFFFFF"/>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73.811</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20.000.000</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4" w:space="0" w:color="FFFFFF"/>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20.000.000</w:t>
            </w:r>
          </w:p>
        </w:tc>
      </w:tr>
      <w:tr>
        <w:tblPrEx>
          <w:tblW w:w="13410" w:type="dxa"/>
          <w:tblInd w:w="0" w:type="dxa"/>
          <w:tblLayout w:type="fixed"/>
        </w:tblPrEx>
        <w:trPr>
          <w:cantSplit/>
          <w:trHeight w:hRule="exact" w:val="60"/>
        </w:trPr>
        <w:tc>
          <w:tcPr>
            <w:tcW w:w="4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5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6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5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5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3410" w:type="dxa"/>
          <w:tblInd w:w="0" w:type="dxa"/>
          <w:tblLayout w:type="fixed"/>
        </w:tblPrEx>
        <w:trPr>
          <w:cantSplit/>
          <w:trHeight w:hRule="auto" w:val="0"/>
        </w:trPr>
        <w:tc>
          <w:tcPr>
            <w:tcW w:w="7845" w:type="dxa"/>
            <w:gridSpan w:val="9"/>
            <w:tcBorders>
              <w:top w:val="nil"/>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2"/>
                <w:u w:val="none"/>
              </w:rPr>
              <w:t>Totales</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1.594.237</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165.257.599</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227.670.883</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394.522.719</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67.841.538</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71.736.937</w:t>
            </w:r>
          </w:p>
        </w:tc>
        <w:tc>
          <w:tcPr>
            <w:tcW w:w="7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139.578.475</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Saldos al </w:t>
      </w:r>
      <w:r>
        <w:rPr>
          <w:rFonts w:ascii="Calibri" w:eastAsia="Calibri" w:hAnsi="Calibri" w:cs="Calibri"/>
          <w:b w:val="0"/>
          <w:i w:val="0"/>
          <w:color w:val="000000"/>
          <w:sz w:val="20"/>
          <w:u w:val="none"/>
        </w:rPr>
        <w:t>31 de diciembre de 2025</w:t>
      </w:r>
      <w:r>
        <w:rPr>
          <w:rFonts w:ascii="Calibri" w:eastAsia="Calibri" w:hAnsi="Calibri" w:cs="Calibri"/>
          <w:b w:val="0"/>
          <w:i w:val="0"/>
          <w:sz w:val="20"/>
        </w:rPr>
        <w:t>:</w:t>
      </w:r>
    </w:p>
    <w:p>
      <w:pPr>
        <w:keepNext/>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1341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05"/>
        <w:gridCol w:w="795"/>
        <w:gridCol w:w="1500"/>
        <w:gridCol w:w="1695"/>
        <w:gridCol w:w="600"/>
        <w:gridCol w:w="1005"/>
        <w:gridCol w:w="525"/>
        <w:gridCol w:w="525"/>
        <w:gridCol w:w="795"/>
        <w:gridCol w:w="795"/>
        <w:gridCol w:w="795"/>
        <w:gridCol w:w="795"/>
        <w:gridCol w:w="795"/>
        <w:gridCol w:w="795"/>
        <w:gridCol w:w="795"/>
        <w:gridCol w:w="795"/>
      </w:tblGrid>
      <w:tr>
        <w:tblPrEx>
          <w:tblW w:w="13410" w:type="dxa"/>
          <w:tblInd w:w="0" w:type="dxa"/>
          <w:tblLayout w:type="fixed"/>
        </w:tblPrEx>
        <w:trPr>
          <w:cantSplit/>
          <w:trHeight w:hRule="auto" w:val="0"/>
          <w:tblHeader/>
        </w:trPr>
        <w:tc>
          <w:tcPr>
            <w:tcW w:w="40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País</w:t>
            </w:r>
          </w:p>
        </w:tc>
        <w:tc>
          <w:tcPr>
            <w:tcW w:w="79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RUT Empresa Deudora</w:t>
            </w:r>
          </w:p>
        </w:tc>
        <w:tc>
          <w:tcPr>
            <w:tcW w:w="1500"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Sociedad deudora</w:t>
            </w:r>
          </w:p>
        </w:tc>
        <w:tc>
          <w:tcPr>
            <w:tcW w:w="169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Institución acreedora</w:t>
            </w:r>
          </w:p>
        </w:tc>
        <w:tc>
          <w:tcPr>
            <w:tcW w:w="600"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Moneda</w:t>
            </w:r>
          </w:p>
        </w:tc>
        <w:tc>
          <w:tcPr>
            <w:tcW w:w="100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Tipo de amortización</w:t>
            </w:r>
          </w:p>
        </w:tc>
        <w:tc>
          <w:tcPr>
            <w:tcW w:w="52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 xml:space="preserve">Tasa efectiva anual </w:t>
            </w:r>
          </w:p>
        </w:tc>
        <w:tc>
          <w:tcPr>
            <w:tcW w:w="52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Tasa nominal anual</w:t>
            </w:r>
          </w:p>
        </w:tc>
        <w:tc>
          <w:tcPr>
            <w:tcW w:w="795" w:type="dxa"/>
            <w:vMerge w:val="restart"/>
            <w:tcBorders>
              <w:top w:val="single" w:sz="2" w:space="0" w:color="000000"/>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Garantía</w:t>
            </w:r>
          </w:p>
        </w:tc>
        <w:tc>
          <w:tcPr>
            <w:tcW w:w="3180" w:type="dxa"/>
            <w:gridSpan w:val="4"/>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Corrientes</w:t>
            </w:r>
          </w:p>
        </w:tc>
        <w:tc>
          <w:tcPr>
            <w:tcW w:w="2385" w:type="dxa"/>
            <w:gridSpan w:val="3"/>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No Corrientes</w:t>
            </w:r>
          </w:p>
        </w:tc>
      </w:tr>
      <w:tr>
        <w:tblPrEx>
          <w:tblW w:w="13410" w:type="dxa"/>
          <w:tblInd w:w="0" w:type="dxa"/>
          <w:tblLayout w:type="fixed"/>
        </w:tblPrEx>
        <w:trPr>
          <w:cantSplit/>
          <w:trHeight w:hRule="auto" w:val="0"/>
          <w:tblHeader/>
        </w:trPr>
        <w:tc>
          <w:tcPr>
            <w:tcW w:w="405" w:type="dxa"/>
            <w:vMerge/>
            <w:tcBorders>
              <w:top w:val="nil"/>
              <w:left w:val="single" w:sz="2" w:space="0" w:color="000000"/>
              <w:bottom w:val="nil"/>
              <w:right w:val="nil"/>
            </w:tcBorders>
          </w:tcPr>
          <w:p>
            <w:pPr>
              <w:keepNext/>
              <w:pageBreakBefore w:val="0"/>
            </w:pPr>
          </w:p>
        </w:tc>
        <w:tc>
          <w:tcPr>
            <w:tcW w:w="795" w:type="dxa"/>
            <w:vMerge/>
            <w:tcBorders>
              <w:top w:val="nil"/>
              <w:left w:val="single" w:sz="4" w:space="0" w:color="FFFFFF"/>
              <w:bottom w:val="nil"/>
              <w:right w:val="nil"/>
            </w:tcBorders>
          </w:tcPr>
          <w:p>
            <w:pPr>
              <w:keepNext/>
              <w:pageBreakBefore w:val="0"/>
            </w:pPr>
          </w:p>
        </w:tc>
        <w:tc>
          <w:tcPr>
            <w:tcW w:w="1500" w:type="dxa"/>
            <w:vMerge/>
            <w:tcBorders>
              <w:top w:val="nil"/>
              <w:left w:val="single" w:sz="4" w:space="0" w:color="FFFFFF"/>
              <w:bottom w:val="nil"/>
              <w:right w:val="nil"/>
            </w:tcBorders>
          </w:tcPr>
          <w:p>
            <w:pPr>
              <w:keepNext/>
              <w:pageBreakBefore w:val="0"/>
            </w:pPr>
          </w:p>
        </w:tc>
        <w:tc>
          <w:tcPr>
            <w:tcW w:w="1695" w:type="dxa"/>
            <w:vMerge/>
            <w:tcBorders>
              <w:top w:val="nil"/>
              <w:left w:val="single" w:sz="4" w:space="0" w:color="FFFFFF"/>
              <w:bottom w:val="nil"/>
              <w:right w:val="nil"/>
            </w:tcBorders>
          </w:tcPr>
          <w:p>
            <w:pPr>
              <w:keepNext/>
              <w:pageBreakBefore w:val="0"/>
            </w:pPr>
          </w:p>
        </w:tc>
        <w:tc>
          <w:tcPr>
            <w:tcW w:w="600" w:type="dxa"/>
            <w:vMerge/>
            <w:tcBorders>
              <w:top w:val="nil"/>
              <w:left w:val="single" w:sz="4" w:space="0" w:color="FFFFFF"/>
              <w:bottom w:val="nil"/>
              <w:right w:val="nil"/>
            </w:tcBorders>
          </w:tcPr>
          <w:p>
            <w:pPr>
              <w:keepNext/>
              <w:pageBreakBefore w:val="0"/>
            </w:pPr>
          </w:p>
        </w:tc>
        <w:tc>
          <w:tcPr>
            <w:tcW w:w="1005" w:type="dxa"/>
            <w:vMerge/>
            <w:tcBorders>
              <w:top w:val="nil"/>
              <w:left w:val="single" w:sz="4" w:space="0" w:color="FFFFFF"/>
              <w:bottom w:val="nil"/>
              <w:right w:val="nil"/>
            </w:tcBorders>
          </w:tcPr>
          <w:p>
            <w:pPr>
              <w:keepNext/>
              <w:pageBreakBefore w:val="0"/>
            </w:pPr>
          </w:p>
        </w:tc>
        <w:tc>
          <w:tcPr>
            <w:tcW w:w="525" w:type="dxa"/>
            <w:vMerge/>
            <w:tcBorders>
              <w:top w:val="nil"/>
              <w:left w:val="single" w:sz="4" w:space="0" w:color="FFFFFF"/>
              <w:bottom w:val="nil"/>
              <w:right w:val="nil"/>
            </w:tcBorders>
          </w:tcPr>
          <w:p>
            <w:pPr>
              <w:keepNext/>
              <w:pageBreakBefore w:val="0"/>
            </w:pPr>
          </w:p>
        </w:tc>
        <w:tc>
          <w:tcPr>
            <w:tcW w:w="525" w:type="dxa"/>
            <w:vMerge/>
            <w:tcBorders>
              <w:top w:val="nil"/>
              <w:left w:val="single" w:sz="4" w:space="0" w:color="FFFFFF"/>
              <w:bottom w:val="nil"/>
              <w:right w:val="nil"/>
            </w:tcBorders>
          </w:tcPr>
          <w:p>
            <w:pPr>
              <w:keepNext/>
              <w:pageBreakBefore w:val="0"/>
            </w:pPr>
          </w:p>
        </w:tc>
        <w:tc>
          <w:tcPr>
            <w:tcW w:w="795" w:type="dxa"/>
            <w:vMerge/>
            <w:tcBorders>
              <w:top w:val="nil"/>
              <w:left w:val="single" w:sz="4" w:space="0" w:color="FFFFFF"/>
              <w:bottom w:val="nil"/>
              <w:right w:val="single" w:sz="4" w:space="0" w:color="FFFFFF"/>
            </w:tcBorders>
          </w:tcPr>
          <w:p>
            <w:pPr>
              <w:keepNext/>
              <w:pageBreakBefore w:val="0"/>
            </w:pPr>
          </w:p>
        </w:tc>
        <w:tc>
          <w:tcPr>
            <w:tcW w:w="2385" w:type="dxa"/>
            <w:gridSpan w:val="3"/>
            <w:tcBorders>
              <w:top w:val="nil"/>
              <w:left w:val="nil"/>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Vencimientos</w:t>
            </w:r>
          </w:p>
        </w:tc>
        <w:tc>
          <w:tcPr>
            <w:tcW w:w="795" w:type="dxa"/>
            <w:tcBorders>
              <w:top w:val="single" w:sz="4" w:space="0" w:color="FFFFFF"/>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Total corrientes</w:t>
            </w:r>
          </w:p>
        </w:tc>
        <w:tc>
          <w:tcPr>
            <w:tcW w:w="1590" w:type="dxa"/>
            <w:gridSpan w:val="2"/>
            <w:tcBorders>
              <w:top w:val="nil"/>
              <w:left w:val="nil"/>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Vencimientos</w:t>
            </w:r>
          </w:p>
        </w:tc>
        <w:tc>
          <w:tcPr>
            <w:tcW w:w="79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Total no corrientes</w:t>
            </w:r>
          </w:p>
        </w:tc>
      </w:tr>
      <w:tr>
        <w:tblPrEx>
          <w:tblW w:w="13410" w:type="dxa"/>
          <w:tblInd w:w="0" w:type="dxa"/>
          <w:tblLayout w:type="fixed"/>
        </w:tblPrEx>
        <w:trPr>
          <w:cantSplit/>
          <w:trHeight w:hRule="auto" w:val="0"/>
          <w:tblHeader/>
        </w:trPr>
        <w:tc>
          <w:tcPr>
            <w:tcW w:w="405" w:type="dxa"/>
            <w:vMerge/>
            <w:tcBorders>
              <w:top w:val="nil"/>
              <w:left w:val="single" w:sz="2" w:space="0" w:color="000000"/>
              <w:bottom w:val="nil"/>
              <w:right w:val="nil"/>
            </w:tcBorders>
          </w:tcPr>
          <w:p>
            <w:pPr>
              <w:keepNext/>
              <w:pageBreakBefore w:val="0"/>
            </w:pPr>
          </w:p>
        </w:tc>
        <w:tc>
          <w:tcPr>
            <w:tcW w:w="795" w:type="dxa"/>
            <w:vMerge/>
            <w:tcBorders>
              <w:top w:val="nil"/>
              <w:left w:val="single" w:sz="4" w:space="0" w:color="FFFFFF"/>
              <w:bottom w:val="nil"/>
              <w:right w:val="nil"/>
            </w:tcBorders>
          </w:tcPr>
          <w:p>
            <w:pPr>
              <w:keepNext/>
              <w:pageBreakBefore w:val="0"/>
            </w:pPr>
          </w:p>
        </w:tc>
        <w:tc>
          <w:tcPr>
            <w:tcW w:w="1500" w:type="dxa"/>
            <w:vMerge/>
            <w:tcBorders>
              <w:top w:val="nil"/>
              <w:left w:val="single" w:sz="4" w:space="0" w:color="FFFFFF"/>
              <w:bottom w:val="nil"/>
              <w:right w:val="nil"/>
            </w:tcBorders>
          </w:tcPr>
          <w:p>
            <w:pPr>
              <w:keepNext/>
              <w:pageBreakBefore w:val="0"/>
            </w:pPr>
          </w:p>
        </w:tc>
        <w:tc>
          <w:tcPr>
            <w:tcW w:w="1695" w:type="dxa"/>
            <w:vMerge/>
            <w:tcBorders>
              <w:top w:val="nil"/>
              <w:left w:val="single" w:sz="4" w:space="0" w:color="FFFFFF"/>
              <w:bottom w:val="nil"/>
              <w:right w:val="nil"/>
            </w:tcBorders>
          </w:tcPr>
          <w:p>
            <w:pPr>
              <w:keepNext/>
              <w:pageBreakBefore w:val="0"/>
            </w:pPr>
          </w:p>
        </w:tc>
        <w:tc>
          <w:tcPr>
            <w:tcW w:w="600" w:type="dxa"/>
            <w:vMerge/>
            <w:tcBorders>
              <w:top w:val="nil"/>
              <w:left w:val="single" w:sz="4" w:space="0" w:color="FFFFFF"/>
              <w:bottom w:val="nil"/>
              <w:right w:val="nil"/>
            </w:tcBorders>
          </w:tcPr>
          <w:p>
            <w:pPr>
              <w:keepNext/>
              <w:pageBreakBefore w:val="0"/>
            </w:pPr>
          </w:p>
        </w:tc>
        <w:tc>
          <w:tcPr>
            <w:tcW w:w="1005" w:type="dxa"/>
            <w:vMerge/>
            <w:tcBorders>
              <w:top w:val="nil"/>
              <w:left w:val="single" w:sz="4" w:space="0" w:color="FFFFFF"/>
              <w:bottom w:val="nil"/>
              <w:right w:val="nil"/>
            </w:tcBorders>
          </w:tcPr>
          <w:p>
            <w:pPr>
              <w:keepNext/>
              <w:pageBreakBefore w:val="0"/>
            </w:pPr>
          </w:p>
        </w:tc>
        <w:tc>
          <w:tcPr>
            <w:tcW w:w="525" w:type="dxa"/>
            <w:vMerge/>
            <w:tcBorders>
              <w:top w:val="nil"/>
              <w:left w:val="single" w:sz="4" w:space="0" w:color="FFFFFF"/>
              <w:bottom w:val="nil"/>
              <w:right w:val="nil"/>
            </w:tcBorders>
          </w:tcPr>
          <w:p>
            <w:pPr>
              <w:keepNext/>
              <w:pageBreakBefore w:val="0"/>
            </w:pPr>
          </w:p>
        </w:tc>
        <w:tc>
          <w:tcPr>
            <w:tcW w:w="525" w:type="dxa"/>
            <w:vMerge/>
            <w:tcBorders>
              <w:top w:val="nil"/>
              <w:left w:val="single" w:sz="4" w:space="0" w:color="FFFFFF"/>
              <w:bottom w:val="nil"/>
              <w:right w:val="nil"/>
            </w:tcBorders>
          </w:tcPr>
          <w:p>
            <w:pPr>
              <w:keepNext/>
              <w:pageBreakBefore w:val="0"/>
            </w:pPr>
          </w:p>
        </w:tc>
        <w:tc>
          <w:tcPr>
            <w:tcW w:w="795" w:type="dxa"/>
            <w:vMerge/>
            <w:tcBorders>
              <w:top w:val="nil"/>
              <w:left w:val="single" w:sz="4" w:space="0" w:color="FFFFFF"/>
              <w:bottom w:val="nil"/>
              <w:right w:val="nil"/>
            </w:tcBorders>
          </w:tcPr>
          <w:p>
            <w:pPr>
              <w:keepNext/>
              <w:pageBreakBefore w:val="0"/>
            </w:pPr>
          </w:p>
        </w:tc>
        <w:tc>
          <w:tcPr>
            <w:tcW w:w="79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hasta 1 mes</w:t>
            </w:r>
          </w:p>
        </w:tc>
        <w:tc>
          <w:tcPr>
            <w:tcW w:w="79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1 a 3 meses</w:t>
            </w:r>
          </w:p>
        </w:tc>
        <w:tc>
          <w:tcPr>
            <w:tcW w:w="79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 a 12 meses</w:t>
            </w:r>
          </w:p>
        </w:tc>
        <w:tc>
          <w:tcPr>
            <w:tcW w:w="79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31-12-2025</w:t>
            </w:r>
          </w:p>
        </w:tc>
        <w:tc>
          <w:tcPr>
            <w:tcW w:w="79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1 hasta 2 años</w:t>
            </w:r>
          </w:p>
        </w:tc>
        <w:tc>
          <w:tcPr>
            <w:tcW w:w="79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más de 2</w:t>
            </w:r>
            <w:r>
              <w:br/>
            </w:r>
            <w:r>
              <w:rPr>
                <w:rFonts w:ascii="Calibri" w:eastAsia="Calibri" w:hAnsi="Calibri" w:cs="Calibri"/>
                <w:b/>
                <w:i w:val="0"/>
                <w:color w:val="FFFFFF"/>
                <w:sz w:val="12"/>
                <w:u w:val="none"/>
              </w:rPr>
              <w:t>hasta 3 años</w:t>
            </w:r>
          </w:p>
        </w:tc>
        <w:tc>
          <w:tcPr>
            <w:tcW w:w="795"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31-12-2025</w:t>
            </w:r>
          </w:p>
        </w:tc>
      </w:tr>
      <w:tr>
        <w:tblPrEx>
          <w:tblW w:w="13410" w:type="dxa"/>
          <w:tblInd w:w="0" w:type="dxa"/>
          <w:tblLayout w:type="fixed"/>
        </w:tblPrEx>
        <w:trPr>
          <w:cantSplit/>
          <w:trHeight w:hRule="auto" w:val="0"/>
          <w:tblHeader/>
        </w:trPr>
        <w:tc>
          <w:tcPr>
            <w:tcW w:w="405" w:type="dxa"/>
            <w:vMerge/>
            <w:tcBorders>
              <w:top w:val="nil"/>
              <w:left w:val="single" w:sz="2" w:space="0" w:color="000000"/>
              <w:bottom w:val="single" w:sz="2" w:space="0" w:color="000000"/>
              <w:right w:val="nil"/>
            </w:tcBorders>
          </w:tcPr>
          <w:p>
            <w:pPr>
              <w:keepNext/>
              <w:pageBreakBefore w:val="0"/>
            </w:pPr>
          </w:p>
        </w:tc>
        <w:tc>
          <w:tcPr>
            <w:tcW w:w="795" w:type="dxa"/>
            <w:vMerge/>
            <w:tcBorders>
              <w:top w:val="nil"/>
              <w:left w:val="single" w:sz="4" w:space="0" w:color="FFFFFF"/>
              <w:bottom w:val="single" w:sz="2" w:space="0" w:color="000000"/>
              <w:right w:val="nil"/>
            </w:tcBorders>
          </w:tcPr>
          <w:p>
            <w:pPr>
              <w:keepNext/>
              <w:pageBreakBefore w:val="0"/>
            </w:pPr>
          </w:p>
        </w:tc>
        <w:tc>
          <w:tcPr>
            <w:tcW w:w="1500" w:type="dxa"/>
            <w:vMerge/>
            <w:tcBorders>
              <w:top w:val="nil"/>
              <w:left w:val="single" w:sz="4" w:space="0" w:color="FFFFFF"/>
              <w:bottom w:val="single" w:sz="2" w:space="0" w:color="000000"/>
              <w:right w:val="nil"/>
            </w:tcBorders>
          </w:tcPr>
          <w:p>
            <w:pPr>
              <w:keepNext/>
              <w:pageBreakBefore w:val="0"/>
            </w:pPr>
          </w:p>
        </w:tc>
        <w:tc>
          <w:tcPr>
            <w:tcW w:w="1695" w:type="dxa"/>
            <w:vMerge/>
            <w:tcBorders>
              <w:top w:val="nil"/>
              <w:left w:val="single" w:sz="4" w:space="0" w:color="FFFFFF"/>
              <w:bottom w:val="single" w:sz="2" w:space="0" w:color="000000"/>
              <w:right w:val="nil"/>
            </w:tcBorders>
          </w:tcPr>
          <w:p>
            <w:pPr>
              <w:keepNext/>
              <w:pageBreakBefore w:val="0"/>
            </w:pPr>
          </w:p>
        </w:tc>
        <w:tc>
          <w:tcPr>
            <w:tcW w:w="600" w:type="dxa"/>
            <w:vMerge/>
            <w:tcBorders>
              <w:top w:val="nil"/>
              <w:left w:val="single" w:sz="4" w:space="0" w:color="FFFFFF"/>
              <w:bottom w:val="single" w:sz="2" w:space="0" w:color="000000"/>
              <w:right w:val="nil"/>
            </w:tcBorders>
          </w:tcPr>
          <w:p>
            <w:pPr>
              <w:keepNext/>
              <w:pageBreakBefore w:val="0"/>
            </w:pPr>
          </w:p>
        </w:tc>
        <w:tc>
          <w:tcPr>
            <w:tcW w:w="1005" w:type="dxa"/>
            <w:vMerge/>
            <w:tcBorders>
              <w:top w:val="nil"/>
              <w:left w:val="single" w:sz="4" w:space="0" w:color="FFFFFF"/>
              <w:bottom w:val="single" w:sz="2" w:space="0" w:color="000000"/>
              <w:right w:val="nil"/>
            </w:tcBorders>
          </w:tcPr>
          <w:p>
            <w:pPr>
              <w:keepNext/>
              <w:pageBreakBefore w:val="0"/>
            </w:pPr>
          </w:p>
        </w:tc>
        <w:tc>
          <w:tcPr>
            <w:tcW w:w="525" w:type="dxa"/>
            <w:vMerge/>
            <w:tcBorders>
              <w:top w:val="nil"/>
              <w:left w:val="single" w:sz="4" w:space="0" w:color="FFFFFF"/>
              <w:bottom w:val="single" w:sz="2" w:space="0" w:color="000000"/>
              <w:right w:val="nil"/>
            </w:tcBorders>
          </w:tcPr>
          <w:p>
            <w:pPr>
              <w:keepNext/>
              <w:pageBreakBefore w:val="0"/>
            </w:pPr>
          </w:p>
        </w:tc>
        <w:tc>
          <w:tcPr>
            <w:tcW w:w="525" w:type="dxa"/>
            <w:vMerge/>
            <w:tcBorders>
              <w:top w:val="nil"/>
              <w:left w:val="single" w:sz="4" w:space="0" w:color="FFFFFF"/>
              <w:bottom w:val="single" w:sz="2" w:space="0" w:color="000000"/>
              <w:right w:val="nil"/>
            </w:tcBorders>
          </w:tcPr>
          <w:p>
            <w:pPr>
              <w:keepNext/>
              <w:pageBreakBefore w:val="0"/>
            </w:pPr>
          </w:p>
        </w:tc>
        <w:tc>
          <w:tcPr>
            <w:tcW w:w="795" w:type="dxa"/>
            <w:vMerge/>
            <w:tcBorders>
              <w:top w:val="nil"/>
              <w:left w:val="single" w:sz="4" w:space="0" w:color="FFFFFF"/>
              <w:bottom w:val="single" w:sz="2" w:space="0" w:color="000000"/>
              <w:right w:val="nil"/>
            </w:tcBorders>
          </w:tcPr>
          <w:p>
            <w:pPr>
              <w:keepNext/>
              <w:pageBreakBefore w:val="0"/>
            </w:pP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9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r>
      <w:tr>
        <w:tblPrEx>
          <w:tblW w:w="13410" w:type="dxa"/>
          <w:tblInd w:w="0" w:type="dxa"/>
          <w:tblLayout w:type="fixed"/>
        </w:tblPrEx>
        <w:trPr>
          <w:cantSplit/>
          <w:trHeight w:hRule="exact" w:val="60"/>
          <w:tblHeader/>
        </w:trPr>
        <w:tc>
          <w:tcPr>
            <w:tcW w:w="4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5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6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5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5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3410" w:type="dxa"/>
          <w:tblInd w:w="0" w:type="dxa"/>
          <w:tblLayout w:type="fixed"/>
        </w:tblPrEx>
        <w:trPr>
          <w:cantSplit/>
          <w:trHeight w:hRule="auto" w:val="0"/>
          <w:tblHeader/>
        </w:trPr>
        <w:tc>
          <w:tcPr>
            <w:tcW w:w="4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77.465.741-K</w:t>
            </w:r>
          </w:p>
        </w:tc>
        <w:tc>
          <w:tcPr>
            <w:tcW w:w="15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CGE Transmisión S.A.</w:t>
            </w:r>
          </w:p>
        </w:tc>
        <w:tc>
          <w:tcPr>
            <w:tcW w:w="16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Scotiabank Chile</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CL $</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5,23%</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5,23%</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Sin Garantía</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197.578</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40.000.000</w:t>
            </w:r>
          </w:p>
        </w:tc>
        <w:tc>
          <w:tcPr>
            <w:tcW w:w="795"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40.197.578</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r>
      <w:tr>
        <w:tblPrEx>
          <w:tblW w:w="13410" w:type="dxa"/>
          <w:tblInd w:w="0" w:type="dxa"/>
          <w:tblLayout w:type="fixed"/>
        </w:tblPrEx>
        <w:trPr>
          <w:cantSplit/>
          <w:trHeight w:hRule="auto" w:val="0"/>
          <w:tblHeader/>
        </w:trPr>
        <w:tc>
          <w:tcPr>
            <w:tcW w:w="4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77.465.741-K</w:t>
            </w:r>
          </w:p>
        </w:tc>
        <w:tc>
          <w:tcPr>
            <w:tcW w:w="15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CGE Transmisión S.A.</w:t>
            </w:r>
          </w:p>
        </w:tc>
        <w:tc>
          <w:tcPr>
            <w:tcW w:w="16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Banco de Crédito e Inversiones</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CL $</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5,35%</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5,35%</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Sin Garantía</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7.697.604</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7.697.604</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r>
      <w:tr>
        <w:tblPrEx>
          <w:tblW w:w="13410" w:type="dxa"/>
          <w:tblInd w:w="0" w:type="dxa"/>
          <w:tblLayout w:type="fixed"/>
        </w:tblPrEx>
        <w:trPr>
          <w:cantSplit/>
          <w:trHeight w:hRule="auto" w:val="0"/>
          <w:tblHeader/>
        </w:trPr>
        <w:tc>
          <w:tcPr>
            <w:tcW w:w="4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77.465.741-K</w:t>
            </w:r>
          </w:p>
        </w:tc>
        <w:tc>
          <w:tcPr>
            <w:tcW w:w="15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CGE Transmisión S.A.</w:t>
            </w:r>
          </w:p>
        </w:tc>
        <w:tc>
          <w:tcPr>
            <w:tcW w:w="16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Banco Itaú Chile</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CL $</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5,15%</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5,15%</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Sin Garantía</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226.875</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17.238.241</w:t>
            </w:r>
          </w:p>
        </w:tc>
        <w:tc>
          <w:tcPr>
            <w:tcW w:w="79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17.465.116</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r>
      <w:tr>
        <w:tblPrEx>
          <w:tblW w:w="13410" w:type="dxa"/>
          <w:tblInd w:w="0" w:type="dxa"/>
          <w:tblLayout w:type="fixed"/>
        </w:tblPrEx>
        <w:trPr>
          <w:cantSplit/>
          <w:trHeight w:hRule="auto" w:val="0"/>
          <w:tblHeader/>
        </w:trPr>
        <w:tc>
          <w:tcPr>
            <w:tcW w:w="4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77.465.741-K</w:t>
            </w:r>
          </w:p>
        </w:tc>
        <w:tc>
          <w:tcPr>
            <w:tcW w:w="15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CGE Transmisión S.A.</w:t>
            </w:r>
          </w:p>
        </w:tc>
        <w:tc>
          <w:tcPr>
            <w:tcW w:w="16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Banco Bice</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CL $</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5,29%</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5,29%</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Sin Garantía</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330.625</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25.000.000</w:t>
            </w:r>
          </w:p>
        </w:tc>
        <w:tc>
          <w:tcPr>
            <w:tcW w:w="79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25.330.625</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r>
      <w:tr>
        <w:tblPrEx>
          <w:tblW w:w="13410" w:type="dxa"/>
          <w:tblInd w:w="0" w:type="dxa"/>
          <w:tblLayout w:type="fixed"/>
        </w:tblPrEx>
        <w:trPr>
          <w:cantSplit/>
          <w:trHeight w:hRule="auto" w:val="0"/>
        </w:trPr>
        <w:tc>
          <w:tcPr>
            <w:tcW w:w="4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77.465.741-K</w:t>
            </w:r>
          </w:p>
        </w:tc>
        <w:tc>
          <w:tcPr>
            <w:tcW w:w="15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CGE Transmisión S.A.</w:t>
            </w:r>
          </w:p>
        </w:tc>
        <w:tc>
          <w:tcPr>
            <w:tcW w:w="16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Banco Santander</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CL $</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5,18%</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5,18%</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Sin Garantía</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20.005.756</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20.005.756</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r>
      <w:tr>
        <w:tblPrEx>
          <w:tblW w:w="13410" w:type="dxa"/>
          <w:tblInd w:w="0" w:type="dxa"/>
          <w:tblLayout w:type="fixed"/>
        </w:tblPrEx>
        <w:trPr>
          <w:cantSplit/>
          <w:trHeight w:hRule="auto" w:val="0"/>
        </w:trPr>
        <w:tc>
          <w:tcPr>
            <w:tcW w:w="4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77.465.741-K</w:t>
            </w:r>
          </w:p>
        </w:tc>
        <w:tc>
          <w:tcPr>
            <w:tcW w:w="15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CGE Transmisión S.A.</w:t>
            </w:r>
          </w:p>
        </w:tc>
        <w:tc>
          <w:tcPr>
            <w:tcW w:w="16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Banco Estado</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CL $</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5,48%</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5,39%</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Sin Garantía</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103.308</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103.308</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14.999.943</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14.999.943</w:t>
            </w:r>
          </w:p>
        </w:tc>
      </w:tr>
      <w:tr>
        <w:tblPrEx>
          <w:tblW w:w="13410" w:type="dxa"/>
          <w:tblInd w:w="0" w:type="dxa"/>
          <w:tblLayout w:type="fixed"/>
        </w:tblPrEx>
        <w:trPr>
          <w:cantSplit/>
          <w:trHeight w:hRule="auto" w:val="0"/>
        </w:trPr>
        <w:tc>
          <w:tcPr>
            <w:tcW w:w="4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77.465.741-K</w:t>
            </w:r>
          </w:p>
        </w:tc>
        <w:tc>
          <w:tcPr>
            <w:tcW w:w="15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CGE Transmisión S.A.</w:t>
            </w:r>
          </w:p>
        </w:tc>
        <w:tc>
          <w:tcPr>
            <w:tcW w:w="16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Banco de Chile</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CL $</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5,59%</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5,59%</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Sin Garantía</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22.672.325</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22.672.325</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r>
      <w:tr>
        <w:tblPrEx>
          <w:tblW w:w="13410" w:type="dxa"/>
          <w:tblInd w:w="0" w:type="dxa"/>
          <w:tblLayout w:type="fixed"/>
        </w:tblPrEx>
        <w:trPr>
          <w:cantSplit/>
          <w:trHeight w:hRule="auto" w:val="0"/>
        </w:trPr>
        <w:tc>
          <w:tcPr>
            <w:tcW w:w="4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77.465.741-K</w:t>
            </w:r>
          </w:p>
        </w:tc>
        <w:tc>
          <w:tcPr>
            <w:tcW w:w="15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CGE Transmisión S.A.</w:t>
            </w:r>
          </w:p>
        </w:tc>
        <w:tc>
          <w:tcPr>
            <w:tcW w:w="16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Banco Estado</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CL $</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5,27%</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5,27%</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Sin Garantía</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22.853.039</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22.853.039</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r>
      <w:tr>
        <w:tblPrEx>
          <w:tblW w:w="13410" w:type="dxa"/>
          <w:tblInd w:w="0" w:type="dxa"/>
          <w:tblLayout w:type="fixed"/>
        </w:tblPrEx>
        <w:trPr>
          <w:cantSplit/>
          <w:trHeight w:hRule="auto" w:val="0"/>
        </w:trPr>
        <w:tc>
          <w:tcPr>
            <w:tcW w:w="4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77.465.741-K</w:t>
            </w:r>
          </w:p>
        </w:tc>
        <w:tc>
          <w:tcPr>
            <w:tcW w:w="15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CGE Transmisión S.A.</w:t>
            </w:r>
          </w:p>
        </w:tc>
        <w:tc>
          <w:tcPr>
            <w:tcW w:w="16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Banco Estado</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CL $</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5,36%</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5,36%</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Sin Garantía</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8.933</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15.000.000</w:t>
            </w:r>
          </w:p>
        </w:tc>
        <w:tc>
          <w:tcPr>
            <w:tcW w:w="79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15.008.933</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r>
      <w:tr>
        <w:tblPrEx>
          <w:tblW w:w="13410" w:type="dxa"/>
          <w:tblInd w:w="0" w:type="dxa"/>
          <w:tblLayout w:type="fixed"/>
        </w:tblPrEx>
        <w:trPr>
          <w:cantSplit/>
          <w:trHeight w:hRule="auto" w:val="0"/>
        </w:trPr>
        <w:tc>
          <w:tcPr>
            <w:tcW w:w="4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77.465.741-K</w:t>
            </w:r>
          </w:p>
        </w:tc>
        <w:tc>
          <w:tcPr>
            <w:tcW w:w="15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CGE Transmisión S.A.</w:t>
            </w:r>
          </w:p>
        </w:tc>
        <w:tc>
          <w:tcPr>
            <w:tcW w:w="16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China Construction Bank, Agencia en Chile</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CL $</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5,42%</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5,42%</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Sin Garantía</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87.461</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87.461</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9.076.932</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9.076.932</w:t>
            </w:r>
          </w:p>
        </w:tc>
      </w:tr>
      <w:tr>
        <w:tblPrEx>
          <w:tblW w:w="13410" w:type="dxa"/>
          <w:tblInd w:w="0" w:type="dxa"/>
          <w:tblLayout w:type="fixed"/>
        </w:tblPrEx>
        <w:trPr>
          <w:cantSplit/>
          <w:trHeight w:hRule="auto" w:val="0"/>
        </w:trPr>
        <w:tc>
          <w:tcPr>
            <w:tcW w:w="4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77.465.741-K</w:t>
            </w:r>
          </w:p>
        </w:tc>
        <w:tc>
          <w:tcPr>
            <w:tcW w:w="15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CGE Transmisión S.A.</w:t>
            </w:r>
          </w:p>
        </w:tc>
        <w:tc>
          <w:tcPr>
            <w:tcW w:w="16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Scotiabank Chile</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CL $</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5,23%</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5,23%</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Sin Garantía</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107.443</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21.752.038</w:t>
            </w:r>
          </w:p>
        </w:tc>
        <w:tc>
          <w:tcPr>
            <w:tcW w:w="79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21.859.481</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r>
      <w:tr>
        <w:tblPrEx>
          <w:tblW w:w="13410" w:type="dxa"/>
          <w:tblInd w:w="0" w:type="dxa"/>
          <w:tblLayout w:type="fixed"/>
        </w:tblPrEx>
        <w:trPr>
          <w:cantSplit/>
          <w:trHeight w:hRule="auto" w:val="0"/>
        </w:trPr>
        <w:tc>
          <w:tcPr>
            <w:tcW w:w="4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77.465.741-K</w:t>
            </w:r>
          </w:p>
        </w:tc>
        <w:tc>
          <w:tcPr>
            <w:tcW w:w="15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CGE Transmisión S.A.</w:t>
            </w:r>
          </w:p>
        </w:tc>
        <w:tc>
          <w:tcPr>
            <w:tcW w:w="16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Scotiabank Chile</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CL $</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5,19%</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5,19%</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Sin Garantía</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29.786</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10.873.958</w:t>
            </w:r>
          </w:p>
        </w:tc>
        <w:tc>
          <w:tcPr>
            <w:tcW w:w="79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10.903.744</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r>
      <w:tr>
        <w:tblPrEx>
          <w:tblW w:w="13410" w:type="dxa"/>
          <w:tblInd w:w="0" w:type="dxa"/>
          <w:tblLayout w:type="fixed"/>
        </w:tblPrEx>
        <w:trPr>
          <w:cantSplit/>
          <w:trHeight w:hRule="auto" w:val="0"/>
        </w:trPr>
        <w:tc>
          <w:tcPr>
            <w:tcW w:w="4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77.465.741-K</w:t>
            </w:r>
          </w:p>
        </w:tc>
        <w:tc>
          <w:tcPr>
            <w:tcW w:w="15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CGE Transmisión S.A.</w:t>
            </w:r>
          </w:p>
        </w:tc>
        <w:tc>
          <w:tcPr>
            <w:tcW w:w="16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Banco Estado</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CL $</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5,27%</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5,27%</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Sin Garantía</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35.834</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35.834</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48.957.261</w:t>
            </w:r>
          </w:p>
        </w:tc>
        <w:tc>
          <w:tcPr>
            <w:tcW w:w="79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48.957.261</w:t>
            </w:r>
          </w:p>
        </w:tc>
      </w:tr>
      <w:tr>
        <w:tblPrEx>
          <w:tblW w:w="13410" w:type="dxa"/>
          <w:tblInd w:w="0" w:type="dxa"/>
          <w:tblLayout w:type="fixed"/>
        </w:tblPrEx>
        <w:trPr>
          <w:cantSplit/>
          <w:trHeight w:hRule="auto" w:val="0"/>
        </w:trPr>
        <w:tc>
          <w:tcPr>
            <w:tcW w:w="4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77.465.741-K</w:t>
            </w:r>
          </w:p>
        </w:tc>
        <w:tc>
          <w:tcPr>
            <w:tcW w:w="15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CGE Transmisión S.A.</w:t>
            </w:r>
          </w:p>
        </w:tc>
        <w:tc>
          <w:tcPr>
            <w:tcW w:w="16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Banco de Crédito e Inversiones</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CL $</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5,23%</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5,23%</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Sin Garantía</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79.892</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9.165.481</w:t>
            </w:r>
          </w:p>
        </w:tc>
        <w:tc>
          <w:tcPr>
            <w:tcW w:w="79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9.245.373</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r>
      <w:tr>
        <w:tblPrEx>
          <w:tblW w:w="13410" w:type="dxa"/>
          <w:tblInd w:w="0" w:type="dxa"/>
          <w:tblLayout w:type="fixed"/>
        </w:tblPrEx>
        <w:trPr>
          <w:cantSplit/>
          <w:trHeight w:hRule="auto" w:val="0"/>
        </w:trPr>
        <w:tc>
          <w:tcPr>
            <w:tcW w:w="4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77.465.741-K</w:t>
            </w:r>
          </w:p>
        </w:tc>
        <w:tc>
          <w:tcPr>
            <w:tcW w:w="15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CGE Transmisión S.A.</w:t>
            </w:r>
          </w:p>
        </w:tc>
        <w:tc>
          <w:tcPr>
            <w:tcW w:w="16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Banco de Crédito e Inversiones</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CL $</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5,21%</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5,21%</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Sin Garantía</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41.969</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10.000.000</w:t>
            </w:r>
          </w:p>
        </w:tc>
        <w:tc>
          <w:tcPr>
            <w:tcW w:w="79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10.041.969</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r>
      <w:tr>
        <w:tblPrEx>
          <w:tblW w:w="13410" w:type="dxa"/>
          <w:tblInd w:w="0" w:type="dxa"/>
          <w:tblLayout w:type="fixed"/>
        </w:tblPrEx>
        <w:trPr>
          <w:cantSplit/>
          <w:trHeight w:hRule="auto" w:val="0"/>
        </w:trPr>
        <w:tc>
          <w:tcPr>
            <w:tcW w:w="4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77.465.741-K</w:t>
            </w:r>
          </w:p>
        </w:tc>
        <w:tc>
          <w:tcPr>
            <w:tcW w:w="15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CGE Transmisión S.A.</w:t>
            </w:r>
          </w:p>
        </w:tc>
        <w:tc>
          <w:tcPr>
            <w:tcW w:w="16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China Development Bank</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CNH $</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2,80%</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2,80%</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Sin Garantía</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92.002</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819.819</w:t>
            </w:r>
          </w:p>
        </w:tc>
        <w:tc>
          <w:tcPr>
            <w:tcW w:w="79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911.821</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10.891.881</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10.891.881</w:t>
            </w:r>
          </w:p>
        </w:tc>
      </w:tr>
      <w:tr>
        <w:tblPrEx>
          <w:tblW w:w="13410" w:type="dxa"/>
          <w:tblInd w:w="0" w:type="dxa"/>
          <w:tblLayout w:type="fixed"/>
        </w:tblPrEx>
        <w:trPr>
          <w:cantSplit/>
          <w:trHeight w:hRule="auto" w:val="0"/>
        </w:trPr>
        <w:tc>
          <w:tcPr>
            <w:tcW w:w="4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77.465.741-K</w:t>
            </w:r>
          </w:p>
        </w:tc>
        <w:tc>
          <w:tcPr>
            <w:tcW w:w="15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CGE Transmisión S.A.</w:t>
            </w:r>
          </w:p>
        </w:tc>
        <w:tc>
          <w:tcPr>
            <w:tcW w:w="16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China Construction Bank - Asia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US $</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5,74%</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4,85%</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Sin Garantía</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763.745</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68.122.329</w:t>
            </w:r>
          </w:p>
        </w:tc>
        <w:tc>
          <w:tcPr>
            <w:tcW w:w="79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68.886.074</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r>
      <w:tr>
        <w:tblPrEx>
          <w:tblW w:w="13410" w:type="dxa"/>
          <w:tblInd w:w="0" w:type="dxa"/>
          <w:tblLayout w:type="fixed"/>
        </w:tblPrEx>
        <w:trPr>
          <w:cantSplit/>
          <w:trHeight w:hRule="auto" w:val="0"/>
        </w:trPr>
        <w:tc>
          <w:tcPr>
            <w:tcW w:w="4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77.465.741-K</w:t>
            </w:r>
          </w:p>
        </w:tc>
        <w:tc>
          <w:tcPr>
            <w:tcW w:w="15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CGE Transmisión S.A.</w:t>
            </w:r>
          </w:p>
        </w:tc>
        <w:tc>
          <w:tcPr>
            <w:tcW w:w="16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China Construction Bank - Asia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CNH $</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3,63%</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2,78%</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Sin Garantía</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33.764</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10.375.107</w:t>
            </w:r>
          </w:p>
        </w:tc>
        <w:tc>
          <w:tcPr>
            <w:tcW w:w="79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10.408.871</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r>
      <w:tr>
        <w:tblPrEx>
          <w:tblW w:w="13410" w:type="dxa"/>
          <w:tblInd w:w="0" w:type="dxa"/>
          <w:tblLayout w:type="fixed"/>
        </w:tblPrEx>
        <w:trPr>
          <w:cantSplit/>
          <w:trHeight w:hRule="auto" w:val="0"/>
        </w:trPr>
        <w:tc>
          <w:tcPr>
            <w:tcW w:w="4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77.465.741-K</w:t>
            </w:r>
          </w:p>
        </w:tc>
        <w:tc>
          <w:tcPr>
            <w:tcW w:w="15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CGE Transmisión S.A.</w:t>
            </w:r>
          </w:p>
        </w:tc>
        <w:tc>
          <w:tcPr>
            <w:tcW w:w="16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China Construction Bank - Asia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US $</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5,06%</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4,19%</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Sin Garantía</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19.096</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11.659.635</w:t>
            </w:r>
          </w:p>
        </w:tc>
        <w:tc>
          <w:tcPr>
            <w:tcW w:w="79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11.678.731</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r>
      <w:tr>
        <w:tblPrEx>
          <w:tblW w:w="13410" w:type="dxa"/>
          <w:tblInd w:w="0" w:type="dxa"/>
          <w:tblLayout w:type="fixed"/>
        </w:tblPrEx>
        <w:trPr>
          <w:cantSplit/>
          <w:trHeight w:hRule="auto" w:val="0"/>
        </w:trPr>
        <w:tc>
          <w:tcPr>
            <w:tcW w:w="4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77.465.741-K</w:t>
            </w:r>
          </w:p>
        </w:tc>
        <w:tc>
          <w:tcPr>
            <w:tcW w:w="15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CGE Transmisión S.A.</w:t>
            </w:r>
          </w:p>
        </w:tc>
        <w:tc>
          <w:tcPr>
            <w:tcW w:w="16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Banco de Crédito e Inversiones</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CL $</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5,23%</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5,23%</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Sin Garantía</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475.008</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54.494.233</w:t>
            </w:r>
          </w:p>
        </w:tc>
        <w:tc>
          <w:tcPr>
            <w:tcW w:w="79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54.969.241</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r>
      <w:tr>
        <w:tblPrEx>
          <w:tblW w:w="13410" w:type="dxa"/>
          <w:tblInd w:w="0" w:type="dxa"/>
          <w:tblLayout w:type="fixed"/>
        </w:tblPrEx>
        <w:trPr>
          <w:cantSplit/>
          <w:trHeight w:hRule="auto" w:val="0"/>
        </w:trPr>
        <w:tc>
          <w:tcPr>
            <w:tcW w:w="4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77.465.741-K</w:t>
            </w:r>
          </w:p>
        </w:tc>
        <w:tc>
          <w:tcPr>
            <w:tcW w:w="15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CGE Transmisión S.A.</w:t>
            </w:r>
          </w:p>
        </w:tc>
        <w:tc>
          <w:tcPr>
            <w:tcW w:w="16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Scotiabank Chile</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CL $</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5,20%</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5,20%</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Sin Garantía</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124.945</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16.320.856</w:t>
            </w:r>
          </w:p>
        </w:tc>
        <w:tc>
          <w:tcPr>
            <w:tcW w:w="79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16.445.801</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r>
      <w:tr>
        <w:tblPrEx>
          <w:tblW w:w="13410" w:type="dxa"/>
          <w:tblInd w:w="0" w:type="dxa"/>
          <w:tblLayout w:type="fixed"/>
        </w:tblPrEx>
        <w:trPr>
          <w:cantSplit/>
          <w:trHeight w:hRule="auto" w:val="0"/>
        </w:trPr>
        <w:tc>
          <w:tcPr>
            <w:tcW w:w="4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77.465.741-K</w:t>
            </w:r>
          </w:p>
        </w:tc>
        <w:tc>
          <w:tcPr>
            <w:tcW w:w="15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CGE Transmisión S.A.</w:t>
            </w:r>
          </w:p>
        </w:tc>
        <w:tc>
          <w:tcPr>
            <w:tcW w:w="16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Banco de Crédito e Inversiones</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CL $</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5,21%</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5,21%</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Sin Garantía</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148.032</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21.763.250</w:t>
            </w:r>
          </w:p>
        </w:tc>
        <w:tc>
          <w:tcPr>
            <w:tcW w:w="79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21.911.282</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r>
      <w:tr>
        <w:tblPrEx>
          <w:tblW w:w="13410" w:type="dxa"/>
          <w:tblInd w:w="0" w:type="dxa"/>
          <w:tblLayout w:type="fixed"/>
        </w:tblPrEx>
        <w:trPr>
          <w:cantSplit/>
          <w:trHeight w:hRule="auto" w:val="0"/>
        </w:trPr>
        <w:tc>
          <w:tcPr>
            <w:tcW w:w="4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77.465.741-K</w:t>
            </w:r>
          </w:p>
        </w:tc>
        <w:tc>
          <w:tcPr>
            <w:tcW w:w="15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CGE Transmisión S.A.</w:t>
            </w:r>
          </w:p>
        </w:tc>
        <w:tc>
          <w:tcPr>
            <w:tcW w:w="16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Bank of China Panama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CNH $</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2,82%</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2,05%</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Sin Garantía</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44.817</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18.681.837</w:t>
            </w:r>
          </w:p>
        </w:tc>
        <w:tc>
          <w:tcPr>
            <w:tcW w:w="79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18.726.654</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r>
      <w:tr>
        <w:tblPrEx>
          <w:tblW w:w="13410" w:type="dxa"/>
          <w:tblInd w:w="0" w:type="dxa"/>
          <w:tblLayout w:type="fixed"/>
        </w:tblPrEx>
        <w:trPr>
          <w:cantSplit/>
          <w:trHeight w:hRule="auto" w:val="0"/>
        </w:trPr>
        <w:tc>
          <w:tcPr>
            <w:tcW w:w="4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77.465.741-K</w:t>
            </w:r>
          </w:p>
        </w:tc>
        <w:tc>
          <w:tcPr>
            <w:tcW w:w="15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CGE Transmisión S.A.</w:t>
            </w:r>
          </w:p>
        </w:tc>
        <w:tc>
          <w:tcPr>
            <w:tcW w:w="16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Banco de Chile</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CL $</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Al Vencimiento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5,26%</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5,26%</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Sin Garantía</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87.667</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4" w:space="0" w:color="FFFFFF"/>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87.667</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20.000.000</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4" w:space="0" w:color="FFFFFF"/>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20.000.000</w:t>
            </w:r>
          </w:p>
        </w:tc>
      </w:tr>
      <w:tr>
        <w:tblPrEx>
          <w:tblW w:w="13410" w:type="dxa"/>
          <w:tblInd w:w="0" w:type="dxa"/>
          <w:tblLayout w:type="fixed"/>
        </w:tblPrEx>
        <w:trPr>
          <w:cantSplit/>
          <w:trHeight w:hRule="auto" w:val="0"/>
        </w:trPr>
        <w:tc>
          <w:tcPr>
            <w:tcW w:w="4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5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6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5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5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3410" w:type="dxa"/>
          <w:tblInd w:w="0" w:type="dxa"/>
          <w:tblLayout w:type="fixed"/>
        </w:tblPrEx>
        <w:trPr>
          <w:cantSplit/>
          <w:trHeight w:hRule="auto" w:val="0"/>
        </w:trPr>
        <w:tc>
          <w:tcPr>
            <w:tcW w:w="7845" w:type="dxa"/>
            <w:gridSpan w:val="9"/>
            <w:tcBorders>
              <w:top w:val="nil"/>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2"/>
                <w:u w:val="none"/>
              </w:rPr>
              <w:t>Totales</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31.778.635</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44.488.869</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351.266.784</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427.534.288</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54.968.756</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48.957.261</w:t>
            </w:r>
          </w:p>
        </w:tc>
        <w:tc>
          <w:tcPr>
            <w:tcW w:w="7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103.926.017</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headerReference w:type="default" r:id="rId44"/>
          <w:footerReference w:type="default" r:id="rId45"/>
          <w:type w:val="continuous"/>
          <w:pgSz w:w="15840" w:h="12240" w:orient="landscape"/>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187" w:name="Section97"/>
      <w:bookmarkEnd w:id="187"/>
      <w:bookmarkStart w:id="188" w:name="bb88b62a3b58440b8ca7fa1f9027824c"/>
      <w:r>
        <w:rPr>
          <w:rFonts w:ascii="Calibri" w:eastAsia="Calibri" w:hAnsi="Calibri" w:cs="Calibri"/>
          <w:b/>
          <w:i w:val="0"/>
          <w:color w:val="000000"/>
          <w:sz w:val="20"/>
          <w:u w:val="none"/>
        </w:rPr>
        <w:t>20.3.-</w:t>
      </w:r>
      <w:r>
        <w:rPr>
          <w:rFonts w:ascii="Calibri" w:eastAsia="Calibri" w:hAnsi="Calibri" w:cs="Calibri"/>
          <w:b/>
          <w:i w:val="0"/>
          <w:color w:val="000000"/>
          <w:sz w:val="20"/>
          <w:u w:val="none"/>
        </w:rPr>
        <w:tab/>
      </w:r>
      <w:r>
        <w:rPr>
          <w:rFonts w:ascii="Calibri" w:eastAsia="Calibri" w:hAnsi="Calibri" w:cs="Calibri"/>
          <w:b/>
          <w:i w:val="0"/>
          <w:color w:val="000000"/>
          <w:sz w:val="20"/>
          <w:u w:val="none"/>
        </w:rPr>
        <w:t>Obligaciones con el público. (Bonos).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88"/>
    </w:p>
    <w:p>
      <w:pPr>
        <w:pStyle w:val="Normal-wk"/>
        <w:keepNext w:val="0"/>
        <w:keepLines/>
        <w:pageBreakBefore w:val="0"/>
        <w:widowControl w:val="0"/>
        <w:numPr>
          <w:ilvl w:val="0"/>
          <w:numId w:val="0"/>
        </w:numPr>
        <w:tabs>
          <w:tab w:val="left" w:pos="700"/>
        </w:tabs>
        <w:spacing w:before="0" w:after="0" w:line="288" w:lineRule="auto"/>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Saldos al </w:t>
      </w:r>
      <w:r>
        <w:rPr>
          <w:rFonts w:ascii="Calibri" w:eastAsia="Calibri" w:hAnsi="Calibri" w:cs="Calibri"/>
          <w:b w:val="0"/>
          <w:i w:val="0"/>
          <w:color w:val="000000"/>
          <w:sz w:val="20"/>
          <w:u w:val="none"/>
        </w:rPr>
        <w:t>30 de junio de 2026</w:t>
      </w:r>
      <w:r>
        <w:rPr>
          <w:rFonts w:ascii="Calibri" w:eastAsia="Calibri" w:hAnsi="Calibri" w:cs="Calibri"/>
          <w:b w:val="0"/>
          <w:i w:val="0"/>
          <w:sz w:val="20"/>
        </w:rPr>
        <w:t>:</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p>
    <w:tbl>
      <w:tblPr>
        <w:tblW w:w="1209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900"/>
        <w:gridCol w:w="795"/>
        <w:gridCol w:w="675"/>
        <w:gridCol w:w="645"/>
        <w:gridCol w:w="585"/>
        <w:gridCol w:w="585"/>
        <w:gridCol w:w="765"/>
        <w:gridCol w:w="735"/>
        <w:gridCol w:w="900"/>
        <w:gridCol w:w="1005"/>
        <w:gridCol w:w="900"/>
        <w:gridCol w:w="900"/>
        <w:gridCol w:w="900"/>
        <w:gridCol w:w="900"/>
        <w:gridCol w:w="900"/>
      </w:tblGrid>
      <w:tr>
        <w:tblPrEx>
          <w:tblW w:w="12090" w:type="dxa"/>
          <w:tblInd w:w="1417" w:type="dxa"/>
          <w:tblLayout w:type="fixed"/>
        </w:tblPrEx>
        <w:trPr>
          <w:cantSplit/>
          <w:trHeight w:hRule="auto" w:val="0"/>
        </w:trPr>
        <w:tc>
          <w:tcPr>
            <w:tcW w:w="90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N° de Inscripción o identificación del instrumento</w:t>
            </w:r>
          </w:p>
        </w:tc>
        <w:tc>
          <w:tcPr>
            <w:tcW w:w="79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Serie</w:t>
            </w:r>
          </w:p>
        </w:tc>
        <w:tc>
          <w:tcPr>
            <w:tcW w:w="67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Monto nominal colocado vigente</w:t>
            </w:r>
          </w:p>
        </w:tc>
        <w:tc>
          <w:tcPr>
            <w:tcW w:w="64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Unidad de reajuste del bono</w:t>
            </w:r>
          </w:p>
        </w:tc>
        <w:tc>
          <w:tcPr>
            <w:tcW w:w="58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 xml:space="preserve">Tasa nominal anual </w:t>
            </w:r>
          </w:p>
        </w:tc>
        <w:tc>
          <w:tcPr>
            <w:tcW w:w="58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Tasa efectiva anual</w:t>
            </w:r>
          </w:p>
        </w:tc>
        <w:tc>
          <w:tcPr>
            <w:tcW w:w="76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Plazo Final</w:t>
            </w:r>
          </w:p>
        </w:tc>
        <w:tc>
          <w:tcPr>
            <w:tcW w:w="735" w:type="dxa"/>
            <w:vMerge w:val="restart"/>
            <w:tcBorders>
              <w:top w:val="single" w:sz="2" w:space="0" w:color="000000"/>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Colocación en Chile o en el extranjero</w:t>
            </w:r>
          </w:p>
        </w:tc>
        <w:tc>
          <w:tcPr>
            <w:tcW w:w="1905" w:type="dxa"/>
            <w:gridSpan w:val="2"/>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Periodicidad</w:t>
            </w:r>
          </w:p>
        </w:tc>
        <w:tc>
          <w:tcPr>
            <w:tcW w:w="2700" w:type="dxa"/>
            <w:gridSpan w:val="3"/>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Corrientes</w:t>
            </w:r>
          </w:p>
        </w:tc>
        <w:tc>
          <w:tcPr>
            <w:tcW w:w="180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No Corrientes</w:t>
            </w:r>
          </w:p>
        </w:tc>
      </w:tr>
      <w:tr>
        <w:tblPrEx>
          <w:tblW w:w="12090" w:type="dxa"/>
          <w:tblInd w:w="1417" w:type="dxa"/>
          <w:tblLayout w:type="fixed"/>
        </w:tblPrEx>
        <w:trPr>
          <w:cantSplit/>
          <w:trHeight w:hRule="auto" w:val="0"/>
        </w:trPr>
        <w:tc>
          <w:tcPr>
            <w:tcW w:w="900" w:type="dxa"/>
            <w:vMerge/>
            <w:tcBorders>
              <w:top w:val="nil"/>
              <w:left w:val="single" w:sz="2" w:space="0" w:color="000000"/>
              <w:bottom w:val="nil"/>
              <w:right w:val="nil"/>
            </w:tcBorders>
          </w:tcPr>
          <w:p>
            <w:pPr>
              <w:keepNext/>
              <w:pageBreakBefore w:val="0"/>
            </w:pPr>
          </w:p>
        </w:tc>
        <w:tc>
          <w:tcPr>
            <w:tcW w:w="795" w:type="dxa"/>
            <w:vMerge/>
            <w:tcBorders>
              <w:top w:val="nil"/>
              <w:left w:val="single" w:sz="4" w:space="0" w:color="FFFFFF"/>
              <w:bottom w:val="nil"/>
              <w:right w:val="nil"/>
            </w:tcBorders>
          </w:tcPr>
          <w:p>
            <w:pPr>
              <w:keepNext/>
              <w:pageBreakBefore w:val="0"/>
            </w:pPr>
          </w:p>
        </w:tc>
        <w:tc>
          <w:tcPr>
            <w:tcW w:w="675" w:type="dxa"/>
            <w:vMerge/>
            <w:tcBorders>
              <w:top w:val="nil"/>
              <w:left w:val="single" w:sz="4" w:space="0" w:color="FFFFFF"/>
              <w:bottom w:val="nil"/>
              <w:right w:val="nil"/>
            </w:tcBorders>
          </w:tcPr>
          <w:p>
            <w:pPr>
              <w:keepNext/>
              <w:pageBreakBefore w:val="0"/>
            </w:pPr>
          </w:p>
        </w:tc>
        <w:tc>
          <w:tcPr>
            <w:tcW w:w="645" w:type="dxa"/>
            <w:vMerge/>
            <w:tcBorders>
              <w:top w:val="nil"/>
              <w:left w:val="single" w:sz="4" w:space="0" w:color="FFFFFF"/>
              <w:bottom w:val="nil"/>
              <w:right w:val="nil"/>
            </w:tcBorders>
          </w:tcPr>
          <w:p>
            <w:pPr>
              <w:keepNext/>
              <w:pageBreakBefore w:val="0"/>
            </w:pPr>
          </w:p>
        </w:tc>
        <w:tc>
          <w:tcPr>
            <w:tcW w:w="585" w:type="dxa"/>
            <w:vMerge/>
            <w:tcBorders>
              <w:top w:val="nil"/>
              <w:left w:val="single" w:sz="4" w:space="0" w:color="FFFFFF"/>
              <w:bottom w:val="nil"/>
              <w:right w:val="nil"/>
            </w:tcBorders>
          </w:tcPr>
          <w:p>
            <w:pPr>
              <w:keepNext/>
              <w:pageBreakBefore w:val="0"/>
            </w:pPr>
          </w:p>
        </w:tc>
        <w:tc>
          <w:tcPr>
            <w:tcW w:w="585" w:type="dxa"/>
            <w:vMerge/>
            <w:tcBorders>
              <w:top w:val="nil"/>
              <w:left w:val="single" w:sz="4" w:space="0" w:color="FFFFFF"/>
              <w:bottom w:val="nil"/>
              <w:right w:val="nil"/>
            </w:tcBorders>
          </w:tcPr>
          <w:p>
            <w:pPr>
              <w:keepNext/>
              <w:pageBreakBefore w:val="0"/>
            </w:pPr>
          </w:p>
        </w:tc>
        <w:tc>
          <w:tcPr>
            <w:tcW w:w="765" w:type="dxa"/>
            <w:vMerge/>
            <w:tcBorders>
              <w:top w:val="nil"/>
              <w:left w:val="single" w:sz="4" w:space="0" w:color="FFFFFF"/>
              <w:bottom w:val="nil"/>
              <w:right w:val="nil"/>
            </w:tcBorders>
          </w:tcPr>
          <w:p>
            <w:pPr>
              <w:keepNext/>
              <w:pageBreakBefore w:val="0"/>
            </w:pPr>
          </w:p>
        </w:tc>
        <w:tc>
          <w:tcPr>
            <w:tcW w:w="735" w:type="dxa"/>
            <w:vMerge/>
            <w:tcBorders>
              <w:top w:val="nil"/>
              <w:left w:val="single" w:sz="4" w:space="0" w:color="FFFFFF"/>
              <w:bottom w:val="nil"/>
              <w:right w:val="single" w:sz="4" w:space="0" w:color="FFFFFF"/>
            </w:tcBorders>
          </w:tcPr>
          <w:p>
            <w:pPr>
              <w:keepNext/>
              <w:pageBreakBefore w:val="0"/>
            </w:pPr>
          </w:p>
        </w:tc>
        <w:tc>
          <w:tcPr>
            <w:tcW w:w="1905" w:type="dxa"/>
            <w:gridSpan w:val="2"/>
            <w:vMerge/>
            <w:tcBorders>
              <w:top w:val="nil"/>
              <w:left w:val="nil"/>
              <w:bottom w:val="single" w:sz="4" w:space="0" w:color="FFFFFF"/>
              <w:right w:val="single" w:sz="4" w:space="0" w:color="FFFFFF"/>
            </w:tcBorders>
          </w:tcPr>
          <w:p>
            <w:pPr>
              <w:keepNext/>
              <w:pageBreakBefore w:val="0"/>
            </w:pPr>
          </w:p>
        </w:tc>
        <w:tc>
          <w:tcPr>
            <w:tcW w:w="1800" w:type="dxa"/>
            <w:gridSpan w:val="2"/>
            <w:tcBorders>
              <w:top w:val="nil"/>
              <w:left w:val="nil"/>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Vencimientos</w:t>
            </w:r>
          </w:p>
        </w:tc>
        <w:tc>
          <w:tcPr>
            <w:tcW w:w="9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Total corrientes</w:t>
            </w:r>
          </w:p>
        </w:tc>
        <w:tc>
          <w:tcPr>
            <w:tcW w:w="900" w:type="dxa"/>
            <w:tcBorders>
              <w:top w:val="nil"/>
              <w:left w:val="single" w:sz="4" w:space="0" w:color="FFFFFF"/>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Vencimientos</w:t>
            </w:r>
          </w:p>
        </w:tc>
        <w:tc>
          <w:tcPr>
            <w:tcW w:w="9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Total no corrientes</w:t>
            </w:r>
          </w:p>
        </w:tc>
      </w:tr>
      <w:tr>
        <w:tblPrEx>
          <w:tblW w:w="12090" w:type="dxa"/>
          <w:tblInd w:w="1417" w:type="dxa"/>
          <w:tblLayout w:type="fixed"/>
        </w:tblPrEx>
        <w:trPr>
          <w:cantSplit/>
          <w:trHeight w:hRule="auto" w:val="0"/>
        </w:trPr>
        <w:tc>
          <w:tcPr>
            <w:tcW w:w="900" w:type="dxa"/>
            <w:vMerge/>
            <w:tcBorders>
              <w:top w:val="nil"/>
              <w:left w:val="single" w:sz="2" w:space="0" w:color="000000"/>
              <w:bottom w:val="nil"/>
              <w:right w:val="nil"/>
            </w:tcBorders>
          </w:tcPr>
          <w:p>
            <w:pPr>
              <w:keepNext/>
              <w:pageBreakBefore w:val="0"/>
            </w:pPr>
          </w:p>
        </w:tc>
        <w:tc>
          <w:tcPr>
            <w:tcW w:w="795" w:type="dxa"/>
            <w:vMerge/>
            <w:tcBorders>
              <w:top w:val="nil"/>
              <w:left w:val="single" w:sz="4" w:space="0" w:color="FFFFFF"/>
              <w:bottom w:val="nil"/>
              <w:right w:val="nil"/>
            </w:tcBorders>
          </w:tcPr>
          <w:p>
            <w:pPr>
              <w:keepNext/>
              <w:pageBreakBefore w:val="0"/>
            </w:pPr>
          </w:p>
        </w:tc>
        <w:tc>
          <w:tcPr>
            <w:tcW w:w="675" w:type="dxa"/>
            <w:vMerge/>
            <w:tcBorders>
              <w:top w:val="nil"/>
              <w:left w:val="single" w:sz="4" w:space="0" w:color="FFFFFF"/>
              <w:bottom w:val="nil"/>
              <w:right w:val="nil"/>
            </w:tcBorders>
          </w:tcPr>
          <w:p>
            <w:pPr>
              <w:keepNext/>
              <w:pageBreakBefore w:val="0"/>
            </w:pPr>
          </w:p>
        </w:tc>
        <w:tc>
          <w:tcPr>
            <w:tcW w:w="645" w:type="dxa"/>
            <w:vMerge/>
            <w:tcBorders>
              <w:top w:val="nil"/>
              <w:left w:val="single" w:sz="4" w:space="0" w:color="FFFFFF"/>
              <w:bottom w:val="nil"/>
              <w:right w:val="nil"/>
            </w:tcBorders>
          </w:tcPr>
          <w:p>
            <w:pPr>
              <w:keepNext/>
              <w:pageBreakBefore w:val="0"/>
            </w:pPr>
          </w:p>
        </w:tc>
        <w:tc>
          <w:tcPr>
            <w:tcW w:w="585" w:type="dxa"/>
            <w:vMerge/>
            <w:tcBorders>
              <w:top w:val="nil"/>
              <w:left w:val="single" w:sz="4" w:space="0" w:color="FFFFFF"/>
              <w:bottom w:val="nil"/>
              <w:right w:val="nil"/>
            </w:tcBorders>
          </w:tcPr>
          <w:p>
            <w:pPr>
              <w:keepNext/>
              <w:pageBreakBefore w:val="0"/>
            </w:pPr>
          </w:p>
        </w:tc>
        <w:tc>
          <w:tcPr>
            <w:tcW w:w="585" w:type="dxa"/>
            <w:vMerge/>
            <w:tcBorders>
              <w:top w:val="nil"/>
              <w:left w:val="single" w:sz="4" w:space="0" w:color="FFFFFF"/>
              <w:bottom w:val="nil"/>
              <w:right w:val="nil"/>
            </w:tcBorders>
          </w:tcPr>
          <w:p>
            <w:pPr>
              <w:keepNext/>
              <w:pageBreakBefore w:val="0"/>
            </w:pPr>
          </w:p>
        </w:tc>
        <w:tc>
          <w:tcPr>
            <w:tcW w:w="765" w:type="dxa"/>
            <w:vMerge/>
            <w:tcBorders>
              <w:top w:val="nil"/>
              <w:left w:val="single" w:sz="4" w:space="0" w:color="FFFFFF"/>
              <w:bottom w:val="nil"/>
              <w:right w:val="nil"/>
            </w:tcBorders>
          </w:tcPr>
          <w:p>
            <w:pPr>
              <w:keepNext/>
              <w:pageBreakBefore w:val="0"/>
            </w:pPr>
          </w:p>
        </w:tc>
        <w:tc>
          <w:tcPr>
            <w:tcW w:w="735" w:type="dxa"/>
            <w:vMerge/>
            <w:tcBorders>
              <w:top w:val="nil"/>
              <w:left w:val="single" w:sz="4" w:space="0" w:color="FFFFFF"/>
              <w:bottom w:val="nil"/>
              <w:right w:val="single" w:sz="4" w:space="0" w:color="FFFFFF"/>
            </w:tcBorders>
          </w:tcPr>
          <w:p>
            <w:pPr>
              <w:keepNext/>
              <w:pageBreakBefore w:val="0"/>
            </w:pPr>
          </w:p>
        </w:tc>
        <w:tc>
          <w:tcPr>
            <w:tcW w:w="900" w:type="dxa"/>
            <w:vMerge w:val="restart"/>
            <w:tcBorders>
              <w:top w:val="nil"/>
              <w:left w:val="nil"/>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Pago de intereses</w:t>
            </w:r>
          </w:p>
        </w:tc>
        <w:tc>
          <w:tcPr>
            <w:tcW w:w="1005" w:type="dxa"/>
            <w:vMerge w:val="restart"/>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Pago de amortización</w:t>
            </w:r>
          </w:p>
        </w:tc>
        <w:tc>
          <w:tcPr>
            <w:tcW w:w="9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1 a 3 meses</w:t>
            </w:r>
          </w:p>
        </w:tc>
        <w:tc>
          <w:tcPr>
            <w:tcW w:w="9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 a 12 meses</w:t>
            </w:r>
          </w:p>
        </w:tc>
        <w:tc>
          <w:tcPr>
            <w:tcW w:w="9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9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más de 5</w:t>
            </w:r>
            <w:r>
              <w:br/>
            </w:r>
            <w:r>
              <w:rPr>
                <w:rFonts w:ascii="Calibri" w:eastAsia="Calibri" w:hAnsi="Calibri" w:cs="Calibri"/>
                <w:b/>
                <w:i w:val="0"/>
                <w:color w:val="FFFFFF"/>
                <w:sz w:val="14"/>
                <w:u w:val="none"/>
              </w:rPr>
              <w:t>hasta 10 años</w:t>
            </w:r>
          </w:p>
        </w:tc>
        <w:tc>
          <w:tcPr>
            <w:tcW w:w="900"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r>
      <w:tr>
        <w:tblPrEx>
          <w:tblW w:w="12090" w:type="dxa"/>
          <w:tblInd w:w="1417" w:type="dxa"/>
          <w:tblLayout w:type="fixed"/>
        </w:tblPrEx>
        <w:trPr>
          <w:cantSplit/>
          <w:trHeight w:hRule="auto" w:val="0"/>
        </w:trPr>
        <w:tc>
          <w:tcPr>
            <w:tcW w:w="900" w:type="dxa"/>
            <w:vMerge/>
            <w:tcBorders>
              <w:top w:val="nil"/>
              <w:left w:val="single" w:sz="2" w:space="0" w:color="000000"/>
              <w:bottom w:val="single" w:sz="2" w:space="0" w:color="000000"/>
              <w:right w:val="nil"/>
            </w:tcBorders>
          </w:tcPr>
          <w:p>
            <w:pPr>
              <w:keepNext/>
              <w:pageBreakBefore w:val="0"/>
            </w:pPr>
          </w:p>
        </w:tc>
        <w:tc>
          <w:tcPr>
            <w:tcW w:w="795" w:type="dxa"/>
            <w:vMerge/>
            <w:tcBorders>
              <w:top w:val="nil"/>
              <w:left w:val="single" w:sz="4" w:space="0" w:color="FFFFFF"/>
              <w:bottom w:val="single" w:sz="2" w:space="0" w:color="000000"/>
              <w:right w:val="nil"/>
            </w:tcBorders>
          </w:tcPr>
          <w:p>
            <w:pPr>
              <w:keepNext/>
              <w:pageBreakBefore w:val="0"/>
            </w:pPr>
          </w:p>
        </w:tc>
        <w:tc>
          <w:tcPr>
            <w:tcW w:w="675" w:type="dxa"/>
            <w:vMerge/>
            <w:tcBorders>
              <w:top w:val="nil"/>
              <w:left w:val="single" w:sz="4" w:space="0" w:color="FFFFFF"/>
              <w:bottom w:val="single" w:sz="2" w:space="0" w:color="000000"/>
              <w:right w:val="nil"/>
            </w:tcBorders>
          </w:tcPr>
          <w:p>
            <w:pPr>
              <w:keepNext/>
              <w:pageBreakBefore w:val="0"/>
            </w:pPr>
          </w:p>
        </w:tc>
        <w:tc>
          <w:tcPr>
            <w:tcW w:w="645" w:type="dxa"/>
            <w:vMerge/>
            <w:tcBorders>
              <w:top w:val="nil"/>
              <w:left w:val="single" w:sz="4" w:space="0" w:color="FFFFFF"/>
              <w:bottom w:val="single" w:sz="2" w:space="0" w:color="000000"/>
              <w:right w:val="nil"/>
            </w:tcBorders>
          </w:tcPr>
          <w:p>
            <w:pPr>
              <w:keepNext/>
              <w:pageBreakBefore w:val="0"/>
            </w:pPr>
          </w:p>
        </w:tc>
        <w:tc>
          <w:tcPr>
            <w:tcW w:w="585" w:type="dxa"/>
            <w:vMerge/>
            <w:tcBorders>
              <w:top w:val="nil"/>
              <w:left w:val="single" w:sz="4" w:space="0" w:color="FFFFFF"/>
              <w:bottom w:val="single" w:sz="2" w:space="0" w:color="000000"/>
              <w:right w:val="nil"/>
            </w:tcBorders>
          </w:tcPr>
          <w:p>
            <w:pPr>
              <w:keepNext/>
              <w:pageBreakBefore w:val="0"/>
            </w:pPr>
          </w:p>
        </w:tc>
        <w:tc>
          <w:tcPr>
            <w:tcW w:w="585" w:type="dxa"/>
            <w:vMerge/>
            <w:tcBorders>
              <w:top w:val="nil"/>
              <w:left w:val="single" w:sz="4" w:space="0" w:color="FFFFFF"/>
              <w:bottom w:val="single" w:sz="2" w:space="0" w:color="000000"/>
              <w:right w:val="nil"/>
            </w:tcBorders>
          </w:tcPr>
          <w:p>
            <w:pPr>
              <w:keepNext/>
              <w:pageBreakBefore w:val="0"/>
            </w:pPr>
          </w:p>
        </w:tc>
        <w:tc>
          <w:tcPr>
            <w:tcW w:w="765" w:type="dxa"/>
            <w:vMerge/>
            <w:tcBorders>
              <w:top w:val="nil"/>
              <w:left w:val="single" w:sz="4" w:space="0" w:color="FFFFFF"/>
              <w:bottom w:val="single" w:sz="2" w:space="0" w:color="000000"/>
              <w:right w:val="nil"/>
            </w:tcBorders>
          </w:tcPr>
          <w:p>
            <w:pPr>
              <w:keepNext/>
              <w:pageBreakBefore w:val="0"/>
            </w:pPr>
          </w:p>
        </w:tc>
        <w:tc>
          <w:tcPr>
            <w:tcW w:w="735" w:type="dxa"/>
            <w:vMerge/>
            <w:tcBorders>
              <w:top w:val="nil"/>
              <w:left w:val="single" w:sz="4" w:space="0" w:color="FFFFFF"/>
              <w:bottom w:val="single" w:sz="2" w:space="0" w:color="000000"/>
              <w:right w:val="single" w:sz="4" w:space="0" w:color="FFFFFF"/>
            </w:tcBorders>
          </w:tcPr>
          <w:p>
            <w:pPr>
              <w:keepNext/>
              <w:pageBreakBefore w:val="0"/>
            </w:pPr>
          </w:p>
        </w:tc>
        <w:tc>
          <w:tcPr>
            <w:tcW w:w="900" w:type="dxa"/>
            <w:vMerge/>
            <w:tcBorders>
              <w:top w:val="nil"/>
              <w:left w:val="nil"/>
              <w:bottom w:val="single" w:sz="2" w:space="0" w:color="000000"/>
              <w:right w:val="nil"/>
            </w:tcBorders>
          </w:tcPr>
          <w:p>
            <w:pPr>
              <w:keepNext/>
              <w:pageBreakBefore w:val="0"/>
            </w:pPr>
          </w:p>
        </w:tc>
        <w:tc>
          <w:tcPr>
            <w:tcW w:w="1005" w:type="dxa"/>
            <w:vMerge/>
            <w:tcBorders>
              <w:top w:val="nil"/>
              <w:left w:val="single" w:sz="4" w:space="0" w:color="FFFFFF"/>
              <w:bottom w:val="single" w:sz="2" w:space="0" w:color="000000"/>
              <w:right w:val="nil"/>
            </w:tcBorders>
          </w:tcPr>
          <w:p>
            <w:pPr>
              <w:keepNext/>
              <w:pageBreakBefore w:val="0"/>
            </w:pP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12090" w:type="dxa"/>
          <w:tblInd w:w="1417" w:type="dxa"/>
          <w:tblLayout w:type="fixed"/>
        </w:tblPrEx>
        <w:trPr>
          <w:cantSplit/>
          <w:trHeight w:hRule="exact" w:val="60"/>
        </w:trPr>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58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58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2090" w:type="dxa"/>
          <w:tblInd w:w="1417" w:type="dxa"/>
          <w:tblLayout w:type="fixed"/>
        </w:tblPrEx>
        <w:trPr>
          <w:cantSplit/>
          <w:trHeight w:hRule="auto" w:val="0"/>
        </w:trPr>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1.135</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BTCGE-A</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2.000.000</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UF</w:t>
            </w:r>
          </w:p>
        </w:tc>
        <w:tc>
          <w:tcPr>
            <w:tcW w:w="58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3,10 %</w:t>
            </w:r>
          </w:p>
        </w:tc>
        <w:tc>
          <w:tcPr>
            <w:tcW w:w="58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3,49 %</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15-11-2032</w:t>
            </w:r>
          </w:p>
        </w:tc>
        <w:tc>
          <w:tcPr>
            <w:tcW w:w="7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Semestral</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Al Vencimiento</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927.733</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927.733</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78.216.033</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78.216.033</w:t>
            </w:r>
          </w:p>
        </w:tc>
      </w:tr>
      <w:tr>
        <w:tblPrEx>
          <w:tblW w:w="12090" w:type="dxa"/>
          <w:tblInd w:w="1417" w:type="dxa"/>
          <w:tblLayout w:type="fixed"/>
        </w:tblPrEx>
        <w:trPr>
          <w:cantSplit/>
          <w:trHeight w:hRule="auto" w:val="0"/>
        </w:trPr>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58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58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2090" w:type="dxa"/>
          <w:tblInd w:w="1417" w:type="dxa"/>
          <w:tblLayout w:type="fixed"/>
        </w:tblPrEx>
        <w:trPr>
          <w:cantSplit/>
          <w:trHeight w:hRule="exact" w:val="225"/>
        </w:trPr>
        <w:tc>
          <w:tcPr>
            <w:tcW w:w="7590" w:type="dxa"/>
            <w:gridSpan w:val="10"/>
            <w:tcBorders>
              <w:top w:val="nil"/>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Totales</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927.733</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927.733</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78.216.033</w:t>
            </w:r>
          </w:p>
        </w:tc>
        <w:tc>
          <w:tcPr>
            <w:tcW w:w="9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78.216.033</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tabs>
          <w:tab w:val="left" w:pos="700"/>
        </w:tabs>
        <w:spacing w:before="0" w:after="0" w:line="288" w:lineRule="auto"/>
        <w:ind w:left="2126" w:right="0" w:hanging="709"/>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Saldos al </w:t>
      </w:r>
      <w:r>
        <w:rPr>
          <w:rFonts w:ascii="Calibri" w:eastAsia="Calibri" w:hAnsi="Calibri" w:cs="Calibri"/>
          <w:b w:val="0"/>
          <w:i w:val="0"/>
          <w:color w:val="000000"/>
          <w:sz w:val="20"/>
          <w:u w:val="none"/>
        </w:rPr>
        <w:t>31 de diciembre de 2025</w:t>
      </w:r>
      <w:r>
        <w:rPr>
          <w:rFonts w:ascii="Calibri" w:eastAsia="Calibri" w:hAnsi="Calibri" w:cs="Calibri"/>
          <w:b w:val="0"/>
          <w:i w:val="0"/>
          <w:sz w:val="20"/>
        </w:rPr>
        <w:t>:</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p>
    <w:tbl>
      <w:tblPr>
        <w:tblW w:w="1209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900"/>
        <w:gridCol w:w="795"/>
        <w:gridCol w:w="675"/>
        <w:gridCol w:w="645"/>
        <w:gridCol w:w="585"/>
        <w:gridCol w:w="585"/>
        <w:gridCol w:w="765"/>
        <w:gridCol w:w="735"/>
        <w:gridCol w:w="885"/>
        <w:gridCol w:w="1020"/>
        <w:gridCol w:w="900"/>
        <w:gridCol w:w="900"/>
        <w:gridCol w:w="900"/>
        <w:gridCol w:w="900"/>
        <w:gridCol w:w="900"/>
      </w:tblGrid>
      <w:tr>
        <w:tblPrEx>
          <w:tblW w:w="12090" w:type="dxa"/>
          <w:tblInd w:w="1417" w:type="dxa"/>
          <w:tblLayout w:type="fixed"/>
        </w:tblPrEx>
        <w:trPr>
          <w:cantSplit/>
          <w:trHeight w:hRule="auto" w:val="0"/>
        </w:trPr>
        <w:tc>
          <w:tcPr>
            <w:tcW w:w="90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N° de Inscripción o identificación del instrumento</w:t>
            </w:r>
          </w:p>
        </w:tc>
        <w:tc>
          <w:tcPr>
            <w:tcW w:w="79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Serie</w:t>
            </w:r>
          </w:p>
        </w:tc>
        <w:tc>
          <w:tcPr>
            <w:tcW w:w="67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Monto nominal colocado vigente</w:t>
            </w:r>
          </w:p>
        </w:tc>
        <w:tc>
          <w:tcPr>
            <w:tcW w:w="64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Unidad de reajuste del bono</w:t>
            </w:r>
          </w:p>
        </w:tc>
        <w:tc>
          <w:tcPr>
            <w:tcW w:w="58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 xml:space="preserve">Tasa nominal anual </w:t>
            </w:r>
          </w:p>
        </w:tc>
        <w:tc>
          <w:tcPr>
            <w:tcW w:w="58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Tasa efectiva anual</w:t>
            </w:r>
          </w:p>
        </w:tc>
        <w:tc>
          <w:tcPr>
            <w:tcW w:w="76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Plazo Final</w:t>
            </w:r>
          </w:p>
        </w:tc>
        <w:tc>
          <w:tcPr>
            <w:tcW w:w="735" w:type="dxa"/>
            <w:vMerge w:val="restart"/>
            <w:tcBorders>
              <w:top w:val="single" w:sz="2" w:space="0" w:color="000000"/>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Colocación en Chile o en el extranjero</w:t>
            </w:r>
          </w:p>
        </w:tc>
        <w:tc>
          <w:tcPr>
            <w:tcW w:w="1905" w:type="dxa"/>
            <w:gridSpan w:val="2"/>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Periodicidad</w:t>
            </w:r>
          </w:p>
        </w:tc>
        <w:tc>
          <w:tcPr>
            <w:tcW w:w="2700" w:type="dxa"/>
            <w:gridSpan w:val="3"/>
            <w:tcBorders>
              <w:top w:val="single" w:sz="2" w:space="0" w:color="000000"/>
              <w:left w:val="nil"/>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Corrientes</w:t>
            </w:r>
          </w:p>
        </w:tc>
        <w:tc>
          <w:tcPr>
            <w:tcW w:w="1800" w:type="dxa"/>
            <w:gridSpan w:val="2"/>
            <w:tcBorders>
              <w:top w:val="single" w:sz="2" w:space="0" w:color="000000"/>
              <w:left w:val="single" w:sz="4" w:space="0" w:color="FFFFFF"/>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No Corrientes</w:t>
            </w:r>
          </w:p>
        </w:tc>
      </w:tr>
      <w:tr>
        <w:tblPrEx>
          <w:tblW w:w="12090" w:type="dxa"/>
          <w:tblInd w:w="1417" w:type="dxa"/>
          <w:tblLayout w:type="fixed"/>
        </w:tblPrEx>
        <w:trPr>
          <w:cantSplit/>
          <w:trHeight w:hRule="auto" w:val="0"/>
        </w:trPr>
        <w:tc>
          <w:tcPr>
            <w:tcW w:w="900" w:type="dxa"/>
            <w:vMerge/>
            <w:tcBorders>
              <w:top w:val="nil"/>
              <w:left w:val="single" w:sz="2" w:space="0" w:color="000000"/>
              <w:bottom w:val="nil"/>
              <w:right w:val="nil"/>
            </w:tcBorders>
          </w:tcPr>
          <w:p>
            <w:pPr>
              <w:keepNext/>
              <w:pageBreakBefore w:val="0"/>
            </w:pPr>
          </w:p>
        </w:tc>
        <w:tc>
          <w:tcPr>
            <w:tcW w:w="795" w:type="dxa"/>
            <w:vMerge/>
            <w:tcBorders>
              <w:top w:val="nil"/>
              <w:left w:val="single" w:sz="4" w:space="0" w:color="FFFFFF"/>
              <w:bottom w:val="nil"/>
              <w:right w:val="nil"/>
            </w:tcBorders>
          </w:tcPr>
          <w:p>
            <w:pPr>
              <w:keepNext/>
              <w:pageBreakBefore w:val="0"/>
            </w:pPr>
          </w:p>
        </w:tc>
        <w:tc>
          <w:tcPr>
            <w:tcW w:w="675" w:type="dxa"/>
            <w:vMerge/>
            <w:tcBorders>
              <w:top w:val="nil"/>
              <w:left w:val="single" w:sz="4" w:space="0" w:color="FFFFFF"/>
              <w:bottom w:val="nil"/>
              <w:right w:val="nil"/>
            </w:tcBorders>
          </w:tcPr>
          <w:p>
            <w:pPr>
              <w:keepNext/>
              <w:pageBreakBefore w:val="0"/>
            </w:pPr>
          </w:p>
        </w:tc>
        <w:tc>
          <w:tcPr>
            <w:tcW w:w="645" w:type="dxa"/>
            <w:vMerge/>
            <w:tcBorders>
              <w:top w:val="nil"/>
              <w:left w:val="single" w:sz="4" w:space="0" w:color="FFFFFF"/>
              <w:bottom w:val="nil"/>
              <w:right w:val="nil"/>
            </w:tcBorders>
          </w:tcPr>
          <w:p>
            <w:pPr>
              <w:keepNext/>
              <w:pageBreakBefore w:val="0"/>
            </w:pPr>
          </w:p>
        </w:tc>
        <w:tc>
          <w:tcPr>
            <w:tcW w:w="585" w:type="dxa"/>
            <w:vMerge/>
            <w:tcBorders>
              <w:top w:val="nil"/>
              <w:left w:val="single" w:sz="4" w:space="0" w:color="FFFFFF"/>
              <w:bottom w:val="nil"/>
              <w:right w:val="nil"/>
            </w:tcBorders>
          </w:tcPr>
          <w:p>
            <w:pPr>
              <w:keepNext/>
              <w:pageBreakBefore w:val="0"/>
            </w:pPr>
          </w:p>
        </w:tc>
        <w:tc>
          <w:tcPr>
            <w:tcW w:w="585" w:type="dxa"/>
            <w:vMerge/>
            <w:tcBorders>
              <w:top w:val="nil"/>
              <w:left w:val="single" w:sz="4" w:space="0" w:color="FFFFFF"/>
              <w:bottom w:val="nil"/>
              <w:right w:val="nil"/>
            </w:tcBorders>
          </w:tcPr>
          <w:p>
            <w:pPr>
              <w:keepNext/>
              <w:pageBreakBefore w:val="0"/>
            </w:pPr>
          </w:p>
        </w:tc>
        <w:tc>
          <w:tcPr>
            <w:tcW w:w="765" w:type="dxa"/>
            <w:vMerge/>
            <w:tcBorders>
              <w:top w:val="nil"/>
              <w:left w:val="single" w:sz="4" w:space="0" w:color="FFFFFF"/>
              <w:bottom w:val="nil"/>
              <w:right w:val="nil"/>
            </w:tcBorders>
          </w:tcPr>
          <w:p>
            <w:pPr>
              <w:keepNext/>
              <w:pageBreakBefore w:val="0"/>
            </w:pPr>
          </w:p>
        </w:tc>
        <w:tc>
          <w:tcPr>
            <w:tcW w:w="735" w:type="dxa"/>
            <w:vMerge/>
            <w:tcBorders>
              <w:top w:val="nil"/>
              <w:left w:val="single" w:sz="4" w:space="0" w:color="FFFFFF"/>
              <w:bottom w:val="nil"/>
              <w:right w:val="single" w:sz="4" w:space="0" w:color="FFFFFF"/>
            </w:tcBorders>
          </w:tcPr>
          <w:p>
            <w:pPr>
              <w:keepNext/>
              <w:pageBreakBefore w:val="0"/>
            </w:pPr>
          </w:p>
        </w:tc>
        <w:tc>
          <w:tcPr>
            <w:tcW w:w="1905" w:type="dxa"/>
            <w:gridSpan w:val="2"/>
            <w:vMerge/>
            <w:tcBorders>
              <w:top w:val="nil"/>
              <w:left w:val="nil"/>
              <w:bottom w:val="single" w:sz="4" w:space="0" w:color="FFFFFF"/>
              <w:right w:val="single" w:sz="4" w:space="0" w:color="FFFFFF"/>
            </w:tcBorders>
          </w:tcPr>
          <w:p>
            <w:pPr>
              <w:keepNext/>
              <w:pageBreakBefore w:val="0"/>
            </w:pPr>
          </w:p>
        </w:tc>
        <w:tc>
          <w:tcPr>
            <w:tcW w:w="1800" w:type="dxa"/>
            <w:gridSpan w:val="2"/>
            <w:tcBorders>
              <w:top w:val="nil"/>
              <w:left w:val="nil"/>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Vencimientos</w:t>
            </w:r>
          </w:p>
        </w:tc>
        <w:tc>
          <w:tcPr>
            <w:tcW w:w="9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Total corrientes</w:t>
            </w:r>
          </w:p>
        </w:tc>
        <w:tc>
          <w:tcPr>
            <w:tcW w:w="900" w:type="dxa"/>
            <w:tcBorders>
              <w:top w:val="nil"/>
              <w:left w:val="single" w:sz="4" w:space="0" w:color="FFFFFF"/>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Vencimientos</w:t>
            </w:r>
          </w:p>
        </w:tc>
        <w:tc>
          <w:tcPr>
            <w:tcW w:w="9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Total no corrientes</w:t>
            </w:r>
          </w:p>
        </w:tc>
      </w:tr>
      <w:tr>
        <w:tblPrEx>
          <w:tblW w:w="12090" w:type="dxa"/>
          <w:tblInd w:w="1417" w:type="dxa"/>
          <w:tblLayout w:type="fixed"/>
        </w:tblPrEx>
        <w:trPr>
          <w:cantSplit/>
          <w:trHeight w:hRule="auto" w:val="0"/>
        </w:trPr>
        <w:tc>
          <w:tcPr>
            <w:tcW w:w="900" w:type="dxa"/>
            <w:vMerge/>
            <w:tcBorders>
              <w:top w:val="nil"/>
              <w:left w:val="single" w:sz="2" w:space="0" w:color="000000"/>
              <w:bottom w:val="nil"/>
              <w:right w:val="nil"/>
            </w:tcBorders>
          </w:tcPr>
          <w:p>
            <w:pPr>
              <w:keepNext/>
              <w:pageBreakBefore w:val="0"/>
            </w:pPr>
          </w:p>
        </w:tc>
        <w:tc>
          <w:tcPr>
            <w:tcW w:w="795" w:type="dxa"/>
            <w:vMerge/>
            <w:tcBorders>
              <w:top w:val="nil"/>
              <w:left w:val="single" w:sz="4" w:space="0" w:color="FFFFFF"/>
              <w:bottom w:val="nil"/>
              <w:right w:val="nil"/>
            </w:tcBorders>
          </w:tcPr>
          <w:p>
            <w:pPr>
              <w:keepNext/>
              <w:pageBreakBefore w:val="0"/>
            </w:pPr>
          </w:p>
        </w:tc>
        <w:tc>
          <w:tcPr>
            <w:tcW w:w="675" w:type="dxa"/>
            <w:vMerge/>
            <w:tcBorders>
              <w:top w:val="nil"/>
              <w:left w:val="single" w:sz="4" w:space="0" w:color="FFFFFF"/>
              <w:bottom w:val="nil"/>
              <w:right w:val="nil"/>
            </w:tcBorders>
          </w:tcPr>
          <w:p>
            <w:pPr>
              <w:keepNext/>
              <w:pageBreakBefore w:val="0"/>
            </w:pPr>
          </w:p>
        </w:tc>
        <w:tc>
          <w:tcPr>
            <w:tcW w:w="645" w:type="dxa"/>
            <w:vMerge/>
            <w:tcBorders>
              <w:top w:val="nil"/>
              <w:left w:val="single" w:sz="4" w:space="0" w:color="FFFFFF"/>
              <w:bottom w:val="nil"/>
              <w:right w:val="nil"/>
            </w:tcBorders>
          </w:tcPr>
          <w:p>
            <w:pPr>
              <w:keepNext/>
              <w:pageBreakBefore w:val="0"/>
            </w:pPr>
          </w:p>
        </w:tc>
        <w:tc>
          <w:tcPr>
            <w:tcW w:w="585" w:type="dxa"/>
            <w:vMerge/>
            <w:tcBorders>
              <w:top w:val="nil"/>
              <w:left w:val="single" w:sz="4" w:space="0" w:color="FFFFFF"/>
              <w:bottom w:val="nil"/>
              <w:right w:val="nil"/>
            </w:tcBorders>
          </w:tcPr>
          <w:p>
            <w:pPr>
              <w:keepNext/>
              <w:pageBreakBefore w:val="0"/>
            </w:pPr>
          </w:p>
        </w:tc>
        <w:tc>
          <w:tcPr>
            <w:tcW w:w="585" w:type="dxa"/>
            <w:vMerge/>
            <w:tcBorders>
              <w:top w:val="nil"/>
              <w:left w:val="single" w:sz="4" w:space="0" w:color="FFFFFF"/>
              <w:bottom w:val="nil"/>
              <w:right w:val="nil"/>
            </w:tcBorders>
          </w:tcPr>
          <w:p>
            <w:pPr>
              <w:keepNext/>
              <w:pageBreakBefore w:val="0"/>
            </w:pPr>
          </w:p>
        </w:tc>
        <w:tc>
          <w:tcPr>
            <w:tcW w:w="765" w:type="dxa"/>
            <w:vMerge/>
            <w:tcBorders>
              <w:top w:val="nil"/>
              <w:left w:val="single" w:sz="4" w:space="0" w:color="FFFFFF"/>
              <w:bottom w:val="nil"/>
              <w:right w:val="nil"/>
            </w:tcBorders>
          </w:tcPr>
          <w:p>
            <w:pPr>
              <w:keepNext/>
              <w:pageBreakBefore w:val="0"/>
            </w:pPr>
          </w:p>
        </w:tc>
        <w:tc>
          <w:tcPr>
            <w:tcW w:w="735" w:type="dxa"/>
            <w:vMerge/>
            <w:tcBorders>
              <w:top w:val="nil"/>
              <w:left w:val="single" w:sz="4" w:space="0" w:color="FFFFFF"/>
              <w:bottom w:val="nil"/>
              <w:right w:val="single" w:sz="4" w:space="0" w:color="FFFFFF"/>
            </w:tcBorders>
          </w:tcPr>
          <w:p>
            <w:pPr>
              <w:keepNext/>
              <w:pageBreakBefore w:val="0"/>
            </w:pPr>
          </w:p>
        </w:tc>
        <w:tc>
          <w:tcPr>
            <w:tcW w:w="885" w:type="dxa"/>
            <w:vMerge w:val="restart"/>
            <w:tcBorders>
              <w:top w:val="nil"/>
              <w:left w:val="nil"/>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Pago de intereses</w:t>
            </w:r>
          </w:p>
        </w:tc>
        <w:tc>
          <w:tcPr>
            <w:tcW w:w="1020" w:type="dxa"/>
            <w:vMerge w:val="restart"/>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Pago de amortización</w:t>
            </w:r>
          </w:p>
        </w:tc>
        <w:tc>
          <w:tcPr>
            <w:tcW w:w="9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1 a 3 meses</w:t>
            </w:r>
          </w:p>
        </w:tc>
        <w:tc>
          <w:tcPr>
            <w:tcW w:w="9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 a 12 meses</w:t>
            </w:r>
          </w:p>
        </w:tc>
        <w:tc>
          <w:tcPr>
            <w:tcW w:w="9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31-12-2025</w:t>
            </w:r>
          </w:p>
        </w:tc>
        <w:tc>
          <w:tcPr>
            <w:tcW w:w="9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4"/>
                <w:u w:val="none"/>
              </w:rPr>
              <w:t>más de 5</w:t>
            </w:r>
          </w:p>
          <w:p>
            <w:pPr>
              <w:spacing w:after="0" w:line="240" w:lineRule="auto"/>
              <w:jc w:val="center"/>
            </w:pPr>
            <w:r>
              <w:rPr>
                <w:rFonts w:ascii="Calibri" w:eastAsia="Calibri" w:hAnsi="Calibri" w:cs="Calibri"/>
                <w:b/>
                <w:i w:val="0"/>
                <w:color w:val="FFFFFF"/>
                <w:sz w:val="14"/>
                <w:u w:val="none"/>
              </w:rPr>
              <w:t>hasta 10 años</w:t>
            </w:r>
          </w:p>
        </w:tc>
        <w:tc>
          <w:tcPr>
            <w:tcW w:w="900"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31-12-2025</w:t>
            </w:r>
          </w:p>
        </w:tc>
      </w:tr>
      <w:tr>
        <w:tblPrEx>
          <w:tblW w:w="12090" w:type="dxa"/>
          <w:tblInd w:w="1417" w:type="dxa"/>
          <w:tblLayout w:type="fixed"/>
        </w:tblPrEx>
        <w:trPr>
          <w:cantSplit/>
          <w:trHeight w:hRule="auto" w:val="0"/>
        </w:trPr>
        <w:tc>
          <w:tcPr>
            <w:tcW w:w="900" w:type="dxa"/>
            <w:vMerge/>
            <w:tcBorders>
              <w:top w:val="nil"/>
              <w:left w:val="single" w:sz="2" w:space="0" w:color="000000"/>
              <w:bottom w:val="single" w:sz="2" w:space="0" w:color="000000"/>
              <w:right w:val="nil"/>
            </w:tcBorders>
          </w:tcPr>
          <w:p>
            <w:pPr>
              <w:keepNext/>
              <w:pageBreakBefore w:val="0"/>
            </w:pPr>
          </w:p>
        </w:tc>
        <w:tc>
          <w:tcPr>
            <w:tcW w:w="795" w:type="dxa"/>
            <w:vMerge/>
            <w:tcBorders>
              <w:top w:val="nil"/>
              <w:left w:val="single" w:sz="4" w:space="0" w:color="FFFFFF"/>
              <w:bottom w:val="single" w:sz="2" w:space="0" w:color="000000"/>
              <w:right w:val="nil"/>
            </w:tcBorders>
          </w:tcPr>
          <w:p>
            <w:pPr>
              <w:keepNext/>
              <w:pageBreakBefore w:val="0"/>
            </w:pPr>
          </w:p>
        </w:tc>
        <w:tc>
          <w:tcPr>
            <w:tcW w:w="675" w:type="dxa"/>
            <w:vMerge/>
            <w:tcBorders>
              <w:top w:val="nil"/>
              <w:left w:val="single" w:sz="4" w:space="0" w:color="FFFFFF"/>
              <w:bottom w:val="single" w:sz="2" w:space="0" w:color="000000"/>
              <w:right w:val="nil"/>
            </w:tcBorders>
          </w:tcPr>
          <w:p>
            <w:pPr>
              <w:keepNext/>
              <w:pageBreakBefore w:val="0"/>
            </w:pPr>
          </w:p>
        </w:tc>
        <w:tc>
          <w:tcPr>
            <w:tcW w:w="645" w:type="dxa"/>
            <w:vMerge/>
            <w:tcBorders>
              <w:top w:val="nil"/>
              <w:left w:val="single" w:sz="4" w:space="0" w:color="FFFFFF"/>
              <w:bottom w:val="single" w:sz="2" w:space="0" w:color="000000"/>
              <w:right w:val="nil"/>
            </w:tcBorders>
          </w:tcPr>
          <w:p>
            <w:pPr>
              <w:keepNext/>
              <w:pageBreakBefore w:val="0"/>
            </w:pPr>
          </w:p>
        </w:tc>
        <w:tc>
          <w:tcPr>
            <w:tcW w:w="585" w:type="dxa"/>
            <w:vMerge/>
            <w:tcBorders>
              <w:top w:val="nil"/>
              <w:left w:val="single" w:sz="4" w:space="0" w:color="FFFFFF"/>
              <w:bottom w:val="single" w:sz="2" w:space="0" w:color="000000"/>
              <w:right w:val="nil"/>
            </w:tcBorders>
          </w:tcPr>
          <w:p>
            <w:pPr>
              <w:keepNext/>
              <w:pageBreakBefore w:val="0"/>
            </w:pPr>
          </w:p>
        </w:tc>
        <w:tc>
          <w:tcPr>
            <w:tcW w:w="585" w:type="dxa"/>
            <w:vMerge/>
            <w:tcBorders>
              <w:top w:val="nil"/>
              <w:left w:val="single" w:sz="4" w:space="0" w:color="FFFFFF"/>
              <w:bottom w:val="single" w:sz="2" w:space="0" w:color="000000"/>
              <w:right w:val="nil"/>
            </w:tcBorders>
          </w:tcPr>
          <w:p>
            <w:pPr>
              <w:keepNext/>
              <w:pageBreakBefore w:val="0"/>
            </w:pPr>
          </w:p>
        </w:tc>
        <w:tc>
          <w:tcPr>
            <w:tcW w:w="765" w:type="dxa"/>
            <w:vMerge/>
            <w:tcBorders>
              <w:top w:val="nil"/>
              <w:left w:val="single" w:sz="4" w:space="0" w:color="FFFFFF"/>
              <w:bottom w:val="single" w:sz="2" w:space="0" w:color="000000"/>
              <w:right w:val="nil"/>
            </w:tcBorders>
          </w:tcPr>
          <w:p>
            <w:pPr>
              <w:keepNext/>
              <w:pageBreakBefore w:val="0"/>
            </w:pPr>
          </w:p>
        </w:tc>
        <w:tc>
          <w:tcPr>
            <w:tcW w:w="735" w:type="dxa"/>
            <w:vMerge/>
            <w:tcBorders>
              <w:top w:val="nil"/>
              <w:left w:val="single" w:sz="4" w:space="0" w:color="FFFFFF"/>
              <w:bottom w:val="single" w:sz="2" w:space="0" w:color="000000"/>
              <w:right w:val="single" w:sz="4" w:space="0" w:color="FFFFFF"/>
            </w:tcBorders>
          </w:tcPr>
          <w:p>
            <w:pPr>
              <w:keepNext/>
              <w:pageBreakBefore w:val="0"/>
            </w:pPr>
          </w:p>
        </w:tc>
        <w:tc>
          <w:tcPr>
            <w:tcW w:w="885" w:type="dxa"/>
            <w:vMerge/>
            <w:tcBorders>
              <w:top w:val="nil"/>
              <w:left w:val="nil"/>
              <w:bottom w:val="single" w:sz="2" w:space="0" w:color="000000"/>
              <w:right w:val="nil"/>
            </w:tcBorders>
          </w:tcPr>
          <w:p>
            <w:pPr>
              <w:keepNext/>
              <w:pageBreakBefore w:val="0"/>
            </w:pPr>
          </w:p>
        </w:tc>
        <w:tc>
          <w:tcPr>
            <w:tcW w:w="1020" w:type="dxa"/>
            <w:vMerge/>
            <w:tcBorders>
              <w:top w:val="nil"/>
              <w:left w:val="single" w:sz="4" w:space="0" w:color="FFFFFF"/>
              <w:bottom w:val="single" w:sz="2" w:space="0" w:color="000000"/>
              <w:right w:val="nil"/>
            </w:tcBorders>
          </w:tcPr>
          <w:p>
            <w:pPr>
              <w:keepNext/>
              <w:pageBreakBefore w:val="0"/>
            </w:pP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12090" w:type="dxa"/>
          <w:tblInd w:w="1417" w:type="dxa"/>
          <w:tblLayout w:type="fixed"/>
        </w:tblPrEx>
        <w:trPr>
          <w:cantSplit/>
          <w:trHeight w:hRule="exact" w:val="60"/>
        </w:trPr>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58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58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8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2090" w:type="dxa"/>
          <w:tblInd w:w="1417" w:type="dxa"/>
          <w:tblLayout w:type="fixed"/>
        </w:tblPrEx>
        <w:trPr>
          <w:cantSplit/>
          <w:trHeight w:hRule="exact" w:val="255"/>
        </w:trPr>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1.135</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BTCGE-A</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2.000.000</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UF</w:t>
            </w:r>
          </w:p>
        </w:tc>
        <w:tc>
          <w:tcPr>
            <w:tcW w:w="58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3,10 %</w:t>
            </w:r>
          </w:p>
        </w:tc>
        <w:tc>
          <w:tcPr>
            <w:tcW w:w="58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3,49 %</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15-11-2032</w:t>
            </w:r>
          </w:p>
        </w:tc>
        <w:tc>
          <w:tcPr>
            <w:tcW w:w="7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Semestral</w:t>
            </w:r>
          </w:p>
        </w:tc>
        <w:tc>
          <w:tcPr>
            <w:tcW w:w="10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Al Vencimiento</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48" w:after="30" w:line="240" w:lineRule="auto"/>
              <w:jc w:val="lef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317.365</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317.365</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77.940.248</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77.940.248</w:t>
            </w:r>
          </w:p>
        </w:tc>
      </w:tr>
      <w:tr>
        <w:tblPrEx>
          <w:tblW w:w="12090" w:type="dxa"/>
          <w:tblInd w:w="1417" w:type="dxa"/>
          <w:tblLayout w:type="fixed"/>
        </w:tblPrEx>
        <w:trPr>
          <w:cantSplit/>
          <w:trHeight w:hRule="auto" w:val="0"/>
        </w:trPr>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58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58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8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2090" w:type="dxa"/>
          <w:tblInd w:w="1417" w:type="dxa"/>
          <w:tblLayout w:type="fixed"/>
        </w:tblPrEx>
        <w:trPr>
          <w:cantSplit/>
          <w:trHeight w:hRule="auto" w:val="0"/>
        </w:trPr>
        <w:tc>
          <w:tcPr>
            <w:tcW w:w="7590" w:type="dxa"/>
            <w:gridSpan w:val="10"/>
            <w:tcBorders>
              <w:top w:val="nil"/>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Totales</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317.365</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317.365</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77.940.248</w:t>
            </w:r>
          </w:p>
        </w:tc>
        <w:tc>
          <w:tcPr>
            <w:tcW w:w="9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77.940.248</w:t>
            </w:r>
          </w:p>
        </w:tc>
      </w:tr>
    </w:tbl>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sectPr>
          <w:pgSz w:w="15840" w:h="12240" w:orient="landscape"/>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left"/>
        <w:outlineLvl w:val="0"/>
        <w:rPr>
          <w:rFonts w:ascii="Cambria" w:eastAsia="Cambria" w:hAnsi="Cambria" w:cs="Cambria"/>
          <w:b/>
          <w:i w:val="0"/>
          <w:color w:val="365F91"/>
          <w:sz w:val="28"/>
          <w:u w:val="none"/>
        </w:rPr>
      </w:pPr>
      <w:bookmarkStart w:id="189" w:name="Section98"/>
      <w:bookmarkEnd w:id="189"/>
      <w:bookmarkStart w:id="190" w:name="ff03295504ec49a8ab18f47869764179"/>
      <w:r>
        <w:rPr>
          <w:rFonts w:ascii="Calibri" w:eastAsia="Calibri" w:hAnsi="Calibri" w:cs="Calibri"/>
          <w:b/>
          <w:i w:val="0"/>
          <w:color w:val="000000"/>
          <w:sz w:val="20"/>
          <w:u w:val="none"/>
        </w:rPr>
        <w:t>21.-</w:t>
      </w:r>
      <w:r>
        <w:rPr>
          <w:rFonts w:ascii="Calibri" w:eastAsia="Calibri" w:hAnsi="Calibri" w:cs="Calibri"/>
          <w:b/>
          <w:i w:val="0"/>
          <w:color w:val="000000"/>
          <w:sz w:val="20"/>
          <w:u w:val="none"/>
        </w:rPr>
        <w:tab/>
      </w:r>
      <w:r>
        <w:rPr>
          <w:rFonts w:ascii="Calibri" w:eastAsia="Calibri" w:hAnsi="Calibri" w:cs="Calibri"/>
          <w:b/>
          <w:i w:val="0"/>
          <w:color w:val="000000"/>
          <w:sz w:val="20"/>
          <w:u w:val="none"/>
        </w:rPr>
        <w:t>CUENTAS POR PAGAR COMERCIALES Y OTRAS CUENTAS POR PAGAR.</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90"/>
    </w:p>
    <w:p>
      <w:pPr>
        <w:pStyle w:val="Normal-wk"/>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detalle de este rubro al </w:t>
      </w:r>
      <w:r>
        <w:rPr>
          <w:rFonts w:ascii="Calibri" w:eastAsia="Calibri" w:hAnsi="Calibri" w:cs="Calibri"/>
          <w:b w:val="0"/>
          <w:i w:val="0"/>
          <w:color w:val="000000"/>
          <w:sz w:val="20"/>
          <w:u w:val="none"/>
        </w:rPr>
        <w:t>30 de junio de 2026</w:t>
      </w:r>
      <w:r>
        <w:rPr>
          <w:rFonts w:ascii="Calibri" w:eastAsia="Calibri" w:hAnsi="Calibri" w:cs="Calibri"/>
          <w:b w:val="0"/>
          <w:i w:val="0"/>
          <w:sz w:val="20"/>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 xml:space="preserve"> es el siguiente: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9255"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455"/>
        <w:gridCol w:w="1200"/>
        <w:gridCol w:w="1200"/>
        <w:gridCol w:w="1200"/>
        <w:gridCol w:w="1200"/>
      </w:tblGrid>
      <w:tr>
        <w:tblPrEx>
          <w:tblW w:w="9255" w:type="dxa"/>
          <w:tblInd w:w="709" w:type="dxa"/>
          <w:tblLayout w:type="fixed"/>
        </w:tblPrEx>
        <w:trPr>
          <w:cantSplit/>
          <w:trHeight w:hRule="auto" w:val="0"/>
        </w:trPr>
        <w:tc>
          <w:tcPr>
            <w:tcW w:w="4455"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Cuentas por pagar comerciales y otras cuentas por pagar</w:t>
            </w:r>
          </w:p>
        </w:tc>
        <w:tc>
          <w:tcPr>
            <w:tcW w:w="2400"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Corrientes</w:t>
            </w:r>
          </w:p>
        </w:tc>
        <w:tc>
          <w:tcPr>
            <w:tcW w:w="240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No corrientes</w:t>
            </w:r>
          </w:p>
        </w:tc>
      </w:tr>
      <w:tr>
        <w:tblPrEx>
          <w:tblW w:w="9255" w:type="dxa"/>
          <w:tblInd w:w="709" w:type="dxa"/>
          <w:tblLayout w:type="fixed"/>
        </w:tblPrEx>
        <w:trPr>
          <w:cantSplit/>
          <w:trHeight w:hRule="auto" w:val="0"/>
        </w:trPr>
        <w:tc>
          <w:tcPr>
            <w:tcW w:w="4455"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9255" w:type="dxa"/>
          <w:tblInd w:w="709" w:type="dxa"/>
          <w:tblLayout w:type="fixed"/>
        </w:tblPrEx>
        <w:trPr>
          <w:cantSplit/>
          <w:trHeight w:hRule="auto" w:val="0"/>
        </w:trPr>
        <w:tc>
          <w:tcPr>
            <w:tcW w:w="4455"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9255" w:type="dxa"/>
          <w:tblInd w:w="709" w:type="dxa"/>
          <w:tblLayout w:type="fixed"/>
        </w:tblPrEx>
        <w:trPr>
          <w:cantSplit/>
          <w:trHeight w:hRule="auto" w:val="0"/>
        </w:trPr>
        <w:tc>
          <w:tcPr>
            <w:tcW w:w="44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 xml:space="preserve">Proveedores de energía y otros eléctricos.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1.474.464</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9255" w:type="dxa"/>
          <w:tblInd w:w="709" w:type="dxa"/>
          <w:tblLayout w:type="fixed"/>
        </w:tblPrEx>
        <w:trPr>
          <w:cantSplit/>
          <w:trHeight w:hRule="auto" w:val="0"/>
        </w:trPr>
        <w:tc>
          <w:tcPr>
            <w:tcW w:w="44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Retenciones.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1.724.313</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9255" w:type="dxa"/>
          <w:tblInd w:w="709" w:type="dxa"/>
          <w:tblLayout w:type="fixed"/>
        </w:tblPrEx>
        <w:trPr>
          <w:cantSplit/>
          <w:trHeight w:hRule="auto" w:val="0"/>
        </w:trPr>
        <w:tc>
          <w:tcPr>
            <w:tcW w:w="44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Dividendos por pagar.</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809.236</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9255" w:type="dxa"/>
          <w:tblInd w:w="709" w:type="dxa"/>
          <w:tblLayout w:type="fixed"/>
        </w:tblPrEx>
        <w:trPr>
          <w:cantSplit/>
          <w:trHeight w:hRule="auto" w:val="0"/>
        </w:trPr>
        <w:tc>
          <w:tcPr>
            <w:tcW w:w="44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Pasivos acumulados (o devengados). (Nota 21.1)</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1.690.334</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9255" w:type="dxa"/>
          <w:tblInd w:w="709" w:type="dxa"/>
          <w:tblLayout w:type="fixed"/>
        </w:tblPrEx>
        <w:trPr>
          <w:cantSplit/>
          <w:trHeight w:hRule="auto" w:val="0"/>
        </w:trPr>
        <w:tc>
          <w:tcPr>
            <w:tcW w:w="44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Proveedores no energéticos.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30.686.404</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9255" w:type="dxa"/>
          <w:tblInd w:w="709" w:type="dxa"/>
          <w:tblLayout w:type="fixed"/>
        </w:tblPrEx>
        <w:trPr>
          <w:cantSplit/>
          <w:trHeight w:hRule="auto" w:val="0"/>
        </w:trPr>
        <w:tc>
          <w:tcPr>
            <w:tcW w:w="44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Proveedores de importación.</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88.469</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9255" w:type="dxa"/>
          <w:tblInd w:w="709" w:type="dxa"/>
          <w:tblLayout w:type="fixed"/>
        </w:tblPrEx>
        <w:trPr>
          <w:cantSplit/>
          <w:trHeight w:hRule="auto" w:val="0"/>
        </w:trPr>
        <w:tc>
          <w:tcPr>
            <w:tcW w:w="44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Acreedores varios.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6.199.243</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1.274.601</w:t>
            </w:r>
          </w:p>
        </w:tc>
      </w:tr>
      <w:tr>
        <w:tblPrEx>
          <w:tblW w:w="9255" w:type="dxa"/>
          <w:tblInd w:w="709" w:type="dxa"/>
          <w:tblLayout w:type="fixed"/>
        </w:tblPrEx>
        <w:trPr>
          <w:cantSplit/>
          <w:trHeight w:hRule="auto" w:val="0"/>
        </w:trPr>
        <w:tc>
          <w:tcPr>
            <w:tcW w:w="44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 xml:space="preserve">Total </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42.672.463</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1.274.601</w:t>
            </w:r>
          </w:p>
        </w:tc>
      </w:tr>
    </w:tbl>
    <w:p>
      <w:pPr>
        <w:keepNext w:val="0"/>
        <w:keepLines/>
        <w:pageBreakBefore w:val="0"/>
        <w:widowControl w:val="0"/>
        <w:numPr>
          <w:ilvl w:val="0"/>
          <w:numId w:val="0"/>
        </w:numPr>
        <w:spacing w:before="0" w:after="0" w:line="288" w:lineRule="auto"/>
        <w:ind w:left="1418" w:right="0" w:hanging="71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Sociedad y subsidiarias no tienen proveedores de importancia cuyos pasivos superen el 10% de este ítem. </w:t>
      </w:r>
    </w:p>
    <w:p>
      <w:pPr>
        <w:keepNext w:val="0"/>
        <w:keepLines/>
        <w:pageBreakBefore w:val="0"/>
        <w:widowControl w:val="0"/>
        <w:numPr>
          <w:ilvl w:val="0"/>
          <w:numId w:val="0"/>
        </w:numPr>
        <w:spacing w:before="0" w:after="0" w:line="288" w:lineRule="auto"/>
        <w:ind w:left="705"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705" w:right="0" w:firstLine="0"/>
        <w:jc w:val="both"/>
        <w:outlineLvl w:val="9"/>
        <w:rPr>
          <w:rFonts w:ascii="Calibri" w:eastAsia="Calibri" w:hAnsi="Calibri" w:cs="Calibri"/>
          <w:b w:val="0"/>
          <w:i w:val="0"/>
          <w:color w:val="000000"/>
          <w:sz w:val="20"/>
          <w:u w:val="none"/>
        </w:rPr>
        <w:sectPr>
          <w:headerReference w:type="default" r:id="rId46"/>
          <w:footerReference w:type="default" r:id="rId47"/>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191" w:name="Section99"/>
      <w:bookmarkEnd w:id="191"/>
      <w:bookmarkStart w:id="192" w:name="9a105d0a1d2f4d0e8ad99f338c3fdae3"/>
      <w:r>
        <w:rPr>
          <w:rFonts w:ascii="Calibri" w:eastAsia="Calibri" w:hAnsi="Calibri" w:cs="Calibri"/>
          <w:b/>
          <w:i w:val="0"/>
          <w:color w:val="000000"/>
          <w:sz w:val="20"/>
          <w:u w:val="none"/>
        </w:rPr>
        <w:t>21.1.-</w:t>
      </w:r>
      <w:r>
        <w:rPr>
          <w:rFonts w:ascii="Calibri" w:eastAsia="Calibri" w:hAnsi="Calibri" w:cs="Calibri"/>
          <w:b/>
          <w:i w:val="0"/>
          <w:color w:val="000000"/>
          <w:sz w:val="20"/>
          <w:u w:val="none"/>
        </w:rPr>
        <w:tab/>
      </w:r>
      <w:r>
        <w:rPr>
          <w:rFonts w:ascii="Calibri" w:eastAsia="Calibri" w:hAnsi="Calibri" w:cs="Calibri"/>
          <w:b/>
          <w:i w:val="0"/>
          <w:color w:val="000000"/>
          <w:sz w:val="20"/>
          <w:u w:val="none"/>
        </w:rPr>
        <w:t>Pasivos acumulados (o devengados).</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192"/>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750"/>
        <w:gridCol w:w="1200"/>
        <w:gridCol w:w="1200"/>
        <w:gridCol w:w="1200"/>
        <w:gridCol w:w="1200"/>
      </w:tblGrid>
      <w:tr>
        <w:tblPrEx>
          <w:tblW w:w="8550" w:type="dxa"/>
          <w:tblInd w:w="1417" w:type="dxa"/>
          <w:tblLayout w:type="fixed"/>
        </w:tblPrEx>
        <w:trPr>
          <w:cantSplit/>
          <w:trHeight w:hRule="auto" w:val="0"/>
        </w:trPr>
        <w:tc>
          <w:tcPr>
            <w:tcW w:w="375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Pasivos acumulados (o devengados).</w:t>
            </w:r>
          </w:p>
        </w:tc>
        <w:tc>
          <w:tcPr>
            <w:tcW w:w="2400"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Corrientes</w:t>
            </w:r>
          </w:p>
        </w:tc>
        <w:tc>
          <w:tcPr>
            <w:tcW w:w="240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No corrientes</w:t>
            </w:r>
          </w:p>
        </w:tc>
      </w:tr>
      <w:tr>
        <w:tblPrEx>
          <w:tblW w:w="8550" w:type="dxa"/>
          <w:tblInd w:w="1417" w:type="dxa"/>
          <w:tblLayout w:type="fixed"/>
        </w:tblPrEx>
        <w:trPr>
          <w:cantSplit/>
          <w:trHeight w:hRule="auto" w:val="0"/>
        </w:trPr>
        <w:tc>
          <w:tcPr>
            <w:tcW w:w="3750"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8550" w:type="dxa"/>
          <w:tblInd w:w="1417" w:type="dxa"/>
          <w:tblLayout w:type="fixed"/>
        </w:tblPrEx>
        <w:trPr>
          <w:cantSplit/>
          <w:trHeight w:hRule="auto" w:val="0"/>
        </w:trPr>
        <w:tc>
          <w:tcPr>
            <w:tcW w:w="375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Vacaciones del personal.</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1.301.314</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Bonificaciones de feriados.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65.794</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Participación sobre resultados.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315.012</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Aguinaldos.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8.214</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1.690.334</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r>
    </w:tbl>
    <w:p>
      <w:pPr>
        <w:keepNext/>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sz w:val="20"/>
        </w:rPr>
      </w:pPr>
    </w:p>
    <w:p>
      <w:pPr>
        <w:keepNext/>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sz w:val="20"/>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1418" w:right="0" w:hanging="710"/>
        <w:jc w:val="both"/>
        <w:outlineLvl w:val="1"/>
        <w:rPr>
          <w:rFonts w:ascii="Calibri" w:eastAsia="Calibri" w:hAnsi="Calibri" w:cs="Calibri"/>
          <w:b/>
          <w:i w:val="0"/>
          <w:color w:val="000000"/>
          <w:sz w:val="20"/>
          <w:u w:val="none"/>
        </w:rPr>
      </w:pPr>
      <w:bookmarkStart w:id="193" w:name="Section100"/>
      <w:bookmarkEnd w:id="193"/>
      <w:bookmarkStart w:id="194" w:name="5ebac6c22208428ca55054b7dc9214cf"/>
      <w:r>
        <w:rPr>
          <w:rFonts w:ascii="Calibri" w:eastAsia="Calibri" w:hAnsi="Calibri" w:cs="Calibri"/>
          <w:b/>
          <w:i w:val="0"/>
          <w:color w:val="000000"/>
          <w:sz w:val="20"/>
          <w:u w:val="none"/>
        </w:rPr>
        <w:t>21.2.-</w:t>
      </w:r>
      <w:r>
        <w:rPr>
          <w:rFonts w:ascii="Calibri" w:eastAsia="Calibri" w:hAnsi="Calibri" w:cs="Calibri"/>
          <w:b/>
          <w:i w:val="0"/>
          <w:color w:val="000000"/>
          <w:sz w:val="20"/>
          <w:u w:val="none"/>
        </w:rPr>
        <w:tab/>
      </w:r>
      <w:r>
        <w:rPr>
          <w:rFonts w:ascii="Calibri" w:eastAsia="Calibri" w:hAnsi="Calibri" w:cs="Calibri"/>
          <w:b/>
          <w:i w:val="0"/>
          <w:color w:val="000000"/>
          <w:sz w:val="20"/>
          <w:u w:val="none"/>
        </w:rPr>
        <w:t>Información cuentas comerciales y otras cuentas por pagar con pagos al día y con plazos vencidos.</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194"/>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950"/>
        <w:gridCol w:w="1200"/>
        <w:gridCol w:w="1200"/>
        <w:gridCol w:w="1200"/>
      </w:tblGrid>
      <w:tr>
        <w:tblPrEx>
          <w:tblW w:w="8550" w:type="dxa"/>
          <w:tblInd w:w="1417" w:type="dxa"/>
          <w:tblLayout w:type="fixed"/>
        </w:tblPrEx>
        <w:trPr>
          <w:cantSplit/>
          <w:trHeight w:hRule="auto" w:val="0"/>
        </w:trPr>
        <w:tc>
          <w:tcPr>
            <w:tcW w:w="495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Cuentas comerciales con pagos al día (por vencer)</w:t>
            </w:r>
            <w:r>
              <w:br/>
            </w:r>
            <w:r>
              <w:rPr>
                <w:rFonts w:ascii="Calibri" w:eastAsia="Calibri" w:hAnsi="Calibri" w:cs="Calibri"/>
                <w:b/>
                <w:i w:val="0"/>
                <w:color w:val="FFFFFF"/>
                <w:sz w:val="16"/>
                <w:u w:val="none"/>
              </w:rPr>
              <w:t>Cuentas comerciales al día según plazo</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Bienes y Servicios</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Otros</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Total</w:t>
            </w:r>
          </w:p>
        </w:tc>
      </w:tr>
      <w:tr>
        <w:tblPrEx>
          <w:tblW w:w="8550" w:type="dxa"/>
          <w:tblInd w:w="1417" w:type="dxa"/>
          <w:tblLayout w:type="fixed"/>
        </w:tblPrEx>
        <w:trPr>
          <w:cantSplit/>
          <w:trHeight w:hRule="auto" w:val="0"/>
        </w:trPr>
        <w:tc>
          <w:tcPr>
            <w:tcW w:w="4950"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r>
      <w:tr>
        <w:tblPrEx>
          <w:tblW w:w="8550" w:type="dxa"/>
          <w:tblInd w:w="1417" w:type="dxa"/>
          <w:tblLayout w:type="fixed"/>
        </w:tblPrEx>
        <w:trPr>
          <w:cantSplit/>
          <w:trHeight w:hRule="auto" w:val="0"/>
        </w:trPr>
        <w:tc>
          <w:tcPr>
            <w:tcW w:w="495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exact" w:val="60"/>
        </w:trPr>
        <w:tc>
          <w:tcPr>
            <w:tcW w:w="49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49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Hasta 30 días.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4" w:space="0" w:color="FFFFFF"/>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r>
      <w:tr>
        <w:tblPrEx>
          <w:tblW w:w="8550" w:type="dxa"/>
          <w:tblInd w:w="1417" w:type="dxa"/>
          <w:tblLayout w:type="fixed"/>
        </w:tblPrEx>
        <w:trPr>
          <w:cantSplit/>
          <w:trHeight w:hRule="auto" w:val="0"/>
        </w:trPr>
        <w:tc>
          <w:tcPr>
            <w:tcW w:w="49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6"/>
                <w:u w:val="none"/>
              </w:rPr>
              <w:t>Entre 31 y 60 días.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p>
        </w:tc>
        <w:tc>
          <w:tcPr>
            <w:tcW w:w="120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bottom"/>
          </w:tcPr>
          <w:p>
            <w:pPr>
              <w:keepNext/>
              <w:pageBreakBefore w:val="0"/>
              <w:spacing w:before="33" w:after="20" w:line="240" w:lineRule="auto"/>
              <w:jc w:val="right"/>
            </w:pPr>
            <w:r>
              <w:rPr>
                <w:rFonts w:ascii="Calibri" w:eastAsia="Calibri" w:hAnsi="Calibri" w:cs="Calibri"/>
                <w:b/>
                <w:i w:val="0"/>
                <w:color w:val="FFFFFF"/>
                <w:sz w:val="16"/>
                <w:u w:val="none"/>
              </w:rPr>
              <w:t>0</w:t>
            </w:r>
          </w:p>
        </w:tc>
      </w:tr>
      <w:tr>
        <w:tblPrEx>
          <w:tblW w:w="8550" w:type="dxa"/>
          <w:tblInd w:w="1417" w:type="dxa"/>
          <w:tblLayout w:type="fixed"/>
        </w:tblPrEx>
        <w:trPr>
          <w:cantSplit/>
          <w:trHeight w:hRule="auto" w:val="0"/>
        </w:trPr>
        <w:tc>
          <w:tcPr>
            <w:tcW w:w="49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6"/>
                <w:u w:val="none"/>
              </w:rPr>
              <w:t>Más de 365 días.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p>
        </w:tc>
        <w:tc>
          <w:tcPr>
            <w:tcW w:w="1200" w:type="dxa"/>
            <w:tcBorders>
              <w:top w:val="single" w:sz="4" w:space="0" w:color="FFFFFF"/>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3" w:after="20" w:line="240" w:lineRule="auto"/>
              <w:jc w:val="right"/>
            </w:pPr>
            <w:r>
              <w:rPr>
                <w:rFonts w:ascii="Calibri" w:eastAsia="Calibri" w:hAnsi="Calibri" w:cs="Calibri"/>
                <w:b/>
                <w:i w:val="0"/>
                <w:color w:val="FFFFFF"/>
                <w:sz w:val="16"/>
                <w:u w:val="none"/>
              </w:rPr>
              <w:t>0</w:t>
            </w:r>
          </w:p>
        </w:tc>
      </w:tr>
      <w:tr>
        <w:tblPrEx>
          <w:tblW w:w="8550" w:type="dxa"/>
          <w:tblInd w:w="1417" w:type="dxa"/>
          <w:tblLayout w:type="fixed"/>
        </w:tblPrEx>
        <w:trPr>
          <w:cantSplit/>
          <w:trHeight w:hRule="auto" w:val="0"/>
        </w:trPr>
        <w:tc>
          <w:tcPr>
            <w:tcW w:w="49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49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 xml:space="preserve">Total </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995"/>
        <w:gridCol w:w="1185"/>
        <w:gridCol w:w="1185"/>
        <w:gridCol w:w="1185"/>
      </w:tblGrid>
      <w:tr>
        <w:tblPrEx>
          <w:tblW w:w="8550" w:type="dxa"/>
          <w:tblInd w:w="1417" w:type="dxa"/>
          <w:tblLayout w:type="fixed"/>
        </w:tblPrEx>
        <w:trPr>
          <w:cantSplit/>
          <w:trHeight w:hRule="auto" w:val="0"/>
        </w:trPr>
        <w:tc>
          <w:tcPr>
            <w:tcW w:w="499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Cuentas comerciales con pagos al día (por vencer)</w:t>
            </w:r>
            <w:r>
              <w:br/>
            </w:r>
            <w:r>
              <w:rPr>
                <w:rFonts w:ascii="Calibri" w:eastAsia="Calibri" w:hAnsi="Calibri" w:cs="Calibri"/>
                <w:b/>
                <w:i w:val="0"/>
                <w:color w:val="FFFFFF"/>
                <w:sz w:val="16"/>
                <w:u w:val="none"/>
              </w:rPr>
              <w:t>Cuentas comerciales al día según plazo</w:t>
            </w:r>
          </w:p>
        </w:tc>
        <w:tc>
          <w:tcPr>
            <w:tcW w:w="118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Bienes y Servicios</w:t>
            </w:r>
          </w:p>
        </w:tc>
        <w:tc>
          <w:tcPr>
            <w:tcW w:w="118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Otros</w:t>
            </w:r>
          </w:p>
        </w:tc>
        <w:tc>
          <w:tcPr>
            <w:tcW w:w="1185"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Total</w:t>
            </w:r>
          </w:p>
        </w:tc>
      </w:tr>
      <w:tr>
        <w:tblPrEx>
          <w:tblW w:w="8550" w:type="dxa"/>
          <w:tblInd w:w="1417" w:type="dxa"/>
          <w:tblLayout w:type="fixed"/>
        </w:tblPrEx>
        <w:trPr>
          <w:cantSplit/>
          <w:trHeight w:hRule="auto" w:val="0"/>
        </w:trPr>
        <w:tc>
          <w:tcPr>
            <w:tcW w:w="4995" w:type="dxa"/>
            <w:vMerge/>
            <w:tcBorders>
              <w:top w:val="nil"/>
              <w:left w:val="single" w:sz="2" w:space="0" w:color="000000"/>
              <w:bottom w:val="nil"/>
              <w:right w:val="nil"/>
            </w:tcBorders>
          </w:tcPr>
          <w:p>
            <w:pPr>
              <w:keepNext/>
              <w:pageBreakBefore w:val="0"/>
            </w:pPr>
          </w:p>
        </w:tc>
        <w:tc>
          <w:tcPr>
            <w:tcW w:w="118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c>
          <w:tcPr>
            <w:tcW w:w="118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c>
          <w:tcPr>
            <w:tcW w:w="1185"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8550" w:type="dxa"/>
          <w:tblInd w:w="1417" w:type="dxa"/>
          <w:tblLayout w:type="fixed"/>
        </w:tblPrEx>
        <w:trPr>
          <w:cantSplit/>
          <w:trHeight w:hRule="auto" w:val="0"/>
        </w:trPr>
        <w:tc>
          <w:tcPr>
            <w:tcW w:w="4995" w:type="dxa"/>
            <w:vMerge/>
            <w:tcBorders>
              <w:top w:val="nil"/>
              <w:left w:val="single" w:sz="2" w:space="0" w:color="000000"/>
              <w:bottom w:val="single" w:sz="2" w:space="0" w:color="000000"/>
              <w:right w:val="nil"/>
            </w:tcBorders>
          </w:tcPr>
          <w:p>
            <w:pPr>
              <w:keepNext/>
              <w:pageBreakBefore w:val="0"/>
            </w:pPr>
          </w:p>
        </w:tc>
        <w:tc>
          <w:tcPr>
            <w:tcW w:w="118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18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18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exact" w:val="60"/>
        </w:trPr>
        <w:tc>
          <w:tcPr>
            <w:tcW w:w="49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18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18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18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4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Hasta 30 días.</w:t>
            </w:r>
          </w:p>
        </w:tc>
        <w:tc>
          <w:tcPr>
            <w:tcW w:w="11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33.033.407</w:t>
            </w:r>
          </w:p>
        </w:tc>
        <w:tc>
          <w:tcPr>
            <w:tcW w:w="11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8.357.126</w:t>
            </w:r>
          </w:p>
        </w:tc>
        <w:tc>
          <w:tcPr>
            <w:tcW w:w="1185" w:type="dxa"/>
            <w:tcBorders>
              <w:top w:val="single" w:sz="2" w:space="0" w:color="000000"/>
              <w:left w:val="single" w:sz="2" w:space="0" w:color="000000"/>
              <w:bottom w:val="single" w:sz="4" w:space="0" w:color="FFFFFF"/>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41.390.533</w:t>
            </w:r>
          </w:p>
        </w:tc>
      </w:tr>
      <w:tr>
        <w:tblPrEx>
          <w:tblW w:w="8550" w:type="dxa"/>
          <w:tblInd w:w="1417" w:type="dxa"/>
          <w:tblLayout w:type="fixed"/>
        </w:tblPrEx>
        <w:trPr>
          <w:cantSplit/>
          <w:trHeight w:hRule="auto" w:val="0"/>
        </w:trPr>
        <w:tc>
          <w:tcPr>
            <w:tcW w:w="4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6"/>
                <w:u w:val="none"/>
              </w:rPr>
              <w:t>Entre 31 y 60 días.</w:t>
            </w:r>
          </w:p>
        </w:tc>
        <w:tc>
          <w:tcPr>
            <w:tcW w:w="11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r>
              <w:rPr>
                <w:rFonts w:ascii="Calibri" w:eastAsia="Calibri" w:hAnsi="Calibri" w:cs="Calibri"/>
                <w:b w:val="0"/>
                <w:i w:val="0"/>
                <w:color w:val="000000"/>
                <w:sz w:val="16"/>
                <w:u w:val="none"/>
              </w:rPr>
              <w:t>263.984</w:t>
            </w:r>
          </w:p>
        </w:tc>
        <w:tc>
          <w:tcPr>
            <w:tcW w:w="11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r>
              <w:rPr>
                <w:rFonts w:ascii="Calibri" w:eastAsia="Calibri" w:hAnsi="Calibri" w:cs="Calibri"/>
                <w:b w:val="0"/>
                <w:i w:val="0"/>
                <w:color w:val="000000"/>
                <w:sz w:val="16"/>
                <w:u w:val="none"/>
              </w:rPr>
              <w:t>973.952</w:t>
            </w:r>
          </w:p>
        </w:tc>
        <w:tc>
          <w:tcPr>
            <w:tcW w:w="118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bottom"/>
          </w:tcPr>
          <w:p>
            <w:pPr>
              <w:keepNext/>
              <w:pageBreakBefore w:val="0"/>
              <w:spacing w:before="33" w:after="20" w:line="240" w:lineRule="auto"/>
              <w:jc w:val="right"/>
            </w:pPr>
            <w:r>
              <w:rPr>
                <w:rFonts w:ascii="Calibri" w:eastAsia="Calibri" w:hAnsi="Calibri" w:cs="Calibri"/>
                <w:b/>
                <w:i w:val="0"/>
                <w:color w:val="FFFFFF"/>
                <w:sz w:val="16"/>
                <w:u w:val="none"/>
              </w:rPr>
              <w:t>1.237.936</w:t>
            </w:r>
          </w:p>
        </w:tc>
      </w:tr>
      <w:tr>
        <w:tblPrEx>
          <w:tblW w:w="8550" w:type="dxa"/>
          <w:tblInd w:w="1417" w:type="dxa"/>
          <w:tblLayout w:type="fixed"/>
        </w:tblPrEx>
        <w:trPr>
          <w:cantSplit/>
          <w:trHeight w:hRule="auto" w:val="0"/>
        </w:trPr>
        <w:tc>
          <w:tcPr>
            <w:tcW w:w="4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6"/>
                <w:u w:val="none"/>
              </w:rPr>
              <w:t>Entre 61 y 90 días.</w:t>
            </w:r>
          </w:p>
        </w:tc>
        <w:tc>
          <w:tcPr>
            <w:tcW w:w="11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p>
        </w:tc>
        <w:tc>
          <w:tcPr>
            <w:tcW w:w="11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r>
              <w:rPr>
                <w:rFonts w:ascii="Calibri" w:eastAsia="Calibri" w:hAnsi="Calibri" w:cs="Calibri"/>
                <w:b w:val="0"/>
                <w:i w:val="0"/>
                <w:color w:val="000000"/>
                <w:sz w:val="16"/>
                <w:u w:val="none"/>
              </w:rPr>
              <w:t>43.994</w:t>
            </w:r>
          </w:p>
        </w:tc>
        <w:tc>
          <w:tcPr>
            <w:tcW w:w="118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bottom"/>
          </w:tcPr>
          <w:p>
            <w:pPr>
              <w:keepNext/>
              <w:pageBreakBefore w:val="0"/>
              <w:spacing w:before="33" w:after="20" w:line="240" w:lineRule="auto"/>
              <w:jc w:val="right"/>
            </w:pPr>
            <w:r>
              <w:rPr>
                <w:rFonts w:ascii="Calibri" w:eastAsia="Calibri" w:hAnsi="Calibri" w:cs="Calibri"/>
                <w:b/>
                <w:i w:val="0"/>
                <w:color w:val="FFFFFF"/>
                <w:sz w:val="16"/>
                <w:u w:val="none"/>
              </w:rPr>
              <w:t>43.994</w:t>
            </w:r>
          </w:p>
        </w:tc>
      </w:tr>
      <w:tr>
        <w:tblPrEx>
          <w:tblW w:w="8550" w:type="dxa"/>
          <w:tblInd w:w="1417" w:type="dxa"/>
          <w:tblLayout w:type="fixed"/>
        </w:tblPrEx>
        <w:trPr>
          <w:cantSplit/>
          <w:trHeight w:hRule="auto" w:val="0"/>
        </w:trPr>
        <w:tc>
          <w:tcPr>
            <w:tcW w:w="4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6"/>
                <w:u w:val="none"/>
              </w:rPr>
              <w:t>Más de 365 días.</w:t>
            </w:r>
          </w:p>
        </w:tc>
        <w:tc>
          <w:tcPr>
            <w:tcW w:w="11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p>
        </w:tc>
        <w:tc>
          <w:tcPr>
            <w:tcW w:w="11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r>
              <w:rPr>
                <w:rFonts w:ascii="Calibri" w:eastAsia="Calibri" w:hAnsi="Calibri" w:cs="Calibri"/>
                <w:b w:val="0"/>
                <w:i w:val="0"/>
                <w:color w:val="000000"/>
                <w:sz w:val="16"/>
                <w:u w:val="none"/>
              </w:rPr>
              <w:t>1.274.601</w:t>
            </w:r>
          </w:p>
        </w:tc>
        <w:tc>
          <w:tcPr>
            <w:tcW w:w="1185" w:type="dxa"/>
            <w:tcBorders>
              <w:top w:val="single" w:sz="4" w:space="0" w:color="FFFFFF"/>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3" w:after="20" w:line="240" w:lineRule="auto"/>
              <w:jc w:val="right"/>
            </w:pPr>
            <w:r>
              <w:rPr>
                <w:rFonts w:ascii="Calibri" w:eastAsia="Calibri" w:hAnsi="Calibri" w:cs="Calibri"/>
                <w:b/>
                <w:i w:val="0"/>
                <w:color w:val="FFFFFF"/>
                <w:sz w:val="16"/>
                <w:u w:val="none"/>
              </w:rPr>
              <w:t>1.274.601</w:t>
            </w:r>
          </w:p>
        </w:tc>
      </w:tr>
      <w:tr>
        <w:tblPrEx>
          <w:tblW w:w="8550" w:type="dxa"/>
          <w:tblInd w:w="1417" w:type="dxa"/>
          <w:tblLayout w:type="fixed"/>
        </w:tblPrEx>
        <w:trPr>
          <w:cantSplit/>
          <w:trHeight w:hRule="auto" w:val="0"/>
        </w:trPr>
        <w:tc>
          <w:tcPr>
            <w:tcW w:w="49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18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18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18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4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 xml:space="preserve">Total </w:t>
            </w:r>
          </w:p>
        </w:tc>
        <w:tc>
          <w:tcPr>
            <w:tcW w:w="118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33.297.391</w:t>
            </w:r>
          </w:p>
        </w:tc>
        <w:tc>
          <w:tcPr>
            <w:tcW w:w="118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10.649.673</w:t>
            </w:r>
          </w:p>
        </w:tc>
        <w:tc>
          <w:tcPr>
            <w:tcW w:w="118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43.947.064</w:t>
            </w:r>
          </w:p>
        </w:tc>
      </w:tr>
    </w:tbl>
    <w:p>
      <w:pPr>
        <w:keepNext w:val="0"/>
        <w:keepLines/>
        <w:pageBreakBefore w:val="0"/>
        <w:widowControl w:val="0"/>
        <w:numPr>
          <w:ilvl w:val="0"/>
          <w:numId w:val="0"/>
        </w:numPr>
        <w:tabs>
          <w:tab w:val="left" w:pos="700"/>
        </w:tabs>
        <w:spacing w:before="0" w:after="0" w:line="288" w:lineRule="auto"/>
        <w:ind w:left="720" w:right="0" w:firstLine="72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tabs>
          <w:tab w:val="left" w:pos="700"/>
        </w:tabs>
        <w:spacing w:before="0" w:after="0" w:line="288" w:lineRule="auto"/>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Al </w:t>
      </w:r>
      <w:r>
        <w:rPr>
          <w:rFonts w:ascii="Calibri" w:eastAsia="Calibri" w:hAnsi="Calibri" w:cs="Calibri"/>
          <w:b w:val="0"/>
          <w:i w:val="0"/>
          <w:color w:val="000000"/>
          <w:sz w:val="20"/>
          <w:u w:val="none"/>
        </w:rPr>
        <w:t>30 de junio de 2026</w:t>
      </w:r>
      <w:r>
        <w:rPr>
          <w:rFonts w:ascii="Calibri" w:eastAsia="Calibri" w:hAnsi="Calibri" w:cs="Calibri"/>
          <w:b w:val="0"/>
          <w:i w:val="0"/>
          <w:sz w:val="20"/>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 xml:space="preserve"> no hay cuentas por pagar comerciales y otras cuentas por pagar con plazos vencidos.</w:t>
      </w:r>
    </w:p>
    <w:p>
      <w:pPr>
        <w:pStyle w:val="Normal-wk"/>
        <w:keepNext w:val="0"/>
        <w:keepLines/>
        <w:pageBreakBefore w:val="0"/>
        <w:widowControl w:val="0"/>
        <w:numPr>
          <w:ilvl w:val="0"/>
          <w:numId w:val="0"/>
        </w:numPr>
        <w:tabs>
          <w:tab w:val="left" w:pos="700"/>
        </w:tabs>
        <w:spacing w:before="0" w:after="0" w:line="288" w:lineRule="auto"/>
        <w:ind w:left="1418" w:right="0" w:firstLine="0"/>
        <w:jc w:val="both"/>
        <w:outlineLvl w:val="9"/>
        <w:rPr>
          <w:rFonts w:ascii="Calibri" w:eastAsia="Calibri" w:hAnsi="Calibri" w:cs="Calibri"/>
          <w:b w:val="0"/>
          <w:i w:val="0"/>
          <w:sz w:val="20"/>
        </w:rPr>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left"/>
        <w:outlineLvl w:val="0"/>
        <w:rPr>
          <w:rFonts w:ascii="Cambria" w:eastAsia="Cambria" w:hAnsi="Cambria" w:cs="Cambria"/>
          <w:b/>
          <w:i w:val="0"/>
          <w:color w:val="365F91"/>
          <w:sz w:val="28"/>
          <w:u w:val="none"/>
        </w:rPr>
      </w:pPr>
      <w:bookmarkStart w:id="195" w:name="Section101"/>
      <w:bookmarkEnd w:id="195"/>
      <w:bookmarkStart w:id="196" w:name="26375c29ed904f22b0dc01a4f9966df8"/>
      <w:r>
        <w:rPr>
          <w:rFonts w:ascii="Calibri" w:eastAsia="Calibri" w:hAnsi="Calibri" w:cs="Calibri"/>
          <w:b/>
          <w:i w:val="0"/>
          <w:color w:val="000000"/>
          <w:sz w:val="20"/>
          <w:u w:val="none"/>
        </w:rPr>
        <w:t>22.-</w:t>
      </w:r>
      <w:r>
        <w:rPr>
          <w:rFonts w:ascii="Calibri" w:eastAsia="Calibri" w:hAnsi="Calibri" w:cs="Calibri"/>
          <w:b/>
          <w:i w:val="0"/>
          <w:color w:val="000000"/>
          <w:sz w:val="20"/>
          <w:u w:val="none"/>
        </w:rPr>
        <w:tab/>
      </w:r>
      <w:r>
        <w:rPr>
          <w:rFonts w:ascii="Calibri" w:eastAsia="Calibri" w:hAnsi="Calibri" w:cs="Calibri"/>
          <w:b/>
          <w:i w:val="0"/>
          <w:color w:val="000000"/>
          <w:sz w:val="20"/>
          <w:u w:val="none"/>
        </w:rPr>
        <w:t>OTRAS PROVISIONES.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96"/>
    </w:p>
    <w:p>
      <w:pPr>
        <w:pStyle w:val="Normal-wk"/>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detalle de este rubro al </w:t>
      </w:r>
      <w:r>
        <w:rPr>
          <w:rFonts w:ascii="Calibri" w:eastAsia="Calibri" w:hAnsi="Calibri" w:cs="Calibri"/>
          <w:b w:val="0"/>
          <w:i w:val="0"/>
          <w:color w:val="000000"/>
          <w:sz w:val="20"/>
          <w:u w:val="none"/>
        </w:rPr>
        <w:t>30 de junio de 2026</w:t>
      </w:r>
      <w:r>
        <w:rPr>
          <w:rFonts w:ascii="Calibri" w:eastAsia="Calibri" w:hAnsi="Calibri" w:cs="Calibri"/>
          <w:b w:val="0"/>
          <w:i w:val="0"/>
          <w:sz w:val="20"/>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 xml:space="preserve"> es el siguiente: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197" w:name="Section102"/>
      <w:bookmarkEnd w:id="197"/>
      <w:bookmarkStart w:id="198" w:name="1a4d9b9f268249af94d97934ed84fe52"/>
      <w:r>
        <w:rPr>
          <w:rFonts w:ascii="Calibri" w:eastAsia="Calibri" w:hAnsi="Calibri" w:cs="Calibri"/>
          <w:b/>
          <w:i w:val="0"/>
          <w:color w:val="000000"/>
          <w:sz w:val="20"/>
          <w:u w:val="none"/>
        </w:rPr>
        <w:t>22.1.-</w:t>
      </w:r>
      <w:r>
        <w:rPr>
          <w:rFonts w:ascii="Calibri" w:eastAsia="Calibri" w:hAnsi="Calibri" w:cs="Calibri"/>
          <w:b/>
          <w:i w:val="0"/>
          <w:color w:val="000000"/>
          <w:sz w:val="20"/>
          <w:u w:val="none"/>
        </w:rPr>
        <w:tab/>
      </w:r>
      <w:r>
        <w:rPr>
          <w:rFonts w:ascii="Calibri" w:eastAsia="Calibri" w:hAnsi="Calibri" w:cs="Calibri"/>
          <w:b/>
          <w:i w:val="0"/>
          <w:color w:val="000000"/>
          <w:sz w:val="20"/>
          <w:u w:val="none"/>
        </w:rPr>
        <w:t>Provisiones – saldos.</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198"/>
    </w:p>
    <w:tbl>
      <w:tblPr>
        <w:tblW w:w="852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480"/>
        <w:gridCol w:w="1260"/>
        <w:gridCol w:w="1260"/>
        <w:gridCol w:w="1260"/>
        <w:gridCol w:w="1260"/>
      </w:tblGrid>
      <w:tr>
        <w:tblPrEx>
          <w:tblW w:w="8520" w:type="dxa"/>
          <w:tblInd w:w="1417" w:type="dxa"/>
          <w:tblLayout w:type="fixed"/>
        </w:tblPrEx>
        <w:trPr>
          <w:cantSplit/>
          <w:trHeight w:hRule="auto" w:val="0"/>
        </w:trPr>
        <w:tc>
          <w:tcPr>
            <w:tcW w:w="348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Clase de provisiones</w:t>
            </w:r>
          </w:p>
        </w:tc>
        <w:tc>
          <w:tcPr>
            <w:tcW w:w="2520"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Corrientes</w:t>
            </w:r>
          </w:p>
        </w:tc>
        <w:tc>
          <w:tcPr>
            <w:tcW w:w="252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No corrientes</w:t>
            </w:r>
          </w:p>
        </w:tc>
      </w:tr>
      <w:tr>
        <w:tblPrEx>
          <w:tblW w:w="8520" w:type="dxa"/>
          <w:tblInd w:w="1417" w:type="dxa"/>
          <w:tblLayout w:type="fixed"/>
        </w:tblPrEx>
        <w:trPr>
          <w:cantSplit/>
          <w:trHeight w:hRule="auto" w:val="0"/>
        </w:trPr>
        <w:tc>
          <w:tcPr>
            <w:tcW w:w="3480" w:type="dxa"/>
            <w:vMerge/>
            <w:tcBorders>
              <w:top w:val="nil"/>
              <w:left w:val="single" w:sz="2" w:space="0" w:color="000000"/>
              <w:bottom w:val="nil"/>
              <w:right w:val="nil"/>
            </w:tcBorders>
          </w:tcPr>
          <w:p>
            <w:pPr>
              <w:keepNext/>
              <w:pageBreakBefore w:val="0"/>
            </w:pPr>
          </w:p>
        </w:tc>
        <w:tc>
          <w:tcPr>
            <w:tcW w:w="126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6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c>
          <w:tcPr>
            <w:tcW w:w="126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6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8520" w:type="dxa"/>
          <w:tblInd w:w="1417" w:type="dxa"/>
          <w:tblLayout w:type="fixed"/>
        </w:tblPrEx>
        <w:trPr>
          <w:cantSplit/>
          <w:trHeight w:hRule="auto" w:val="0"/>
        </w:trPr>
        <w:tc>
          <w:tcPr>
            <w:tcW w:w="3480" w:type="dxa"/>
            <w:vMerge/>
            <w:tcBorders>
              <w:top w:val="nil"/>
              <w:left w:val="single" w:sz="2" w:space="0" w:color="000000"/>
              <w:bottom w:val="single" w:sz="2" w:space="0" w:color="000000"/>
              <w:right w:val="nil"/>
            </w:tcBorders>
          </w:tcPr>
          <w:p>
            <w:pPr>
              <w:keepNext/>
              <w:pageBreakBefore w:val="0"/>
            </w:pPr>
          </w:p>
        </w:tc>
        <w:tc>
          <w:tcPr>
            <w:tcW w:w="126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6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6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6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20" w:type="dxa"/>
          <w:tblInd w:w="1417" w:type="dxa"/>
          <w:tblLayout w:type="fixed"/>
        </w:tblPrEx>
        <w:trPr>
          <w:cantSplit/>
          <w:trHeight w:hRule="auto" w:val="0"/>
        </w:trPr>
        <w:tc>
          <w:tcPr>
            <w:tcW w:w="3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Provisión de reclamaciones legales.</w:t>
            </w:r>
          </w:p>
        </w:tc>
        <w:tc>
          <w:tcPr>
            <w:tcW w:w="126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6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5.328.324</w:t>
            </w:r>
          </w:p>
        </w:tc>
        <w:tc>
          <w:tcPr>
            <w:tcW w:w="126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8520" w:type="dxa"/>
          <w:tblInd w:w="1417" w:type="dxa"/>
          <w:tblLayout w:type="fixed"/>
        </w:tblPrEx>
        <w:trPr>
          <w:cantSplit/>
          <w:trHeight w:hRule="auto" w:val="0"/>
        </w:trPr>
        <w:tc>
          <w:tcPr>
            <w:tcW w:w="3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Participación en utilidades y bonos.</w:t>
            </w:r>
          </w:p>
        </w:tc>
        <w:tc>
          <w:tcPr>
            <w:tcW w:w="126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6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1.460.993</w:t>
            </w:r>
          </w:p>
        </w:tc>
        <w:tc>
          <w:tcPr>
            <w:tcW w:w="126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8520" w:type="dxa"/>
          <w:tblInd w:w="1417" w:type="dxa"/>
          <w:tblLayout w:type="fixed"/>
        </w:tblPrEx>
        <w:trPr>
          <w:cantSplit/>
          <w:trHeight w:hRule="auto" w:val="0"/>
        </w:trPr>
        <w:tc>
          <w:tcPr>
            <w:tcW w:w="3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 xml:space="preserve">Total </w:t>
            </w:r>
          </w:p>
        </w:tc>
        <w:tc>
          <w:tcPr>
            <w:tcW w:w="126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26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6.789.317</w:t>
            </w:r>
          </w:p>
        </w:tc>
        <w:tc>
          <w:tcPr>
            <w:tcW w:w="126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26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r>
    </w:tbl>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22.1.1.-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Provisiones de reclamaciones legales.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Se incluyen provisiones por multas de la autoridad eléctrica, que están en proceso de reclamación y cuya resolución para efectos de su uso también está sujeta a los plazos de dicho organismo (detalle en Nota 34).</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22.1.2.-</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Participación en utilidades y bonos.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provisión para la participación de los empleados en las utilidades y de los bonos de desempeño se paga al mes siguiente de la aprobación de los estados financieros de CGE Transmisión S.A. y sus subsidiarias.</w:t>
      </w:r>
    </w:p>
    <w:p>
      <w:pPr>
        <w:keepNext w:val="0"/>
        <w:keepLines/>
        <w:pageBreakBefore w:val="0"/>
        <w:widowControl w:val="0"/>
        <w:numPr>
          <w:ilvl w:val="0"/>
          <w:numId w:val="0"/>
        </w:numPr>
        <w:spacing w:before="0" w:after="0" w:line="288" w:lineRule="auto"/>
        <w:ind w:left="2118"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22.1.3.-</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Otras provisiones.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212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Corresponden principalmente a provisiones provenientes de situaciones contingentes. Los montos constituidos cubren adecuadamente los riesgos existentes.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199" w:name="Section103"/>
      <w:bookmarkEnd w:id="199"/>
      <w:bookmarkStart w:id="200" w:name="219251eb655d4d26884af19aa78f0ee1"/>
      <w:r>
        <w:rPr>
          <w:rFonts w:ascii="Calibri" w:eastAsia="Calibri" w:hAnsi="Calibri" w:cs="Calibri"/>
          <w:b/>
          <w:i w:val="0"/>
          <w:color w:val="000000"/>
          <w:sz w:val="20"/>
          <w:u w:val="none"/>
        </w:rPr>
        <w:t>22.2.-</w:t>
      </w:r>
      <w:r>
        <w:rPr>
          <w:rFonts w:ascii="Calibri" w:eastAsia="Calibri" w:hAnsi="Calibri" w:cs="Calibri"/>
          <w:b/>
          <w:i w:val="0"/>
          <w:color w:val="000000"/>
          <w:sz w:val="20"/>
          <w:u w:val="none"/>
        </w:rPr>
        <w:tab/>
      </w:r>
      <w:r>
        <w:rPr>
          <w:rFonts w:ascii="Calibri" w:eastAsia="Calibri" w:hAnsi="Calibri" w:cs="Calibri"/>
          <w:b/>
          <w:i w:val="0"/>
          <w:color w:val="000000"/>
          <w:sz w:val="20"/>
          <w:u w:val="none"/>
        </w:rPr>
        <w:t>Movimiento de las provisiones.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00"/>
    </w:p>
    <w:p>
      <w:pPr>
        <w:pStyle w:val="Normal-wk"/>
        <w:keepNext w:val="0"/>
        <w:keepLines/>
        <w:pageBreakBefore w:val="0"/>
        <w:widowControl w:val="0"/>
        <w:numPr>
          <w:ilvl w:val="0"/>
          <w:numId w:val="0"/>
        </w:numPr>
        <w:spacing w:before="0" w:after="0" w:line="288" w:lineRule="auto"/>
        <w:ind w:left="708" w:right="0" w:firstLine="708"/>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Saldos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708" w:right="0" w:firstLine="708"/>
        <w:jc w:val="both"/>
        <w:outlineLvl w:val="9"/>
        <w:rPr>
          <w:rFonts w:ascii="Calibri" w:eastAsia="Calibri" w:hAnsi="Calibri" w:cs="Calibri"/>
          <w:b w:val="0"/>
          <w:i w:val="0"/>
          <w:color w:val="000000"/>
          <w:sz w:val="20"/>
          <w:u w:val="none"/>
        </w:rPr>
      </w:pPr>
    </w:p>
    <w:tbl>
      <w:tblPr>
        <w:tblW w:w="8505"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645"/>
        <w:gridCol w:w="1215"/>
        <w:gridCol w:w="1215"/>
        <w:gridCol w:w="1215"/>
        <w:gridCol w:w="1215"/>
      </w:tblGrid>
      <w:tr>
        <w:tblPrEx>
          <w:tblW w:w="8505" w:type="dxa"/>
          <w:tblInd w:w="1417" w:type="dxa"/>
          <w:tblLayout w:type="fixed"/>
        </w:tblPrEx>
        <w:trPr>
          <w:cantSplit/>
          <w:trHeight w:hRule="auto" w:val="0"/>
        </w:trPr>
        <w:tc>
          <w:tcPr>
            <w:tcW w:w="3645"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Conceptos</w:t>
            </w:r>
          </w:p>
        </w:tc>
        <w:tc>
          <w:tcPr>
            <w:tcW w:w="4860" w:type="dxa"/>
            <w:gridSpan w:val="4"/>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Movimiento de provisiones</w:t>
            </w:r>
          </w:p>
        </w:tc>
      </w:tr>
      <w:tr>
        <w:tblPrEx>
          <w:tblW w:w="8505" w:type="dxa"/>
          <w:tblInd w:w="1417" w:type="dxa"/>
          <w:tblLayout w:type="fixed"/>
        </w:tblPrEx>
        <w:trPr>
          <w:cantSplit/>
          <w:trHeight w:hRule="auto" w:val="0"/>
        </w:trPr>
        <w:tc>
          <w:tcPr>
            <w:tcW w:w="3645" w:type="dxa"/>
            <w:vMerge/>
            <w:tcBorders>
              <w:top w:val="nil"/>
              <w:left w:val="single" w:sz="2" w:space="0" w:color="000000"/>
              <w:bottom w:val="nil"/>
              <w:right w:val="nil"/>
            </w:tcBorders>
          </w:tcPr>
          <w:p>
            <w:pPr>
              <w:keepNext/>
              <w:pageBreakBefore w:val="0"/>
            </w:pPr>
          </w:p>
        </w:tc>
        <w:tc>
          <w:tcPr>
            <w:tcW w:w="1215" w:type="dxa"/>
            <w:vMerge w:val="restart"/>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Por reclamaciones legales</w:t>
            </w:r>
          </w:p>
        </w:tc>
        <w:tc>
          <w:tcPr>
            <w:tcW w:w="1215" w:type="dxa"/>
            <w:vMerge w:val="restart"/>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Por part. en utilidades y bonos</w:t>
            </w:r>
          </w:p>
        </w:tc>
        <w:tc>
          <w:tcPr>
            <w:tcW w:w="1215" w:type="dxa"/>
            <w:vMerge w:val="restart"/>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Otras provisiones</w:t>
            </w:r>
          </w:p>
        </w:tc>
        <w:tc>
          <w:tcPr>
            <w:tcW w:w="121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Total al</w:t>
            </w:r>
          </w:p>
        </w:tc>
      </w:tr>
      <w:tr>
        <w:tblPrEx>
          <w:tblW w:w="8505" w:type="dxa"/>
          <w:tblInd w:w="1417" w:type="dxa"/>
          <w:tblLayout w:type="fixed"/>
        </w:tblPrEx>
        <w:trPr>
          <w:cantSplit/>
          <w:trHeight w:hRule="auto" w:val="0"/>
        </w:trPr>
        <w:tc>
          <w:tcPr>
            <w:tcW w:w="3645" w:type="dxa"/>
            <w:vMerge/>
            <w:tcBorders>
              <w:top w:val="nil"/>
              <w:left w:val="single" w:sz="2" w:space="0" w:color="000000"/>
              <w:bottom w:val="nil"/>
              <w:right w:val="nil"/>
            </w:tcBorders>
          </w:tcPr>
          <w:p>
            <w:pPr>
              <w:keepNext/>
              <w:pageBreakBefore w:val="0"/>
            </w:pPr>
          </w:p>
        </w:tc>
        <w:tc>
          <w:tcPr>
            <w:tcW w:w="1215" w:type="dxa"/>
            <w:vMerge/>
            <w:tcBorders>
              <w:top w:val="nil"/>
              <w:left w:val="single" w:sz="4" w:space="0" w:color="FFFFFF"/>
              <w:bottom w:val="nil"/>
              <w:right w:val="nil"/>
            </w:tcBorders>
          </w:tcPr>
          <w:p>
            <w:pPr>
              <w:keepNext/>
              <w:pageBreakBefore w:val="0"/>
            </w:pPr>
          </w:p>
        </w:tc>
        <w:tc>
          <w:tcPr>
            <w:tcW w:w="1215" w:type="dxa"/>
            <w:vMerge/>
            <w:tcBorders>
              <w:top w:val="nil"/>
              <w:left w:val="single" w:sz="4" w:space="0" w:color="FFFFFF"/>
              <w:bottom w:val="nil"/>
              <w:right w:val="nil"/>
            </w:tcBorders>
          </w:tcPr>
          <w:p>
            <w:pPr>
              <w:keepNext/>
              <w:pageBreakBefore w:val="0"/>
            </w:pPr>
          </w:p>
        </w:tc>
        <w:tc>
          <w:tcPr>
            <w:tcW w:w="1215" w:type="dxa"/>
            <w:vMerge/>
            <w:tcBorders>
              <w:top w:val="nil"/>
              <w:left w:val="single" w:sz="4" w:space="0" w:color="FFFFFF"/>
              <w:bottom w:val="nil"/>
              <w:right w:val="nil"/>
            </w:tcBorders>
          </w:tcPr>
          <w:p>
            <w:pPr>
              <w:keepNext/>
              <w:pageBreakBefore w:val="0"/>
            </w:pPr>
          </w:p>
        </w:tc>
        <w:tc>
          <w:tcPr>
            <w:tcW w:w="1215"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r>
      <w:tr>
        <w:tblPrEx>
          <w:tblW w:w="8505" w:type="dxa"/>
          <w:tblInd w:w="1417" w:type="dxa"/>
          <w:tblLayout w:type="fixed"/>
        </w:tblPrEx>
        <w:trPr>
          <w:cantSplit/>
          <w:trHeight w:hRule="auto" w:val="0"/>
        </w:trPr>
        <w:tc>
          <w:tcPr>
            <w:tcW w:w="3645" w:type="dxa"/>
            <w:vMerge/>
            <w:tcBorders>
              <w:top w:val="nil"/>
              <w:left w:val="single" w:sz="2" w:space="0" w:color="000000"/>
              <w:bottom w:val="single" w:sz="2" w:space="0" w:color="000000"/>
              <w:right w:val="nil"/>
            </w:tcBorders>
          </w:tcPr>
          <w:p>
            <w:pPr>
              <w:pageBreakBefore w:val="0"/>
            </w:pPr>
          </w:p>
        </w:tc>
        <w:tc>
          <w:tcPr>
            <w:tcW w:w="1215" w:type="dxa"/>
            <w:tcBorders>
              <w:top w:val="nil"/>
              <w:left w:val="single" w:sz="4" w:space="0" w:color="FFFFFF"/>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i w:val="0"/>
                <w:color w:val="FFFFFF"/>
                <w:sz w:val="16"/>
                <w:u w:val="none"/>
              </w:rPr>
              <w:t>M$</w:t>
            </w:r>
          </w:p>
        </w:tc>
        <w:tc>
          <w:tcPr>
            <w:tcW w:w="1215" w:type="dxa"/>
            <w:tcBorders>
              <w:top w:val="nil"/>
              <w:left w:val="single" w:sz="4" w:space="0" w:color="FFFFFF"/>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i w:val="0"/>
                <w:color w:val="FFFFFF"/>
                <w:sz w:val="16"/>
                <w:u w:val="none"/>
              </w:rPr>
              <w:t>M$</w:t>
            </w:r>
          </w:p>
        </w:tc>
        <w:tc>
          <w:tcPr>
            <w:tcW w:w="1215" w:type="dxa"/>
            <w:tcBorders>
              <w:top w:val="nil"/>
              <w:left w:val="single" w:sz="4" w:space="0" w:color="FFFFFF"/>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i w:val="0"/>
                <w:color w:val="FFFFFF"/>
                <w:sz w:val="16"/>
                <w:u w:val="none"/>
              </w:rPr>
              <w:t>M$</w:t>
            </w:r>
          </w:p>
        </w:tc>
        <w:tc>
          <w:tcPr>
            <w:tcW w:w="121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i w:val="0"/>
                <w:color w:val="FFFFFF"/>
                <w:sz w:val="16"/>
                <w:u w:val="none"/>
              </w:rPr>
              <w:t>M$</w:t>
            </w:r>
          </w:p>
        </w:tc>
      </w:tr>
      <w:tr>
        <w:tblPrEx>
          <w:tblW w:w="8505" w:type="dxa"/>
          <w:tblInd w:w="1417" w:type="dxa"/>
          <w:tblLayout w:type="fixed"/>
        </w:tblPrEx>
        <w:trPr>
          <w:cantSplit/>
          <w:trHeight w:hRule="exact" w:val="60"/>
        </w:trPr>
        <w:tc>
          <w:tcPr>
            <w:tcW w:w="3645" w:type="dxa"/>
            <w:tcBorders>
              <w:top w:val="single" w:sz="2" w:space="0" w:color="000000"/>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1215" w:type="dxa"/>
            <w:tcBorders>
              <w:top w:val="single" w:sz="2" w:space="0" w:color="000000"/>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1215" w:type="dxa"/>
            <w:tcBorders>
              <w:top w:val="single" w:sz="2" w:space="0" w:color="000000"/>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1215" w:type="dxa"/>
            <w:tcBorders>
              <w:top w:val="single" w:sz="2" w:space="0" w:color="000000"/>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1215" w:type="dxa"/>
            <w:tcBorders>
              <w:top w:val="single" w:sz="2" w:space="0" w:color="000000"/>
              <w:left w:val="nil"/>
              <w:bottom w:val="single" w:sz="2" w:space="0" w:color="000000"/>
              <w:right w:val="nil"/>
            </w:tcBorders>
            <w:tcMar>
              <w:top w:w="0" w:type="dxa"/>
              <w:left w:w="0" w:type="dxa"/>
              <w:bottom w:w="0" w:type="dxa"/>
              <w:right w:w="0" w:type="dxa"/>
            </w:tcMar>
            <w:vAlign w:val="bottom"/>
          </w:tcPr>
          <w:p>
            <w:pPr>
              <w:pageBreakBefore w:val="0"/>
              <w:spacing w:before="0" w:after="0"/>
            </w:pPr>
          </w:p>
        </w:tc>
      </w:tr>
      <w:tr>
        <w:tblPrEx>
          <w:tblW w:w="8505" w:type="dxa"/>
          <w:tblInd w:w="1417" w:type="dxa"/>
          <w:tblLayout w:type="fixed"/>
        </w:tblPrEx>
        <w:trPr>
          <w:cantSplit/>
          <w:trHeight w:hRule="auto" w:val="0"/>
        </w:trPr>
        <w:tc>
          <w:tcPr>
            <w:tcW w:w="3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Saldo al 1 de enero de 2026</w:t>
            </w:r>
          </w:p>
        </w:tc>
        <w:tc>
          <w:tcPr>
            <w:tcW w:w="121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5.328.324</w:t>
            </w:r>
          </w:p>
        </w:tc>
        <w:tc>
          <w:tcPr>
            <w:tcW w:w="121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1.460.993</w:t>
            </w:r>
          </w:p>
        </w:tc>
        <w:tc>
          <w:tcPr>
            <w:tcW w:w="121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21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6.789.317</w:t>
            </w:r>
          </w:p>
        </w:tc>
      </w:tr>
      <w:tr>
        <w:tblPrEx>
          <w:tblW w:w="8505" w:type="dxa"/>
          <w:tblInd w:w="1417" w:type="dxa"/>
          <w:tblLayout w:type="fixed"/>
        </w:tblPrEx>
        <w:trPr>
          <w:cantSplit/>
          <w:trHeight w:hRule="exact" w:val="60"/>
        </w:trPr>
        <w:tc>
          <w:tcPr>
            <w:tcW w:w="3645" w:type="dxa"/>
            <w:tcBorders>
              <w:top w:val="single" w:sz="2" w:space="0" w:color="000000"/>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1215" w:type="dxa"/>
            <w:tcBorders>
              <w:top w:val="single" w:sz="2" w:space="0" w:color="000000"/>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1215" w:type="dxa"/>
            <w:tcBorders>
              <w:top w:val="single" w:sz="2" w:space="0" w:color="000000"/>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1215" w:type="dxa"/>
            <w:tcBorders>
              <w:top w:val="single" w:sz="2" w:space="0" w:color="000000"/>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1215" w:type="dxa"/>
            <w:tcBorders>
              <w:top w:val="single" w:sz="2" w:space="0" w:color="000000"/>
              <w:left w:val="nil"/>
              <w:bottom w:val="single" w:sz="2" w:space="0" w:color="000000"/>
              <w:right w:val="nil"/>
            </w:tcBorders>
            <w:tcMar>
              <w:top w:w="0" w:type="dxa"/>
              <w:left w:w="0" w:type="dxa"/>
              <w:bottom w:w="0" w:type="dxa"/>
              <w:right w:w="0" w:type="dxa"/>
            </w:tcMar>
            <w:vAlign w:val="bottom"/>
          </w:tcPr>
          <w:p>
            <w:pPr>
              <w:pageBreakBefore w:val="0"/>
              <w:spacing w:before="0" w:after="0"/>
            </w:pPr>
          </w:p>
        </w:tc>
      </w:tr>
      <w:tr>
        <w:tblPrEx>
          <w:tblW w:w="8505" w:type="dxa"/>
          <w:tblInd w:w="1417" w:type="dxa"/>
          <w:tblLayout w:type="fixed"/>
        </w:tblPrEx>
        <w:trPr>
          <w:cantSplit/>
          <w:trHeight w:hRule="auto" w:val="0"/>
        </w:trPr>
        <w:tc>
          <w:tcPr>
            <w:tcW w:w="3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6"/>
                <w:u w:val="none"/>
              </w:rPr>
              <w:t>Provisiones nuevas.</w:t>
            </w:r>
          </w:p>
        </w:tc>
        <w:tc>
          <w:tcPr>
            <w:tcW w:w="12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6"/>
                <w:u w:val="none"/>
              </w:rPr>
              <w:t>150.000</w:t>
            </w:r>
          </w:p>
        </w:tc>
        <w:tc>
          <w:tcPr>
            <w:tcW w:w="12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p>
        </w:tc>
        <w:tc>
          <w:tcPr>
            <w:tcW w:w="12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p>
        </w:tc>
        <w:tc>
          <w:tcPr>
            <w:tcW w:w="1215" w:type="dxa"/>
            <w:tcBorders>
              <w:top w:val="single" w:sz="2" w:space="0" w:color="000000"/>
              <w:left w:val="single" w:sz="2" w:space="0" w:color="000000"/>
              <w:bottom w:val="single" w:sz="4" w:space="0" w:color="FFFFFF"/>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150.000</w:t>
            </w:r>
          </w:p>
        </w:tc>
      </w:tr>
      <w:tr>
        <w:tblPrEx>
          <w:tblW w:w="8505" w:type="dxa"/>
          <w:tblInd w:w="1417" w:type="dxa"/>
          <w:tblLayout w:type="fixed"/>
        </w:tblPrEx>
        <w:trPr>
          <w:cantSplit/>
          <w:trHeight w:hRule="exact" w:val="240"/>
        </w:trPr>
        <w:tc>
          <w:tcPr>
            <w:tcW w:w="3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43" w:after="30" w:line="240" w:lineRule="auto"/>
              <w:jc w:val="left"/>
            </w:pPr>
            <w:r>
              <w:rPr>
                <w:rFonts w:ascii="Calibri" w:eastAsia="Calibri" w:hAnsi="Calibri" w:cs="Calibri"/>
                <w:b w:val="0"/>
                <w:i w:val="0"/>
                <w:color w:val="000000"/>
                <w:sz w:val="16"/>
                <w:u w:val="none"/>
              </w:rPr>
              <w:t>Aumento de provisiones existentes.</w:t>
            </w:r>
          </w:p>
        </w:tc>
        <w:tc>
          <w:tcPr>
            <w:tcW w:w="12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3" w:after="30" w:line="240" w:lineRule="auto"/>
              <w:jc w:val="right"/>
            </w:pPr>
            <w:r>
              <w:rPr>
                <w:rFonts w:ascii="Calibri" w:eastAsia="Calibri" w:hAnsi="Calibri" w:cs="Calibri"/>
                <w:b w:val="0"/>
                <w:i w:val="0"/>
                <w:color w:val="000000"/>
                <w:sz w:val="16"/>
                <w:u w:val="none"/>
              </w:rPr>
              <w:t>633.005</w:t>
            </w:r>
          </w:p>
        </w:tc>
        <w:tc>
          <w:tcPr>
            <w:tcW w:w="12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3" w:after="30" w:line="240" w:lineRule="auto"/>
              <w:jc w:val="right"/>
            </w:pPr>
            <w:r>
              <w:rPr>
                <w:rFonts w:ascii="Calibri" w:eastAsia="Calibri" w:hAnsi="Calibri" w:cs="Calibri"/>
                <w:b w:val="0"/>
                <w:i w:val="0"/>
                <w:color w:val="000000"/>
                <w:sz w:val="16"/>
                <w:u w:val="none"/>
              </w:rPr>
              <w:t>254.900</w:t>
            </w:r>
          </w:p>
        </w:tc>
        <w:tc>
          <w:tcPr>
            <w:tcW w:w="12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43" w:after="30" w:line="240" w:lineRule="auto"/>
              <w:jc w:val="right"/>
            </w:pPr>
          </w:p>
        </w:tc>
        <w:tc>
          <w:tcPr>
            <w:tcW w:w="121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bottom"/>
          </w:tcPr>
          <w:p>
            <w:pPr>
              <w:pageBreakBefore w:val="0"/>
              <w:spacing w:before="43" w:after="30" w:line="240" w:lineRule="auto"/>
              <w:jc w:val="right"/>
            </w:pPr>
            <w:r>
              <w:rPr>
                <w:rFonts w:ascii="Calibri" w:eastAsia="Calibri" w:hAnsi="Calibri" w:cs="Calibri"/>
                <w:b/>
                <w:i w:val="0"/>
                <w:color w:val="FFFFFF"/>
                <w:sz w:val="16"/>
                <w:u w:val="none"/>
              </w:rPr>
              <w:t>887.905</w:t>
            </w:r>
          </w:p>
        </w:tc>
      </w:tr>
      <w:tr>
        <w:tblPrEx>
          <w:tblW w:w="8505" w:type="dxa"/>
          <w:tblInd w:w="1417" w:type="dxa"/>
          <w:tblLayout w:type="fixed"/>
        </w:tblPrEx>
        <w:trPr>
          <w:cantSplit/>
          <w:trHeight w:hRule="auto" w:val="0"/>
        </w:trPr>
        <w:tc>
          <w:tcPr>
            <w:tcW w:w="3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3" w:after="20" w:line="240" w:lineRule="auto"/>
              <w:jc w:val="left"/>
            </w:pPr>
            <w:r>
              <w:rPr>
                <w:rFonts w:ascii="Calibri" w:eastAsia="Calibri" w:hAnsi="Calibri" w:cs="Calibri"/>
                <w:b w:val="0"/>
                <w:i w:val="0"/>
                <w:color w:val="000000"/>
                <w:sz w:val="16"/>
                <w:u w:val="none"/>
              </w:rPr>
              <w:t>Provisión utilizada.</w:t>
            </w:r>
          </w:p>
        </w:tc>
        <w:tc>
          <w:tcPr>
            <w:tcW w:w="12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3" w:after="20" w:line="240" w:lineRule="auto"/>
              <w:jc w:val="right"/>
            </w:pPr>
            <w:r>
              <w:rPr>
                <w:rFonts w:ascii="Calibri" w:eastAsia="Calibri" w:hAnsi="Calibri" w:cs="Calibri"/>
                <w:b w:val="0"/>
                <w:i w:val="0"/>
                <w:color w:val="000000"/>
                <w:sz w:val="16"/>
                <w:u w:val="none"/>
              </w:rPr>
              <w:t>(27.617)</w:t>
            </w:r>
          </w:p>
        </w:tc>
        <w:tc>
          <w:tcPr>
            <w:tcW w:w="12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3" w:after="20" w:line="240" w:lineRule="auto"/>
              <w:jc w:val="right"/>
            </w:pPr>
            <w:r>
              <w:rPr>
                <w:rFonts w:ascii="Calibri" w:eastAsia="Calibri" w:hAnsi="Calibri" w:cs="Calibri"/>
                <w:b w:val="0"/>
                <w:i w:val="0"/>
                <w:color w:val="000000"/>
                <w:sz w:val="16"/>
                <w:u w:val="none"/>
              </w:rPr>
              <w:t>(778.686)</w:t>
            </w:r>
          </w:p>
        </w:tc>
        <w:tc>
          <w:tcPr>
            <w:tcW w:w="12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3" w:after="20" w:line="240" w:lineRule="auto"/>
              <w:jc w:val="right"/>
            </w:pPr>
          </w:p>
        </w:tc>
        <w:tc>
          <w:tcPr>
            <w:tcW w:w="121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bottom"/>
          </w:tcPr>
          <w:p>
            <w:pPr>
              <w:pageBreakBefore w:val="0"/>
              <w:spacing w:before="33" w:after="20" w:line="240" w:lineRule="auto"/>
              <w:jc w:val="right"/>
            </w:pPr>
            <w:r>
              <w:rPr>
                <w:rFonts w:ascii="Calibri" w:eastAsia="Calibri" w:hAnsi="Calibri" w:cs="Calibri"/>
                <w:b/>
                <w:i w:val="0"/>
                <w:color w:val="FFFFFF"/>
                <w:sz w:val="16"/>
                <w:u w:val="none"/>
              </w:rPr>
              <w:t>(806.303)</w:t>
            </w:r>
          </w:p>
        </w:tc>
      </w:tr>
      <w:tr>
        <w:tblPrEx>
          <w:tblW w:w="8505" w:type="dxa"/>
          <w:tblInd w:w="1417" w:type="dxa"/>
          <w:tblLayout w:type="fixed"/>
        </w:tblPrEx>
        <w:trPr>
          <w:cantSplit/>
          <w:trHeight w:hRule="auto" w:val="0"/>
        </w:trPr>
        <w:tc>
          <w:tcPr>
            <w:tcW w:w="3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3" w:after="20" w:line="240" w:lineRule="auto"/>
              <w:jc w:val="left"/>
            </w:pPr>
            <w:r>
              <w:rPr>
                <w:rFonts w:ascii="Calibri" w:eastAsia="Calibri" w:hAnsi="Calibri" w:cs="Calibri"/>
                <w:b w:val="0"/>
                <w:i w:val="0"/>
                <w:color w:val="000000"/>
                <w:sz w:val="16"/>
                <w:u w:val="none"/>
              </w:rPr>
              <w:t>Provisiones revertidas no utilizadas.</w:t>
            </w:r>
          </w:p>
        </w:tc>
        <w:tc>
          <w:tcPr>
            <w:tcW w:w="12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3" w:after="20" w:line="240" w:lineRule="auto"/>
              <w:jc w:val="right"/>
            </w:pPr>
            <w:r>
              <w:rPr>
                <w:rFonts w:ascii="Calibri" w:eastAsia="Calibri" w:hAnsi="Calibri" w:cs="Calibri"/>
                <w:b w:val="0"/>
                <w:i w:val="0"/>
                <w:color w:val="000000"/>
                <w:sz w:val="16"/>
                <w:u w:val="none"/>
              </w:rPr>
              <w:t>(311.546)</w:t>
            </w:r>
          </w:p>
        </w:tc>
        <w:tc>
          <w:tcPr>
            <w:tcW w:w="12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3" w:after="20" w:line="240" w:lineRule="auto"/>
              <w:jc w:val="right"/>
            </w:pPr>
          </w:p>
        </w:tc>
        <w:tc>
          <w:tcPr>
            <w:tcW w:w="12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3" w:after="20" w:line="240" w:lineRule="auto"/>
              <w:jc w:val="right"/>
            </w:pPr>
          </w:p>
        </w:tc>
        <w:tc>
          <w:tcPr>
            <w:tcW w:w="1215" w:type="dxa"/>
            <w:tcBorders>
              <w:top w:val="single" w:sz="4" w:space="0" w:color="FFFFFF"/>
              <w:left w:val="single" w:sz="2" w:space="0" w:color="000000"/>
              <w:bottom w:val="single" w:sz="2" w:space="0" w:color="000000"/>
              <w:right w:val="single" w:sz="2" w:space="0" w:color="000000"/>
            </w:tcBorders>
            <w:tcMar>
              <w:top w:w="0" w:type="dxa"/>
              <w:left w:w="0" w:type="dxa"/>
              <w:bottom w:w="0" w:type="dxa"/>
              <w:right w:w="53" w:type="dxa"/>
            </w:tcMar>
            <w:vAlign w:val="bottom"/>
          </w:tcPr>
          <w:p>
            <w:pPr>
              <w:pageBreakBefore w:val="0"/>
              <w:spacing w:before="33" w:after="20" w:line="240" w:lineRule="auto"/>
              <w:jc w:val="right"/>
            </w:pPr>
            <w:r>
              <w:rPr>
                <w:rFonts w:ascii="Calibri" w:eastAsia="Calibri" w:hAnsi="Calibri" w:cs="Calibri"/>
                <w:b/>
                <w:i w:val="0"/>
                <w:color w:val="FFFFFF"/>
                <w:sz w:val="16"/>
                <w:u w:val="none"/>
              </w:rPr>
              <w:t>(311.546)</w:t>
            </w:r>
          </w:p>
        </w:tc>
      </w:tr>
      <w:tr>
        <w:tblPrEx>
          <w:tblW w:w="8505" w:type="dxa"/>
          <w:tblInd w:w="1417" w:type="dxa"/>
          <w:tblLayout w:type="fixed"/>
        </w:tblPrEx>
        <w:trPr>
          <w:cantSplit/>
          <w:trHeight w:hRule="auto" w:val="0"/>
        </w:trPr>
        <w:tc>
          <w:tcPr>
            <w:tcW w:w="3645" w:type="dxa"/>
            <w:tcBorders>
              <w:top w:val="single" w:sz="2" w:space="0" w:color="000000"/>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1215" w:type="dxa"/>
            <w:tcBorders>
              <w:top w:val="single" w:sz="2" w:space="0" w:color="000000"/>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1215" w:type="dxa"/>
            <w:tcBorders>
              <w:top w:val="single" w:sz="2" w:space="0" w:color="000000"/>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1215" w:type="dxa"/>
            <w:tcBorders>
              <w:top w:val="single" w:sz="2" w:space="0" w:color="000000"/>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1215" w:type="dxa"/>
            <w:tcBorders>
              <w:top w:val="single" w:sz="2" w:space="0" w:color="000000"/>
              <w:left w:val="nil"/>
              <w:bottom w:val="single" w:sz="2" w:space="0" w:color="000000"/>
              <w:right w:val="nil"/>
            </w:tcBorders>
            <w:tcMar>
              <w:top w:w="0" w:type="dxa"/>
              <w:left w:w="0" w:type="dxa"/>
              <w:bottom w:w="0" w:type="dxa"/>
              <w:right w:w="0" w:type="dxa"/>
            </w:tcMar>
            <w:vAlign w:val="bottom"/>
          </w:tcPr>
          <w:p>
            <w:pPr>
              <w:pageBreakBefore w:val="0"/>
              <w:spacing w:before="0" w:after="0"/>
            </w:pPr>
          </w:p>
        </w:tc>
      </w:tr>
      <w:tr>
        <w:tblPrEx>
          <w:tblW w:w="8505" w:type="dxa"/>
          <w:tblInd w:w="1417" w:type="dxa"/>
          <w:tblLayout w:type="fixed"/>
        </w:tblPrEx>
        <w:trPr>
          <w:cantSplit/>
          <w:trHeight w:hRule="auto" w:val="0"/>
        </w:trPr>
        <w:tc>
          <w:tcPr>
            <w:tcW w:w="3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 incremento (disminución) en provisiones</w:t>
            </w:r>
          </w:p>
        </w:tc>
        <w:tc>
          <w:tcPr>
            <w:tcW w:w="121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443.842</w:t>
            </w:r>
          </w:p>
        </w:tc>
        <w:tc>
          <w:tcPr>
            <w:tcW w:w="121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(523.786)</w:t>
            </w:r>
          </w:p>
        </w:tc>
        <w:tc>
          <w:tcPr>
            <w:tcW w:w="121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21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(79.944)</w:t>
            </w:r>
          </w:p>
        </w:tc>
      </w:tr>
      <w:tr>
        <w:tblPrEx>
          <w:tblW w:w="8505" w:type="dxa"/>
          <w:tblInd w:w="1417" w:type="dxa"/>
          <w:tblLayout w:type="fixed"/>
        </w:tblPrEx>
        <w:trPr>
          <w:cantSplit/>
          <w:trHeight w:hRule="auto" w:val="0"/>
        </w:trPr>
        <w:tc>
          <w:tcPr>
            <w:tcW w:w="3645" w:type="dxa"/>
            <w:tcBorders>
              <w:top w:val="single" w:sz="2" w:space="0" w:color="000000"/>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1215" w:type="dxa"/>
            <w:tcBorders>
              <w:top w:val="single" w:sz="2" w:space="0" w:color="000000"/>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1215" w:type="dxa"/>
            <w:tcBorders>
              <w:top w:val="single" w:sz="2" w:space="0" w:color="000000"/>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1215" w:type="dxa"/>
            <w:tcBorders>
              <w:top w:val="single" w:sz="2" w:space="0" w:color="000000"/>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1215" w:type="dxa"/>
            <w:tcBorders>
              <w:top w:val="single" w:sz="2" w:space="0" w:color="000000"/>
              <w:left w:val="nil"/>
              <w:bottom w:val="single" w:sz="2" w:space="0" w:color="000000"/>
              <w:right w:val="nil"/>
            </w:tcBorders>
            <w:tcMar>
              <w:top w:w="0" w:type="dxa"/>
              <w:left w:w="0" w:type="dxa"/>
              <w:bottom w:w="0" w:type="dxa"/>
              <w:right w:w="0" w:type="dxa"/>
            </w:tcMar>
            <w:vAlign w:val="bottom"/>
          </w:tcPr>
          <w:p>
            <w:pPr>
              <w:pageBreakBefore w:val="0"/>
              <w:spacing w:before="0" w:after="0"/>
            </w:pPr>
          </w:p>
        </w:tc>
      </w:tr>
      <w:tr>
        <w:tblPrEx>
          <w:tblW w:w="8505" w:type="dxa"/>
          <w:tblInd w:w="1417" w:type="dxa"/>
          <w:tblLayout w:type="fixed"/>
        </w:tblPrEx>
        <w:trPr>
          <w:cantSplit/>
          <w:trHeight w:hRule="auto" w:val="0"/>
        </w:trPr>
        <w:tc>
          <w:tcPr>
            <w:tcW w:w="3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Saldo al 30 de junio de 2026</w:t>
            </w:r>
          </w:p>
        </w:tc>
        <w:tc>
          <w:tcPr>
            <w:tcW w:w="121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5.772.166</w:t>
            </w:r>
          </w:p>
        </w:tc>
        <w:tc>
          <w:tcPr>
            <w:tcW w:w="121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937.207</w:t>
            </w:r>
          </w:p>
        </w:tc>
        <w:tc>
          <w:tcPr>
            <w:tcW w:w="121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21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6.709.373</w:t>
            </w:r>
          </w:p>
        </w:tc>
      </w:tr>
    </w:tbl>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pStyle w:val="Normal-wk"/>
        <w:keepNext/>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Saldos al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w:t>
      </w:r>
    </w:p>
    <w:p>
      <w:pPr>
        <w:keepNext/>
        <w:keepLines/>
        <w:pageBreakBefore w:val="0"/>
        <w:widowControl w:val="0"/>
        <w:numPr>
          <w:ilvl w:val="0"/>
          <w:numId w:val="0"/>
        </w:numPr>
        <w:spacing w:before="0" w:after="0" w:line="288" w:lineRule="auto"/>
        <w:ind w:left="113" w:right="0" w:firstLine="0"/>
        <w:jc w:val="both"/>
        <w:outlineLvl w:val="9"/>
        <w:rPr>
          <w:rFonts w:ascii="Calibri" w:eastAsia="Calibri" w:hAnsi="Calibri" w:cs="Calibri"/>
          <w:b w:val="0"/>
          <w:i w:val="0"/>
          <w:color w:val="000000"/>
          <w:sz w:val="20"/>
          <w:u w:val="none"/>
        </w:rPr>
      </w:pPr>
    </w:p>
    <w:tbl>
      <w:tblPr>
        <w:tblW w:w="8535"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735"/>
        <w:gridCol w:w="1200"/>
        <w:gridCol w:w="1200"/>
        <w:gridCol w:w="1200"/>
        <w:gridCol w:w="1200"/>
      </w:tblGrid>
      <w:tr>
        <w:tblPrEx>
          <w:tblW w:w="8535" w:type="dxa"/>
          <w:tblInd w:w="1417" w:type="dxa"/>
          <w:tblLayout w:type="fixed"/>
        </w:tblPrEx>
        <w:trPr>
          <w:cantSplit/>
          <w:trHeight w:hRule="auto" w:val="0"/>
        </w:trPr>
        <w:tc>
          <w:tcPr>
            <w:tcW w:w="373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Conceptos</w:t>
            </w:r>
          </w:p>
        </w:tc>
        <w:tc>
          <w:tcPr>
            <w:tcW w:w="4800" w:type="dxa"/>
            <w:gridSpan w:val="4"/>
            <w:tcBorders>
              <w:top w:val="single" w:sz="2" w:space="0" w:color="000000"/>
              <w:left w:val="single" w:sz="4" w:space="0" w:color="FFFFFF"/>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Movimiento de provisiones</w:t>
            </w:r>
          </w:p>
        </w:tc>
      </w:tr>
      <w:tr>
        <w:tblPrEx>
          <w:tblW w:w="8535" w:type="dxa"/>
          <w:tblInd w:w="1417" w:type="dxa"/>
          <w:tblLayout w:type="fixed"/>
        </w:tblPrEx>
        <w:trPr>
          <w:cantSplit/>
          <w:trHeight w:hRule="auto" w:val="0"/>
        </w:trPr>
        <w:tc>
          <w:tcPr>
            <w:tcW w:w="3735" w:type="dxa"/>
            <w:vMerge/>
            <w:tcBorders>
              <w:top w:val="nil"/>
              <w:left w:val="single" w:sz="2" w:space="0" w:color="000000"/>
              <w:bottom w:val="nil"/>
              <w:right w:val="nil"/>
            </w:tcBorders>
          </w:tcPr>
          <w:p>
            <w:pPr>
              <w:keepNext/>
              <w:pageBreakBefore w:val="0"/>
            </w:pPr>
          </w:p>
        </w:tc>
        <w:tc>
          <w:tcPr>
            <w:tcW w:w="1200" w:type="dxa"/>
            <w:vMerge w:val="restart"/>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Por reclamaciones legales</w:t>
            </w:r>
          </w:p>
        </w:tc>
        <w:tc>
          <w:tcPr>
            <w:tcW w:w="1200" w:type="dxa"/>
            <w:vMerge w:val="restart"/>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Por part. en utilidades y bonos</w:t>
            </w:r>
          </w:p>
        </w:tc>
        <w:tc>
          <w:tcPr>
            <w:tcW w:w="1200" w:type="dxa"/>
            <w:vMerge w:val="restart"/>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Otras provisiones</w:t>
            </w:r>
          </w:p>
        </w:tc>
        <w:tc>
          <w:tcPr>
            <w:tcW w:w="12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Total al</w:t>
            </w:r>
          </w:p>
        </w:tc>
      </w:tr>
      <w:tr>
        <w:tblPrEx>
          <w:tblW w:w="8535" w:type="dxa"/>
          <w:tblInd w:w="1417" w:type="dxa"/>
          <w:tblLayout w:type="fixed"/>
        </w:tblPrEx>
        <w:trPr>
          <w:cantSplit/>
          <w:trHeight w:hRule="auto" w:val="0"/>
        </w:trPr>
        <w:tc>
          <w:tcPr>
            <w:tcW w:w="3735" w:type="dxa"/>
            <w:vMerge/>
            <w:tcBorders>
              <w:top w:val="nil"/>
              <w:left w:val="single" w:sz="2" w:space="0" w:color="000000"/>
              <w:bottom w:val="nil"/>
              <w:right w:val="nil"/>
            </w:tcBorders>
          </w:tcPr>
          <w:p>
            <w:pPr>
              <w:keepNext/>
              <w:pageBreakBefore w:val="0"/>
            </w:pPr>
          </w:p>
        </w:tc>
        <w:tc>
          <w:tcPr>
            <w:tcW w:w="1200" w:type="dxa"/>
            <w:vMerge/>
            <w:tcBorders>
              <w:top w:val="nil"/>
              <w:left w:val="single" w:sz="4" w:space="0" w:color="FFFFFF"/>
              <w:bottom w:val="nil"/>
              <w:right w:val="nil"/>
            </w:tcBorders>
          </w:tcPr>
          <w:p>
            <w:pPr>
              <w:keepNext/>
              <w:pageBreakBefore w:val="0"/>
            </w:pPr>
          </w:p>
        </w:tc>
        <w:tc>
          <w:tcPr>
            <w:tcW w:w="1200" w:type="dxa"/>
            <w:vMerge/>
            <w:tcBorders>
              <w:top w:val="nil"/>
              <w:left w:val="single" w:sz="4" w:space="0" w:color="FFFFFF"/>
              <w:bottom w:val="nil"/>
              <w:right w:val="nil"/>
            </w:tcBorders>
          </w:tcPr>
          <w:p>
            <w:pPr>
              <w:keepNext/>
              <w:pageBreakBefore w:val="0"/>
            </w:pPr>
          </w:p>
        </w:tc>
        <w:tc>
          <w:tcPr>
            <w:tcW w:w="1200" w:type="dxa"/>
            <w:vMerge/>
            <w:tcBorders>
              <w:top w:val="nil"/>
              <w:left w:val="single" w:sz="4" w:space="0" w:color="FFFFFF"/>
              <w:bottom w:val="nil"/>
              <w:right w:val="nil"/>
            </w:tcBorders>
          </w:tcPr>
          <w:p>
            <w:pPr>
              <w:keepNext/>
              <w:pageBreakBefore w:val="0"/>
            </w:pPr>
          </w:p>
        </w:tc>
        <w:tc>
          <w:tcPr>
            <w:tcW w:w="1200"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8535" w:type="dxa"/>
          <w:tblInd w:w="1417" w:type="dxa"/>
          <w:tblLayout w:type="fixed"/>
        </w:tblPrEx>
        <w:trPr>
          <w:cantSplit/>
          <w:trHeight w:hRule="auto" w:val="0"/>
        </w:trPr>
        <w:tc>
          <w:tcPr>
            <w:tcW w:w="3735"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35" w:type="dxa"/>
          <w:tblInd w:w="1417" w:type="dxa"/>
          <w:tblLayout w:type="fixed"/>
        </w:tblPrEx>
        <w:trPr>
          <w:cantSplit/>
          <w:trHeight w:hRule="exact" w:val="60"/>
        </w:trPr>
        <w:tc>
          <w:tcPr>
            <w:tcW w:w="37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35" w:type="dxa"/>
          <w:tblInd w:w="1417" w:type="dxa"/>
          <w:tblLayout w:type="fixed"/>
        </w:tblPrEx>
        <w:trPr>
          <w:cantSplit/>
          <w:trHeight w:hRule="auto" w:val="0"/>
        </w:trPr>
        <w:tc>
          <w:tcPr>
            <w:tcW w:w="37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Saldo al 1 de enero de 2025</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3.672.258</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1.409.974</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74.237</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5.156.469</w:t>
            </w:r>
          </w:p>
        </w:tc>
      </w:tr>
      <w:tr>
        <w:tblPrEx>
          <w:tblW w:w="8535" w:type="dxa"/>
          <w:tblInd w:w="1417" w:type="dxa"/>
          <w:tblLayout w:type="fixed"/>
        </w:tblPrEx>
        <w:trPr>
          <w:cantSplit/>
          <w:trHeight w:hRule="exact" w:val="60"/>
        </w:trPr>
        <w:tc>
          <w:tcPr>
            <w:tcW w:w="37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35" w:type="dxa"/>
          <w:tblInd w:w="1417" w:type="dxa"/>
          <w:tblLayout w:type="fixed"/>
        </w:tblPrEx>
        <w:trPr>
          <w:cantSplit/>
          <w:trHeight w:hRule="auto" w:val="0"/>
        </w:trPr>
        <w:tc>
          <w:tcPr>
            <w:tcW w:w="37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Provisiones nuevas.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3.278.245</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4" w:space="0" w:color="FFFFFF"/>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3.278.245</w:t>
            </w:r>
          </w:p>
        </w:tc>
      </w:tr>
      <w:tr>
        <w:tblPrEx>
          <w:tblW w:w="8535" w:type="dxa"/>
          <w:tblInd w:w="1417" w:type="dxa"/>
          <w:tblLayout w:type="fixed"/>
        </w:tblPrEx>
        <w:trPr>
          <w:cantSplit/>
          <w:trHeight w:hRule="auto" w:val="0"/>
        </w:trPr>
        <w:tc>
          <w:tcPr>
            <w:tcW w:w="37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6"/>
                <w:u w:val="none"/>
              </w:rPr>
              <w:t>Aumento de provisiones existentes.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r>
              <w:rPr>
                <w:rFonts w:ascii="Calibri" w:eastAsia="Calibri" w:hAnsi="Calibri" w:cs="Calibri"/>
                <w:b w:val="0"/>
                <w:i w:val="0"/>
                <w:color w:val="000000"/>
                <w:sz w:val="16"/>
                <w:u w:val="none"/>
              </w:rPr>
              <w:t>1.270.447</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r>
              <w:rPr>
                <w:rFonts w:ascii="Calibri" w:eastAsia="Calibri" w:hAnsi="Calibri" w:cs="Calibri"/>
                <w:b w:val="0"/>
                <w:i w:val="0"/>
                <w:color w:val="000000"/>
                <w:sz w:val="16"/>
                <w:u w:val="none"/>
              </w:rPr>
              <w:t>1.328.352</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p>
        </w:tc>
        <w:tc>
          <w:tcPr>
            <w:tcW w:w="120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bottom"/>
          </w:tcPr>
          <w:p>
            <w:pPr>
              <w:keepNext/>
              <w:pageBreakBefore w:val="0"/>
              <w:spacing w:before="33" w:after="20" w:line="240" w:lineRule="auto"/>
              <w:jc w:val="right"/>
            </w:pPr>
            <w:r>
              <w:rPr>
                <w:rFonts w:ascii="Calibri" w:eastAsia="Calibri" w:hAnsi="Calibri" w:cs="Calibri"/>
                <w:b/>
                <w:i w:val="0"/>
                <w:color w:val="FFFFFF"/>
                <w:sz w:val="16"/>
                <w:u w:val="none"/>
              </w:rPr>
              <w:t>2.598.799</w:t>
            </w:r>
          </w:p>
        </w:tc>
      </w:tr>
      <w:tr>
        <w:tblPrEx>
          <w:tblW w:w="8535" w:type="dxa"/>
          <w:tblInd w:w="1417" w:type="dxa"/>
          <w:tblLayout w:type="fixed"/>
        </w:tblPrEx>
        <w:trPr>
          <w:cantSplit/>
          <w:trHeight w:hRule="auto" w:val="0"/>
        </w:trPr>
        <w:tc>
          <w:tcPr>
            <w:tcW w:w="37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6"/>
                <w:u w:val="none"/>
              </w:rPr>
              <w:t>Provisión utilizada.</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r>
              <w:rPr>
                <w:rFonts w:ascii="Calibri" w:eastAsia="Calibri" w:hAnsi="Calibri" w:cs="Calibri"/>
                <w:b w:val="0"/>
                <w:i w:val="0"/>
                <w:color w:val="000000"/>
                <w:sz w:val="16"/>
                <w:u w:val="none"/>
              </w:rPr>
              <w:t>(2.470.081)</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r>
              <w:rPr>
                <w:rFonts w:ascii="Calibri" w:eastAsia="Calibri" w:hAnsi="Calibri" w:cs="Calibri"/>
                <w:b w:val="0"/>
                <w:i w:val="0"/>
                <w:color w:val="000000"/>
                <w:sz w:val="16"/>
                <w:u w:val="none"/>
              </w:rPr>
              <w:t>(1.277.333)</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r>
              <w:rPr>
                <w:rFonts w:ascii="Calibri" w:eastAsia="Calibri" w:hAnsi="Calibri" w:cs="Calibri"/>
                <w:b w:val="0"/>
                <w:i w:val="0"/>
                <w:color w:val="000000"/>
                <w:sz w:val="16"/>
                <w:u w:val="none"/>
              </w:rPr>
              <w:t>(61.523)</w:t>
            </w:r>
          </w:p>
        </w:tc>
        <w:tc>
          <w:tcPr>
            <w:tcW w:w="120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bottom"/>
          </w:tcPr>
          <w:p>
            <w:pPr>
              <w:keepNext/>
              <w:pageBreakBefore w:val="0"/>
              <w:spacing w:before="33" w:after="20" w:line="240" w:lineRule="auto"/>
              <w:jc w:val="right"/>
            </w:pPr>
            <w:r>
              <w:rPr>
                <w:rFonts w:ascii="Calibri" w:eastAsia="Calibri" w:hAnsi="Calibri" w:cs="Calibri"/>
                <w:b/>
                <w:i w:val="0"/>
                <w:color w:val="FFFFFF"/>
                <w:sz w:val="16"/>
                <w:u w:val="none"/>
              </w:rPr>
              <w:t>(3.808.937)</w:t>
            </w:r>
          </w:p>
        </w:tc>
      </w:tr>
      <w:tr>
        <w:tblPrEx>
          <w:tblW w:w="8535" w:type="dxa"/>
          <w:tblInd w:w="1417" w:type="dxa"/>
          <w:tblLayout w:type="fixed"/>
        </w:tblPrEx>
        <w:trPr>
          <w:cantSplit/>
          <w:trHeight w:hRule="auto" w:val="0"/>
        </w:trPr>
        <w:tc>
          <w:tcPr>
            <w:tcW w:w="37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6"/>
                <w:u w:val="none"/>
              </w:rPr>
              <w:t>Provisiones revertidas no utilizadas.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r>
              <w:rPr>
                <w:rFonts w:ascii="Calibri" w:eastAsia="Calibri" w:hAnsi="Calibri" w:cs="Calibri"/>
                <w:b w:val="0"/>
                <w:i w:val="0"/>
                <w:color w:val="000000"/>
                <w:sz w:val="16"/>
                <w:u w:val="none"/>
              </w:rPr>
              <w:t>(422.545)</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r>
              <w:rPr>
                <w:rFonts w:ascii="Calibri" w:eastAsia="Calibri" w:hAnsi="Calibri" w:cs="Calibri"/>
                <w:b w:val="0"/>
                <w:i w:val="0"/>
                <w:color w:val="000000"/>
                <w:sz w:val="16"/>
                <w:u w:val="none"/>
              </w:rPr>
              <w:t>(12.714)</w:t>
            </w:r>
          </w:p>
        </w:tc>
        <w:tc>
          <w:tcPr>
            <w:tcW w:w="120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bottom"/>
          </w:tcPr>
          <w:p>
            <w:pPr>
              <w:keepNext/>
              <w:pageBreakBefore w:val="0"/>
              <w:spacing w:before="33" w:after="20" w:line="240" w:lineRule="auto"/>
              <w:jc w:val="right"/>
            </w:pPr>
            <w:r>
              <w:rPr>
                <w:rFonts w:ascii="Calibri" w:eastAsia="Calibri" w:hAnsi="Calibri" w:cs="Calibri"/>
                <w:b/>
                <w:i w:val="0"/>
                <w:color w:val="FFFFFF"/>
                <w:sz w:val="16"/>
                <w:u w:val="none"/>
              </w:rPr>
              <w:t>(435.259)</w:t>
            </w:r>
          </w:p>
        </w:tc>
      </w:tr>
      <w:tr>
        <w:tblPrEx>
          <w:tblW w:w="8535" w:type="dxa"/>
          <w:tblInd w:w="1417" w:type="dxa"/>
          <w:tblLayout w:type="fixed"/>
        </w:tblPrEx>
        <w:trPr>
          <w:cantSplit/>
          <w:trHeight w:hRule="auto" w:val="0"/>
        </w:trPr>
        <w:tc>
          <w:tcPr>
            <w:tcW w:w="37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4" w:space="0" w:color="FFFFFF"/>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35" w:type="dxa"/>
          <w:tblInd w:w="1417" w:type="dxa"/>
          <w:tblLayout w:type="fixed"/>
        </w:tblPrEx>
        <w:trPr>
          <w:cantSplit/>
          <w:trHeight w:hRule="auto" w:val="0"/>
        </w:trPr>
        <w:tc>
          <w:tcPr>
            <w:tcW w:w="37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Total incremento (disminución) en provisiones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1.656.066</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51.019</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(74.237)</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1.632.848</w:t>
            </w:r>
          </w:p>
        </w:tc>
      </w:tr>
      <w:tr>
        <w:tblPrEx>
          <w:tblW w:w="8535" w:type="dxa"/>
          <w:tblInd w:w="1417" w:type="dxa"/>
          <w:tblLayout w:type="fixed"/>
        </w:tblPrEx>
        <w:trPr>
          <w:cantSplit/>
          <w:trHeight w:hRule="auto" w:val="0"/>
        </w:trPr>
        <w:tc>
          <w:tcPr>
            <w:tcW w:w="37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35" w:type="dxa"/>
          <w:tblInd w:w="1417" w:type="dxa"/>
          <w:tblLayout w:type="fixed"/>
        </w:tblPrEx>
        <w:trPr>
          <w:cantSplit/>
          <w:trHeight w:hRule="auto" w:val="0"/>
        </w:trPr>
        <w:tc>
          <w:tcPr>
            <w:tcW w:w="37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Saldo al 31 de diciembre de 2025</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5.328.324</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1.460.993</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6.789.317</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both"/>
        <w:outlineLvl w:val="0"/>
        <w:rPr>
          <w:rFonts w:ascii="Cambria" w:eastAsia="Cambria" w:hAnsi="Cambria" w:cs="Cambria"/>
          <w:b/>
          <w:i w:val="0"/>
          <w:color w:val="365F91"/>
          <w:sz w:val="28"/>
          <w:u w:val="none"/>
        </w:rPr>
      </w:pPr>
      <w:bookmarkStart w:id="201" w:name="Section104"/>
      <w:bookmarkEnd w:id="201"/>
      <w:bookmarkStart w:id="202" w:name="eebb4ca704f946a39d8f390001d2ba93"/>
      <w:r>
        <w:rPr>
          <w:rFonts w:ascii="Calibri" w:eastAsia="Calibri" w:hAnsi="Calibri" w:cs="Calibri"/>
          <w:b/>
          <w:i w:val="0"/>
          <w:color w:val="000000"/>
          <w:sz w:val="20"/>
          <w:u w:val="none"/>
        </w:rPr>
        <w:t>23.-</w:t>
      </w:r>
      <w:r>
        <w:rPr>
          <w:rFonts w:ascii="Calibri" w:eastAsia="Calibri" w:hAnsi="Calibri" w:cs="Calibri"/>
          <w:b/>
          <w:i w:val="0"/>
          <w:color w:val="000000"/>
          <w:sz w:val="20"/>
          <w:u w:val="none"/>
        </w:rPr>
        <w:tab/>
      </w:r>
      <w:r>
        <w:rPr>
          <w:rFonts w:ascii="Calibri" w:eastAsia="Calibri" w:hAnsi="Calibri" w:cs="Calibri"/>
          <w:b/>
          <w:i w:val="0"/>
          <w:color w:val="000000"/>
          <w:sz w:val="20"/>
          <w:u w:val="none"/>
        </w:rPr>
        <w:t>PROVISIONES POR BENEFICIOS A LOS EMPLEADOS.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02"/>
    </w:p>
    <w:p>
      <w:pPr>
        <w:pStyle w:val="Normal-wk"/>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detalle de este rubro al </w:t>
      </w:r>
      <w:r>
        <w:rPr>
          <w:rFonts w:ascii="Calibri" w:eastAsia="Calibri" w:hAnsi="Calibri" w:cs="Calibri"/>
          <w:b w:val="0"/>
          <w:i w:val="0"/>
          <w:color w:val="000000"/>
          <w:sz w:val="20"/>
          <w:u w:val="none"/>
        </w:rPr>
        <w:t>30 de junio de 2026</w:t>
      </w:r>
      <w:r>
        <w:rPr>
          <w:rFonts w:ascii="Calibri" w:eastAsia="Calibri" w:hAnsi="Calibri" w:cs="Calibri"/>
          <w:b w:val="0"/>
          <w:i w:val="0"/>
          <w:sz w:val="20"/>
        </w:rPr>
        <w:t xml:space="preserve"> y</w:t>
      </w:r>
      <w:r>
        <w:rPr>
          <w:rFonts w:ascii="Calibri" w:eastAsia="Calibri" w:hAnsi="Calibri" w:cs="Calibri"/>
          <w:b w:val="0"/>
          <w:i w:val="0"/>
          <w:color w:val="000000"/>
          <w:sz w:val="20"/>
          <w:u w:val="none"/>
        </w:rPr>
        <w:t xml:space="preserve">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 xml:space="preserve"> es el siguiente: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203" w:name="Section105"/>
      <w:bookmarkEnd w:id="203"/>
      <w:bookmarkStart w:id="204" w:name="2cadb41631fd4d5b91944f11f66eca0e"/>
      <w:r>
        <w:rPr>
          <w:rFonts w:ascii="Calibri" w:eastAsia="Calibri" w:hAnsi="Calibri" w:cs="Calibri"/>
          <w:b/>
          <w:i w:val="0"/>
          <w:color w:val="000000"/>
          <w:sz w:val="20"/>
          <w:u w:val="none"/>
        </w:rPr>
        <w:t>23.1.-</w:t>
      </w:r>
      <w:r>
        <w:rPr>
          <w:rFonts w:ascii="Calibri" w:eastAsia="Calibri" w:hAnsi="Calibri" w:cs="Calibri"/>
          <w:b/>
          <w:i w:val="0"/>
          <w:color w:val="000000"/>
          <w:sz w:val="20"/>
          <w:u w:val="none"/>
        </w:rPr>
        <w:tab/>
      </w:r>
      <w:r>
        <w:rPr>
          <w:rFonts w:ascii="Calibri" w:eastAsia="Calibri" w:hAnsi="Calibri" w:cs="Calibri"/>
          <w:b/>
          <w:i w:val="0"/>
          <w:color w:val="000000"/>
          <w:sz w:val="20"/>
          <w:u w:val="none"/>
        </w:rPr>
        <w:t>Detalle del rubro.</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204"/>
    </w:p>
    <w:tbl>
      <w:tblPr>
        <w:tblW w:w="9255"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875"/>
        <w:gridCol w:w="1095"/>
        <w:gridCol w:w="1095"/>
        <w:gridCol w:w="1095"/>
        <w:gridCol w:w="1095"/>
      </w:tblGrid>
      <w:tr>
        <w:tblPrEx>
          <w:tblW w:w="9255" w:type="dxa"/>
          <w:tblInd w:w="709" w:type="dxa"/>
          <w:tblLayout w:type="fixed"/>
        </w:tblPrEx>
        <w:trPr>
          <w:cantSplit/>
          <w:trHeight w:hRule="auto" w:val="0"/>
        </w:trPr>
        <w:tc>
          <w:tcPr>
            <w:tcW w:w="4875"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Provisión por beneficios a los empleados</w:t>
            </w:r>
          </w:p>
        </w:tc>
        <w:tc>
          <w:tcPr>
            <w:tcW w:w="2190"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Corrientes</w:t>
            </w:r>
          </w:p>
        </w:tc>
        <w:tc>
          <w:tcPr>
            <w:tcW w:w="219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No corrientes</w:t>
            </w:r>
          </w:p>
        </w:tc>
      </w:tr>
      <w:tr>
        <w:tblPrEx>
          <w:tblW w:w="9255" w:type="dxa"/>
          <w:tblInd w:w="709" w:type="dxa"/>
          <w:tblLayout w:type="fixed"/>
        </w:tblPrEx>
        <w:trPr>
          <w:cantSplit/>
          <w:trHeight w:hRule="auto" w:val="0"/>
        </w:trPr>
        <w:tc>
          <w:tcPr>
            <w:tcW w:w="4875" w:type="dxa"/>
            <w:vMerge/>
            <w:tcBorders>
              <w:top w:val="nil"/>
              <w:left w:val="single" w:sz="2" w:space="0" w:color="000000"/>
              <w:bottom w:val="nil"/>
              <w:right w:val="nil"/>
            </w:tcBorders>
          </w:tcPr>
          <w:p>
            <w:pPr>
              <w:keepNext/>
              <w:pageBreakBefore w:val="0"/>
            </w:pPr>
          </w:p>
        </w:tc>
        <w:tc>
          <w:tcPr>
            <w:tcW w:w="109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09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c>
          <w:tcPr>
            <w:tcW w:w="109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09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9255" w:type="dxa"/>
          <w:tblInd w:w="709" w:type="dxa"/>
          <w:tblLayout w:type="fixed"/>
        </w:tblPrEx>
        <w:trPr>
          <w:cantSplit/>
          <w:trHeight w:hRule="auto" w:val="0"/>
        </w:trPr>
        <w:tc>
          <w:tcPr>
            <w:tcW w:w="4875" w:type="dxa"/>
            <w:vMerge/>
            <w:tcBorders>
              <w:top w:val="nil"/>
              <w:left w:val="single" w:sz="2" w:space="0" w:color="000000"/>
              <w:bottom w:val="single" w:sz="2" w:space="0" w:color="000000"/>
              <w:right w:val="nil"/>
            </w:tcBorders>
          </w:tcPr>
          <w:p>
            <w:pPr>
              <w:keepNext/>
              <w:pageBreakBefore w:val="0"/>
            </w:pP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9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9255" w:type="dxa"/>
          <w:tblInd w:w="709" w:type="dxa"/>
          <w:tblLayout w:type="fixed"/>
        </w:tblPrEx>
        <w:trPr>
          <w:cantSplit/>
          <w:trHeight w:hRule="auto" w:val="0"/>
        </w:trPr>
        <w:tc>
          <w:tcPr>
            <w:tcW w:w="48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Provisión indemnización años de servicio.</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1.724.309</w:t>
            </w: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1.565.506</w:t>
            </w:r>
          </w:p>
        </w:tc>
      </w:tr>
      <w:tr>
        <w:tblPrEx>
          <w:tblW w:w="9255" w:type="dxa"/>
          <w:tblInd w:w="709" w:type="dxa"/>
          <w:tblLayout w:type="fixed"/>
        </w:tblPrEx>
        <w:trPr>
          <w:cantSplit/>
          <w:trHeight w:hRule="auto" w:val="0"/>
        </w:trPr>
        <w:tc>
          <w:tcPr>
            <w:tcW w:w="48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Provisión premio de antigüedad.</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128.858</w:t>
            </w: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122.069</w:t>
            </w:r>
          </w:p>
        </w:tc>
      </w:tr>
      <w:tr>
        <w:tblPrEx>
          <w:tblW w:w="9255" w:type="dxa"/>
          <w:tblInd w:w="709" w:type="dxa"/>
          <w:tblLayout w:type="fixed"/>
        </w:tblPrEx>
        <w:trPr>
          <w:cantSplit/>
          <w:trHeight w:hRule="auto" w:val="0"/>
        </w:trPr>
        <w:tc>
          <w:tcPr>
            <w:tcW w:w="48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Provisión beneficios post-jubilatorios.</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374.778</w:t>
            </w: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350.552</w:t>
            </w:r>
          </w:p>
        </w:tc>
      </w:tr>
      <w:tr>
        <w:tblPrEx>
          <w:tblW w:w="9255" w:type="dxa"/>
          <w:tblInd w:w="709" w:type="dxa"/>
          <w:tblLayout w:type="fixed"/>
        </w:tblPrEx>
        <w:trPr>
          <w:cantSplit/>
          <w:trHeight w:hRule="auto" w:val="0"/>
        </w:trPr>
        <w:tc>
          <w:tcPr>
            <w:tcW w:w="48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 xml:space="preserve">Total </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2.227.945</w:t>
            </w:r>
          </w:p>
        </w:tc>
        <w:tc>
          <w:tcPr>
            <w:tcW w:w="10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2.038.127</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205" w:name="Section106"/>
      <w:bookmarkEnd w:id="205"/>
      <w:bookmarkStart w:id="206" w:name="79e6d36fd0ea42489687f495e906240d"/>
      <w:r>
        <w:rPr>
          <w:rFonts w:ascii="Calibri" w:eastAsia="Calibri" w:hAnsi="Calibri" w:cs="Calibri"/>
          <w:b/>
          <w:i w:val="0"/>
          <w:color w:val="000000"/>
          <w:sz w:val="20"/>
          <w:u w:val="none"/>
        </w:rPr>
        <w:t>23.2.-</w:t>
      </w:r>
      <w:r>
        <w:rPr>
          <w:rFonts w:ascii="Calibri" w:eastAsia="Calibri" w:hAnsi="Calibri" w:cs="Calibri"/>
          <w:b/>
          <w:i w:val="0"/>
          <w:color w:val="000000"/>
          <w:sz w:val="20"/>
          <w:u w:val="none"/>
        </w:rPr>
        <w:tab/>
      </w:r>
      <w:r>
        <w:rPr>
          <w:rFonts w:ascii="Calibri" w:eastAsia="Calibri" w:hAnsi="Calibri" w:cs="Calibri"/>
          <w:b/>
          <w:i w:val="0"/>
          <w:color w:val="000000"/>
          <w:sz w:val="20"/>
          <w:u w:val="none"/>
        </w:rPr>
        <w:t>Detalle de las obligaciones post empleo y similares.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06"/>
    </w:p>
    <w:tbl>
      <w:tblPr>
        <w:tblW w:w="9255"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855"/>
        <w:gridCol w:w="900"/>
        <w:gridCol w:w="900"/>
        <w:gridCol w:w="900"/>
        <w:gridCol w:w="900"/>
        <w:gridCol w:w="900"/>
        <w:gridCol w:w="900"/>
      </w:tblGrid>
      <w:tr>
        <w:tblPrEx>
          <w:tblW w:w="9255" w:type="dxa"/>
          <w:tblInd w:w="709" w:type="dxa"/>
          <w:tblLayout w:type="fixed"/>
        </w:tblPrEx>
        <w:trPr>
          <w:cantSplit/>
          <w:trHeight w:hRule="auto" w:val="0"/>
        </w:trPr>
        <w:tc>
          <w:tcPr>
            <w:tcW w:w="3855"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Valor presente de las obligaciones post empleo y similar</w:t>
            </w:r>
          </w:p>
        </w:tc>
        <w:tc>
          <w:tcPr>
            <w:tcW w:w="1800"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Indemnización por años de servicios</w:t>
            </w:r>
          </w:p>
        </w:tc>
        <w:tc>
          <w:tcPr>
            <w:tcW w:w="1800" w:type="dxa"/>
            <w:gridSpan w:val="2"/>
            <w:tcBorders>
              <w:top w:val="single" w:sz="2" w:space="0" w:color="000000"/>
              <w:left w:val="nil"/>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Premios por antigüedad</w:t>
            </w:r>
          </w:p>
        </w:tc>
        <w:tc>
          <w:tcPr>
            <w:tcW w:w="1800" w:type="dxa"/>
            <w:gridSpan w:val="2"/>
            <w:tcBorders>
              <w:top w:val="single" w:sz="2" w:space="0" w:color="000000"/>
              <w:left w:val="single" w:sz="4" w:space="0" w:color="FFFFFF"/>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Beneficios post-jubilatorios</w:t>
            </w:r>
          </w:p>
        </w:tc>
      </w:tr>
      <w:tr>
        <w:tblPrEx>
          <w:tblW w:w="9255" w:type="dxa"/>
          <w:tblInd w:w="709" w:type="dxa"/>
          <w:tblLayout w:type="fixed"/>
        </w:tblPrEx>
        <w:trPr>
          <w:cantSplit/>
          <w:trHeight w:hRule="auto" w:val="0"/>
        </w:trPr>
        <w:tc>
          <w:tcPr>
            <w:tcW w:w="3855" w:type="dxa"/>
            <w:vMerge/>
            <w:tcBorders>
              <w:top w:val="nil"/>
              <w:left w:val="single" w:sz="2" w:space="0" w:color="000000"/>
              <w:bottom w:val="nil"/>
              <w:right w:val="nil"/>
            </w:tcBorders>
          </w:tcPr>
          <w:p>
            <w:pPr>
              <w:keepNext/>
              <w:pageBreakBefore w:val="0"/>
            </w:pPr>
          </w:p>
        </w:tc>
        <w:tc>
          <w:tcPr>
            <w:tcW w:w="9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9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c>
          <w:tcPr>
            <w:tcW w:w="9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9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c>
          <w:tcPr>
            <w:tcW w:w="9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9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9255" w:type="dxa"/>
          <w:tblInd w:w="709" w:type="dxa"/>
          <w:tblLayout w:type="fixed"/>
        </w:tblPrEx>
        <w:trPr>
          <w:cantSplit/>
          <w:trHeight w:hRule="auto" w:val="0"/>
        </w:trPr>
        <w:tc>
          <w:tcPr>
            <w:tcW w:w="3855" w:type="dxa"/>
            <w:vMerge/>
            <w:tcBorders>
              <w:top w:val="nil"/>
              <w:left w:val="single" w:sz="2" w:space="0" w:color="000000"/>
              <w:bottom w:val="single" w:sz="2" w:space="0" w:color="000000"/>
              <w:right w:val="nil"/>
            </w:tcBorders>
          </w:tcPr>
          <w:p>
            <w:pPr>
              <w:keepNext/>
              <w:pageBreakBefore w:val="0"/>
            </w:pP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9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9255" w:type="dxa"/>
          <w:tblInd w:w="709" w:type="dxa"/>
          <w:tblLayout w:type="fixed"/>
        </w:tblPrEx>
        <w:trPr>
          <w:cantSplit/>
          <w:trHeight w:hRule="exact" w:val="60"/>
        </w:trPr>
        <w:tc>
          <w:tcPr>
            <w:tcW w:w="385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255" w:type="dxa"/>
          <w:tblInd w:w="709" w:type="dxa"/>
          <w:tblLayout w:type="fixed"/>
        </w:tblPrEx>
        <w:trPr>
          <w:cantSplit/>
          <w:trHeight w:hRule="auto" w:val="0"/>
        </w:trPr>
        <w:tc>
          <w:tcPr>
            <w:tcW w:w="3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 xml:space="preserve">Valor presente obligación, saldo inicial </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1.565.506</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2.020.766</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122.069</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118.675</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350.552</w:t>
            </w:r>
          </w:p>
        </w:tc>
        <w:tc>
          <w:tcPr>
            <w:tcW w:w="9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393.184</w:t>
            </w:r>
          </w:p>
        </w:tc>
      </w:tr>
      <w:tr>
        <w:tblPrEx>
          <w:tblW w:w="9255" w:type="dxa"/>
          <w:tblInd w:w="709" w:type="dxa"/>
          <w:tblLayout w:type="fixed"/>
        </w:tblPrEx>
        <w:trPr>
          <w:cantSplit/>
          <w:trHeight w:hRule="exact" w:val="60"/>
        </w:trPr>
        <w:tc>
          <w:tcPr>
            <w:tcW w:w="385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255" w:type="dxa"/>
          <w:tblInd w:w="709" w:type="dxa"/>
          <w:tblLayout w:type="fixed"/>
        </w:tblPrEx>
        <w:trPr>
          <w:cantSplit/>
          <w:trHeight w:hRule="auto" w:val="0"/>
        </w:trPr>
        <w:tc>
          <w:tcPr>
            <w:tcW w:w="3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Costo del servicio corriente obligación plan de beneficios definidos.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41.062</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147.768</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4.809</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(4.032)</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2.565</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9.759</w:t>
            </w:r>
          </w:p>
        </w:tc>
      </w:tr>
      <w:tr>
        <w:tblPrEx>
          <w:tblW w:w="9255" w:type="dxa"/>
          <w:tblInd w:w="709" w:type="dxa"/>
          <w:tblLayout w:type="fixed"/>
        </w:tblPrEx>
        <w:trPr>
          <w:cantSplit/>
          <w:trHeight w:hRule="auto" w:val="0"/>
        </w:trPr>
        <w:tc>
          <w:tcPr>
            <w:tcW w:w="3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Costo por intereses por obligación de plan de beneficios definidos.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26.308</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114.367</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1.980</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7.333</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5.903</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23.336</w:t>
            </w:r>
          </w:p>
        </w:tc>
      </w:tr>
      <w:tr>
        <w:tblPrEx>
          <w:tblW w:w="9255" w:type="dxa"/>
          <w:tblInd w:w="709" w:type="dxa"/>
          <w:tblLayout w:type="fixed"/>
        </w:tblPrEx>
        <w:trPr>
          <w:cantSplit/>
          <w:trHeight w:hRule="auto" w:val="0"/>
        </w:trPr>
        <w:tc>
          <w:tcPr>
            <w:tcW w:w="3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Ganancias pérdidas actuariales obligación planes de beneficios definidos.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101.150</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(241.486)</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15.758</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(75.727)</w:t>
            </w:r>
          </w:p>
        </w:tc>
      </w:tr>
      <w:tr>
        <w:tblPrEx>
          <w:tblW w:w="9255" w:type="dxa"/>
          <w:tblInd w:w="709" w:type="dxa"/>
          <w:tblLayout w:type="fixed"/>
        </w:tblPrEx>
        <w:trPr>
          <w:cantSplit/>
          <w:trHeight w:hRule="auto" w:val="0"/>
        </w:trPr>
        <w:tc>
          <w:tcPr>
            <w:tcW w:w="3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Liquidaciones obligación plan de beneficios definidos y transferencia de obligaciones por traspaso de personal desde empresas relacionadas.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(9.717)</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(475.909)</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93</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9255" w:type="dxa"/>
          <w:tblInd w:w="709" w:type="dxa"/>
          <w:tblLayout w:type="fixed"/>
        </w:tblPrEx>
        <w:trPr>
          <w:cantSplit/>
          <w:trHeight w:hRule="auto" w:val="0"/>
        </w:trPr>
        <w:tc>
          <w:tcPr>
            <w:tcW w:w="3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Total cambios en provisiones</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158.803</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(455.260)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6.789</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3.394</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24.226</w:t>
            </w:r>
          </w:p>
        </w:tc>
        <w:tc>
          <w:tcPr>
            <w:tcW w:w="9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(42.632)</w:t>
            </w:r>
          </w:p>
        </w:tc>
      </w:tr>
      <w:tr>
        <w:tblPrEx>
          <w:tblW w:w="9255" w:type="dxa"/>
          <w:tblInd w:w="709" w:type="dxa"/>
          <w:tblLayout w:type="fixed"/>
        </w:tblPrEx>
        <w:trPr>
          <w:cantSplit/>
          <w:trHeight w:hRule="auto" w:val="0"/>
        </w:trPr>
        <w:tc>
          <w:tcPr>
            <w:tcW w:w="385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255" w:type="dxa"/>
          <w:tblInd w:w="709" w:type="dxa"/>
          <w:tblLayout w:type="fixed"/>
        </w:tblPrEx>
        <w:trPr>
          <w:cantSplit/>
          <w:trHeight w:hRule="auto" w:val="0"/>
        </w:trPr>
        <w:tc>
          <w:tcPr>
            <w:tcW w:w="3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1.724.309</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1.565.506</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128.858</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122.069</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374.778</w:t>
            </w:r>
          </w:p>
        </w:tc>
        <w:tc>
          <w:tcPr>
            <w:tcW w:w="9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350.552</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207" w:name="Section107"/>
      <w:bookmarkEnd w:id="207"/>
      <w:bookmarkStart w:id="208" w:name="c5fb9be180c64b96b7eada244a28d5b5"/>
      <w:r>
        <w:rPr>
          <w:rFonts w:ascii="Calibri" w:eastAsia="Calibri" w:hAnsi="Calibri" w:cs="Calibri"/>
          <w:b/>
          <w:i w:val="0"/>
          <w:color w:val="000000"/>
          <w:sz w:val="20"/>
          <w:u w:val="none"/>
        </w:rPr>
        <w:t>23.3.-</w:t>
      </w:r>
      <w:r>
        <w:rPr>
          <w:rFonts w:ascii="Calibri" w:eastAsia="Calibri" w:hAnsi="Calibri" w:cs="Calibri"/>
          <w:b/>
          <w:i w:val="0"/>
          <w:color w:val="000000"/>
          <w:sz w:val="20"/>
          <w:u w:val="none"/>
        </w:rPr>
        <w:tab/>
      </w:r>
      <w:r>
        <w:rPr>
          <w:rFonts w:ascii="Calibri" w:eastAsia="Calibri" w:hAnsi="Calibri" w:cs="Calibri"/>
          <w:b/>
          <w:i w:val="0"/>
          <w:color w:val="000000"/>
          <w:sz w:val="20"/>
          <w:u w:val="none"/>
        </w:rPr>
        <w:t>Balance de las obligaciones post empleo y similares.</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208"/>
    </w:p>
    <w:tbl>
      <w:tblPr>
        <w:tblW w:w="9255"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2685"/>
        <w:gridCol w:w="1095"/>
        <w:gridCol w:w="1095"/>
        <w:gridCol w:w="1095"/>
        <w:gridCol w:w="1095"/>
        <w:gridCol w:w="1095"/>
        <w:gridCol w:w="1095"/>
      </w:tblGrid>
      <w:tr>
        <w:tblPrEx>
          <w:tblW w:w="9255" w:type="dxa"/>
          <w:tblInd w:w="709" w:type="dxa"/>
          <w:tblLayout w:type="fixed"/>
        </w:tblPrEx>
        <w:trPr>
          <w:cantSplit/>
          <w:trHeight w:hRule="auto" w:val="0"/>
        </w:trPr>
        <w:tc>
          <w:tcPr>
            <w:tcW w:w="2685"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Balance plan de beneficios</w:t>
            </w:r>
          </w:p>
        </w:tc>
        <w:tc>
          <w:tcPr>
            <w:tcW w:w="2190"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Indemnización por años de servicios</w:t>
            </w:r>
          </w:p>
        </w:tc>
        <w:tc>
          <w:tcPr>
            <w:tcW w:w="2190"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Premios por antigüedad</w:t>
            </w:r>
          </w:p>
        </w:tc>
        <w:tc>
          <w:tcPr>
            <w:tcW w:w="219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Beneficios post-jubilatorios</w:t>
            </w:r>
          </w:p>
        </w:tc>
      </w:tr>
      <w:tr>
        <w:tblPrEx>
          <w:tblW w:w="9255" w:type="dxa"/>
          <w:tblInd w:w="709" w:type="dxa"/>
          <w:tblLayout w:type="fixed"/>
        </w:tblPrEx>
        <w:trPr>
          <w:cantSplit/>
          <w:trHeight w:hRule="auto" w:val="0"/>
        </w:trPr>
        <w:tc>
          <w:tcPr>
            <w:tcW w:w="2685" w:type="dxa"/>
            <w:vMerge/>
            <w:tcBorders>
              <w:top w:val="nil"/>
              <w:left w:val="single" w:sz="2" w:space="0" w:color="000000"/>
              <w:bottom w:val="nil"/>
              <w:right w:val="nil"/>
            </w:tcBorders>
          </w:tcPr>
          <w:p>
            <w:pPr>
              <w:keepNext/>
              <w:pageBreakBefore w:val="0"/>
            </w:pPr>
          </w:p>
        </w:tc>
        <w:tc>
          <w:tcPr>
            <w:tcW w:w="109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09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c>
          <w:tcPr>
            <w:tcW w:w="109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09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c>
          <w:tcPr>
            <w:tcW w:w="109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09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9255" w:type="dxa"/>
          <w:tblInd w:w="709" w:type="dxa"/>
          <w:tblLayout w:type="fixed"/>
        </w:tblPrEx>
        <w:trPr>
          <w:cantSplit/>
          <w:trHeight w:hRule="auto" w:val="0"/>
        </w:trPr>
        <w:tc>
          <w:tcPr>
            <w:tcW w:w="2685" w:type="dxa"/>
            <w:vMerge/>
            <w:tcBorders>
              <w:top w:val="nil"/>
              <w:left w:val="single" w:sz="2" w:space="0" w:color="000000"/>
              <w:bottom w:val="single" w:sz="2" w:space="0" w:color="000000"/>
              <w:right w:val="nil"/>
            </w:tcBorders>
          </w:tcPr>
          <w:p>
            <w:pPr>
              <w:keepNext/>
              <w:pageBreakBefore w:val="0"/>
            </w:pP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9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9255" w:type="dxa"/>
          <w:tblInd w:w="709" w:type="dxa"/>
          <w:tblLayout w:type="fixed"/>
        </w:tblPrEx>
        <w:trPr>
          <w:cantSplit/>
          <w:trHeight w:hRule="auto" w:val="0"/>
        </w:trPr>
        <w:tc>
          <w:tcPr>
            <w:tcW w:w="26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Obligación presente sin fondos de plan de beneficios definidos.</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1.724.309</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1.565.506</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128.858</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122.069</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374.778</w:t>
            </w: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350.552</w:t>
            </w:r>
          </w:p>
        </w:tc>
      </w:tr>
      <w:tr>
        <w:tblPrEx>
          <w:tblW w:w="9255" w:type="dxa"/>
          <w:tblInd w:w="709" w:type="dxa"/>
          <w:tblLayout w:type="fixed"/>
        </w:tblPrEx>
        <w:trPr>
          <w:cantSplit/>
          <w:trHeight w:hRule="auto" w:val="0"/>
        </w:trPr>
        <w:tc>
          <w:tcPr>
            <w:tcW w:w="26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i w:val="0"/>
                <w:color w:val="FFFFFF"/>
                <w:sz w:val="16"/>
                <w:u w:val="none"/>
              </w:rPr>
              <w:t>Total</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1.724.309</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1.565.506</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128.858</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122.069</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374.778</w:t>
            </w:r>
          </w:p>
        </w:tc>
        <w:tc>
          <w:tcPr>
            <w:tcW w:w="10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350.552</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209" w:name="Section108"/>
      <w:bookmarkEnd w:id="209"/>
      <w:bookmarkStart w:id="210" w:name="65aefc05d2194fc3be3b7d7c704b9ec0"/>
      <w:r>
        <w:rPr>
          <w:rFonts w:ascii="Calibri" w:eastAsia="Calibri" w:hAnsi="Calibri" w:cs="Calibri"/>
          <w:b/>
          <w:i w:val="0"/>
          <w:color w:val="000000"/>
          <w:sz w:val="20"/>
          <w:u w:val="none"/>
        </w:rPr>
        <w:t>23.4.-</w:t>
      </w:r>
      <w:r>
        <w:rPr>
          <w:rFonts w:ascii="Calibri" w:eastAsia="Calibri" w:hAnsi="Calibri" w:cs="Calibri"/>
          <w:b/>
          <w:i w:val="0"/>
          <w:color w:val="000000"/>
          <w:sz w:val="20"/>
          <w:u w:val="none"/>
        </w:rPr>
        <w:tab/>
      </w:r>
      <w:r>
        <w:rPr>
          <w:rFonts w:ascii="Calibri" w:eastAsia="Calibri" w:hAnsi="Calibri" w:cs="Calibri"/>
          <w:b/>
          <w:i w:val="0"/>
          <w:color w:val="000000"/>
          <w:sz w:val="20"/>
          <w:u w:val="none"/>
        </w:rPr>
        <w:t>Gastos reconocidos en el estado de resultados.</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210"/>
    </w:p>
    <w:tbl>
      <w:tblPr>
        <w:tblW w:w="9165"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140"/>
        <w:gridCol w:w="585"/>
        <w:gridCol w:w="585"/>
        <w:gridCol w:w="585"/>
        <w:gridCol w:w="585"/>
        <w:gridCol w:w="585"/>
        <w:gridCol w:w="585"/>
        <w:gridCol w:w="585"/>
        <w:gridCol w:w="585"/>
        <w:gridCol w:w="585"/>
        <w:gridCol w:w="585"/>
        <w:gridCol w:w="585"/>
        <w:gridCol w:w="585"/>
        <w:gridCol w:w="1005"/>
      </w:tblGrid>
      <w:tr>
        <w:tblPrEx>
          <w:tblW w:w="9165" w:type="dxa"/>
          <w:tblInd w:w="709" w:type="dxa"/>
          <w:tblLayout w:type="fixed"/>
        </w:tblPrEx>
        <w:trPr>
          <w:cantSplit/>
          <w:trHeight w:hRule="auto" w:val="0"/>
        </w:trPr>
        <w:tc>
          <w:tcPr>
            <w:tcW w:w="114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Gastos reconocidos en el estado de resultados por función</w:t>
            </w:r>
          </w:p>
        </w:tc>
        <w:tc>
          <w:tcPr>
            <w:tcW w:w="1170"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Indemnización por años de servicios</w:t>
            </w:r>
          </w:p>
        </w:tc>
        <w:tc>
          <w:tcPr>
            <w:tcW w:w="1170"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Premios por antigüedad</w:t>
            </w:r>
          </w:p>
        </w:tc>
        <w:tc>
          <w:tcPr>
            <w:tcW w:w="1170"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Beneficios post-jubilatorios</w:t>
            </w:r>
          </w:p>
        </w:tc>
        <w:tc>
          <w:tcPr>
            <w:tcW w:w="1170" w:type="dxa"/>
            <w:gridSpan w:val="2"/>
            <w:tcBorders>
              <w:top w:val="single" w:sz="2" w:space="0" w:color="000000"/>
              <w:left w:val="nil"/>
              <w:bottom w:val="single" w:sz="8"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Indemnización por años de servicios</w:t>
            </w:r>
          </w:p>
        </w:tc>
        <w:tc>
          <w:tcPr>
            <w:tcW w:w="1170" w:type="dxa"/>
            <w:gridSpan w:val="2"/>
            <w:tcBorders>
              <w:top w:val="single" w:sz="2" w:space="0" w:color="000000"/>
              <w:left w:val="single" w:sz="8" w:space="0" w:color="FFFFFF"/>
              <w:bottom w:val="single" w:sz="8"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Premios por antigüedad</w:t>
            </w:r>
          </w:p>
        </w:tc>
        <w:tc>
          <w:tcPr>
            <w:tcW w:w="1170" w:type="dxa"/>
            <w:gridSpan w:val="2"/>
            <w:tcBorders>
              <w:top w:val="single" w:sz="2" w:space="0" w:color="000000"/>
              <w:left w:val="single" w:sz="8" w:space="0" w:color="FFFFFF"/>
              <w:bottom w:val="single" w:sz="8"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Beneficios post-jubilatorios</w:t>
            </w:r>
          </w:p>
        </w:tc>
        <w:tc>
          <w:tcPr>
            <w:tcW w:w="1005" w:type="dxa"/>
            <w:vMerge w:val="restart"/>
            <w:tcBorders>
              <w:top w:val="single" w:sz="2" w:space="0" w:color="000000"/>
              <w:left w:val="single" w:sz="8"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Línea del estado de resultados</w:t>
            </w:r>
          </w:p>
        </w:tc>
      </w:tr>
      <w:tr>
        <w:tblPrEx>
          <w:tblW w:w="9165" w:type="dxa"/>
          <w:tblInd w:w="709" w:type="dxa"/>
          <w:tblLayout w:type="fixed"/>
        </w:tblPrEx>
        <w:trPr>
          <w:cantSplit/>
          <w:trHeight w:hRule="auto" w:val="0"/>
        </w:trPr>
        <w:tc>
          <w:tcPr>
            <w:tcW w:w="1140" w:type="dxa"/>
            <w:vMerge/>
            <w:tcBorders>
              <w:top w:val="nil"/>
              <w:left w:val="single" w:sz="2" w:space="0" w:color="000000"/>
              <w:bottom w:val="nil"/>
              <w:right w:val="nil"/>
            </w:tcBorders>
          </w:tcPr>
          <w:p>
            <w:pPr>
              <w:keepNext/>
              <w:pageBreakBefore w:val="0"/>
            </w:pPr>
          </w:p>
        </w:tc>
        <w:tc>
          <w:tcPr>
            <w:tcW w:w="58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01-01-2026</w:t>
            </w:r>
          </w:p>
        </w:tc>
        <w:tc>
          <w:tcPr>
            <w:tcW w:w="58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01-01-2025</w:t>
            </w:r>
          </w:p>
        </w:tc>
        <w:tc>
          <w:tcPr>
            <w:tcW w:w="58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01-01-2026</w:t>
            </w:r>
          </w:p>
        </w:tc>
        <w:tc>
          <w:tcPr>
            <w:tcW w:w="58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01-01-2025</w:t>
            </w:r>
          </w:p>
        </w:tc>
        <w:tc>
          <w:tcPr>
            <w:tcW w:w="58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01-01-2026</w:t>
            </w:r>
          </w:p>
        </w:tc>
        <w:tc>
          <w:tcPr>
            <w:tcW w:w="58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01-01-2025</w:t>
            </w:r>
          </w:p>
        </w:tc>
        <w:tc>
          <w:tcPr>
            <w:tcW w:w="58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01-04-2026</w:t>
            </w:r>
          </w:p>
        </w:tc>
        <w:tc>
          <w:tcPr>
            <w:tcW w:w="585" w:type="dxa"/>
            <w:tcBorders>
              <w:top w:val="single" w:sz="8" w:space="0" w:color="FFFFFF"/>
              <w:left w:val="single" w:sz="8"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01-04-2025</w:t>
            </w:r>
          </w:p>
        </w:tc>
        <w:tc>
          <w:tcPr>
            <w:tcW w:w="585" w:type="dxa"/>
            <w:tcBorders>
              <w:top w:val="nil"/>
              <w:left w:val="single" w:sz="8"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01-04-2026</w:t>
            </w:r>
          </w:p>
        </w:tc>
        <w:tc>
          <w:tcPr>
            <w:tcW w:w="585" w:type="dxa"/>
            <w:tcBorders>
              <w:top w:val="single" w:sz="8" w:space="0" w:color="FFFFFF"/>
              <w:left w:val="single" w:sz="8"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01-04-2025</w:t>
            </w:r>
          </w:p>
        </w:tc>
        <w:tc>
          <w:tcPr>
            <w:tcW w:w="585" w:type="dxa"/>
            <w:tcBorders>
              <w:top w:val="nil"/>
              <w:left w:val="single" w:sz="8"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01-04-2026</w:t>
            </w:r>
          </w:p>
        </w:tc>
        <w:tc>
          <w:tcPr>
            <w:tcW w:w="585" w:type="dxa"/>
            <w:tcBorders>
              <w:top w:val="single" w:sz="8" w:space="0" w:color="FFFFFF"/>
              <w:left w:val="single" w:sz="8"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01-04-2025</w:t>
            </w:r>
          </w:p>
        </w:tc>
        <w:tc>
          <w:tcPr>
            <w:tcW w:w="1005" w:type="dxa"/>
            <w:vMerge/>
            <w:tcBorders>
              <w:top w:val="nil"/>
              <w:left w:val="single" w:sz="8" w:space="0" w:color="FFFFFF"/>
              <w:bottom w:val="nil"/>
              <w:right w:val="single" w:sz="2" w:space="0" w:color="000000"/>
            </w:tcBorders>
          </w:tcPr>
          <w:p>
            <w:pPr>
              <w:keepNext/>
              <w:pageBreakBefore w:val="0"/>
            </w:pPr>
          </w:p>
        </w:tc>
      </w:tr>
      <w:tr>
        <w:tblPrEx>
          <w:tblW w:w="9165" w:type="dxa"/>
          <w:tblInd w:w="709" w:type="dxa"/>
          <w:tblLayout w:type="fixed"/>
        </w:tblPrEx>
        <w:trPr>
          <w:cantSplit/>
          <w:trHeight w:hRule="auto" w:val="0"/>
        </w:trPr>
        <w:tc>
          <w:tcPr>
            <w:tcW w:w="1140" w:type="dxa"/>
            <w:vMerge/>
            <w:tcBorders>
              <w:top w:val="nil"/>
              <w:left w:val="single" w:sz="2" w:space="0" w:color="000000"/>
              <w:bottom w:val="nil"/>
              <w:right w:val="nil"/>
            </w:tcBorders>
          </w:tcPr>
          <w:p>
            <w:pPr>
              <w:keepNext/>
              <w:pageBreakBefore w:val="0"/>
            </w:pPr>
          </w:p>
        </w:tc>
        <w:tc>
          <w:tcPr>
            <w:tcW w:w="58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30-06-2026</w:t>
            </w:r>
          </w:p>
        </w:tc>
        <w:tc>
          <w:tcPr>
            <w:tcW w:w="58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30-06-2025</w:t>
            </w:r>
          </w:p>
        </w:tc>
        <w:tc>
          <w:tcPr>
            <w:tcW w:w="58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30-06-2026</w:t>
            </w:r>
          </w:p>
        </w:tc>
        <w:tc>
          <w:tcPr>
            <w:tcW w:w="58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30-06-2025</w:t>
            </w:r>
          </w:p>
        </w:tc>
        <w:tc>
          <w:tcPr>
            <w:tcW w:w="58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30-06-2026</w:t>
            </w:r>
          </w:p>
        </w:tc>
        <w:tc>
          <w:tcPr>
            <w:tcW w:w="58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30-06-2025</w:t>
            </w:r>
          </w:p>
        </w:tc>
        <w:tc>
          <w:tcPr>
            <w:tcW w:w="58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30-06-2026</w:t>
            </w:r>
          </w:p>
        </w:tc>
        <w:tc>
          <w:tcPr>
            <w:tcW w:w="585" w:type="dxa"/>
            <w:tcBorders>
              <w:top w:val="nil"/>
              <w:left w:val="single" w:sz="8"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30-06-2025</w:t>
            </w:r>
          </w:p>
        </w:tc>
        <w:tc>
          <w:tcPr>
            <w:tcW w:w="585" w:type="dxa"/>
            <w:tcBorders>
              <w:top w:val="nil"/>
              <w:left w:val="single" w:sz="8"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30-06-2026</w:t>
            </w:r>
          </w:p>
        </w:tc>
        <w:tc>
          <w:tcPr>
            <w:tcW w:w="585" w:type="dxa"/>
            <w:tcBorders>
              <w:top w:val="nil"/>
              <w:left w:val="single" w:sz="8"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30-06-2025</w:t>
            </w:r>
          </w:p>
        </w:tc>
        <w:tc>
          <w:tcPr>
            <w:tcW w:w="585" w:type="dxa"/>
            <w:tcBorders>
              <w:top w:val="nil"/>
              <w:left w:val="single" w:sz="8"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30-06-2026</w:t>
            </w:r>
          </w:p>
        </w:tc>
        <w:tc>
          <w:tcPr>
            <w:tcW w:w="585" w:type="dxa"/>
            <w:tcBorders>
              <w:top w:val="nil"/>
              <w:left w:val="single" w:sz="8"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30-06-2025</w:t>
            </w:r>
          </w:p>
        </w:tc>
        <w:tc>
          <w:tcPr>
            <w:tcW w:w="1005" w:type="dxa"/>
            <w:vMerge/>
            <w:tcBorders>
              <w:top w:val="nil"/>
              <w:left w:val="single" w:sz="8" w:space="0" w:color="FFFFFF"/>
              <w:bottom w:val="nil"/>
              <w:right w:val="single" w:sz="2" w:space="0" w:color="000000"/>
            </w:tcBorders>
          </w:tcPr>
          <w:p>
            <w:pPr>
              <w:keepNext/>
              <w:pageBreakBefore w:val="0"/>
            </w:pPr>
          </w:p>
        </w:tc>
      </w:tr>
      <w:tr>
        <w:tblPrEx>
          <w:tblW w:w="9165" w:type="dxa"/>
          <w:tblInd w:w="709" w:type="dxa"/>
          <w:tblLayout w:type="fixed"/>
        </w:tblPrEx>
        <w:trPr>
          <w:cantSplit/>
          <w:trHeight w:hRule="auto" w:val="0"/>
        </w:trPr>
        <w:tc>
          <w:tcPr>
            <w:tcW w:w="1140" w:type="dxa"/>
            <w:vMerge/>
            <w:tcBorders>
              <w:top w:val="nil"/>
              <w:left w:val="single" w:sz="2" w:space="0" w:color="000000"/>
              <w:bottom w:val="single" w:sz="2" w:space="0" w:color="000000"/>
              <w:right w:val="nil"/>
            </w:tcBorders>
          </w:tcPr>
          <w:p>
            <w:pPr>
              <w:keepNext/>
              <w:pageBreakBefore w:val="0"/>
            </w:pPr>
          </w:p>
        </w:tc>
        <w:tc>
          <w:tcPr>
            <w:tcW w:w="58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M$</w:t>
            </w:r>
          </w:p>
        </w:tc>
        <w:tc>
          <w:tcPr>
            <w:tcW w:w="58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M$</w:t>
            </w:r>
          </w:p>
        </w:tc>
        <w:tc>
          <w:tcPr>
            <w:tcW w:w="58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M$</w:t>
            </w:r>
          </w:p>
        </w:tc>
        <w:tc>
          <w:tcPr>
            <w:tcW w:w="58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M$</w:t>
            </w:r>
          </w:p>
        </w:tc>
        <w:tc>
          <w:tcPr>
            <w:tcW w:w="58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M$</w:t>
            </w:r>
          </w:p>
        </w:tc>
        <w:tc>
          <w:tcPr>
            <w:tcW w:w="58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M$</w:t>
            </w:r>
          </w:p>
        </w:tc>
        <w:tc>
          <w:tcPr>
            <w:tcW w:w="58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M$</w:t>
            </w:r>
          </w:p>
        </w:tc>
        <w:tc>
          <w:tcPr>
            <w:tcW w:w="585" w:type="dxa"/>
            <w:tcBorders>
              <w:top w:val="nil"/>
              <w:left w:val="single" w:sz="8"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M$</w:t>
            </w:r>
          </w:p>
        </w:tc>
        <w:tc>
          <w:tcPr>
            <w:tcW w:w="585" w:type="dxa"/>
            <w:tcBorders>
              <w:top w:val="nil"/>
              <w:left w:val="single" w:sz="8"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M$</w:t>
            </w:r>
          </w:p>
        </w:tc>
        <w:tc>
          <w:tcPr>
            <w:tcW w:w="585" w:type="dxa"/>
            <w:tcBorders>
              <w:top w:val="nil"/>
              <w:left w:val="single" w:sz="8"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M$</w:t>
            </w:r>
          </w:p>
        </w:tc>
        <w:tc>
          <w:tcPr>
            <w:tcW w:w="585" w:type="dxa"/>
            <w:tcBorders>
              <w:top w:val="nil"/>
              <w:left w:val="single" w:sz="8"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M$</w:t>
            </w:r>
          </w:p>
        </w:tc>
        <w:tc>
          <w:tcPr>
            <w:tcW w:w="585" w:type="dxa"/>
            <w:tcBorders>
              <w:top w:val="nil"/>
              <w:left w:val="single" w:sz="8"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M$</w:t>
            </w:r>
          </w:p>
        </w:tc>
        <w:tc>
          <w:tcPr>
            <w:tcW w:w="1005" w:type="dxa"/>
            <w:vMerge/>
            <w:tcBorders>
              <w:top w:val="nil"/>
              <w:left w:val="single" w:sz="8" w:space="0" w:color="FFFFFF"/>
              <w:bottom w:val="single" w:sz="2" w:space="0" w:color="000000"/>
              <w:right w:val="single" w:sz="2" w:space="0" w:color="000000"/>
            </w:tcBorders>
          </w:tcPr>
          <w:p>
            <w:pPr>
              <w:keepNext/>
              <w:pageBreakBefore w:val="0"/>
            </w:pPr>
          </w:p>
        </w:tc>
      </w:tr>
      <w:tr>
        <w:tblPrEx>
          <w:tblW w:w="9165" w:type="dxa"/>
          <w:tblInd w:w="709" w:type="dxa"/>
          <w:tblLayout w:type="fixed"/>
        </w:tblPrEx>
        <w:trPr>
          <w:cantSplit/>
          <w:trHeight w:hRule="auto" w:val="0"/>
        </w:trPr>
        <w:tc>
          <w:tcPr>
            <w:tcW w:w="11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top"/>
          </w:tcPr>
          <w:p>
            <w:pPr>
              <w:keepNext/>
              <w:pageBreakBefore w:val="0"/>
              <w:spacing w:before="38" w:after="20" w:line="240" w:lineRule="auto"/>
              <w:jc w:val="left"/>
            </w:pPr>
            <w:r>
              <w:rPr>
                <w:rFonts w:ascii="Calibri" w:eastAsia="Calibri" w:hAnsi="Calibri" w:cs="Calibri"/>
                <w:b w:val="0"/>
                <w:i w:val="0"/>
                <w:color w:val="000000"/>
                <w:sz w:val="10"/>
                <w:u w:val="none"/>
              </w:rPr>
              <w:t>Costo del servicio corriente plan de beneficios definidos.</w:t>
            </w:r>
          </w:p>
        </w:tc>
        <w:tc>
          <w:tcPr>
            <w:tcW w:w="5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41.062</w:t>
            </w:r>
          </w:p>
        </w:tc>
        <w:tc>
          <w:tcPr>
            <w:tcW w:w="5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65.564</w:t>
            </w:r>
          </w:p>
        </w:tc>
        <w:tc>
          <w:tcPr>
            <w:tcW w:w="5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4.809</w:t>
            </w:r>
          </w:p>
        </w:tc>
        <w:tc>
          <w:tcPr>
            <w:tcW w:w="5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7.823</w:t>
            </w:r>
          </w:p>
        </w:tc>
        <w:tc>
          <w:tcPr>
            <w:tcW w:w="5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2.565</w:t>
            </w:r>
          </w:p>
        </w:tc>
        <w:tc>
          <w:tcPr>
            <w:tcW w:w="5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4.492</w:t>
            </w:r>
          </w:p>
        </w:tc>
        <w:tc>
          <w:tcPr>
            <w:tcW w:w="5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(17.608)</w:t>
            </w:r>
          </w:p>
        </w:tc>
        <w:tc>
          <w:tcPr>
            <w:tcW w:w="5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21.778</w:t>
            </w:r>
          </w:p>
        </w:tc>
        <w:tc>
          <w:tcPr>
            <w:tcW w:w="5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(37)</w:t>
            </w:r>
          </w:p>
        </w:tc>
        <w:tc>
          <w:tcPr>
            <w:tcW w:w="5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4.398</w:t>
            </w:r>
          </w:p>
        </w:tc>
        <w:tc>
          <w:tcPr>
            <w:tcW w:w="5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(2.128)</w:t>
            </w:r>
          </w:p>
        </w:tc>
        <w:tc>
          <w:tcPr>
            <w:tcW w:w="5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(1.144)</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0"/>
                <w:u w:val="none"/>
              </w:rPr>
              <w:t>Costo de ventas - gastos de administración.</w:t>
            </w:r>
          </w:p>
        </w:tc>
      </w:tr>
      <w:tr>
        <w:tblPrEx>
          <w:tblW w:w="9165" w:type="dxa"/>
          <w:tblInd w:w="709" w:type="dxa"/>
          <w:tblLayout w:type="fixed"/>
        </w:tblPrEx>
        <w:trPr>
          <w:cantSplit/>
          <w:trHeight w:hRule="auto" w:val="0"/>
        </w:trPr>
        <w:tc>
          <w:tcPr>
            <w:tcW w:w="11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0"/>
                <w:u w:val="none"/>
              </w:rPr>
              <w:t>Costo por intereses plan de beneficios definidos.</w:t>
            </w:r>
          </w:p>
        </w:tc>
        <w:tc>
          <w:tcPr>
            <w:tcW w:w="5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26.308</w:t>
            </w:r>
          </w:p>
        </w:tc>
        <w:tc>
          <w:tcPr>
            <w:tcW w:w="5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54.687</w:t>
            </w:r>
          </w:p>
        </w:tc>
        <w:tc>
          <w:tcPr>
            <w:tcW w:w="5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1.980</w:t>
            </w:r>
          </w:p>
        </w:tc>
        <w:tc>
          <w:tcPr>
            <w:tcW w:w="5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3.377</w:t>
            </w:r>
          </w:p>
        </w:tc>
        <w:tc>
          <w:tcPr>
            <w:tcW w:w="5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5.904</w:t>
            </w:r>
          </w:p>
        </w:tc>
        <w:tc>
          <w:tcPr>
            <w:tcW w:w="5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11.135</w:t>
            </w:r>
          </w:p>
        </w:tc>
        <w:tc>
          <w:tcPr>
            <w:tcW w:w="5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(21.647)</w:t>
            </w:r>
          </w:p>
        </w:tc>
        <w:tc>
          <w:tcPr>
            <w:tcW w:w="5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(191)</w:t>
            </w:r>
          </w:p>
        </w:tc>
        <w:tc>
          <w:tcPr>
            <w:tcW w:w="5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(516)</w:t>
            </w:r>
          </w:p>
        </w:tc>
        <w:tc>
          <w:tcPr>
            <w:tcW w:w="5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908</w:t>
            </w:r>
          </w:p>
        </w:tc>
        <w:tc>
          <w:tcPr>
            <w:tcW w:w="5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(5.690)</w:t>
            </w:r>
          </w:p>
        </w:tc>
        <w:tc>
          <w:tcPr>
            <w:tcW w:w="5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(8.744)</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0"/>
                <w:u w:val="none"/>
              </w:rPr>
              <w:t>Costos Financieros.</w:t>
            </w:r>
          </w:p>
        </w:tc>
      </w:tr>
      <w:tr>
        <w:tblPrEx>
          <w:tblW w:w="9165" w:type="dxa"/>
          <w:tblInd w:w="709" w:type="dxa"/>
          <w:tblLayout w:type="fixed"/>
        </w:tblPrEx>
        <w:trPr>
          <w:cantSplit/>
          <w:trHeight w:hRule="auto" w:val="0"/>
        </w:trPr>
        <w:tc>
          <w:tcPr>
            <w:tcW w:w="11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i w:val="0"/>
                <w:color w:val="FFFFFF"/>
                <w:sz w:val="10"/>
                <w:u w:val="none"/>
              </w:rPr>
              <w:t>Total</w:t>
            </w:r>
          </w:p>
        </w:tc>
        <w:tc>
          <w:tcPr>
            <w:tcW w:w="58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0"/>
                <w:u w:val="none"/>
              </w:rPr>
              <w:t>67.370</w:t>
            </w:r>
          </w:p>
        </w:tc>
        <w:tc>
          <w:tcPr>
            <w:tcW w:w="58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0"/>
                <w:u w:val="none"/>
              </w:rPr>
              <w:t>120.251</w:t>
            </w:r>
          </w:p>
        </w:tc>
        <w:tc>
          <w:tcPr>
            <w:tcW w:w="58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0"/>
                <w:u w:val="none"/>
              </w:rPr>
              <w:t>6.789</w:t>
            </w:r>
          </w:p>
        </w:tc>
        <w:tc>
          <w:tcPr>
            <w:tcW w:w="58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0"/>
                <w:u w:val="none"/>
              </w:rPr>
              <w:t>11.200</w:t>
            </w:r>
          </w:p>
        </w:tc>
        <w:tc>
          <w:tcPr>
            <w:tcW w:w="58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0"/>
                <w:u w:val="none"/>
              </w:rPr>
              <w:t>8.469</w:t>
            </w:r>
          </w:p>
        </w:tc>
        <w:tc>
          <w:tcPr>
            <w:tcW w:w="58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0"/>
                <w:u w:val="none"/>
              </w:rPr>
              <w:t>15.628</w:t>
            </w:r>
          </w:p>
        </w:tc>
        <w:tc>
          <w:tcPr>
            <w:tcW w:w="5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0"/>
                <w:u w:val="none"/>
              </w:rPr>
              <w:t>(39.255)</w:t>
            </w:r>
          </w:p>
        </w:tc>
        <w:tc>
          <w:tcPr>
            <w:tcW w:w="585" w:type="dxa"/>
            <w:tcBorders>
              <w:top w:val="single" w:sz="2" w:space="0" w:color="000000"/>
              <w:left w:val="single" w:sz="8"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0"/>
                <w:u w:val="none"/>
              </w:rPr>
              <w:t>21.587</w:t>
            </w:r>
          </w:p>
        </w:tc>
        <w:tc>
          <w:tcPr>
            <w:tcW w:w="585" w:type="dxa"/>
            <w:tcBorders>
              <w:top w:val="single" w:sz="2" w:space="0" w:color="000000"/>
              <w:left w:val="single" w:sz="8"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0"/>
                <w:u w:val="none"/>
              </w:rPr>
              <w:t>(553)</w:t>
            </w:r>
          </w:p>
        </w:tc>
        <w:tc>
          <w:tcPr>
            <w:tcW w:w="585" w:type="dxa"/>
            <w:tcBorders>
              <w:top w:val="single" w:sz="2" w:space="0" w:color="000000"/>
              <w:left w:val="single" w:sz="8"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0"/>
                <w:u w:val="none"/>
              </w:rPr>
              <w:t>5.306</w:t>
            </w:r>
          </w:p>
        </w:tc>
        <w:tc>
          <w:tcPr>
            <w:tcW w:w="585" w:type="dxa"/>
            <w:tcBorders>
              <w:top w:val="single" w:sz="2" w:space="0" w:color="000000"/>
              <w:left w:val="single" w:sz="8"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0"/>
                <w:u w:val="none"/>
              </w:rPr>
              <w:t>(7.818)</w:t>
            </w:r>
          </w:p>
        </w:tc>
        <w:tc>
          <w:tcPr>
            <w:tcW w:w="585" w:type="dxa"/>
            <w:tcBorders>
              <w:top w:val="single" w:sz="2" w:space="0" w:color="000000"/>
              <w:left w:val="single" w:sz="8"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0"/>
                <w:u w:val="none"/>
              </w:rPr>
              <w:t>(9.887)</w:t>
            </w:r>
          </w:p>
        </w:tc>
        <w:tc>
          <w:tcPr>
            <w:tcW w:w="1005" w:type="dxa"/>
            <w:tcBorders>
              <w:top w:val="single" w:sz="2" w:space="0" w:color="000000"/>
              <w:left w:val="single" w:sz="2" w:space="0" w:color="000000"/>
              <w:bottom w:val="nil"/>
              <w:right w:val="nil"/>
            </w:tcBorders>
            <w:tcMar>
              <w:top w:w="0" w:type="dxa"/>
              <w:left w:w="0" w:type="dxa"/>
              <w:bottom w:w="0" w:type="dxa"/>
              <w:right w:w="0" w:type="dxa"/>
            </w:tcMar>
            <w:vAlign w:val="bottom"/>
          </w:tcPr>
          <w:p>
            <w:pPr>
              <w:pageBreakBefore w:val="0"/>
              <w:spacing w:before="0" w:after="0"/>
            </w:pPr>
          </w:p>
        </w:tc>
      </w:tr>
    </w:tbl>
    <w:p>
      <w:pPr>
        <w:keepNext w:val="0"/>
        <w:keepLines/>
        <w:pageBreakBefore w:val="0"/>
        <w:widowControl w:val="0"/>
        <w:numPr>
          <w:ilvl w:val="0"/>
          <w:numId w:val="0"/>
        </w:numPr>
        <w:spacing w:before="0" w:after="0" w:line="288" w:lineRule="auto"/>
        <w:ind w:left="709" w:right="0" w:firstLine="709"/>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709" w:right="0" w:firstLine="709"/>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211" w:name="Section109"/>
      <w:bookmarkEnd w:id="211"/>
      <w:bookmarkStart w:id="212" w:name="ba8294bda7164a9786692b840ec8ec19"/>
      <w:r>
        <w:rPr>
          <w:rFonts w:ascii="Calibri" w:eastAsia="Calibri" w:hAnsi="Calibri" w:cs="Calibri"/>
          <w:b/>
          <w:i w:val="0"/>
          <w:color w:val="000000"/>
          <w:sz w:val="20"/>
          <w:u w:val="none"/>
        </w:rPr>
        <w:t>23.5.-</w:t>
      </w:r>
      <w:r>
        <w:rPr>
          <w:rFonts w:ascii="Calibri" w:eastAsia="Calibri" w:hAnsi="Calibri" w:cs="Calibri"/>
          <w:b/>
          <w:i w:val="0"/>
          <w:color w:val="000000"/>
          <w:sz w:val="20"/>
          <w:u w:val="none"/>
        </w:rPr>
        <w:tab/>
      </w:r>
      <w:r>
        <w:rPr>
          <w:rFonts w:ascii="Calibri" w:eastAsia="Calibri" w:hAnsi="Calibri" w:cs="Calibri"/>
          <w:b/>
          <w:i w:val="0"/>
          <w:color w:val="000000"/>
          <w:sz w:val="20"/>
          <w:u w:val="none"/>
        </w:rPr>
        <w:t>Hipótesis actuariales.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12"/>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principales hipótesis actuariales utilizadas al cierre de estos estados financieros consolidados intermedios han sido las siguientes: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6765"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740"/>
        <w:gridCol w:w="2025"/>
      </w:tblGrid>
      <w:tr>
        <w:tblPrEx>
          <w:tblW w:w="6765" w:type="dxa"/>
          <w:tblInd w:w="1417" w:type="dxa"/>
          <w:tblLayout w:type="fixed"/>
        </w:tblPrEx>
        <w:trPr>
          <w:cantSplit/>
          <w:trHeight w:hRule="auto" w:val="0"/>
        </w:trPr>
        <w:tc>
          <w:tcPr>
            <w:tcW w:w="6765" w:type="dxa"/>
            <w:gridSpan w:val="2"/>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Detalle</w:t>
            </w:r>
          </w:p>
        </w:tc>
      </w:tr>
      <w:tr>
        <w:tblPrEx>
          <w:tblW w:w="6765" w:type="dxa"/>
          <w:tblInd w:w="1417" w:type="dxa"/>
          <w:tblLayout w:type="fixed"/>
        </w:tblPrEx>
        <w:trPr>
          <w:cantSplit/>
          <w:trHeight w:hRule="auto" w:val="0"/>
        </w:trPr>
        <w:tc>
          <w:tcPr>
            <w:tcW w:w="4740" w:type="dxa"/>
            <w:tcBorders>
              <w:top w:val="nil"/>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Tasa de descuento real utilizada.</w:t>
            </w:r>
          </w:p>
        </w:tc>
        <w:tc>
          <w:tcPr>
            <w:tcW w:w="202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15" w:type="dxa"/>
            </w:tcMar>
            <w:vAlign w:val="bottom"/>
          </w:tcPr>
          <w:p>
            <w:pPr>
              <w:keepNext/>
              <w:pageBreakBefore w:val="0"/>
              <w:spacing w:before="38" w:after="20" w:line="240" w:lineRule="auto"/>
              <w:jc w:val="center"/>
            </w:pPr>
            <w:r>
              <w:rPr>
                <w:rFonts w:ascii="Calibri" w:eastAsia="Calibri" w:hAnsi="Calibri" w:cs="Calibri"/>
                <w:b w:val="0"/>
                <w:i w:val="0"/>
                <w:color w:val="000000"/>
                <w:sz w:val="16"/>
                <w:u w:val="none"/>
              </w:rPr>
              <w:t>2,11 %</w:t>
            </w:r>
          </w:p>
        </w:tc>
      </w:tr>
      <w:tr>
        <w:tblPrEx>
          <w:tblW w:w="6765" w:type="dxa"/>
          <w:tblInd w:w="1417" w:type="dxa"/>
          <w:tblLayout w:type="fixed"/>
        </w:tblPrEx>
        <w:trPr>
          <w:cantSplit/>
          <w:trHeight w:hRule="auto" w:val="0"/>
        </w:trPr>
        <w:tc>
          <w:tcPr>
            <w:tcW w:w="47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Aumento futuros de salarios.</w:t>
            </w:r>
          </w:p>
        </w:tc>
        <w:tc>
          <w:tcPr>
            <w:tcW w:w="202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15" w:type="dxa"/>
            </w:tcMar>
            <w:vAlign w:val="bottom"/>
          </w:tcPr>
          <w:p>
            <w:pPr>
              <w:keepNext/>
              <w:pageBreakBefore w:val="0"/>
              <w:spacing w:before="38" w:after="20" w:line="240" w:lineRule="auto"/>
              <w:jc w:val="center"/>
            </w:pPr>
            <w:r>
              <w:rPr>
                <w:rFonts w:ascii="Calibri" w:eastAsia="Calibri" w:hAnsi="Calibri" w:cs="Calibri"/>
                <w:b w:val="0"/>
                <w:i w:val="0"/>
                <w:color w:val="000000"/>
                <w:sz w:val="16"/>
                <w:u w:val="none"/>
              </w:rPr>
              <w:t>2,90 %</w:t>
            </w:r>
          </w:p>
        </w:tc>
      </w:tr>
      <w:tr>
        <w:tblPrEx>
          <w:tblW w:w="6765" w:type="dxa"/>
          <w:tblInd w:w="1417" w:type="dxa"/>
          <w:tblLayout w:type="fixed"/>
        </w:tblPrEx>
        <w:trPr>
          <w:cantSplit/>
          <w:trHeight w:hRule="auto" w:val="0"/>
        </w:trPr>
        <w:tc>
          <w:tcPr>
            <w:tcW w:w="47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Tabla de mortalidad.</w:t>
            </w:r>
          </w:p>
        </w:tc>
        <w:tc>
          <w:tcPr>
            <w:tcW w:w="202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15" w:type="dxa"/>
            </w:tcMar>
            <w:vAlign w:val="bottom"/>
          </w:tcPr>
          <w:p>
            <w:pPr>
              <w:keepNext/>
              <w:pageBreakBefore w:val="0"/>
              <w:spacing w:before="38" w:after="20" w:line="240" w:lineRule="auto"/>
              <w:jc w:val="center"/>
            </w:pPr>
            <w:r>
              <w:rPr>
                <w:rFonts w:ascii="Calibri" w:eastAsia="Calibri" w:hAnsi="Calibri" w:cs="Calibri"/>
                <w:b w:val="0"/>
                <w:i w:val="0"/>
                <w:color w:val="000000"/>
                <w:sz w:val="16"/>
                <w:u w:val="none"/>
              </w:rPr>
              <w:t>RV-2020</w:t>
            </w:r>
          </w:p>
        </w:tc>
      </w:tr>
      <w:tr>
        <w:tblPrEx>
          <w:tblW w:w="6765" w:type="dxa"/>
          <w:tblInd w:w="1417" w:type="dxa"/>
          <w:tblLayout w:type="fixed"/>
        </w:tblPrEx>
        <w:trPr>
          <w:cantSplit/>
          <w:trHeight w:hRule="auto" w:val="0"/>
        </w:trPr>
        <w:tc>
          <w:tcPr>
            <w:tcW w:w="47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6"/>
                <w:u w:val="none"/>
              </w:rPr>
              <w:t>Tasa de rotación anual.</w:t>
            </w:r>
          </w:p>
        </w:tc>
        <w:tc>
          <w:tcPr>
            <w:tcW w:w="202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15" w:type="dxa"/>
            </w:tcMar>
            <w:vAlign w:val="bottom"/>
          </w:tcPr>
          <w:p>
            <w:pPr>
              <w:pageBreakBefore w:val="0"/>
              <w:spacing w:before="38" w:after="20" w:line="240" w:lineRule="auto"/>
              <w:jc w:val="center"/>
            </w:pPr>
            <w:r>
              <w:rPr>
                <w:rFonts w:ascii="Calibri" w:eastAsia="Calibri" w:hAnsi="Calibri" w:cs="Calibri"/>
                <w:b w:val="0"/>
                <w:i w:val="0"/>
                <w:color w:val="000000"/>
                <w:sz w:val="16"/>
                <w:u w:val="none"/>
              </w:rPr>
              <w:t>1,65 %</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supuestos respecto a la tasa futura de mortalidad se fijan sobre la base de asesoría actuarial de acuerdo con las estadísticas publicadas y con la experiencia en Chile.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Para el cálculo del pasivo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se aplicó la misma metodología utilizada en el ejercicio anterior. Respecto a lo anterior CGE Transmisión S.A. contrató a Mercer (Argentina) S.A., para la determinación de las obligaciones por beneficios definidos.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la sensibilidad del valor del pasivo actuarial por beneficios definidos ante variaciones de un 1% en la tasa de descuento genera los siguientes efectos: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760"/>
        <w:gridCol w:w="1395"/>
        <w:gridCol w:w="1395"/>
      </w:tblGrid>
      <w:tr>
        <w:tblPrEx>
          <w:tblW w:w="8550" w:type="dxa"/>
          <w:tblInd w:w="1417" w:type="dxa"/>
          <w:tblLayout w:type="fixed"/>
        </w:tblPrEx>
        <w:trPr>
          <w:cantSplit/>
          <w:trHeight w:hRule="auto" w:val="0"/>
        </w:trPr>
        <w:tc>
          <w:tcPr>
            <w:tcW w:w="57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Sensibilización de la tasa de descuento</w:t>
            </w:r>
          </w:p>
        </w:tc>
        <w:tc>
          <w:tcPr>
            <w:tcW w:w="1395" w:type="dxa"/>
            <w:tcBorders>
              <w:top w:val="single" w:sz="2" w:space="0" w:color="000000"/>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Disminución de 1%</w:t>
            </w:r>
            <w:r>
              <w:br/>
            </w:r>
            <w:r>
              <w:rPr>
                <w:rFonts w:ascii="Calibri" w:eastAsia="Calibri" w:hAnsi="Calibri" w:cs="Calibri"/>
                <w:b/>
                <w:i w:val="0"/>
                <w:color w:val="FFFFFF"/>
                <w:sz w:val="16"/>
                <w:u w:val="none"/>
              </w:rPr>
              <w:t>M$</w:t>
            </w:r>
          </w:p>
        </w:tc>
        <w:tc>
          <w:tcPr>
            <w:tcW w:w="1395" w:type="dxa"/>
            <w:tcBorders>
              <w:top w:val="single" w:sz="2" w:space="0" w:color="000000"/>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Incremento de 1%</w:t>
            </w:r>
            <w:r>
              <w:br/>
            </w:r>
            <w:r>
              <w:rPr>
                <w:rFonts w:ascii="Calibri" w:eastAsia="Calibri" w:hAnsi="Calibri" w:cs="Calibri"/>
                <w:b/>
                <w:i w:val="0"/>
                <w:color w:val="FFFFFF"/>
                <w:sz w:val="16"/>
                <w:u w:val="none"/>
              </w:rPr>
              <w:t>M$</w:t>
            </w:r>
          </w:p>
        </w:tc>
      </w:tr>
      <w:tr>
        <w:tblPrEx>
          <w:tblW w:w="8550" w:type="dxa"/>
          <w:tblInd w:w="1417" w:type="dxa"/>
          <w:tblLayout w:type="fixed"/>
        </w:tblPrEx>
        <w:trPr>
          <w:cantSplit/>
          <w:trHeight w:hRule="auto" w:val="0"/>
        </w:trPr>
        <w:tc>
          <w:tcPr>
            <w:tcW w:w="57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6"/>
                <w:u w:val="none"/>
              </w:rPr>
              <w:t>Efecto en las obligaciones por beneficios definidos</w:t>
            </w:r>
          </w:p>
        </w:tc>
        <w:tc>
          <w:tcPr>
            <w:tcW w:w="13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6"/>
                <w:u w:val="none"/>
              </w:rPr>
              <w:t>161.781</w:t>
            </w:r>
          </w:p>
        </w:tc>
        <w:tc>
          <w:tcPr>
            <w:tcW w:w="13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6"/>
                <w:u w:val="none"/>
              </w:rPr>
              <w:t>(140.119)</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709" w:right="0" w:firstLine="0"/>
        <w:jc w:val="both"/>
        <w:outlineLvl w:val="1"/>
        <w:rPr>
          <w:rFonts w:ascii="Times New Roman" w:eastAsia="Times New Roman" w:hAnsi="Times New Roman" w:cs="Times New Roman"/>
          <w:b/>
          <w:i w:val="0"/>
          <w:color w:val="000000"/>
          <w:sz w:val="24"/>
          <w:u w:val="none"/>
        </w:rPr>
      </w:pPr>
      <w:bookmarkStart w:id="213" w:name="Section110"/>
      <w:bookmarkEnd w:id="213"/>
      <w:bookmarkStart w:id="214" w:name="547d5f75079b407b865fc92cc0308897"/>
      <w:r>
        <w:rPr>
          <w:rFonts w:ascii="Calibri" w:eastAsia="Calibri" w:hAnsi="Calibri" w:cs="Calibri"/>
          <w:b/>
          <w:i w:val="0"/>
          <w:color w:val="000000"/>
          <w:sz w:val="20"/>
          <w:u w:val="none"/>
        </w:rPr>
        <w:t>23.6.-</w:t>
      </w:r>
      <w:r>
        <w:rPr>
          <w:rFonts w:ascii="Calibri" w:eastAsia="Calibri" w:hAnsi="Calibri" w:cs="Calibri"/>
          <w:b/>
          <w:i w:val="0"/>
          <w:color w:val="000000"/>
          <w:sz w:val="20"/>
          <w:u w:val="none"/>
        </w:rPr>
        <w:tab/>
      </w:r>
      <w:r>
        <w:rPr>
          <w:rFonts w:ascii="Calibri" w:eastAsia="Calibri" w:hAnsi="Calibri" w:cs="Calibri"/>
          <w:b/>
          <w:i w:val="0"/>
          <w:color w:val="000000"/>
          <w:sz w:val="20"/>
          <w:u w:val="none"/>
        </w:rPr>
        <w:t>Flujo y plazo de los compromisos.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14"/>
    </w:p>
    <w:p>
      <w:pPr>
        <w:pStyle w:val="Normal-wk"/>
        <w:keepNext w:val="0"/>
        <w:keepLines/>
        <w:pageBreakBefore w:val="0"/>
        <w:widowControl w:val="0"/>
        <w:numPr>
          <w:ilvl w:val="0"/>
          <w:numId w:val="0"/>
        </w:numPr>
        <w:tabs>
          <w:tab w:val="left" w:pos="700"/>
        </w:tabs>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flujo previsto de prestaciones para los próximos años al </w:t>
      </w:r>
      <w:r>
        <w:rPr>
          <w:rFonts w:ascii="Calibri" w:eastAsia="Calibri" w:hAnsi="Calibri" w:cs="Calibri"/>
          <w:b w:val="0"/>
          <w:i w:val="0"/>
          <w:color w:val="000000"/>
          <w:sz w:val="20"/>
          <w:u w:val="none"/>
        </w:rPr>
        <w:t>30 de junio de 2026</w:t>
      </w:r>
      <w:r>
        <w:rPr>
          <w:rFonts w:ascii="Calibri" w:eastAsia="Calibri" w:hAnsi="Calibri" w:cs="Calibri"/>
          <w:b w:val="0"/>
          <w:i w:val="0"/>
          <w:sz w:val="20"/>
        </w:rPr>
        <w:t xml:space="preserve"> y</w:t>
      </w:r>
      <w:r>
        <w:rPr>
          <w:rFonts w:ascii="Calibri" w:eastAsia="Calibri" w:hAnsi="Calibri" w:cs="Calibri"/>
          <w:b w:val="0"/>
          <w:i w:val="0"/>
          <w:color w:val="000000"/>
          <w:sz w:val="20"/>
          <w:u w:val="none"/>
        </w:rPr>
        <w:t xml:space="preserve">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 xml:space="preserve"> es como sigue:</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750"/>
        <w:gridCol w:w="1200"/>
        <w:gridCol w:w="1200"/>
        <w:gridCol w:w="1200"/>
        <w:gridCol w:w="1200"/>
      </w:tblGrid>
      <w:tr>
        <w:tblPrEx>
          <w:tblW w:w="8550" w:type="dxa"/>
          <w:tblInd w:w="1417" w:type="dxa"/>
          <w:tblLayout w:type="fixed"/>
        </w:tblPrEx>
        <w:trPr>
          <w:cantSplit/>
          <w:trHeight w:hRule="auto" w:val="0"/>
        </w:trPr>
        <w:tc>
          <w:tcPr>
            <w:tcW w:w="375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Promedio ponderado de las obligaciones</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top"/>
          </w:tcPr>
          <w:p>
            <w:pPr>
              <w:keepNext/>
              <w:pageBreakBefore w:val="0"/>
              <w:spacing w:before="38" w:after="20" w:line="240" w:lineRule="auto"/>
              <w:jc w:val="center"/>
            </w:pPr>
            <w:r>
              <w:rPr>
                <w:rFonts w:ascii="Calibri" w:eastAsia="Calibri" w:hAnsi="Calibri" w:cs="Calibri"/>
                <w:b/>
                <w:i w:val="0"/>
                <w:color w:val="FFFFFF"/>
                <w:sz w:val="16"/>
                <w:u w:val="none"/>
              </w:rPr>
              <w:t>Indemnización por años de servicios</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top"/>
          </w:tcPr>
          <w:p>
            <w:pPr>
              <w:keepNext/>
              <w:pageBreakBefore w:val="0"/>
              <w:spacing w:before="38" w:after="20" w:line="240" w:lineRule="auto"/>
              <w:jc w:val="center"/>
            </w:pPr>
            <w:r>
              <w:rPr>
                <w:rFonts w:ascii="Calibri" w:eastAsia="Calibri" w:hAnsi="Calibri" w:cs="Calibri"/>
                <w:b/>
                <w:i w:val="0"/>
                <w:color w:val="FFFFFF"/>
                <w:sz w:val="16"/>
                <w:u w:val="none"/>
              </w:rPr>
              <w:t>Premios por antigüedad</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top"/>
          </w:tcPr>
          <w:p>
            <w:pPr>
              <w:keepNext/>
              <w:pageBreakBefore w:val="0"/>
              <w:spacing w:before="38" w:after="20" w:line="240" w:lineRule="auto"/>
              <w:jc w:val="center"/>
            </w:pPr>
            <w:r>
              <w:rPr>
                <w:rFonts w:ascii="Calibri" w:eastAsia="Calibri" w:hAnsi="Calibri" w:cs="Calibri"/>
                <w:b/>
                <w:i w:val="0"/>
                <w:color w:val="FFFFFF"/>
                <w:sz w:val="16"/>
                <w:u w:val="none"/>
              </w:rPr>
              <w:t>Beneficios post-jubilatorios</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top"/>
          </w:tcPr>
          <w:p>
            <w:pPr>
              <w:keepNext/>
              <w:pageBreakBefore w:val="0"/>
              <w:spacing w:before="38" w:after="20" w:line="240" w:lineRule="auto"/>
              <w:jc w:val="center"/>
            </w:pPr>
            <w:r>
              <w:rPr>
                <w:rFonts w:ascii="Calibri" w:eastAsia="Calibri" w:hAnsi="Calibri" w:cs="Calibri"/>
                <w:b/>
                <w:i w:val="0"/>
                <w:color w:val="FFFFFF"/>
                <w:sz w:val="16"/>
                <w:u w:val="none"/>
              </w:rPr>
              <w:t>Total</w:t>
            </w:r>
          </w:p>
        </w:tc>
      </w:tr>
      <w:tr>
        <w:tblPrEx>
          <w:tblW w:w="8550" w:type="dxa"/>
          <w:tblInd w:w="1417" w:type="dxa"/>
          <w:tblLayout w:type="fixed"/>
        </w:tblPrEx>
        <w:trPr>
          <w:cantSplit/>
          <w:trHeight w:hRule="auto" w:val="0"/>
        </w:trPr>
        <w:tc>
          <w:tcPr>
            <w:tcW w:w="3750"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r>
      <w:tr>
        <w:tblPrEx>
          <w:tblW w:w="8550" w:type="dxa"/>
          <w:tblInd w:w="1417" w:type="dxa"/>
          <w:tblLayout w:type="fixed"/>
        </w:tblPrEx>
        <w:trPr>
          <w:cantSplit/>
          <w:trHeight w:hRule="auto" w:val="0"/>
        </w:trPr>
        <w:tc>
          <w:tcPr>
            <w:tcW w:w="375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exact" w:val="60"/>
        </w:trPr>
        <w:tc>
          <w:tcPr>
            <w:tcW w:w="37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Años</w:t>
            </w:r>
          </w:p>
        </w:tc>
        <w:tc>
          <w:tcPr>
            <w:tcW w:w="12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1 Año.</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246.156</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7.570</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253.726</w:t>
            </w: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2 Años.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175.023</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16.597</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191.620</w:t>
            </w: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3 Años.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84.482</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11.263</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214.748</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310.493</w:t>
            </w: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4 Años.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123.942</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7.654</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131.596</w:t>
            </w: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5 Años.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129.097</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10.214</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139.311</w:t>
            </w: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6 a 10 Años.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453.133</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33.884</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160.030</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647.047</w:t>
            </w: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Más de 10 Años.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512.476</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41.676</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554.152</w:t>
            </w: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i w:val="0"/>
                <w:color w:val="FFFFFF"/>
                <w:sz w:val="16"/>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1.724.309</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128.858</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374.778</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2.227.945</w:t>
            </w:r>
          </w:p>
        </w:tc>
      </w:tr>
    </w:tbl>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750"/>
        <w:gridCol w:w="1200"/>
        <w:gridCol w:w="1200"/>
        <w:gridCol w:w="1200"/>
        <w:gridCol w:w="1200"/>
      </w:tblGrid>
      <w:tr>
        <w:tblPrEx>
          <w:tblW w:w="8550" w:type="dxa"/>
          <w:tblInd w:w="1417" w:type="dxa"/>
          <w:tblLayout w:type="fixed"/>
        </w:tblPrEx>
        <w:trPr>
          <w:cantSplit/>
          <w:trHeight w:hRule="auto" w:val="0"/>
        </w:trPr>
        <w:tc>
          <w:tcPr>
            <w:tcW w:w="375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Promedio ponderado de las obligaciones</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top"/>
          </w:tcPr>
          <w:p>
            <w:pPr>
              <w:keepNext/>
              <w:pageBreakBefore w:val="0"/>
              <w:spacing w:before="38" w:after="20" w:line="240" w:lineRule="auto"/>
              <w:jc w:val="center"/>
            </w:pPr>
            <w:r>
              <w:rPr>
                <w:rFonts w:ascii="Calibri" w:eastAsia="Calibri" w:hAnsi="Calibri" w:cs="Calibri"/>
                <w:b/>
                <w:i w:val="0"/>
                <w:color w:val="FFFFFF"/>
                <w:sz w:val="16"/>
                <w:u w:val="none"/>
              </w:rPr>
              <w:t>Indemnización por años de servicios</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top"/>
          </w:tcPr>
          <w:p>
            <w:pPr>
              <w:keepNext/>
              <w:pageBreakBefore w:val="0"/>
              <w:spacing w:before="38" w:after="20" w:line="240" w:lineRule="auto"/>
              <w:jc w:val="center"/>
            </w:pPr>
            <w:r>
              <w:rPr>
                <w:rFonts w:ascii="Calibri" w:eastAsia="Calibri" w:hAnsi="Calibri" w:cs="Calibri"/>
                <w:b/>
                <w:i w:val="0"/>
                <w:color w:val="FFFFFF"/>
                <w:sz w:val="16"/>
                <w:u w:val="none"/>
              </w:rPr>
              <w:t>Premios por antigüedad</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top"/>
          </w:tcPr>
          <w:p>
            <w:pPr>
              <w:keepNext/>
              <w:pageBreakBefore w:val="0"/>
              <w:spacing w:before="38" w:after="20" w:line="240" w:lineRule="auto"/>
              <w:jc w:val="center"/>
            </w:pPr>
            <w:r>
              <w:rPr>
                <w:rFonts w:ascii="Calibri" w:eastAsia="Calibri" w:hAnsi="Calibri" w:cs="Calibri"/>
                <w:b/>
                <w:i w:val="0"/>
                <w:color w:val="FFFFFF"/>
                <w:sz w:val="16"/>
                <w:u w:val="none"/>
              </w:rPr>
              <w:t>Beneficios post-jubilatorios</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top"/>
          </w:tcPr>
          <w:p>
            <w:pPr>
              <w:keepNext/>
              <w:pageBreakBefore w:val="0"/>
              <w:spacing w:before="38" w:after="20" w:line="240" w:lineRule="auto"/>
              <w:jc w:val="center"/>
            </w:pPr>
            <w:r>
              <w:rPr>
                <w:rFonts w:ascii="Calibri" w:eastAsia="Calibri" w:hAnsi="Calibri" w:cs="Calibri"/>
                <w:b/>
                <w:i w:val="0"/>
                <w:color w:val="FFFFFF"/>
                <w:sz w:val="16"/>
                <w:u w:val="none"/>
              </w:rPr>
              <w:t>Total</w:t>
            </w:r>
          </w:p>
        </w:tc>
      </w:tr>
      <w:tr>
        <w:tblPrEx>
          <w:tblW w:w="8550" w:type="dxa"/>
          <w:tblInd w:w="1417" w:type="dxa"/>
          <w:tblLayout w:type="fixed"/>
        </w:tblPrEx>
        <w:trPr>
          <w:cantSplit/>
          <w:trHeight w:hRule="auto" w:val="0"/>
        </w:trPr>
        <w:tc>
          <w:tcPr>
            <w:tcW w:w="3750"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c>
          <w:tcPr>
            <w:tcW w:w="1200"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8550" w:type="dxa"/>
          <w:tblInd w:w="1417" w:type="dxa"/>
          <w:tblLayout w:type="fixed"/>
        </w:tblPrEx>
        <w:trPr>
          <w:cantSplit/>
          <w:trHeight w:hRule="auto" w:val="0"/>
        </w:trPr>
        <w:tc>
          <w:tcPr>
            <w:tcW w:w="375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exact" w:val="60"/>
        </w:trPr>
        <w:tc>
          <w:tcPr>
            <w:tcW w:w="37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Años</w:t>
            </w:r>
          </w:p>
        </w:tc>
        <w:tc>
          <w:tcPr>
            <w:tcW w:w="12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1 Año.</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114.730</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8.979</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123.709</w:t>
            </w: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2 Años.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126.476</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14.603</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141.079</w:t>
            </w: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3 Años.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133.378</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12.890</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22.577</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168.845</w:t>
            </w: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4 Años.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117.070</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6.274</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178.257</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301.601</w:t>
            </w: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5 Años.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140.417</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9.736</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150.153</w:t>
            </w: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6 a 10 Años.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420.102</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31.934</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115.664</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567.700</w:t>
            </w: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Más de 10 Años.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513.332</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37.652</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34.053</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585.037</w:t>
            </w: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i w:val="0"/>
                <w:color w:val="FFFFFF"/>
                <w:sz w:val="16"/>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1.565.506</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122.069</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350.551</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2.038.124</w:t>
            </w:r>
          </w:p>
        </w:tc>
      </w:tr>
    </w:tbl>
    <w:p>
      <w:pPr>
        <w:keepNext w:val="0"/>
        <w:keepLines/>
        <w:pageBreakBefore w:val="0"/>
        <w:widowControl w:val="0"/>
        <w:numPr>
          <w:ilvl w:val="0"/>
          <w:numId w:val="0"/>
        </w:numPr>
        <w:tabs>
          <w:tab w:val="left" w:pos="700"/>
        </w:tabs>
        <w:spacing w:before="0" w:after="0" w:line="288" w:lineRule="auto"/>
        <w:ind w:left="720" w:right="0" w:firstLine="720"/>
        <w:jc w:val="both"/>
        <w:outlineLvl w:val="9"/>
        <w:rPr>
          <w:rFonts w:ascii="Calibri" w:eastAsia="Calibri" w:hAnsi="Calibri" w:cs="Calibri"/>
          <w:b w:val="0"/>
          <w:i w:val="0"/>
          <w:sz w:val="20"/>
        </w:rPr>
      </w:pPr>
    </w:p>
    <w:p>
      <w:pPr>
        <w:keepNext w:val="0"/>
        <w:keepLines/>
        <w:pageBreakBefore w:val="0"/>
        <w:widowControl w:val="0"/>
        <w:numPr>
          <w:ilvl w:val="0"/>
          <w:numId w:val="0"/>
        </w:numPr>
        <w:tabs>
          <w:tab w:val="left" w:pos="700"/>
        </w:tabs>
        <w:spacing w:before="0" w:after="0" w:line="288" w:lineRule="auto"/>
        <w:ind w:left="720" w:right="0" w:firstLine="720"/>
        <w:jc w:val="both"/>
        <w:outlineLvl w:val="9"/>
        <w:rPr>
          <w:rFonts w:ascii="Calibri" w:eastAsia="Calibri" w:hAnsi="Calibri" w:cs="Calibri"/>
          <w:b w:val="0"/>
          <w:i w:val="0"/>
          <w:sz w:val="20"/>
        </w:rPr>
        <w:sectPr>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left"/>
        <w:outlineLvl w:val="0"/>
        <w:rPr>
          <w:rFonts w:ascii="Cambria" w:eastAsia="Cambria" w:hAnsi="Cambria" w:cs="Cambria"/>
          <w:b/>
          <w:i w:val="0"/>
          <w:color w:val="365F91"/>
          <w:sz w:val="28"/>
          <w:u w:val="none"/>
        </w:rPr>
      </w:pPr>
      <w:bookmarkStart w:id="215" w:name="Section111"/>
      <w:bookmarkEnd w:id="215"/>
      <w:bookmarkStart w:id="216" w:name="7d48745353ec4367a1b5c5fb71cb878d"/>
      <w:r>
        <w:rPr>
          <w:rFonts w:ascii="Calibri" w:eastAsia="Calibri" w:hAnsi="Calibri" w:cs="Calibri"/>
          <w:b/>
          <w:i w:val="0"/>
          <w:color w:val="000000"/>
          <w:sz w:val="20"/>
          <w:u w:val="none"/>
        </w:rPr>
        <w:t>24.-</w:t>
      </w:r>
      <w:r>
        <w:rPr>
          <w:rFonts w:ascii="Calibri" w:eastAsia="Calibri" w:hAnsi="Calibri" w:cs="Calibri"/>
          <w:b/>
          <w:i w:val="0"/>
          <w:color w:val="000000"/>
          <w:sz w:val="20"/>
          <w:u w:val="none"/>
        </w:rPr>
        <w:tab/>
      </w:r>
      <w:r>
        <w:rPr>
          <w:rFonts w:ascii="Calibri" w:eastAsia="Calibri" w:hAnsi="Calibri" w:cs="Calibri"/>
          <w:b/>
          <w:i w:val="0"/>
          <w:color w:val="000000"/>
          <w:sz w:val="20"/>
          <w:u w:val="none"/>
        </w:rPr>
        <w:t>OTROS PASIVOS NO FINANCIEROS.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16"/>
    </w:p>
    <w:p>
      <w:pPr>
        <w:pStyle w:val="Normal-wk"/>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detalle de este rubro al </w:t>
      </w:r>
      <w:r>
        <w:rPr>
          <w:rFonts w:ascii="Calibri" w:eastAsia="Calibri" w:hAnsi="Calibri" w:cs="Calibri"/>
          <w:b w:val="0"/>
          <w:i w:val="0"/>
          <w:color w:val="000000"/>
          <w:sz w:val="20"/>
          <w:u w:val="none"/>
        </w:rPr>
        <w:t>30 de junio de 2026</w:t>
      </w:r>
      <w:r>
        <w:rPr>
          <w:rFonts w:ascii="Calibri" w:eastAsia="Calibri" w:hAnsi="Calibri" w:cs="Calibri"/>
          <w:b w:val="0"/>
          <w:i w:val="0"/>
          <w:sz w:val="20"/>
        </w:rPr>
        <w:t xml:space="preserve"> y</w:t>
      </w:r>
      <w:r>
        <w:rPr>
          <w:rFonts w:ascii="Calibri" w:eastAsia="Calibri" w:hAnsi="Calibri" w:cs="Calibri"/>
          <w:b w:val="0"/>
          <w:i w:val="0"/>
          <w:color w:val="000000"/>
          <w:sz w:val="20"/>
          <w:u w:val="none"/>
        </w:rPr>
        <w:t xml:space="preserve">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 xml:space="preserve"> es el siguiente:</w:t>
      </w:r>
    </w:p>
    <w:p>
      <w:pPr>
        <w:keepNext w:val="0"/>
        <w:keepLines/>
        <w:pageBreakBefore w:val="0"/>
        <w:widowControl w:val="0"/>
        <w:numPr>
          <w:ilvl w:val="0"/>
          <w:numId w:val="0"/>
        </w:numPr>
        <w:spacing w:before="0" w:after="0" w:line="288" w:lineRule="auto"/>
        <w:ind w:left="705" w:right="0" w:firstLine="0"/>
        <w:jc w:val="both"/>
        <w:outlineLvl w:val="9"/>
        <w:rPr>
          <w:rFonts w:ascii="Calibri" w:eastAsia="Calibri" w:hAnsi="Calibri" w:cs="Calibri"/>
          <w:b w:val="0"/>
          <w:i w:val="0"/>
          <w:color w:val="000000"/>
          <w:sz w:val="20"/>
          <w:u w:val="none"/>
        </w:rPr>
      </w:pPr>
    </w:p>
    <w:tbl>
      <w:tblPr>
        <w:tblW w:w="9255"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455"/>
        <w:gridCol w:w="1200"/>
        <w:gridCol w:w="1200"/>
        <w:gridCol w:w="1200"/>
        <w:gridCol w:w="1200"/>
      </w:tblGrid>
      <w:tr>
        <w:tblPrEx>
          <w:tblW w:w="9255" w:type="dxa"/>
          <w:tblInd w:w="709" w:type="dxa"/>
          <w:tblLayout w:type="fixed"/>
        </w:tblPrEx>
        <w:trPr>
          <w:cantSplit/>
          <w:trHeight w:hRule="auto" w:val="0"/>
        </w:trPr>
        <w:tc>
          <w:tcPr>
            <w:tcW w:w="4455"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Otros pasivos no financieros</w:t>
            </w:r>
          </w:p>
        </w:tc>
        <w:tc>
          <w:tcPr>
            <w:tcW w:w="2400"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Corrientes</w:t>
            </w:r>
          </w:p>
        </w:tc>
        <w:tc>
          <w:tcPr>
            <w:tcW w:w="240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No corrientes</w:t>
            </w:r>
          </w:p>
        </w:tc>
      </w:tr>
      <w:tr>
        <w:tblPrEx>
          <w:tblW w:w="9255" w:type="dxa"/>
          <w:tblInd w:w="709" w:type="dxa"/>
          <w:tblLayout w:type="fixed"/>
        </w:tblPrEx>
        <w:trPr>
          <w:cantSplit/>
          <w:trHeight w:hRule="auto" w:val="0"/>
        </w:trPr>
        <w:tc>
          <w:tcPr>
            <w:tcW w:w="4455"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9255" w:type="dxa"/>
          <w:tblInd w:w="709" w:type="dxa"/>
          <w:tblLayout w:type="fixed"/>
        </w:tblPrEx>
        <w:trPr>
          <w:cantSplit/>
          <w:trHeight w:hRule="auto" w:val="0"/>
        </w:trPr>
        <w:tc>
          <w:tcPr>
            <w:tcW w:w="4455"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9255" w:type="dxa"/>
          <w:tblInd w:w="709" w:type="dxa"/>
          <w:tblLayout w:type="fixed"/>
        </w:tblPrEx>
        <w:trPr>
          <w:cantSplit/>
          <w:trHeight w:hRule="auto" w:val="0"/>
        </w:trPr>
        <w:tc>
          <w:tcPr>
            <w:tcW w:w="44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Ingresos diferidos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548.150</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9255" w:type="dxa"/>
          <w:tblInd w:w="709" w:type="dxa"/>
          <w:tblLayout w:type="fixed"/>
        </w:tblPrEx>
        <w:trPr>
          <w:cantSplit/>
          <w:trHeight w:hRule="auto" w:val="0"/>
        </w:trPr>
        <w:tc>
          <w:tcPr>
            <w:tcW w:w="44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 xml:space="preserve">Total </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548.150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2-wk"/>
        <w:keepNext w:val="0"/>
        <w:keepLines/>
        <w:pageBreakBefore w:val="0"/>
        <w:widowControl w:val="0"/>
        <w:numPr>
          <w:ilvl w:val="0"/>
          <w:numId w:val="0"/>
        </w:numPr>
        <w:spacing w:before="0" w:after="0" w:line="288" w:lineRule="auto"/>
        <w:ind w:left="0" w:right="0" w:firstLine="709"/>
        <w:jc w:val="both"/>
        <w:outlineLvl w:val="1"/>
        <w:rPr>
          <w:rFonts w:ascii="Times New Roman" w:eastAsia="Times New Roman" w:hAnsi="Times New Roman" w:cs="Times New Roman"/>
          <w:b/>
          <w:i w:val="0"/>
          <w:color w:val="000000"/>
          <w:sz w:val="24"/>
          <w:u w:val="none"/>
        </w:rPr>
      </w:pPr>
      <w:bookmarkStart w:id="217" w:name="Section112"/>
      <w:bookmarkEnd w:id="217"/>
      <w:bookmarkStart w:id="218" w:name="35ff81b1630d4830bb94f965bcad2b7f"/>
      <w:r>
        <w:rPr>
          <w:rFonts w:ascii="Calibri" w:eastAsia="Calibri" w:hAnsi="Calibri" w:cs="Calibri"/>
          <w:b/>
          <w:i w:val="0"/>
          <w:color w:val="000000"/>
          <w:sz w:val="20"/>
          <w:u w:val="none"/>
        </w:rPr>
        <w:t>24.1.-</w:t>
      </w:r>
      <w:r>
        <w:rPr>
          <w:rFonts w:ascii="Calibri" w:eastAsia="Calibri" w:hAnsi="Calibri" w:cs="Calibri"/>
          <w:b/>
          <w:i w:val="0"/>
          <w:color w:val="000000"/>
          <w:sz w:val="20"/>
          <w:u w:val="none"/>
        </w:rPr>
        <w:tab/>
      </w:r>
      <w:r>
        <w:rPr>
          <w:rFonts w:ascii="Calibri" w:eastAsia="Calibri" w:hAnsi="Calibri" w:cs="Calibri"/>
          <w:b/>
          <w:i w:val="0"/>
          <w:color w:val="000000"/>
          <w:sz w:val="20"/>
          <w:u w:val="none"/>
        </w:rPr>
        <w:t>Ingresos diferidos.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18"/>
    </w:p>
    <w:p>
      <w:pPr>
        <w:pStyle w:val="Normal-wk"/>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detalle de este rubro al </w:t>
      </w:r>
      <w:r>
        <w:rPr>
          <w:rFonts w:ascii="Calibri" w:eastAsia="Calibri" w:hAnsi="Calibri" w:cs="Calibri"/>
          <w:b w:val="0"/>
          <w:i w:val="0"/>
          <w:color w:val="000000"/>
          <w:sz w:val="20"/>
          <w:u w:val="none"/>
        </w:rPr>
        <w:t>30 de junio de 2026</w:t>
      </w:r>
      <w:r>
        <w:rPr>
          <w:rFonts w:ascii="Calibri" w:eastAsia="Calibri" w:hAnsi="Calibri" w:cs="Calibri"/>
          <w:b w:val="0"/>
          <w:i w:val="0"/>
          <w:sz w:val="20"/>
        </w:rPr>
        <w:t xml:space="preserve"> y</w:t>
      </w:r>
      <w:r>
        <w:rPr>
          <w:rFonts w:ascii="Calibri" w:eastAsia="Calibri" w:hAnsi="Calibri" w:cs="Calibri"/>
          <w:b w:val="0"/>
          <w:i w:val="0"/>
          <w:color w:val="000000"/>
          <w:sz w:val="20"/>
          <w:u w:val="none"/>
        </w:rPr>
        <w:t xml:space="preserve">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 xml:space="preserve"> es el siguiente: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750"/>
        <w:gridCol w:w="1200"/>
        <w:gridCol w:w="1200"/>
        <w:gridCol w:w="1200"/>
        <w:gridCol w:w="1200"/>
      </w:tblGrid>
      <w:tr>
        <w:tblPrEx>
          <w:tblW w:w="8550" w:type="dxa"/>
          <w:tblInd w:w="1417" w:type="dxa"/>
          <w:tblLayout w:type="fixed"/>
        </w:tblPrEx>
        <w:trPr>
          <w:cantSplit/>
          <w:trHeight w:hRule="auto" w:val="0"/>
        </w:trPr>
        <w:tc>
          <w:tcPr>
            <w:tcW w:w="375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 Detalle de los ingresos diferidos</w:t>
            </w:r>
          </w:p>
        </w:tc>
        <w:tc>
          <w:tcPr>
            <w:tcW w:w="2400"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Corrientes</w:t>
            </w:r>
          </w:p>
        </w:tc>
        <w:tc>
          <w:tcPr>
            <w:tcW w:w="240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No corrientes</w:t>
            </w:r>
          </w:p>
        </w:tc>
      </w:tr>
      <w:tr>
        <w:tblPrEx>
          <w:tblW w:w="8550" w:type="dxa"/>
          <w:tblInd w:w="1417" w:type="dxa"/>
          <w:tblLayout w:type="fixed"/>
        </w:tblPrEx>
        <w:trPr>
          <w:cantSplit/>
          <w:trHeight w:hRule="auto" w:val="0"/>
        </w:trPr>
        <w:tc>
          <w:tcPr>
            <w:tcW w:w="3750"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8550" w:type="dxa"/>
          <w:tblInd w:w="1417" w:type="dxa"/>
          <w:tblLayout w:type="fixed"/>
        </w:tblPrEx>
        <w:trPr>
          <w:cantSplit/>
          <w:trHeight w:hRule="auto" w:val="0"/>
        </w:trPr>
        <w:tc>
          <w:tcPr>
            <w:tcW w:w="375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Ingresos diferidos por obras de terceros.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548.150</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 xml:space="preserve">Total </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548.150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r>
    </w:tbl>
    <w:p>
      <w:pPr>
        <w:keepNext w:val="0"/>
        <w:keepLines/>
        <w:pageBreakBefore w:val="0"/>
        <w:widowControl w:val="0"/>
        <w:numPr>
          <w:ilvl w:val="0"/>
          <w:numId w:val="0"/>
        </w:numPr>
        <w:spacing w:before="0" w:after="0" w:line="288" w:lineRule="auto"/>
        <w:ind w:left="705"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movimiento de este rubro al </w:t>
      </w:r>
      <w:r>
        <w:rPr>
          <w:rFonts w:ascii="Calibri" w:eastAsia="Calibri" w:hAnsi="Calibri" w:cs="Calibri"/>
          <w:b w:val="0"/>
          <w:i w:val="0"/>
          <w:color w:val="000000"/>
          <w:sz w:val="20"/>
          <w:u w:val="none"/>
        </w:rPr>
        <w:t>30 de junio de 2026</w:t>
      </w:r>
      <w:r>
        <w:rPr>
          <w:rFonts w:ascii="Calibri" w:eastAsia="Calibri" w:hAnsi="Calibri" w:cs="Calibri"/>
          <w:b w:val="0"/>
          <w:i w:val="0"/>
          <w:sz w:val="20"/>
        </w:rPr>
        <w:t xml:space="preserve"> y</w:t>
      </w:r>
      <w:r>
        <w:rPr>
          <w:rFonts w:ascii="Calibri" w:eastAsia="Calibri" w:hAnsi="Calibri" w:cs="Calibri"/>
          <w:b w:val="0"/>
          <w:i w:val="0"/>
          <w:color w:val="000000"/>
          <w:sz w:val="20"/>
          <w:u w:val="none"/>
        </w:rPr>
        <w:t xml:space="preserve">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 xml:space="preserve"> es el siguiente:</w:t>
      </w:r>
    </w:p>
    <w:p>
      <w:pPr>
        <w:keepNext w:val="0"/>
        <w:keepLines/>
        <w:pageBreakBefore w:val="0"/>
        <w:widowControl w:val="0"/>
        <w:numPr>
          <w:ilvl w:val="0"/>
          <w:numId w:val="0"/>
        </w:numPr>
        <w:spacing w:before="0" w:after="0" w:line="288" w:lineRule="auto"/>
        <w:ind w:left="705"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150"/>
        <w:gridCol w:w="1200"/>
        <w:gridCol w:w="1200"/>
      </w:tblGrid>
      <w:tr>
        <w:tblPrEx>
          <w:tblW w:w="8550" w:type="dxa"/>
          <w:tblInd w:w="1417" w:type="dxa"/>
          <w:tblLayout w:type="fixed"/>
        </w:tblPrEx>
        <w:trPr>
          <w:cantSplit/>
          <w:trHeight w:hRule="auto" w:val="0"/>
        </w:trPr>
        <w:tc>
          <w:tcPr>
            <w:tcW w:w="615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Movimiento del periodo ingresos diferidos</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8550" w:type="dxa"/>
          <w:tblInd w:w="1417" w:type="dxa"/>
          <w:tblLayout w:type="fixed"/>
        </w:tblPrEx>
        <w:trPr>
          <w:cantSplit/>
          <w:trHeight w:hRule="auto" w:val="0"/>
        </w:trPr>
        <w:tc>
          <w:tcPr>
            <w:tcW w:w="615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exact" w:val="60"/>
        </w:trPr>
        <w:tc>
          <w:tcPr>
            <w:tcW w:w="61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i w:val="0"/>
                <w:color w:val="FFFFFF"/>
                <w:sz w:val="16"/>
                <w:u w:val="none"/>
              </w:rPr>
              <w:t>Saldo inicial ingresos diferidos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548.150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3.388.401</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Adiciones.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(548.150)</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55.841.253</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Imputación a resultados.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(58.681.504)</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i w:val="0"/>
                <w:color w:val="FFFFFF"/>
                <w:sz w:val="16"/>
                <w:u w:val="none"/>
              </w:rPr>
              <w:t xml:space="preserve">Total </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548.150</w:t>
            </w:r>
          </w:p>
        </w:tc>
      </w:tr>
    </w:tbl>
    <w:p>
      <w:pPr>
        <w:keepNext w:val="0"/>
        <w:keepLines/>
        <w:pageBreakBefore w:val="0"/>
        <w:widowControl w:val="0"/>
        <w:numPr>
          <w:ilvl w:val="0"/>
          <w:numId w:val="0"/>
        </w:numPr>
        <w:spacing w:before="0" w:after="0" w:line="288" w:lineRule="auto"/>
        <w:ind w:left="0" w:right="0" w:firstLine="72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720"/>
        <w:jc w:val="both"/>
        <w:outlineLvl w:val="9"/>
        <w:rPr>
          <w:rFonts w:ascii="Calibri" w:eastAsia="Calibri" w:hAnsi="Calibri" w:cs="Calibri"/>
          <w:b w:val="0"/>
          <w:i w:val="0"/>
          <w:color w:val="000000"/>
          <w:sz w:val="20"/>
          <w:u w:val="none"/>
        </w:rPr>
        <w:sectPr>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left"/>
        <w:outlineLvl w:val="0"/>
        <w:rPr>
          <w:rFonts w:ascii="Cambria" w:eastAsia="Cambria" w:hAnsi="Cambria" w:cs="Cambria"/>
          <w:b/>
          <w:i w:val="0"/>
          <w:color w:val="365F91"/>
          <w:sz w:val="28"/>
          <w:u w:val="none"/>
        </w:rPr>
      </w:pPr>
      <w:bookmarkStart w:id="219" w:name="Section113"/>
      <w:bookmarkEnd w:id="219"/>
      <w:bookmarkStart w:id="220" w:name="b1030a975d6649d3a97d0d69bac2552a"/>
      <w:r>
        <w:rPr>
          <w:rFonts w:ascii="Calibri" w:eastAsia="Calibri" w:hAnsi="Calibri" w:cs="Calibri"/>
          <w:b/>
          <w:i w:val="0"/>
          <w:color w:val="000000"/>
          <w:sz w:val="20"/>
          <w:u w:val="none"/>
        </w:rPr>
        <w:t>25.-</w:t>
      </w:r>
      <w:r>
        <w:rPr>
          <w:rFonts w:ascii="Calibri" w:eastAsia="Calibri" w:hAnsi="Calibri" w:cs="Calibri"/>
          <w:b/>
          <w:i w:val="0"/>
          <w:color w:val="000000"/>
          <w:sz w:val="20"/>
          <w:u w:val="none"/>
        </w:rPr>
        <w:tab/>
      </w:r>
      <w:r>
        <w:rPr>
          <w:rFonts w:ascii="Calibri" w:eastAsia="Calibri" w:hAnsi="Calibri" w:cs="Calibri"/>
          <w:b/>
          <w:i w:val="0"/>
          <w:color w:val="000000"/>
          <w:sz w:val="20"/>
          <w:u w:val="none"/>
        </w:rPr>
        <w:t>PASIVOS POR ARRENDAMIENTOS.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20"/>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221" w:name="Section114"/>
      <w:bookmarkEnd w:id="221"/>
      <w:bookmarkStart w:id="222" w:name="c5b158f470974cbb818a812df9cb73ff"/>
      <w:r>
        <w:rPr>
          <w:rFonts w:ascii="Calibri" w:eastAsia="Calibri" w:hAnsi="Calibri" w:cs="Calibri"/>
          <w:b/>
          <w:i w:val="0"/>
          <w:color w:val="000000"/>
          <w:sz w:val="20"/>
          <w:u w:val="none"/>
        </w:rPr>
        <w:t>25.1.-</w:t>
      </w:r>
      <w:r>
        <w:rPr>
          <w:rFonts w:ascii="Calibri" w:eastAsia="Calibri" w:hAnsi="Calibri" w:cs="Calibri"/>
          <w:b/>
          <w:i w:val="0"/>
          <w:color w:val="000000"/>
          <w:sz w:val="20"/>
          <w:u w:val="none"/>
        </w:rPr>
        <w:tab/>
      </w:r>
      <w:r>
        <w:rPr>
          <w:rFonts w:ascii="Calibri" w:eastAsia="Calibri" w:hAnsi="Calibri" w:cs="Calibri"/>
          <w:b/>
          <w:i w:val="0"/>
          <w:color w:val="000000"/>
          <w:sz w:val="20"/>
          <w:u w:val="none"/>
        </w:rPr>
        <w:t xml:space="preserve">Obligaciones por arrendamientos.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bookmarkEnd w:id="222"/>
    </w:p>
    <w:p>
      <w:pPr>
        <w:pStyle w:val="Normal-wk"/>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detalle de las obligaciones por arrendamiento y sus plazos de vencimiento al </w:t>
      </w:r>
      <w:r>
        <w:rPr>
          <w:rFonts w:ascii="Calibri" w:eastAsia="Calibri" w:hAnsi="Calibri" w:cs="Calibri"/>
          <w:b w:val="0"/>
          <w:i w:val="0"/>
          <w:color w:val="000000"/>
          <w:sz w:val="20"/>
          <w:u w:val="none"/>
        </w:rPr>
        <w:t>30 de junio de 2026</w:t>
      </w:r>
      <w:r>
        <w:rPr>
          <w:rFonts w:ascii="Calibri" w:eastAsia="Calibri" w:hAnsi="Calibri" w:cs="Calibri"/>
          <w:b w:val="0"/>
          <w:i w:val="0"/>
          <w:sz w:val="20"/>
        </w:rPr>
        <w:t xml:space="preserve"> y</w:t>
      </w:r>
      <w:r>
        <w:rPr>
          <w:rFonts w:ascii="Calibri" w:eastAsia="Calibri" w:hAnsi="Calibri" w:cs="Calibri"/>
          <w:b w:val="0"/>
          <w:i w:val="0"/>
          <w:color w:val="000000"/>
          <w:sz w:val="20"/>
          <w:u w:val="none"/>
        </w:rPr>
        <w:t xml:space="preserve">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 xml:space="preserve"> es el siguiente: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2520"/>
        <w:gridCol w:w="1005"/>
        <w:gridCol w:w="1005"/>
        <w:gridCol w:w="1005"/>
        <w:gridCol w:w="1005"/>
        <w:gridCol w:w="1005"/>
        <w:gridCol w:w="1005"/>
      </w:tblGrid>
      <w:tr>
        <w:tblPrEx>
          <w:tblW w:w="8550" w:type="dxa"/>
          <w:tblInd w:w="1417" w:type="dxa"/>
          <w:tblLayout w:type="fixed"/>
        </w:tblPrEx>
        <w:trPr>
          <w:cantSplit/>
          <w:trHeight w:hRule="auto" w:val="0"/>
        </w:trPr>
        <w:tc>
          <w:tcPr>
            <w:tcW w:w="2520" w:type="dxa"/>
            <w:tcBorders>
              <w:top w:val="single" w:sz="2" w:space="0" w:color="000000"/>
              <w:left w:val="single" w:sz="2" w:space="0" w:color="000000"/>
              <w:bottom w:val="nil"/>
              <w:right w:val="single" w:sz="4" w:space="0" w:color="FFFFFF"/>
            </w:tcBorders>
            <w:tcMar>
              <w:top w:w="0" w:type="dxa"/>
              <w:left w:w="0" w:type="dxa"/>
              <w:bottom w:w="0" w:type="dxa"/>
              <w:right w:w="0" w:type="dxa"/>
            </w:tcMar>
            <w:vAlign w:val="bottom"/>
          </w:tcPr>
          <w:p>
            <w:pPr>
              <w:keepNext/>
              <w:pageBreakBefore w:val="0"/>
              <w:spacing w:before="0" w:after="0"/>
            </w:pPr>
          </w:p>
        </w:tc>
        <w:tc>
          <w:tcPr>
            <w:tcW w:w="3015" w:type="dxa"/>
            <w:gridSpan w:val="3"/>
            <w:tcBorders>
              <w:top w:val="single" w:sz="2" w:space="0" w:color="000000"/>
              <w:left w:val="nil"/>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3015" w:type="dxa"/>
            <w:gridSpan w:val="3"/>
            <w:tcBorders>
              <w:top w:val="single" w:sz="2" w:space="0" w:color="000000"/>
              <w:left w:val="single" w:sz="4" w:space="0" w:color="FFFFFF"/>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8550" w:type="dxa"/>
          <w:tblInd w:w="1417" w:type="dxa"/>
          <w:tblLayout w:type="fixed"/>
        </w:tblPrEx>
        <w:trPr>
          <w:cantSplit/>
          <w:trHeight w:hRule="auto" w:val="0"/>
        </w:trPr>
        <w:tc>
          <w:tcPr>
            <w:tcW w:w="2520" w:type="dxa"/>
            <w:tcBorders>
              <w:top w:val="nil"/>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Pagos mínimos a pagar por arrendamiento, obligaciones por arrendamientos</w:t>
            </w: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Bruto</w:t>
            </w:r>
          </w:p>
        </w:tc>
        <w:tc>
          <w:tcPr>
            <w:tcW w:w="10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Interés</w:t>
            </w:r>
          </w:p>
        </w:tc>
        <w:tc>
          <w:tcPr>
            <w:tcW w:w="10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Valor presente</w:t>
            </w: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Bruto</w:t>
            </w:r>
          </w:p>
        </w:tc>
        <w:tc>
          <w:tcPr>
            <w:tcW w:w="10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Interés</w:t>
            </w:r>
          </w:p>
        </w:tc>
        <w:tc>
          <w:tcPr>
            <w:tcW w:w="100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Valor presente</w:t>
            </w:r>
          </w:p>
        </w:tc>
      </w:tr>
      <w:tr>
        <w:tblPrEx>
          <w:tblW w:w="8550" w:type="dxa"/>
          <w:tblInd w:w="1417" w:type="dxa"/>
          <w:tblLayout w:type="fixed"/>
        </w:tblPrEx>
        <w:trPr>
          <w:cantSplit/>
          <w:trHeight w:hRule="auto" w:val="0"/>
        </w:trPr>
        <w:tc>
          <w:tcPr>
            <w:tcW w:w="252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auto" w:val="0"/>
        </w:trPr>
        <w:tc>
          <w:tcPr>
            <w:tcW w:w="25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Hasta 90 días.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80.676</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(8.652)</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72.024</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113.513</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(16.287)</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97.226</w:t>
            </w:r>
          </w:p>
        </w:tc>
      </w:tr>
      <w:tr>
        <w:tblPrEx>
          <w:tblW w:w="8550" w:type="dxa"/>
          <w:tblInd w:w="1417" w:type="dxa"/>
          <w:tblLayout w:type="fixed"/>
        </w:tblPrEx>
        <w:trPr>
          <w:cantSplit/>
          <w:trHeight w:hRule="auto" w:val="0"/>
        </w:trPr>
        <w:tc>
          <w:tcPr>
            <w:tcW w:w="25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Más de 90 días hasta 1 año.</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283.573</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(31.743)</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251.830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278.179</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(35.828)</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242.351</w:t>
            </w:r>
          </w:p>
        </w:tc>
      </w:tr>
      <w:tr>
        <w:tblPrEx>
          <w:tblW w:w="8550" w:type="dxa"/>
          <w:tblInd w:w="1417" w:type="dxa"/>
          <w:tblLayout w:type="fixed"/>
        </w:tblPrEx>
        <w:trPr>
          <w:cantSplit/>
          <w:trHeight w:hRule="auto" w:val="0"/>
        </w:trPr>
        <w:tc>
          <w:tcPr>
            <w:tcW w:w="25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Más de 1 año hasta 2 años.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210.191</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(18.480)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191.711</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264.273</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(24.795)</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239.478</w:t>
            </w:r>
          </w:p>
        </w:tc>
      </w:tr>
      <w:tr>
        <w:tblPrEx>
          <w:tblW w:w="8550" w:type="dxa"/>
          <w:tblInd w:w="1417" w:type="dxa"/>
          <w:tblLayout w:type="fixed"/>
        </w:tblPrEx>
        <w:trPr>
          <w:cantSplit/>
          <w:trHeight w:hRule="auto" w:val="0"/>
        </w:trPr>
        <w:tc>
          <w:tcPr>
            <w:tcW w:w="25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Más de 2 años hasta 3 años.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87.027</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(6.453)</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80.574</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104.700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(7.773)</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96.927</w:t>
            </w:r>
          </w:p>
        </w:tc>
      </w:tr>
      <w:tr>
        <w:tblPrEx>
          <w:tblW w:w="8550" w:type="dxa"/>
          <w:tblInd w:w="1417" w:type="dxa"/>
          <w:tblLayout w:type="fixed"/>
        </w:tblPrEx>
        <w:trPr>
          <w:cantSplit/>
          <w:trHeight w:hRule="auto" w:val="0"/>
        </w:trPr>
        <w:tc>
          <w:tcPr>
            <w:tcW w:w="25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Más de 3 años hasta 4 años.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16.819</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(338)</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16.481</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36.333</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(1.162)</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35.171</w:t>
            </w:r>
          </w:p>
        </w:tc>
      </w:tr>
      <w:tr>
        <w:tblPrEx>
          <w:tblW w:w="8550" w:type="dxa"/>
          <w:tblInd w:w="1417" w:type="dxa"/>
          <w:tblLayout w:type="fixed"/>
        </w:tblPrEx>
        <w:trPr>
          <w:cantSplit/>
          <w:trHeight w:hRule="auto" w:val="0"/>
        </w:trPr>
        <w:tc>
          <w:tcPr>
            <w:tcW w:w="25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678.286</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(65.666)</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612.620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796.998</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(85.845)</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711.153</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gastos financieros por intereses devengados producto de estas obligaciones se revelan en ítem detallado en nota 29.</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Las tasas de interés aplicadas nominal anual para contrato por tipo de bien al </w:t>
      </w:r>
      <w:r>
        <w:rPr>
          <w:rFonts w:ascii="Calibri" w:eastAsia="Calibri" w:hAnsi="Calibri" w:cs="Calibri"/>
          <w:b w:val="0"/>
          <w:i w:val="0"/>
          <w:color w:val="000000"/>
          <w:sz w:val="20"/>
          <w:u w:val="none"/>
        </w:rPr>
        <w:t>30 de junio de 2026</w:t>
      </w:r>
      <w:r>
        <w:rPr>
          <w:rFonts w:ascii="Calibri" w:eastAsia="Calibri" w:hAnsi="Calibri" w:cs="Calibri"/>
          <w:b w:val="0"/>
          <w:i w:val="0"/>
          <w:sz w:val="20"/>
        </w:rPr>
        <w:t xml:space="preserve"> y</w:t>
      </w:r>
      <w:r>
        <w:rPr>
          <w:rFonts w:ascii="Calibri" w:eastAsia="Calibri" w:hAnsi="Calibri" w:cs="Calibri"/>
          <w:b w:val="0"/>
          <w:i w:val="0"/>
          <w:color w:val="000000"/>
          <w:sz w:val="20"/>
          <w:u w:val="none"/>
        </w:rPr>
        <w:t xml:space="preserve">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 xml:space="preserve"> son las siguientes:</w:t>
      </w: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150"/>
        <w:gridCol w:w="1200"/>
        <w:gridCol w:w="1200"/>
      </w:tblGrid>
      <w:tr>
        <w:tblPrEx>
          <w:tblW w:w="8550" w:type="dxa"/>
          <w:tblInd w:w="1417" w:type="dxa"/>
          <w:tblLayout w:type="fixed"/>
        </w:tblPrEx>
        <w:trPr>
          <w:cantSplit/>
          <w:trHeight w:hRule="auto" w:val="0"/>
        </w:trPr>
        <w:tc>
          <w:tcPr>
            <w:tcW w:w="615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Bienes sujeto a arrendamiento</w:t>
            </w:r>
          </w:p>
        </w:tc>
        <w:tc>
          <w:tcPr>
            <w:tcW w:w="240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Tasas de interés</w:t>
            </w:r>
          </w:p>
        </w:tc>
      </w:tr>
      <w:tr>
        <w:tblPrEx>
          <w:tblW w:w="8550" w:type="dxa"/>
          <w:tblInd w:w="1417" w:type="dxa"/>
          <w:tblLayout w:type="fixed"/>
        </w:tblPrEx>
        <w:trPr>
          <w:cantSplit/>
          <w:trHeight w:hRule="exact" w:val="225"/>
        </w:trPr>
        <w:tc>
          <w:tcPr>
            <w:tcW w:w="615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single" w:sz="4" w:space="0" w:color="FFFFFF"/>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 xml:space="preserve"> Terreno bajo arrendamientos.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bottom"/>
          </w:tcPr>
          <w:p>
            <w:pPr>
              <w:keepNext/>
              <w:pageBreakBefore w:val="0"/>
              <w:tabs>
                <w:tab w:val="left" w:pos="1"/>
              </w:tabs>
              <w:spacing w:before="38" w:after="20" w:line="240" w:lineRule="auto"/>
              <w:jc w:val="right"/>
            </w:pPr>
            <w:r>
              <w:rPr>
                <w:rFonts w:ascii="Calibri" w:eastAsia="Calibri" w:hAnsi="Calibri" w:cs="Calibri"/>
                <w:b w:val="0"/>
                <w:i w:val="0"/>
                <w:color w:val="000000"/>
                <w:sz w:val="16"/>
                <w:u w:val="none"/>
              </w:rPr>
              <w:tab/>
              <w:t>5,74 %</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15" w:type="dxa"/>
            </w:tcMar>
            <w:vAlign w:val="bottom"/>
          </w:tcPr>
          <w:p>
            <w:pPr>
              <w:keepNext/>
              <w:pageBreakBefore w:val="0"/>
              <w:tabs>
                <w:tab w:val="left" w:pos="1"/>
              </w:tabs>
              <w:spacing w:before="38" w:after="20" w:line="240" w:lineRule="auto"/>
              <w:jc w:val="right"/>
            </w:pPr>
            <w:r>
              <w:rPr>
                <w:rFonts w:ascii="Calibri" w:eastAsia="Calibri" w:hAnsi="Calibri" w:cs="Calibri"/>
                <w:b w:val="0"/>
                <w:i w:val="0"/>
                <w:color w:val="000000"/>
                <w:sz w:val="16"/>
                <w:u w:val="none"/>
              </w:rPr>
              <w:tab/>
              <w:t>6,66 %</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 xml:space="preserve"> Edificio en arrendamiento.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bottom"/>
          </w:tcPr>
          <w:p>
            <w:pPr>
              <w:keepNext/>
              <w:pageBreakBefore w:val="0"/>
              <w:tabs>
                <w:tab w:val="left" w:pos="1"/>
              </w:tabs>
              <w:spacing w:before="38" w:after="20" w:line="240" w:lineRule="auto"/>
              <w:jc w:val="right"/>
            </w:pPr>
            <w:r>
              <w:rPr>
                <w:rFonts w:ascii="Calibri" w:eastAsia="Calibri" w:hAnsi="Calibri" w:cs="Calibri"/>
                <w:b w:val="0"/>
                <w:i w:val="0"/>
                <w:color w:val="000000"/>
                <w:sz w:val="16"/>
                <w:u w:val="none"/>
              </w:rPr>
              <w:tab/>
              <w:t>5,74 %</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15" w:type="dxa"/>
            </w:tcMar>
            <w:vAlign w:val="bottom"/>
          </w:tcPr>
          <w:p>
            <w:pPr>
              <w:keepNext/>
              <w:pageBreakBefore w:val="0"/>
              <w:tabs>
                <w:tab w:val="left" w:pos="1"/>
              </w:tabs>
              <w:spacing w:before="38" w:after="20" w:line="240" w:lineRule="auto"/>
              <w:jc w:val="right"/>
            </w:pPr>
            <w:r>
              <w:rPr>
                <w:rFonts w:ascii="Calibri" w:eastAsia="Calibri" w:hAnsi="Calibri" w:cs="Calibri"/>
                <w:b w:val="0"/>
                <w:i w:val="0"/>
                <w:color w:val="000000"/>
                <w:sz w:val="16"/>
                <w:u w:val="none"/>
              </w:rPr>
              <w:tab/>
              <w:t>6,66 %</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6"/>
                <w:u w:val="none"/>
              </w:rPr>
              <w:t xml:space="preserve"> Vehículos de motor, bajo arrendamiento.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bottom"/>
          </w:tcPr>
          <w:p>
            <w:pPr>
              <w:pageBreakBefore w:val="0"/>
              <w:tabs>
                <w:tab w:val="left" w:pos="1"/>
              </w:tabs>
              <w:spacing w:before="38" w:after="20" w:line="240" w:lineRule="auto"/>
              <w:jc w:val="right"/>
            </w:pPr>
            <w:r>
              <w:rPr>
                <w:rFonts w:ascii="Calibri" w:eastAsia="Calibri" w:hAnsi="Calibri" w:cs="Calibri"/>
                <w:b w:val="0"/>
                <w:i w:val="0"/>
                <w:color w:val="000000"/>
                <w:sz w:val="16"/>
                <w:u w:val="none"/>
              </w:rPr>
              <w:tab/>
              <w:t>7,71 %</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15" w:type="dxa"/>
            </w:tcMar>
            <w:vAlign w:val="bottom"/>
          </w:tcPr>
          <w:p>
            <w:pPr>
              <w:pageBreakBefore w:val="0"/>
              <w:tabs>
                <w:tab w:val="left" w:pos="1"/>
              </w:tabs>
              <w:spacing w:before="38" w:after="20" w:line="240" w:lineRule="auto"/>
              <w:jc w:val="right"/>
            </w:pPr>
            <w:r>
              <w:rPr>
                <w:rFonts w:ascii="Calibri" w:eastAsia="Calibri" w:hAnsi="Calibri" w:cs="Calibri"/>
                <w:b w:val="0"/>
                <w:i w:val="0"/>
                <w:color w:val="000000"/>
                <w:sz w:val="16"/>
                <w:u w:val="none"/>
              </w:rPr>
              <w:tab/>
              <w:t>7,71 %</w:t>
            </w:r>
          </w:p>
        </w:tc>
      </w:tr>
    </w:tbl>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2-wk"/>
        <w:keepNext w:val="0"/>
        <w:keepLines/>
        <w:pageBreakBefore w:val="0"/>
        <w:widowControl w:val="0"/>
        <w:numPr>
          <w:ilvl w:val="0"/>
          <w:numId w:val="0"/>
        </w:numPr>
        <w:spacing w:before="0" w:after="0" w:line="288" w:lineRule="auto"/>
        <w:ind w:left="0" w:right="0" w:firstLine="709"/>
        <w:jc w:val="both"/>
        <w:outlineLvl w:val="1"/>
        <w:rPr>
          <w:rFonts w:ascii="Times New Roman" w:eastAsia="Times New Roman" w:hAnsi="Times New Roman" w:cs="Times New Roman"/>
          <w:b/>
          <w:i w:val="0"/>
          <w:color w:val="000000"/>
          <w:sz w:val="24"/>
          <w:u w:val="none"/>
        </w:rPr>
      </w:pPr>
      <w:bookmarkStart w:id="223" w:name="Section115"/>
      <w:bookmarkEnd w:id="223"/>
      <w:bookmarkStart w:id="224" w:name="2e16784c27164081b61d759a082f5821"/>
      <w:r>
        <w:rPr>
          <w:rFonts w:ascii="Calibri" w:eastAsia="Calibri" w:hAnsi="Calibri" w:cs="Calibri"/>
          <w:b/>
          <w:i w:val="0"/>
          <w:color w:val="000000"/>
          <w:sz w:val="20"/>
          <w:u w:val="none"/>
        </w:rPr>
        <w:t>25.2.-</w:t>
      </w:r>
      <w:r>
        <w:rPr>
          <w:rFonts w:ascii="Calibri" w:eastAsia="Calibri" w:hAnsi="Calibri" w:cs="Calibri"/>
          <w:b/>
          <w:i w:val="0"/>
          <w:color w:val="000000"/>
          <w:sz w:val="20"/>
          <w:u w:val="none"/>
        </w:rPr>
        <w:tab/>
      </w:r>
      <w:r>
        <w:rPr>
          <w:rFonts w:ascii="Calibri" w:eastAsia="Calibri" w:hAnsi="Calibri" w:cs="Calibri"/>
          <w:b/>
          <w:i w:val="0"/>
          <w:color w:val="000000"/>
          <w:sz w:val="20"/>
          <w:u w:val="none"/>
        </w:rPr>
        <w:t xml:space="preserve">Activos por derecho de uso. </w:t>
      </w: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bookmarkEnd w:id="224"/>
    </w:p>
    <w:p>
      <w:pPr>
        <w:pStyle w:val="Normal-wk"/>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detalle de los bienes arrendados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 xml:space="preserve"> es el siguiente: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2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2490"/>
        <w:gridCol w:w="1005"/>
        <w:gridCol w:w="1005"/>
        <w:gridCol w:w="1005"/>
        <w:gridCol w:w="1005"/>
        <w:gridCol w:w="1005"/>
        <w:gridCol w:w="1005"/>
      </w:tblGrid>
      <w:tr>
        <w:tblPrEx>
          <w:tblW w:w="8520" w:type="dxa"/>
          <w:tblInd w:w="1417" w:type="dxa"/>
          <w:tblLayout w:type="fixed"/>
        </w:tblPrEx>
        <w:trPr>
          <w:cantSplit/>
          <w:trHeight w:hRule="auto" w:val="0"/>
        </w:trPr>
        <w:tc>
          <w:tcPr>
            <w:tcW w:w="249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3015" w:type="dxa"/>
            <w:gridSpan w:val="3"/>
            <w:tcBorders>
              <w:top w:val="single" w:sz="2" w:space="0" w:color="000000"/>
              <w:left w:val="single" w:sz="2" w:space="0" w:color="000000"/>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3015" w:type="dxa"/>
            <w:gridSpan w:val="3"/>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8520" w:type="dxa"/>
          <w:tblInd w:w="1417" w:type="dxa"/>
          <w:tblLayout w:type="fixed"/>
        </w:tblPrEx>
        <w:trPr>
          <w:cantSplit/>
          <w:trHeight w:hRule="auto" w:val="0"/>
        </w:trPr>
        <w:tc>
          <w:tcPr>
            <w:tcW w:w="2490" w:type="dxa"/>
            <w:vMerge w:val="restart"/>
            <w:tcBorders>
              <w:top w:val="nil"/>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Propiedades, planta y equipos en arrendamiento, neto</w:t>
            </w: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Valor bruto</w:t>
            </w:r>
          </w:p>
        </w:tc>
        <w:tc>
          <w:tcPr>
            <w:tcW w:w="10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 xml:space="preserve">Depreciación acumulada, amortización y deterioro de valor </w:t>
            </w:r>
          </w:p>
        </w:tc>
        <w:tc>
          <w:tcPr>
            <w:tcW w:w="10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Valor Neto</w:t>
            </w: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Valor bruto</w:t>
            </w:r>
          </w:p>
        </w:tc>
        <w:tc>
          <w:tcPr>
            <w:tcW w:w="10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 xml:space="preserve">Depreciación acumulada, amortización y deterioro de valor </w:t>
            </w:r>
          </w:p>
        </w:tc>
        <w:tc>
          <w:tcPr>
            <w:tcW w:w="100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Valor Neto</w:t>
            </w:r>
          </w:p>
        </w:tc>
      </w:tr>
      <w:tr>
        <w:tblPrEx>
          <w:tblW w:w="8520" w:type="dxa"/>
          <w:tblInd w:w="1417" w:type="dxa"/>
          <w:tblLayout w:type="fixed"/>
        </w:tblPrEx>
        <w:trPr>
          <w:cantSplit/>
          <w:trHeight w:hRule="auto" w:val="0"/>
        </w:trPr>
        <w:tc>
          <w:tcPr>
            <w:tcW w:w="2490" w:type="dxa"/>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20" w:type="dxa"/>
          <w:tblInd w:w="1417" w:type="dxa"/>
          <w:tblLayout w:type="fixed"/>
        </w:tblPrEx>
        <w:trPr>
          <w:cantSplit/>
          <w:trHeight w:hRule="auto" w:val="0"/>
        </w:trPr>
        <w:tc>
          <w:tcPr>
            <w:tcW w:w="249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Terreno bajo arrendamientos.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6.554</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(6.554)</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8520" w:type="dxa"/>
          <w:tblInd w:w="1417" w:type="dxa"/>
          <w:tblLayout w:type="fixed"/>
        </w:tblPrEx>
        <w:trPr>
          <w:cantSplit/>
          <w:trHeight w:hRule="auto" w:val="0"/>
        </w:trPr>
        <w:tc>
          <w:tcPr>
            <w:tcW w:w="249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Edificio en arrendamiento.</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382.130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(177.684)</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204.446</w:t>
            </w:r>
          </w:p>
        </w:tc>
      </w:tr>
      <w:tr>
        <w:tblPrEx>
          <w:tblW w:w="8520" w:type="dxa"/>
          <w:tblInd w:w="1417" w:type="dxa"/>
          <w:tblLayout w:type="fixed"/>
        </w:tblPrEx>
        <w:trPr>
          <w:cantSplit/>
          <w:trHeight w:hRule="auto" w:val="0"/>
        </w:trPr>
        <w:tc>
          <w:tcPr>
            <w:tcW w:w="249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Vehículos de motor, bajo arrendamiento.</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1.087.164</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(713.821)</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373.343</w:t>
            </w:r>
          </w:p>
        </w:tc>
      </w:tr>
      <w:tr>
        <w:tblPrEx>
          <w:tblW w:w="8520" w:type="dxa"/>
          <w:tblInd w:w="1417" w:type="dxa"/>
          <w:tblLayout w:type="fixed"/>
        </w:tblPrEx>
        <w:trPr>
          <w:cantSplit/>
          <w:trHeight w:hRule="auto" w:val="0"/>
        </w:trPr>
        <w:tc>
          <w:tcPr>
            <w:tcW w:w="249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1.475.848</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(898.059)</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577.789</w:t>
            </w:r>
          </w:p>
        </w:tc>
      </w:tr>
    </w:tbl>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Los activos se deprecian en el plazo remanente de los contratos. La depreciación acumulada al </w:t>
      </w:r>
      <w:r>
        <w:rPr>
          <w:rFonts w:ascii="Calibri" w:eastAsia="Calibri" w:hAnsi="Calibri" w:cs="Calibri"/>
          <w:b w:val="0"/>
          <w:i w:val="0"/>
          <w:color w:val="000000"/>
          <w:sz w:val="20"/>
          <w:u w:val="none"/>
        </w:rPr>
        <w:t>30 de junio de 2026</w:t>
      </w:r>
      <w:r>
        <w:rPr>
          <w:rFonts w:ascii="Calibri" w:eastAsia="Calibri" w:hAnsi="Calibri" w:cs="Calibri"/>
          <w:b w:val="0"/>
          <w:i w:val="0"/>
          <w:sz w:val="20"/>
        </w:rPr>
        <w:t xml:space="preserve"> </w:t>
      </w:r>
      <w:r>
        <w:rPr>
          <w:rFonts w:ascii="Calibri" w:eastAsia="Calibri" w:hAnsi="Calibri" w:cs="Calibri"/>
          <w:b w:val="0"/>
          <w:i w:val="0"/>
          <w:color w:val="000000"/>
          <w:sz w:val="20"/>
          <w:u w:val="none"/>
        </w:rPr>
        <w:t xml:space="preserve">alcanzó a M$ </w:t>
      </w:r>
      <w:r>
        <w:rPr>
          <w:rFonts w:ascii="Calibri" w:eastAsia="Calibri" w:hAnsi="Calibri" w:cs="Calibri"/>
          <w:b w:val="0"/>
          <w:i w:val="0"/>
          <w:color w:val="000000"/>
          <w:sz w:val="20"/>
          <w:u w:val="none"/>
        </w:rPr>
        <w:t>0</w:t>
      </w:r>
      <w:r>
        <w:rPr>
          <w:rFonts w:ascii="Calibri" w:eastAsia="Calibri" w:hAnsi="Calibri" w:cs="Calibri"/>
          <w:b w:val="0"/>
          <w:i w:val="0"/>
          <w:color w:val="000000"/>
          <w:sz w:val="20"/>
          <w:u w:val="none"/>
        </w:rPr>
        <w:t xml:space="preserve"> (M$ </w:t>
      </w:r>
      <w:r>
        <w:rPr>
          <w:rFonts w:ascii="Calibri" w:eastAsia="Calibri" w:hAnsi="Calibri" w:cs="Calibri"/>
          <w:b w:val="0"/>
          <w:i w:val="0"/>
          <w:color w:val="000000"/>
          <w:sz w:val="20"/>
          <w:u w:val="none"/>
        </w:rPr>
        <w:t>898.059</w:t>
      </w:r>
      <w:r>
        <w:rPr>
          <w:rFonts w:ascii="Calibri" w:eastAsia="Calibri" w:hAnsi="Calibri" w:cs="Calibri"/>
          <w:b w:val="0"/>
          <w:i w:val="0"/>
          <w:color w:val="000000"/>
          <w:sz w:val="20"/>
          <w:u w:val="none"/>
        </w:rPr>
        <w:t xml:space="preserve"> al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Los principales bienes arrendados corresponden a: Bodegas ubicadas en Camino Las Acacias N° 2655 Comuna de San Bernardo; Oficinas, bodegas y estacionamientos ubicadas en Presidente Riesco N° 5561 Las Condes, Cerro Pailahueque comuna de Ercilla.  Cerro Bari, Pichidegua, vehículos cuya flota asciende a 48 unidades utilizadas en la operación de la Sociedad.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A continuación, se presentan los movimientos por clase de activos originados en el período terminado al </w:t>
      </w:r>
      <w:r>
        <w:rPr>
          <w:rFonts w:ascii="Calibri" w:eastAsia="Calibri" w:hAnsi="Calibri" w:cs="Calibri"/>
          <w:b w:val="0"/>
          <w:i w:val="0"/>
          <w:color w:val="000000"/>
          <w:sz w:val="20"/>
          <w:u w:val="none"/>
        </w:rPr>
        <w:t>30 de junio de 2026</w:t>
      </w:r>
      <w:r>
        <w:rPr>
          <w:rFonts w:ascii="Calibri" w:eastAsia="Calibri" w:hAnsi="Calibri" w:cs="Calibri"/>
          <w:b w:val="0"/>
          <w:i w:val="0"/>
          <w:sz w:val="20"/>
        </w:rPr>
        <w:t xml:space="preserve"> y el ejercicio terminado al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2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140"/>
        <w:gridCol w:w="1095"/>
        <w:gridCol w:w="1095"/>
        <w:gridCol w:w="1095"/>
        <w:gridCol w:w="1095"/>
      </w:tblGrid>
      <w:tr>
        <w:tblPrEx>
          <w:tblW w:w="8520" w:type="dxa"/>
          <w:tblInd w:w="1417" w:type="dxa"/>
          <w:tblLayout w:type="fixed"/>
        </w:tblPrEx>
        <w:trPr>
          <w:cantSplit/>
          <w:trHeight w:hRule="auto" w:val="0"/>
        </w:trPr>
        <w:tc>
          <w:tcPr>
            <w:tcW w:w="414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Movimiento año 2026</w:t>
            </w:r>
          </w:p>
        </w:tc>
        <w:tc>
          <w:tcPr>
            <w:tcW w:w="109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Terrenos</w:t>
            </w:r>
          </w:p>
        </w:tc>
        <w:tc>
          <w:tcPr>
            <w:tcW w:w="109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Edificios</w:t>
            </w:r>
          </w:p>
        </w:tc>
        <w:tc>
          <w:tcPr>
            <w:tcW w:w="109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Vehículos</w:t>
            </w:r>
          </w:p>
        </w:tc>
        <w:tc>
          <w:tcPr>
            <w:tcW w:w="1095"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Total</w:t>
            </w:r>
          </w:p>
        </w:tc>
      </w:tr>
      <w:tr>
        <w:tblPrEx>
          <w:tblW w:w="8520" w:type="dxa"/>
          <w:tblInd w:w="1417" w:type="dxa"/>
          <w:tblLayout w:type="fixed"/>
        </w:tblPrEx>
        <w:trPr>
          <w:cantSplit/>
          <w:trHeight w:hRule="auto" w:val="0"/>
        </w:trPr>
        <w:tc>
          <w:tcPr>
            <w:tcW w:w="4140" w:type="dxa"/>
            <w:vMerge/>
            <w:tcBorders>
              <w:top w:val="nil"/>
              <w:left w:val="single" w:sz="2" w:space="0" w:color="000000"/>
              <w:bottom w:val="single" w:sz="2" w:space="0" w:color="000000"/>
              <w:right w:val="nil"/>
            </w:tcBorders>
          </w:tcPr>
          <w:p>
            <w:pPr>
              <w:keepNext/>
              <w:pageBreakBefore w:val="0"/>
            </w:pP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9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20" w:type="dxa"/>
          <w:tblInd w:w="1417" w:type="dxa"/>
          <w:tblLayout w:type="fixed"/>
        </w:tblPrEx>
        <w:trPr>
          <w:cantSplit/>
          <w:trHeight w:hRule="exact" w:val="60"/>
        </w:trPr>
        <w:tc>
          <w:tcPr>
            <w:tcW w:w="414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20" w:type="dxa"/>
          <w:tblInd w:w="1417" w:type="dxa"/>
          <w:tblLayout w:type="fixed"/>
        </w:tblPrEx>
        <w:trPr>
          <w:cantSplit/>
          <w:trHeight w:hRule="auto" w:val="0"/>
        </w:trPr>
        <w:tc>
          <w:tcPr>
            <w:tcW w:w="41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Saldo inicial al 1 de enero de 2026</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204.446</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373.343</w:t>
            </w:r>
          </w:p>
        </w:tc>
        <w:tc>
          <w:tcPr>
            <w:tcW w:w="10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577.789</w:t>
            </w:r>
          </w:p>
        </w:tc>
      </w:tr>
      <w:tr>
        <w:tblPrEx>
          <w:tblW w:w="8520" w:type="dxa"/>
          <w:tblInd w:w="1417" w:type="dxa"/>
          <w:tblLayout w:type="fixed"/>
        </w:tblPrEx>
        <w:trPr>
          <w:cantSplit/>
          <w:trHeight w:hRule="exact" w:val="60"/>
        </w:trPr>
        <w:tc>
          <w:tcPr>
            <w:tcW w:w="414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20" w:type="dxa"/>
          <w:tblInd w:w="1417" w:type="dxa"/>
          <w:tblLayout w:type="fixed"/>
        </w:tblPrEx>
        <w:trPr>
          <w:cantSplit/>
          <w:trHeight w:hRule="auto" w:val="0"/>
        </w:trPr>
        <w:tc>
          <w:tcPr>
            <w:tcW w:w="41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Adiciones distintas de las obtenidas mediante combinaciones de negocios.</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6.764</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111.034</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117.798</w:t>
            </w:r>
          </w:p>
        </w:tc>
      </w:tr>
      <w:tr>
        <w:tblPrEx>
          <w:tblW w:w="8520" w:type="dxa"/>
          <w:tblInd w:w="1417" w:type="dxa"/>
          <w:tblLayout w:type="fixed"/>
        </w:tblPrEx>
        <w:trPr>
          <w:cantSplit/>
          <w:trHeight w:hRule="auto" w:val="0"/>
        </w:trPr>
        <w:tc>
          <w:tcPr>
            <w:tcW w:w="41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Depreciación.</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(1.845)</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(54.053)</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(63.869)</w:t>
            </w:r>
          </w:p>
        </w:tc>
        <w:tc>
          <w:tcPr>
            <w:tcW w:w="1095" w:type="dxa"/>
            <w:tcBorders>
              <w:top w:val="single" w:sz="4" w:space="0" w:color="FFFFFF"/>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(119.767)</w:t>
            </w:r>
          </w:p>
        </w:tc>
      </w:tr>
      <w:tr>
        <w:tblPrEx>
          <w:tblW w:w="8520" w:type="dxa"/>
          <w:tblInd w:w="1417" w:type="dxa"/>
          <w:tblLayout w:type="fixed"/>
        </w:tblPrEx>
        <w:trPr>
          <w:cantSplit/>
          <w:trHeight w:hRule="auto" w:val="0"/>
        </w:trPr>
        <w:tc>
          <w:tcPr>
            <w:tcW w:w="414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20" w:type="dxa"/>
          <w:tblInd w:w="1417" w:type="dxa"/>
          <w:tblLayout w:type="fixed"/>
        </w:tblPrEx>
        <w:trPr>
          <w:cantSplit/>
          <w:trHeight w:hRule="auto" w:val="0"/>
        </w:trPr>
        <w:tc>
          <w:tcPr>
            <w:tcW w:w="41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Saldo final al 30 de junio de 2026</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4.919</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261.427</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309.474</w:t>
            </w:r>
          </w:p>
        </w:tc>
        <w:tc>
          <w:tcPr>
            <w:tcW w:w="10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575.820</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170"/>
        <w:gridCol w:w="1095"/>
        <w:gridCol w:w="1095"/>
        <w:gridCol w:w="1095"/>
        <w:gridCol w:w="1095"/>
      </w:tblGrid>
      <w:tr>
        <w:tblPrEx>
          <w:tblW w:w="8550" w:type="dxa"/>
          <w:tblInd w:w="1417" w:type="dxa"/>
          <w:tblLayout w:type="fixed"/>
        </w:tblPrEx>
        <w:trPr>
          <w:cantSplit/>
          <w:trHeight w:hRule="auto" w:val="0"/>
        </w:trPr>
        <w:tc>
          <w:tcPr>
            <w:tcW w:w="417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Movimiento año 2025</w:t>
            </w:r>
          </w:p>
        </w:tc>
        <w:tc>
          <w:tcPr>
            <w:tcW w:w="109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Terrenos</w:t>
            </w:r>
          </w:p>
        </w:tc>
        <w:tc>
          <w:tcPr>
            <w:tcW w:w="109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Edificios</w:t>
            </w:r>
          </w:p>
        </w:tc>
        <w:tc>
          <w:tcPr>
            <w:tcW w:w="109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Vehículos</w:t>
            </w:r>
          </w:p>
        </w:tc>
        <w:tc>
          <w:tcPr>
            <w:tcW w:w="1095"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Total</w:t>
            </w:r>
          </w:p>
        </w:tc>
      </w:tr>
      <w:tr>
        <w:tblPrEx>
          <w:tblW w:w="8550" w:type="dxa"/>
          <w:tblInd w:w="1417" w:type="dxa"/>
          <w:tblLayout w:type="fixed"/>
        </w:tblPrEx>
        <w:trPr>
          <w:cantSplit/>
          <w:trHeight w:hRule="auto" w:val="0"/>
        </w:trPr>
        <w:tc>
          <w:tcPr>
            <w:tcW w:w="4170" w:type="dxa"/>
            <w:vMerge/>
            <w:tcBorders>
              <w:top w:val="nil"/>
              <w:left w:val="single" w:sz="2" w:space="0" w:color="000000"/>
              <w:bottom w:val="single" w:sz="2" w:space="0" w:color="000000"/>
              <w:right w:val="nil"/>
            </w:tcBorders>
          </w:tcPr>
          <w:p>
            <w:pPr>
              <w:keepNext/>
              <w:pageBreakBefore w:val="0"/>
            </w:pP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9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exact" w:val="60"/>
        </w:trPr>
        <w:tc>
          <w:tcPr>
            <w:tcW w:w="417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417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Saldo inicial al 1 de enero de 2025</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13.560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628.818</w:t>
            </w:r>
          </w:p>
        </w:tc>
        <w:tc>
          <w:tcPr>
            <w:tcW w:w="10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642.378</w:t>
            </w:r>
          </w:p>
        </w:tc>
      </w:tr>
      <w:tr>
        <w:tblPrEx>
          <w:tblW w:w="8550" w:type="dxa"/>
          <w:tblInd w:w="1417" w:type="dxa"/>
          <w:tblLayout w:type="fixed"/>
        </w:tblPrEx>
        <w:trPr>
          <w:cantSplit/>
          <w:trHeight w:hRule="exact" w:val="60"/>
        </w:trPr>
        <w:tc>
          <w:tcPr>
            <w:tcW w:w="417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417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Adiciones distintas de las obtenidas mediante combinaciones de negocios.</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6.554</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382.130</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388.684</w:t>
            </w:r>
          </w:p>
        </w:tc>
      </w:tr>
      <w:tr>
        <w:tblPrEx>
          <w:tblW w:w="8550" w:type="dxa"/>
          <w:tblInd w:w="1417" w:type="dxa"/>
          <w:tblLayout w:type="fixed"/>
        </w:tblPrEx>
        <w:trPr>
          <w:cantSplit/>
          <w:trHeight w:hRule="auto" w:val="0"/>
        </w:trPr>
        <w:tc>
          <w:tcPr>
            <w:tcW w:w="417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Depreciación.</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(6.554)</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(191.244)</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(255.475)</w:t>
            </w:r>
          </w:p>
        </w:tc>
        <w:tc>
          <w:tcPr>
            <w:tcW w:w="1095" w:type="dxa"/>
            <w:tcBorders>
              <w:top w:val="single" w:sz="4" w:space="0" w:color="FFFFFF"/>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(453.273)</w:t>
            </w:r>
          </w:p>
        </w:tc>
      </w:tr>
      <w:tr>
        <w:tblPrEx>
          <w:tblW w:w="8550" w:type="dxa"/>
          <w:tblInd w:w="1417" w:type="dxa"/>
          <w:tblLayout w:type="fixed"/>
        </w:tblPrEx>
        <w:trPr>
          <w:cantSplit/>
          <w:trHeight w:hRule="auto" w:val="0"/>
        </w:trPr>
        <w:tc>
          <w:tcPr>
            <w:tcW w:w="417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417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Saldo final al 31 de diciembre de 2025</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204.446</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373.343</w:t>
            </w:r>
          </w:p>
        </w:tc>
        <w:tc>
          <w:tcPr>
            <w:tcW w:w="10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577.789</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sectPr>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both"/>
        <w:outlineLvl w:val="0"/>
        <w:rPr>
          <w:rFonts w:ascii="Cambria" w:eastAsia="Cambria" w:hAnsi="Cambria" w:cs="Cambria"/>
          <w:b/>
          <w:i w:val="0"/>
          <w:color w:val="365F91"/>
          <w:sz w:val="28"/>
          <w:u w:val="none"/>
        </w:rPr>
      </w:pPr>
      <w:bookmarkStart w:id="225" w:name="Section116"/>
      <w:bookmarkEnd w:id="225"/>
      <w:bookmarkStart w:id="226" w:name="7f24d633b88643c79ec5f3e2a0545273"/>
      <w:r>
        <w:rPr>
          <w:rFonts w:ascii="Calibri" w:eastAsia="Calibri" w:hAnsi="Calibri" w:cs="Calibri"/>
          <w:b/>
          <w:i w:val="0"/>
          <w:color w:val="000000"/>
          <w:sz w:val="20"/>
          <w:u w:val="none"/>
        </w:rPr>
        <w:t>26.-</w:t>
      </w:r>
      <w:r>
        <w:rPr>
          <w:rFonts w:ascii="Calibri" w:eastAsia="Calibri" w:hAnsi="Calibri" w:cs="Calibri"/>
          <w:b/>
          <w:i w:val="0"/>
          <w:color w:val="000000"/>
          <w:sz w:val="20"/>
          <w:u w:val="none"/>
        </w:rPr>
        <w:tab/>
      </w:r>
      <w:r>
        <w:rPr>
          <w:rFonts w:ascii="Calibri" w:eastAsia="Calibri" w:hAnsi="Calibri" w:cs="Calibri"/>
          <w:b/>
          <w:i w:val="0"/>
          <w:color w:val="000000"/>
          <w:sz w:val="20"/>
          <w:u w:val="none"/>
        </w:rPr>
        <w:t>PATRIMONIO NETO.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26"/>
    </w:p>
    <w:p>
      <w:pPr>
        <w:keepNext w:val="0"/>
        <w:keepLines/>
        <w:pageBreakBefore w:val="0"/>
        <w:widowControl w:val="0"/>
        <w:numPr>
          <w:ilvl w:val="0"/>
          <w:numId w:val="0"/>
        </w:numPr>
        <w:spacing w:before="0" w:after="0" w:line="288" w:lineRule="auto"/>
        <w:ind w:left="0" w:right="0" w:firstLine="0"/>
        <w:jc w:val="both"/>
        <w:outlineLvl w:val="9"/>
        <w:sectPr>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227" w:name="Section117"/>
      <w:bookmarkEnd w:id="227"/>
      <w:bookmarkStart w:id="228" w:name="ac1e8dc06dce4aeaa35b0beed41454bd"/>
      <w:r>
        <w:rPr>
          <w:rFonts w:ascii="Calibri" w:eastAsia="Calibri" w:hAnsi="Calibri" w:cs="Calibri"/>
          <w:b/>
          <w:i w:val="0"/>
          <w:color w:val="000000"/>
          <w:sz w:val="20"/>
          <w:u w:val="none"/>
        </w:rPr>
        <w:t>26.1.-</w:t>
      </w:r>
      <w:r>
        <w:rPr>
          <w:rFonts w:ascii="Calibri" w:eastAsia="Calibri" w:hAnsi="Calibri" w:cs="Calibri"/>
          <w:b/>
          <w:i w:val="0"/>
          <w:color w:val="000000"/>
          <w:sz w:val="20"/>
          <w:u w:val="none"/>
        </w:rPr>
        <w:tab/>
      </w:r>
      <w:r>
        <w:rPr>
          <w:rFonts w:ascii="Calibri" w:eastAsia="Calibri" w:hAnsi="Calibri" w:cs="Calibri"/>
          <w:b/>
          <w:i w:val="0"/>
          <w:color w:val="000000"/>
          <w:sz w:val="20"/>
          <w:u w:val="none"/>
        </w:rPr>
        <w:t>Gestión de capital.</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bookmarkEnd w:id="228"/>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objetivos de CGE Transmisión S.A. al administrar el capital son el salvaguardar la capacidad de continuar como empresa en marcha con el propósito de generar retornos a sus accionistas, beneficios a otros grupos de interés y mantener una estructura de capital óptima para reducir el costo del capital.</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Consistente con la industria, CGE Transmisión S.A. monitorea su capital sobre la base del ratio de apalancamiento. Este ratio se calcula dividiendo la deuda neta por el capital total. La deuda neta corresponde al total del endeudamiento (incluyendo el endeudamiento corriente y no corriente) menos el efectivo y equivalentes de efectivo. El capital total corresponde al patrimonio tal y como se muestra en el estado de situación financiera consolidado más la deuda neta.</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En este sentido, CGE Transmisión S.A. ha combinado distintas fuentes de financiamiento tales como: aumentos de capital, flujos de la operación, préstamos de empresas relacionadas, créditos bancarios, y obligaciones con el público en su modalidad de bonos.</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6"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229" w:name="Section118"/>
      <w:bookmarkEnd w:id="229"/>
      <w:bookmarkStart w:id="230" w:name="e35939348691405389223a19322f0a6f"/>
      <w:r>
        <w:rPr>
          <w:rFonts w:ascii="Calibri" w:eastAsia="Calibri" w:hAnsi="Calibri" w:cs="Calibri"/>
          <w:b/>
          <w:i w:val="0"/>
          <w:color w:val="000000"/>
          <w:sz w:val="20"/>
          <w:u w:val="none"/>
        </w:rPr>
        <w:t>26.2.-</w:t>
      </w:r>
      <w:r>
        <w:rPr>
          <w:rFonts w:ascii="Calibri" w:eastAsia="Calibri" w:hAnsi="Calibri" w:cs="Calibri"/>
          <w:b/>
          <w:i w:val="0"/>
          <w:color w:val="000000"/>
          <w:sz w:val="20"/>
          <w:u w:val="none"/>
        </w:rPr>
        <w:tab/>
      </w:r>
      <w:r>
        <w:rPr>
          <w:rFonts w:ascii="Calibri" w:eastAsia="Calibri" w:hAnsi="Calibri" w:cs="Calibri"/>
          <w:b/>
          <w:i w:val="0"/>
          <w:color w:val="000000"/>
          <w:sz w:val="20"/>
          <w:u w:val="none"/>
        </w:rPr>
        <w:t>Capital suscrito y pagado.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30"/>
    </w:p>
    <w:p>
      <w:pPr>
        <w:pStyle w:val="Normal-wk"/>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capital suscrito y pagado al </w:t>
      </w:r>
      <w:r>
        <w:rPr>
          <w:rFonts w:ascii="Calibri" w:eastAsia="Calibri" w:hAnsi="Calibri" w:cs="Calibri"/>
          <w:b w:val="0"/>
          <w:i w:val="0"/>
          <w:color w:val="000000"/>
          <w:sz w:val="20"/>
          <w:u w:val="none"/>
        </w:rPr>
        <w:t>30 de junio de 2026</w:t>
      </w:r>
      <w:r>
        <w:rPr>
          <w:rFonts w:ascii="Calibri" w:eastAsia="Calibri" w:hAnsi="Calibri" w:cs="Calibri"/>
          <w:b w:val="0"/>
          <w:i w:val="0"/>
          <w:sz w:val="20"/>
        </w:rPr>
        <w:t xml:space="preserve"> y</w:t>
      </w:r>
      <w:r>
        <w:rPr>
          <w:rFonts w:ascii="Calibri" w:eastAsia="Calibri" w:hAnsi="Calibri" w:cs="Calibri"/>
          <w:b w:val="0"/>
          <w:i w:val="0"/>
          <w:color w:val="000000"/>
          <w:sz w:val="20"/>
          <w:u w:val="none"/>
        </w:rPr>
        <w:t xml:space="preserve">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 xml:space="preserve"> asciende a M$ 306.181.134.</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231" w:name="Section119"/>
      <w:bookmarkEnd w:id="231"/>
      <w:bookmarkStart w:id="232" w:name="e2d7d4081a8446aca61f4797ae47055b"/>
      <w:r>
        <w:rPr>
          <w:rFonts w:ascii="Calibri" w:eastAsia="Calibri" w:hAnsi="Calibri" w:cs="Calibri"/>
          <w:b/>
          <w:i w:val="0"/>
          <w:color w:val="000000"/>
          <w:sz w:val="20"/>
          <w:u w:val="none"/>
        </w:rPr>
        <w:t>26.3.-</w:t>
      </w:r>
      <w:r>
        <w:rPr>
          <w:rFonts w:ascii="Calibri" w:eastAsia="Calibri" w:hAnsi="Calibri" w:cs="Calibri"/>
          <w:b/>
          <w:i w:val="0"/>
          <w:color w:val="000000"/>
          <w:sz w:val="20"/>
          <w:u w:val="none"/>
        </w:rPr>
        <w:tab/>
      </w:r>
      <w:r>
        <w:rPr>
          <w:rFonts w:ascii="Calibri" w:eastAsia="Calibri" w:hAnsi="Calibri" w:cs="Calibri"/>
          <w:b/>
          <w:i w:val="0"/>
          <w:color w:val="000000"/>
          <w:sz w:val="20"/>
          <w:u w:val="none"/>
        </w:rPr>
        <w:t>Número de acciones suscritas y pagadas.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32"/>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Al </w:t>
      </w:r>
      <w:r>
        <w:rPr>
          <w:rFonts w:ascii="Calibri" w:eastAsia="Calibri" w:hAnsi="Calibri" w:cs="Calibri"/>
          <w:b w:val="0"/>
          <w:i w:val="0"/>
          <w:color w:val="000000"/>
          <w:sz w:val="20"/>
          <w:u w:val="none"/>
        </w:rPr>
        <w:t>30 de junio de 2026</w:t>
      </w:r>
      <w:r>
        <w:rPr>
          <w:rFonts w:ascii="Calibri" w:eastAsia="Calibri" w:hAnsi="Calibri" w:cs="Calibri"/>
          <w:b w:val="0"/>
          <w:i w:val="0"/>
          <w:sz w:val="20"/>
        </w:rPr>
        <w:t xml:space="preserve"> y</w:t>
      </w:r>
      <w:r>
        <w:rPr>
          <w:rFonts w:ascii="Calibri" w:eastAsia="Calibri" w:hAnsi="Calibri" w:cs="Calibri"/>
          <w:b w:val="0"/>
          <w:i w:val="0"/>
          <w:color w:val="000000"/>
          <w:sz w:val="20"/>
          <w:u w:val="none"/>
        </w:rPr>
        <w:t xml:space="preserve">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 xml:space="preserve"> el capital de CGE Transmisión S.A., está representado por </w:t>
      </w:r>
      <w:r>
        <w:rPr>
          <w:rFonts w:ascii="Calibri" w:eastAsia="Calibri" w:hAnsi="Calibri" w:cs="Calibri"/>
          <w:b w:val="0"/>
          <w:i w:val="0"/>
          <w:color w:val="000000"/>
          <w:sz w:val="20"/>
          <w:u w:val="none"/>
        </w:rPr>
        <w:t>2.019.896.893</w:t>
      </w:r>
      <w:r>
        <w:rPr>
          <w:rFonts w:ascii="Calibri" w:eastAsia="Calibri" w:hAnsi="Calibri" w:cs="Calibri"/>
          <w:b w:val="0"/>
          <w:i w:val="0"/>
          <w:color w:val="000000"/>
          <w:sz w:val="20"/>
          <w:u w:val="none"/>
        </w:rPr>
        <w:t>, acciones sin valor nominal, de un voto por acción.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233" w:name="Section120"/>
      <w:bookmarkEnd w:id="233"/>
      <w:bookmarkStart w:id="234" w:name="cff6fe8fa6e44313b8312461039be342"/>
      <w:r>
        <w:rPr>
          <w:rFonts w:ascii="Calibri" w:eastAsia="Calibri" w:hAnsi="Calibri" w:cs="Calibri"/>
          <w:b/>
          <w:i w:val="0"/>
          <w:color w:val="000000"/>
          <w:sz w:val="20"/>
          <w:u w:val="none"/>
        </w:rPr>
        <w:t>26.4.-</w:t>
      </w:r>
      <w:r>
        <w:rPr>
          <w:rFonts w:ascii="Calibri" w:eastAsia="Calibri" w:hAnsi="Calibri" w:cs="Calibri"/>
          <w:b/>
          <w:i w:val="0"/>
          <w:color w:val="000000"/>
          <w:sz w:val="20"/>
          <w:u w:val="none"/>
        </w:rPr>
        <w:tab/>
      </w:r>
      <w:r>
        <w:rPr>
          <w:rFonts w:ascii="Calibri" w:eastAsia="Calibri" w:hAnsi="Calibri" w:cs="Calibri"/>
          <w:b/>
          <w:i w:val="0"/>
          <w:color w:val="000000"/>
          <w:sz w:val="20"/>
          <w:u w:val="none"/>
        </w:rPr>
        <w:t>Dividendos.</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bookmarkEnd w:id="234"/>
    </w:p>
    <w:p>
      <w:pPr>
        <w:keepNext w:val="0"/>
        <w:keepLines/>
        <w:pageBreakBefore w:val="0"/>
        <w:widowControl w:val="0"/>
        <w:numPr>
          <w:ilvl w:val="0"/>
          <w:numId w:val="0"/>
        </w:numPr>
        <w:spacing w:before="0" w:after="0" w:line="214"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En Junta Ordinaria de Accionistas de la Sociedad, celebrada el 23 de abril de 2025, se aprobó el pago del dividendo definitivo N° 4 de $ 5,70 por acción con cargo a la utilidad del ejercicio 2024, el cual se pagó con fecha 8 de mayo de 2025, por un total de M$ 11.513.412.</w:t>
      </w:r>
    </w:p>
    <w:p>
      <w:pPr>
        <w:keepNext w:val="0"/>
        <w:keepLines/>
        <w:pageBreakBefore w:val="0"/>
        <w:widowControl w:val="0"/>
        <w:numPr>
          <w:ilvl w:val="0"/>
          <w:numId w:val="0"/>
        </w:numPr>
        <w:spacing w:before="0" w:after="0" w:line="257" w:lineRule="auto"/>
        <w:ind w:left="1417"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40" w:lineRule="exact"/>
        <w:ind w:left="1410"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De acuerdo a la política de dividendos de la Sociedad al 31 de diciembre de 2025 se provisionó un dividendo equivalente al 30% sobre las utilidades del ejercicio por un monto de M$ 18.267.267.</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14"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En Junta Ordinaria de Accionistas de la Sociedad, celebrada el 2</w:t>
      </w:r>
      <w:r>
        <w:rPr>
          <w:rFonts w:ascii="Calibri" w:eastAsia="Calibri" w:hAnsi="Calibri" w:cs="Calibri"/>
          <w:b w:val="0"/>
          <w:i w:val="0"/>
          <w:sz w:val="20"/>
        </w:rPr>
        <w:t>2</w:t>
      </w:r>
      <w:r>
        <w:rPr>
          <w:rFonts w:ascii="Calibri" w:eastAsia="Calibri" w:hAnsi="Calibri" w:cs="Calibri"/>
          <w:b w:val="0"/>
          <w:i w:val="0"/>
          <w:sz w:val="20"/>
        </w:rPr>
        <w:t xml:space="preserve"> de abril de 202</w:t>
      </w:r>
      <w:r>
        <w:rPr>
          <w:rFonts w:ascii="Calibri" w:eastAsia="Calibri" w:hAnsi="Calibri" w:cs="Calibri"/>
          <w:b w:val="0"/>
          <w:i w:val="0"/>
          <w:sz w:val="20"/>
        </w:rPr>
        <w:t>6</w:t>
      </w:r>
      <w:r>
        <w:rPr>
          <w:rFonts w:ascii="Calibri" w:eastAsia="Calibri" w:hAnsi="Calibri" w:cs="Calibri"/>
          <w:b w:val="0"/>
          <w:i w:val="0"/>
          <w:sz w:val="20"/>
        </w:rPr>
        <w:t xml:space="preserve">, se aprobó el pago del dividendo definitivo N° </w:t>
      </w:r>
      <w:r>
        <w:rPr>
          <w:rFonts w:ascii="Calibri" w:eastAsia="Calibri" w:hAnsi="Calibri" w:cs="Calibri"/>
          <w:b w:val="0"/>
          <w:i w:val="0"/>
          <w:sz w:val="20"/>
        </w:rPr>
        <w:t>5</w:t>
      </w:r>
      <w:r>
        <w:rPr>
          <w:rFonts w:ascii="Calibri" w:eastAsia="Calibri" w:hAnsi="Calibri" w:cs="Calibri"/>
          <w:b w:val="0"/>
          <w:i w:val="0"/>
          <w:sz w:val="20"/>
        </w:rPr>
        <w:t xml:space="preserve"> de $ </w:t>
      </w:r>
      <w:r>
        <w:rPr>
          <w:rFonts w:ascii="Calibri" w:eastAsia="Calibri" w:hAnsi="Calibri" w:cs="Calibri"/>
          <w:b w:val="0"/>
          <w:i w:val="0"/>
          <w:sz w:val="20"/>
        </w:rPr>
        <w:t>9,044</w:t>
      </w:r>
      <w:r>
        <w:rPr>
          <w:rFonts w:ascii="Calibri" w:eastAsia="Calibri" w:hAnsi="Calibri" w:cs="Calibri"/>
          <w:b w:val="0"/>
          <w:i w:val="0"/>
          <w:sz w:val="20"/>
        </w:rPr>
        <w:t xml:space="preserve"> por acción con cargo a la utilidad del ejercicio 202</w:t>
      </w:r>
      <w:r>
        <w:rPr>
          <w:rFonts w:ascii="Calibri" w:eastAsia="Calibri" w:hAnsi="Calibri" w:cs="Calibri"/>
          <w:b w:val="0"/>
          <w:i w:val="0"/>
          <w:sz w:val="20"/>
        </w:rPr>
        <w:t>5</w:t>
      </w:r>
      <w:r>
        <w:rPr>
          <w:rFonts w:ascii="Calibri" w:eastAsia="Calibri" w:hAnsi="Calibri" w:cs="Calibri"/>
          <w:b w:val="0"/>
          <w:i w:val="0"/>
          <w:sz w:val="20"/>
        </w:rPr>
        <w:t xml:space="preserve">, el cual se pagó con fecha </w:t>
      </w:r>
      <w:r>
        <w:rPr>
          <w:rFonts w:ascii="Calibri" w:eastAsia="Calibri" w:hAnsi="Calibri" w:cs="Calibri"/>
          <w:b w:val="0"/>
          <w:i w:val="0"/>
          <w:sz w:val="20"/>
        </w:rPr>
        <w:t>5</w:t>
      </w:r>
      <w:r>
        <w:rPr>
          <w:rFonts w:ascii="Calibri" w:eastAsia="Calibri" w:hAnsi="Calibri" w:cs="Calibri"/>
          <w:b w:val="0"/>
          <w:i w:val="0"/>
          <w:sz w:val="20"/>
        </w:rPr>
        <w:t xml:space="preserve"> de mayo de 202</w:t>
      </w:r>
      <w:r>
        <w:rPr>
          <w:rFonts w:ascii="Calibri" w:eastAsia="Calibri" w:hAnsi="Calibri" w:cs="Calibri"/>
          <w:b w:val="0"/>
          <w:i w:val="0"/>
          <w:sz w:val="20"/>
        </w:rPr>
        <w:t>6</w:t>
      </w:r>
      <w:r>
        <w:rPr>
          <w:rFonts w:ascii="Calibri" w:eastAsia="Calibri" w:hAnsi="Calibri" w:cs="Calibri"/>
          <w:b w:val="0"/>
          <w:i w:val="0"/>
          <w:sz w:val="20"/>
        </w:rPr>
        <w:t xml:space="preserve">, por un total de M$ </w:t>
      </w:r>
      <w:r>
        <w:rPr>
          <w:rFonts w:ascii="Calibri" w:eastAsia="Calibri" w:hAnsi="Calibri" w:cs="Calibri"/>
          <w:b w:val="0"/>
          <w:i w:val="0"/>
          <w:sz w:val="20"/>
        </w:rPr>
        <w:t>18.267.948</w:t>
      </w:r>
      <w:r>
        <w:rPr>
          <w:rFonts w:ascii="Calibri" w:eastAsia="Calibri" w:hAnsi="Calibri" w:cs="Calibri"/>
          <w:b w:val="0"/>
          <w:i w:val="0"/>
          <w:sz w:val="20"/>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235" w:name="Section121"/>
      <w:bookmarkEnd w:id="235"/>
      <w:bookmarkStart w:id="236" w:name="dd9b686dfcd040c5acc9aa2718968430"/>
      <w:r>
        <w:rPr>
          <w:rFonts w:ascii="Calibri" w:eastAsia="Calibri" w:hAnsi="Calibri" w:cs="Calibri"/>
          <w:b/>
          <w:i w:val="0"/>
          <w:color w:val="000000"/>
          <w:sz w:val="20"/>
          <w:u w:val="none"/>
        </w:rPr>
        <w:t>26.5.-</w:t>
      </w:r>
      <w:r>
        <w:rPr>
          <w:rFonts w:ascii="Calibri" w:eastAsia="Calibri" w:hAnsi="Calibri" w:cs="Calibri"/>
          <w:b/>
          <w:i w:val="0"/>
          <w:color w:val="000000"/>
          <w:sz w:val="20"/>
          <w:u w:val="none"/>
        </w:rPr>
        <w:tab/>
      </w:r>
      <w:r>
        <w:rPr>
          <w:rFonts w:ascii="Calibri" w:eastAsia="Calibri" w:hAnsi="Calibri" w:cs="Calibri"/>
          <w:b/>
          <w:i w:val="0"/>
          <w:color w:val="000000"/>
          <w:sz w:val="20"/>
          <w:u w:val="none"/>
        </w:rPr>
        <w:t>Reservas.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bookmarkEnd w:id="236"/>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En el ítem de otras reservas dentro del patrimonio, se incluyen los siguientes conceptos: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26.5.1.-</w:t>
      </w:r>
      <w:r>
        <w:rPr>
          <w:rFonts w:ascii="Calibri" w:eastAsia="Calibri" w:hAnsi="Calibri" w:cs="Calibri"/>
          <w:b w:val="0"/>
          <w:i w:val="0"/>
          <w:sz w:val="20"/>
        </w:rPr>
        <w:tab/>
      </w:r>
      <w:r>
        <w:rPr>
          <w:rFonts w:ascii="Calibri" w:eastAsia="Calibri" w:hAnsi="Calibri" w:cs="Calibri"/>
          <w:b w:val="0"/>
          <w:i w:val="0"/>
          <w:sz w:val="20"/>
        </w:rPr>
        <w:t>Reservas de coberturas.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Se presentan en este rubro los movimientos en el valor justo de los instrumentos derivados de cobertura de flujos de caja medidos a valor razonable con cambios en otros resultados integrales.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26.5.2.-</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Reservas de ganancias y pérdidas por planes de beneficios definidos.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Corresponde a las variaciones de los valores actuariales de la provisión por beneficios definidos de empleados.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Los saldos acumulados por la aplicación de la NIC 19 se han reconocido en otros resultados integrales, producto de lo anterior el saldo de estas reservas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ascienden a </w:t>
      </w:r>
      <w:r>
        <w:rPr>
          <w:rFonts w:ascii="Calibri" w:eastAsia="Calibri" w:hAnsi="Calibri" w:cs="Calibri"/>
          <w:b w:val="0"/>
          <w:i w:val="0"/>
          <w:color w:val="000000"/>
          <w:sz w:val="20"/>
          <w:highlight w:val="yellow"/>
          <w:u w:val="none"/>
        </w:rPr>
        <w:t xml:space="preserve">M$ 4.720 y </w:t>
      </w:r>
      <w:r>
        <w:rPr>
          <w:rFonts w:ascii="Calibri" w:eastAsia="Calibri" w:hAnsi="Calibri" w:cs="Calibri"/>
          <w:b w:val="0"/>
          <w:i w:val="0"/>
          <w:color w:val="000000"/>
          <w:sz w:val="20"/>
          <w:u w:val="none"/>
        </w:rPr>
        <w:t xml:space="preserve">M$ </w:t>
      </w:r>
      <w:r>
        <w:rPr>
          <w:rFonts w:ascii="Calibri" w:eastAsia="Calibri" w:hAnsi="Calibri" w:cs="Calibri"/>
          <w:b w:val="0"/>
          <w:i w:val="0"/>
          <w:color w:val="000000"/>
          <w:sz w:val="20"/>
          <w:u w:val="none"/>
        </w:rPr>
        <w:t>75.590</w:t>
      </w:r>
      <w:r>
        <w:rPr>
          <w:rFonts w:ascii="Calibri" w:eastAsia="Calibri" w:hAnsi="Calibri" w:cs="Calibri"/>
          <w:b w:val="0"/>
          <w:i w:val="0"/>
          <w:color w:val="000000"/>
          <w:sz w:val="20"/>
          <w:u w:val="none"/>
        </w:rPr>
        <w:t xml:space="preserve"> </w:t>
      </w:r>
      <w:r>
        <w:rPr>
          <w:rFonts w:ascii="Calibri" w:eastAsia="Calibri" w:hAnsi="Calibri" w:cs="Calibri"/>
          <w:b w:val="0"/>
          <w:i w:val="0"/>
          <w:color w:val="000000"/>
          <w:sz w:val="20"/>
          <w:u w:val="none"/>
        </w:rPr>
        <w:t xml:space="preserve">al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 ambos netos de impuestos diferidos.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26.5.3.-</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Otras reservas.</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En este rubro se incluye el monto de otras reservas definido en el proceso de división de Compañía General de Electricidad S.A. efectuado en Junta Extraordinaria de Accionistas de la Sociedad de fecha 24 de septiembre de 2021 y con validez a contar del 1 de Octubre de 2021, y que fueron asignados a CGE Transmisión S.A. por un monto de M$ (12.667.820). Las partidas originarias en Compañía General de Electricidad S.A. asignadas se derivan de varios procesos organizacionales tales como Otras Reservas derivadas de la ex-matriz GNF Chile SpA.  hasta su fusión con Compañía General de Electricidad S.A., Otras reservas originadas en división  de Compañía General de Electricidad S.A. con CGE Gas Natural S.A. mediante asignación de reservas a sociedad naciente, canje de acciones  a participaciones no controladoras por fusiones con Compañía General de Electricidad S.A., y las sociedades  Transnet S.A., Emel Norte S.A., Compañía Nacional de Fuerza Eléctrica S.A., CGE Distribución S.A., Empresa Eléctrica de Antofagasta S.A., Empresa Eléctrica de Iquique S.A., Empresa Eléctrica de Arica S.A., Comercial y Logística General S.A., Novanet S.A., Inmobiliaria General S.A. y Sociedad de Computación Binaria S.A.</w:t>
      </w:r>
    </w:p>
    <w:p>
      <w:pPr>
        <w:keepNext w:val="0"/>
        <w:keepLines/>
        <w:pageBreakBefore w:val="0"/>
        <w:widowControl w:val="0"/>
        <w:numPr>
          <w:ilvl w:val="0"/>
          <w:numId w:val="0"/>
        </w:numPr>
        <w:spacing w:before="0" w:after="0" w:line="240" w:lineRule="exact"/>
        <w:ind w:left="2124"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237" w:name="Section122"/>
      <w:bookmarkEnd w:id="237"/>
      <w:bookmarkStart w:id="238" w:name="ddd6b308f3ba4f6ebd23ac38d0d98600"/>
      <w:r>
        <w:rPr>
          <w:rFonts w:ascii="Calibri" w:eastAsia="Calibri" w:hAnsi="Calibri" w:cs="Calibri"/>
          <w:b/>
          <w:i w:val="0"/>
          <w:color w:val="000000"/>
          <w:sz w:val="20"/>
          <w:u w:val="none"/>
        </w:rPr>
        <w:t>26.6.-</w:t>
      </w:r>
      <w:r>
        <w:rPr>
          <w:rFonts w:ascii="Calibri" w:eastAsia="Calibri" w:hAnsi="Calibri" w:cs="Calibri"/>
          <w:b/>
          <w:i w:val="0"/>
          <w:color w:val="000000"/>
          <w:sz w:val="20"/>
          <w:u w:val="none"/>
        </w:rPr>
        <w:tab/>
      </w:r>
      <w:r>
        <w:rPr>
          <w:rFonts w:ascii="Calibri" w:eastAsia="Calibri" w:hAnsi="Calibri" w:cs="Calibri"/>
          <w:b/>
          <w:i w:val="0"/>
          <w:color w:val="000000"/>
          <w:sz w:val="20"/>
          <w:u w:val="none"/>
        </w:rPr>
        <w:t>Participaciones no controladoras.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18"/>
          <w:u w:val="none"/>
        </w:rPr>
      </w:pPr>
      <w:bookmarkEnd w:id="238"/>
    </w:p>
    <w:p>
      <w:pPr>
        <w:pStyle w:val="Normal-wk"/>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Las siguientes son las participaciones no controladoras al </w:t>
      </w:r>
      <w:r>
        <w:rPr>
          <w:rFonts w:ascii="Calibri" w:eastAsia="Calibri" w:hAnsi="Calibri" w:cs="Calibri"/>
          <w:b w:val="0"/>
          <w:i w:val="0"/>
          <w:color w:val="000000"/>
          <w:sz w:val="20"/>
          <w:u w:val="none"/>
        </w:rPr>
        <w:t>30 de junio de 2026</w:t>
      </w:r>
      <w:r>
        <w:rPr>
          <w:rFonts w:ascii="Arial" w:eastAsia="Arial" w:hAnsi="Arial" w:cs="Arial"/>
          <w:b w:val="0"/>
          <w:i w:val="0"/>
          <w:sz w:val="20"/>
        </w:rPr>
        <w:t xml:space="preserve"> y</w:t>
      </w:r>
      <w:r>
        <w:rPr>
          <w:rFonts w:ascii="Calibri" w:eastAsia="Calibri" w:hAnsi="Calibri" w:cs="Calibri"/>
          <w:b w:val="0"/>
          <w:i w:val="0"/>
          <w:color w:val="000000"/>
          <w:sz w:val="20"/>
          <w:u w:val="none"/>
        </w:rPr>
        <w:t xml:space="preserve">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1212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200"/>
        <w:gridCol w:w="3045"/>
        <w:gridCol w:w="885"/>
        <w:gridCol w:w="1095"/>
        <w:gridCol w:w="1095"/>
        <w:gridCol w:w="1200"/>
        <w:gridCol w:w="1200"/>
        <w:gridCol w:w="1200"/>
        <w:gridCol w:w="1200"/>
      </w:tblGrid>
      <w:tr>
        <w:tblPrEx>
          <w:tblW w:w="12120" w:type="dxa"/>
          <w:tblInd w:w="1417" w:type="dxa"/>
          <w:tblLayout w:type="fixed"/>
        </w:tblPrEx>
        <w:trPr>
          <w:cantSplit/>
          <w:trHeight w:hRule="exact" w:val="1005"/>
        </w:trPr>
        <w:tc>
          <w:tcPr>
            <w:tcW w:w="120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Rut</w:t>
            </w:r>
          </w:p>
        </w:tc>
        <w:tc>
          <w:tcPr>
            <w:tcW w:w="304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Nombre de la subsidiaria</w:t>
            </w:r>
          </w:p>
        </w:tc>
        <w:tc>
          <w:tcPr>
            <w:tcW w:w="885" w:type="dxa"/>
            <w:vMerge w:val="restart"/>
            <w:tcBorders>
              <w:top w:val="single" w:sz="2" w:space="0" w:color="000000"/>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País de origen</w:t>
            </w:r>
          </w:p>
        </w:tc>
        <w:tc>
          <w:tcPr>
            <w:tcW w:w="2190" w:type="dxa"/>
            <w:gridSpan w:val="2"/>
            <w:tcBorders>
              <w:top w:val="single" w:sz="2" w:space="0" w:color="000000"/>
              <w:left w:val="nil"/>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Porcentaje de participación en subsidiarias de la participación no controladora</w:t>
            </w:r>
          </w:p>
        </w:tc>
        <w:tc>
          <w:tcPr>
            <w:tcW w:w="1200" w:type="dxa"/>
            <w:tcBorders>
              <w:top w:val="single" w:sz="2" w:space="0" w:color="000000"/>
              <w:left w:val="single" w:sz="4" w:space="0" w:color="FFFFFF"/>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Participación no controladora en patrimonio</w:t>
            </w:r>
          </w:p>
        </w:tc>
        <w:tc>
          <w:tcPr>
            <w:tcW w:w="1200" w:type="dxa"/>
            <w:tcBorders>
              <w:top w:val="single" w:sz="2" w:space="0" w:color="000000"/>
              <w:left w:val="single" w:sz="4" w:space="0" w:color="FFFFFF"/>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Ganancia (pérdida) atribuible a participación no controladora</w:t>
            </w:r>
          </w:p>
        </w:tc>
        <w:tc>
          <w:tcPr>
            <w:tcW w:w="1200" w:type="dxa"/>
            <w:tcBorders>
              <w:top w:val="single" w:sz="2" w:space="0" w:color="000000"/>
              <w:left w:val="single" w:sz="4" w:space="0" w:color="FFFFFF"/>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Participación no controladora en patrimonio</w:t>
            </w:r>
          </w:p>
        </w:tc>
        <w:tc>
          <w:tcPr>
            <w:tcW w:w="1200" w:type="dxa"/>
            <w:tcBorders>
              <w:top w:val="single" w:sz="2" w:space="0" w:color="000000"/>
              <w:left w:val="single" w:sz="4" w:space="0" w:color="FFFFFF"/>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Ganancia (pérdida) atribuible a participación no controladora</w:t>
            </w:r>
          </w:p>
        </w:tc>
      </w:tr>
      <w:tr>
        <w:tblPrEx>
          <w:tblW w:w="12120" w:type="dxa"/>
          <w:tblInd w:w="1417" w:type="dxa"/>
          <w:tblLayout w:type="fixed"/>
        </w:tblPrEx>
        <w:trPr>
          <w:cantSplit/>
          <w:trHeight w:hRule="auto" w:val="0"/>
        </w:trPr>
        <w:tc>
          <w:tcPr>
            <w:tcW w:w="1200" w:type="dxa"/>
            <w:vMerge/>
            <w:tcBorders>
              <w:top w:val="nil"/>
              <w:left w:val="single" w:sz="2" w:space="0" w:color="000000"/>
              <w:bottom w:val="nil"/>
              <w:right w:val="nil"/>
            </w:tcBorders>
          </w:tcPr>
          <w:p>
            <w:pPr>
              <w:keepNext/>
              <w:pageBreakBefore w:val="0"/>
            </w:pPr>
          </w:p>
        </w:tc>
        <w:tc>
          <w:tcPr>
            <w:tcW w:w="3045" w:type="dxa"/>
            <w:vMerge/>
            <w:tcBorders>
              <w:top w:val="nil"/>
              <w:left w:val="single" w:sz="4" w:space="0" w:color="FFFFFF"/>
              <w:bottom w:val="nil"/>
              <w:right w:val="nil"/>
            </w:tcBorders>
          </w:tcPr>
          <w:p>
            <w:pPr>
              <w:keepNext/>
              <w:pageBreakBefore w:val="0"/>
            </w:pPr>
          </w:p>
        </w:tc>
        <w:tc>
          <w:tcPr>
            <w:tcW w:w="885" w:type="dxa"/>
            <w:vMerge/>
            <w:tcBorders>
              <w:top w:val="nil"/>
              <w:left w:val="single" w:sz="4" w:space="0" w:color="FFFFFF"/>
              <w:bottom w:val="nil"/>
              <w:right w:val="nil"/>
            </w:tcBorders>
          </w:tcPr>
          <w:p>
            <w:pPr>
              <w:keepNext/>
              <w:pageBreakBefore w:val="0"/>
            </w:pPr>
          </w:p>
        </w:tc>
        <w:tc>
          <w:tcPr>
            <w:tcW w:w="109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095" w:type="dxa"/>
            <w:tcBorders>
              <w:top w:val="single" w:sz="4" w:space="0" w:color="FFFFFF"/>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c>
          <w:tcPr>
            <w:tcW w:w="2400" w:type="dxa"/>
            <w:gridSpan w:val="2"/>
            <w:tcBorders>
              <w:top w:val="nil"/>
              <w:left w:val="nil"/>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2400" w:type="dxa"/>
            <w:gridSpan w:val="2"/>
            <w:tcBorders>
              <w:top w:val="nil"/>
              <w:left w:val="single" w:sz="4" w:space="0" w:color="FFFFFF"/>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12120" w:type="dxa"/>
          <w:tblInd w:w="1417" w:type="dxa"/>
          <w:tblLayout w:type="fixed"/>
        </w:tblPrEx>
        <w:trPr>
          <w:cantSplit/>
          <w:trHeight w:hRule="auto" w:val="0"/>
        </w:trPr>
        <w:tc>
          <w:tcPr>
            <w:tcW w:w="1200" w:type="dxa"/>
            <w:vMerge/>
            <w:tcBorders>
              <w:top w:val="nil"/>
              <w:left w:val="single" w:sz="2" w:space="0" w:color="000000"/>
              <w:bottom w:val="single" w:sz="2" w:space="0" w:color="000000"/>
              <w:right w:val="nil"/>
            </w:tcBorders>
          </w:tcPr>
          <w:p>
            <w:pPr>
              <w:keepNext/>
              <w:pageBreakBefore w:val="0"/>
            </w:pPr>
          </w:p>
        </w:tc>
        <w:tc>
          <w:tcPr>
            <w:tcW w:w="3045" w:type="dxa"/>
            <w:vMerge/>
            <w:tcBorders>
              <w:top w:val="nil"/>
              <w:left w:val="single" w:sz="4" w:space="0" w:color="FFFFFF"/>
              <w:bottom w:val="single" w:sz="2" w:space="0" w:color="000000"/>
              <w:right w:val="nil"/>
            </w:tcBorders>
          </w:tcPr>
          <w:p>
            <w:pPr>
              <w:keepNext/>
              <w:pageBreakBefore w:val="0"/>
            </w:pPr>
          </w:p>
        </w:tc>
        <w:tc>
          <w:tcPr>
            <w:tcW w:w="885" w:type="dxa"/>
            <w:vMerge/>
            <w:tcBorders>
              <w:top w:val="nil"/>
              <w:left w:val="single" w:sz="4" w:space="0" w:color="FFFFFF"/>
              <w:bottom w:val="single" w:sz="2" w:space="0" w:color="000000"/>
              <w:right w:val="nil"/>
            </w:tcBorders>
          </w:tcPr>
          <w:p>
            <w:pPr>
              <w:keepNext/>
              <w:pageBreakBefore w:val="0"/>
            </w:pP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w:t>
            </w: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single" w:sz="4" w:space="0" w:color="FFFFFF"/>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single" w:sz="4" w:space="0" w:color="FFFFFF"/>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12120" w:type="dxa"/>
          <w:tblInd w:w="1417" w:type="dxa"/>
          <w:tblLayout w:type="fixed"/>
        </w:tblPrEx>
        <w:trPr>
          <w:cantSplit/>
          <w:trHeight w:hRule="auto" w:val="0"/>
        </w:trPr>
        <w:tc>
          <w:tcPr>
            <w:tcW w:w="12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86.386.700-2</w:t>
            </w:r>
          </w:p>
        </w:tc>
        <w:tc>
          <w:tcPr>
            <w:tcW w:w="3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Transformadores Tusan S.A.</w:t>
            </w:r>
          </w:p>
        </w:tc>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Chile</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center"/>
          </w:tcPr>
          <w:p>
            <w:pPr>
              <w:keepNext/>
              <w:pageBreakBefore w:val="0"/>
              <w:tabs>
                <w:tab w:val="left" w:pos="1"/>
              </w:tabs>
              <w:spacing w:before="0" w:after="0" w:line="240" w:lineRule="auto"/>
              <w:jc w:val="right"/>
            </w:pPr>
            <w:r>
              <w:rPr>
                <w:rFonts w:ascii="Calibri" w:eastAsia="Calibri" w:hAnsi="Calibri" w:cs="Calibri"/>
                <w:b w:val="0"/>
                <w:i w:val="0"/>
                <w:color w:val="000000"/>
                <w:sz w:val="16"/>
                <w:u w:val="none"/>
              </w:rPr>
              <w:tab/>
              <w:t>0,93000 %</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center"/>
          </w:tcPr>
          <w:p>
            <w:pPr>
              <w:keepNext/>
              <w:pageBreakBefore w:val="0"/>
              <w:tabs>
                <w:tab w:val="left" w:pos="1"/>
              </w:tabs>
              <w:spacing w:before="0" w:after="0" w:line="240" w:lineRule="auto"/>
              <w:jc w:val="right"/>
            </w:pPr>
            <w:r>
              <w:rPr>
                <w:rFonts w:ascii="Calibri" w:eastAsia="Calibri" w:hAnsi="Calibri" w:cs="Calibri"/>
                <w:b w:val="0"/>
                <w:i w:val="0"/>
                <w:color w:val="000000"/>
                <w:sz w:val="16"/>
                <w:u w:val="none"/>
              </w:rPr>
              <w:tab/>
              <w:t>0,93000 %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131.612</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41.102</w:t>
            </w:r>
          </w:p>
        </w:tc>
      </w:tr>
      <w:tr>
        <w:tblPrEx>
          <w:tblW w:w="12120" w:type="dxa"/>
          <w:tblInd w:w="1417" w:type="dxa"/>
          <w:tblLayout w:type="fixed"/>
        </w:tblPrEx>
        <w:trPr>
          <w:cantSplit/>
          <w:trHeight w:hRule="auto" w:val="0"/>
        </w:trPr>
        <w:tc>
          <w:tcPr>
            <w:tcW w:w="12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78.512.190-2</w:t>
            </w:r>
          </w:p>
        </w:tc>
        <w:tc>
          <w:tcPr>
            <w:tcW w:w="30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Energy Sur Ingeniería S.A.</w:t>
            </w:r>
          </w:p>
        </w:tc>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Chile</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center"/>
          </w:tcPr>
          <w:p>
            <w:pPr>
              <w:keepNext/>
              <w:pageBreakBefore w:val="0"/>
              <w:tabs>
                <w:tab w:val="left" w:pos="1"/>
              </w:tabs>
              <w:spacing w:before="0" w:after="0" w:line="240" w:lineRule="auto"/>
              <w:jc w:val="right"/>
            </w:pPr>
            <w:r>
              <w:rPr>
                <w:rFonts w:ascii="Calibri" w:eastAsia="Calibri" w:hAnsi="Calibri" w:cs="Calibri"/>
                <w:b w:val="0"/>
                <w:i w:val="0"/>
                <w:color w:val="000000"/>
                <w:sz w:val="16"/>
                <w:u w:val="none"/>
              </w:rPr>
              <w:tab/>
              <w:t>45,00000 %</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center"/>
          </w:tcPr>
          <w:p>
            <w:pPr>
              <w:keepNext/>
              <w:pageBreakBefore w:val="0"/>
              <w:tabs>
                <w:tab w:val="left" w:pos="1"/>
              </w:tabs>
              <w:spacing w:before="0" w:after="0" w:line="240" w:lineRule="auto"/>
              <w:jc w:val="right"/>
            </w:pPr>
            <w:r>
              <w:rPr>
                <w:rFonts w:ascii="Calibri" w:eastAsia="Calibri" w:hAnsi="Calibri" w:cs="Calibri"/>
                <w:b w:val="0"/>
                <w:i w:val="0"/>
                <w:color w:val="000000"/>
                <w:sz w:val="16"/>
                <w:u w:val="none"/>
              </w:rPr>
              <w:tab/>
              <w:t>45,00000 %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654.522</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32.656</w:t>
            </w:r>
          </w:p>
        </w:tc>
      </w:tr>
      <w:tr>
        <w:tblPrEx>
          <w:tblW w:w="12120" w:type="dxa"/>
          <w:tblInd w:w="1417" w:type="dxa"/>
          <w:tblLayout w:type="fixed"/>
        </w:tblPrEx>
        <w:trPr>
          <w:cantSplit/>
          <w:trHeight w:hRule="auto" w:val="0"/>
        </w:trPr>
        <w:tc>
          <w:tcPr>
            <w:tcW w:w="7320" w:type="dxa"/>
            <w:gridSpan w:val="5"/>
            <w:tcBorders>
              <w:top w:val="nil"/>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786.134</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73.758</w:t>
            </w:r>
          </w:p>
        </w:tc>
      </w:tr>
    </w:tbl>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
          <w:u w:val="none"/>
        </w:rPr>
      </w:pP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
          <w:u w:val="none"/>
        </w:rPr>
        <w:sectPr>
          <w:headerReference w:type="default" r:id="rId48"/>
          <w:footerReference w:type="default" r:id="rId49"/>
          <w:type w:val="continuous"/>
          <w:pgSz w:w="15840" w:h="12240" w:orient="landscape"/>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239" w:name="Section123"/>
      <w:bookmarkEnd w:id="239"/>
      <w:bookmarkStart w:id="240" w:name="6e65f98b342545dea8d15af79fee3636"/>
      <w:r>
        <w:rPr>
          <w:rFonts w:ascii="Calibri" w:eastAsia="Calibri" w:hAnsi="Calibri" w:cs="Calibri"/>
          <w:b/>
          <w:i w:val="0"/>
          <w:color w:val="000000"/>
          <w:sz w:val="20"/>
          <w:u w:val="none"/>
        </w:rPr>
        <w:t>26.7.-</w:t>
      </w:r>
      <w:r>
        <w:rPr>
          <w:rFonts w:ascii="Calibri" w:eastAsia="Calibri" w:hAnsi="Calibri" w:cs="Calibri"/>
          <w:b/>
          <w:i w:val="0"/>
          <w:color w:val="000000"/>
          <w:sz w:val="20"/>
          <w:u w:val="none"/>
        </w:rPr>
        <w:tab/>
      </w:r>
      <w:r>
        <w:rPr>
          <w:rFonts w:ascii="Calibri" w:eastAsia="Calibri" w:hAnsi="Calibri" w:cs="Calibri"/>
          <w:b/>
          <w:i w:val="0"/>
          <w:color w:val="000000"/>
          <w:sz w:val="20"/>
          <w:u w:val="none"/>
        </w:rPr>
        <w:t>Transacciones con participaciones no controladoras.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40"/>
    </w:p>
    <w:p>
      <w:pPr>
        <w:pStyle w:val="Normal-wk"/>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Al </w:t>
      </w:r>
      <w:r>
        <w:rPr>
          <w:rFonts w:ascii="Calibri" w:eastAsia="Calibri" w:hAnsi="Calibri" w:cs="Calibri"/>
          <w:b w:val="0"/>
          <w:i w:val="0"/>
          <w:color w:val="000000"/>
          <w:sz w:val="20"/>
          <w:u w:val="none"/>
        </w:rPr>
        <w:t>30 de junio de 2026</w:t>
      </w:r>
      <w:r>
        <w:rPr>
          <w:rFonts w:ascii="Calibri" w:eastAsia="Calibri" w:hAnsi="Calibri" w:cs="Calibri"/>
          <w:b w:val="0"/>
          <w:i w:val="0"/>
          <w:sz w:val="20"/>
        </w:rPr>
        <w:t xml:space="preserve"> y</w:t>
      </w:r>
      <w:r>
        <w:rPr>
          <w:rFonts w:ascii="Calibri" w:eastAsia="Calibri" w:hAnsi="Calibri" w:cs="Calibri"/>
          <w:b w:val="0"/>
          <w:i w:val="0"/>
          <w:color w:val="000000"/>
          <w:sz w:val="20"/>
          <w:u w:val="none"/>
        </w:rPr>
        <w:t xml:space="preserve">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 xml:space="preserve"> no hay transacciones con participaciones no controladoras.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3"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Estas transacciones, de existir, se contabilizan de acuerdo con lo descrito en Nota 3.4.2, imputando la diferencia entre el monto pagado y el valor libros de la inversión adquirida a otras reservas del patrimonio neto, en el rubro “otros incrementos (decrementos) en patrimonio neto”.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headerReference w:type="default" r:id="rId50"/>
          <w:footerReference w:type="default" r:id="rId51"/>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241" w:name="Section124"/>
      <w:bookmarkEnd w:id="241"/>
      <w:bookmarkStart w:id="242" w:name="4f3c5076911649378cdcbc2fb84dd6a5"/>
      <w:r>
        <w:rPr>
          <w:rFonts w:ascii="Calibri" w:eastAsia="Calibri" w:hAnsi="Calibri" w:cs="Calibri"/>
          <w:b/>
          <w:i w:val="0"/>
          <w:color w:val="000000"/>
          <w:sz w:val="20"/>
          <w:u w:val="none"/>
        </w:rPr>
        <w:t>26.8.-</w:t>
      </w:r>
      <w:r>
        <w:rPr>
          <w:rFonts w:ascii="Calibri" w:eastAsia="Calibri" w:hAnsi="Calibri" w:cs="Calibri"/>
          <w:b/>
          <w:i w:val="0"/>
          <w:color w:val="000000"/>
          <w:sz w:val="20"/>
          <w:u w:val="none"/>
        </w:rPr>
        <w:tab/>
      </w:r>
      <w:r>
        <w:rPr>
          <w:rFonts w:ascii="Calibri" w:eastAsia="Calibri" w:hAnsi="Calibri" w:cs="Calibri"/>
          <w:b/>
          <w:i w:val="0"/>
          <w:color w:val="000000"/>
          <w:sz w:val="20"/>
          <w:u w:val="none"/>
        </w:rPr>
        <w:t>Reconciliación del movimiento en reservas de los otros resultados integrales.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16"/>
          <w:u w:val="none"/>
        </w:rPr>
      </w:pPr>
      <w:bookmarkEnd w:id="242"/>
    </w:p>
    <w:p>
      <w:pPr>
        <w:pStyle w:val="Normal-wk"/>
        <w:keepNext w:val="0"/>
        <w:keepLines/>
        <w:pageBreakBefore w:val="0"/>
        <w:widowControl w:val="0"/>
        <w:numPr>
          <w:ilvl w:val="0"/>
          <w:numId w:val="0"/>
        </w:numPr>
        <w:spacing w:before="0" w:after="0" w:line="288" w:lineRule="auto"/>
        <w:ind w:left="708" w:right="0" w:firstLine="708"/>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Movimientos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770"/>
        <w:gridCol w:w="780"/>
        <w:gridCol w:w="720"/>
        <w:gridCol w:w="780"/>
        <w:gridCol w:w="705"/>
        <w:gridCol w:w="705"/>
        <w:gridCol w:w="705"/>
        <w:gridCol w:w="765"/>
        <w:gridCol w:w="750"/>
        <w:gridCol w:w="870"/>
      </w:tblGrid>
      <w:tr>
        <w:tblPrEx>
          <w:tblW w:w="8550" w:type="dxa"/>
          <w:tblInd w:w="1417" w:type="dxa"/>
          <w:tblLayout w:type="fixed"/>
        </w:tblPrEx>
        <w:trPr>
          <w:cantSplit/>
          <w:trHeight w:hRule="auto" w:val="0"/>
          <w:tblHeader/>
        </w:trPr>
        <w:tc>
          <w:tcPr>
            <w:tcW w:w="1770" w:type="dxa"/>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Movimientos de otros resultados integrales al</w:t>
            </w:r>
          </w:p>
        </w:tc>
        <w:tc>
          <w:tcPr>
            <w:tcW w:w="2280" w:type="dxa"/>
            <w:gridSpan w:val="3"/>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Porción atribuible a los accionistas de la controladora</w:t>
            </w:r>
          </w:p>
        </w:tc>
        <w:tc>
          <w:tcPr>
            <w:tcW w:w="2115" w:type="dxa"/>
            <w:gridSpan w:val="3"/>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Porción atribuible al interés no controlante</w:t>
            </w:r>
          </w:p>
        </w:tc>
        <w:tc>
          <w:tcPr>
            <w:tcW w:w="2385" w:type="dxa"/>
            <w:gridSpan w:val="3"/>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Total</w:t>
            </w:r>
          </w:p>
        </w:tc>
      </w:tr>
      <w:tr>
        <w:tblPrEx>
          <w:tblW w:w="8550" w:type="dxa"/>
          <w:tblInd w:w="1417" w:type="dxa"/>
          <w:tblLayout w:type="fixed"/>
        </w:tblPrEx>
        <w:trPr>
          <w:cantSplit/>
          <w:trHeight w:hRule="auto" w:val="0"/>
          <w:tblHeader/>
        </w:trPr>
        <w:tc>
          <w:tcPr>
            <w:tcW w:w="1770" w:type="dxa"/>
            <w:tcBorders>
              <w:top w:val="nil"/>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30-06-2026</w:t>
            </w:r>
          </w:p>
        </w:tc>
        <w:tc>
          <w:tcPr>
            <w:tcW w:w="78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Importe bruto</w:t>
            </w:r>
          </w:p>
        </w:tc>
        <w:tc>
          <w:tcPr>
            <w:tcW w:w="72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Efecto tributario</w:t>
            </w:r>
          </w:p>
        </w:tc>
        <w:tc>
          <w:tcPr>
            <w:tcW w:w="78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Importe neto</w:t>
            </w:r>
          </w:p>
        </w:tc>
        <w:tc>
          <w:tcPr>
            <w:tcW w:w="7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Importe bruto</w:t>
            </w:r>
          </w:p>
        </w:tc>
        <w:tc>
          <w:tcPr>
            <w:tcW w:w="7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Efecto tributario</w:t>
            </w:r>
          </w:p>
        </w:tc>
        <w:tc>
          <w:tcPr>
            <w:tcW w:w="7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Importe neto</w:t>
            </w:r>
          </w:p>
        </w:tc>
        <w:tc>
          <w:tcPr>
            <w:tcW w:w="76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Importe bruto</w:t>
            </w:r>
          </w:p>
        </w:tc>
        <w:tc>
          <w:tcPr>
            <w:tcW w:w="75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Efecto tributario</w:t>
            </w:r>
          </w:p>
        </w:tc>
        <w:tc>
          <w:tcPr>
            <w:tcW w:w="87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Importe neto</w:t>
            </w:r>
          </w:p>
        </w:tc>
      </w:tr>
      <w:tr>
        <w:tblPrEx>
          <w:tblW w:w="8550" w:type="dxa"/>
          <w:tblInd w:w="1417" w:type="dxa"/>
          <w:tblLayout w:type="fixed"/>
        </w:tblPrEx>
        <w:trPr>
          <w:cantSplit/>
          <w:trHeight w:hRule="auto" w:val="0"/>
          <w:tblHeader/>
        </w:trPr>
        <w:tc>
          <w:tcPr>
            <w:tcW w:w="1770" w:type="dxa"/>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p>
        </w:tc>
        <w:tc>
          <w:tcPr>
            <w:tcW w:w="78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2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8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6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5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87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r>
      <w:tr>
        <w:tblPrEx>
          <w:tblW w:w="8550" w:type="dxa"/>
          <w:tblInd w:w="1417" w:type="dxa"/>
          <w:tblLayout w:type="fixed"/>
        </w:tblPrEx>
        <w:trPr>
          <w:cantSplit/>
          <w:trHeight w:hRule="exact" w:val="60"/>
          <w:tblHeader/>
        </w:trPr>
        <w:tc>
          <w:tcPr>
            <w:tcW w:w="177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7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blHeader/>
        </w:trPr>
        <w:tc>
          <w:tcPr>
            <w:tcW w:w="177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Ganancia (pérdida) después de impuestos</w:t>
            </w:r>
          </w:p>
        </w:tc>
        <w:tc>
          <w:tcPr>
            <w:tcW w:w="78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72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78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7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7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7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76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75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87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r>
      <w:tr>
        <w:tblPrEx>
          <w:tblW w:w="8550" w:type="dxa"/>
          <w:tblInd w:w="1417" w:type="dxa"/>
          <w:tblLayout w:type="fixed"/>
        </w:tblPrEx>
        <w:trPr>
          <w:cantSplit/>
          <w:trHeight w:hRule="exact" w:val="60"/>
          <w:tblHeader/>
        </w:trPr>
        <w:tc>
          <w:tcPr>
            <w:tcW w:w="177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8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72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78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7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7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7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76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75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87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177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Reservas de cobertura de flujo de efectivo</w:t>
            </w:r>
          </w:p>
        </w:tc>
        <w:tc>
          <w:tcPr>
            <w:tcW w:w="78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72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78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70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70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70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76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75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87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exact" w:val="60"/>
        </w:trPr>
        <w:tc>
          <w:tcPr>
            <w:tcW w:w="177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8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2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8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6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5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7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177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Ganancias (pérdidas) por coberturas de flujo de efectivo.</w:t>
            </w:r>
          </w:p>
        </w:tc>
        <w:tc>
          <w:tcPr>
            <w:tcW w:w="7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1.247.327</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(336.778)</w:t>
            </w:r>
          </w:p>
        </w:tc>
        <w:tc>
          <w:tcPr>
            <w:tcW w:w="7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910.549</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1.247.327</w:t>
            </w:r>
          </w:p>
        </w:tc>
        <w:tc>
          <w:tcPr>
            <w:tcW w:w="75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(336.778)</w:t>
            </w:r>
          </w:p>
        </w:tc>
        <w:tc>
          <w:tcPr>
            <w:tcW w:w="87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910.549</w:t>
            </w:r>
          </w:p>
        </w:tc>
      </w:tr>
      <w:tr>
        <w:tblPrEx>
          <w:tblW w:w="8550" w:type="dxa"/>
          <w:tblInd w:w="1417" w:type="dxa"/>
          <w:tblLayout w:type="fixed"/>
        </w:tblPrEx>
        <w:trPr>
          <w:cantSplit/>
          <w:trHeight w:hRule="auto" w:val="0"/>
        </w:trPr>
        <w:tc>
          <w:tcPr>
            <w:tcW w:w="177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7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exact" w:val="345"/>
        </w:trPr>
        <w:tc>
          <w:tcPr>
            <w:tcW w:w="177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Total movimientos del periodo o ejercicio</w:t>
            </w:r>
          </w:p>
        </w:tc>
        <w:tc>
          <w:tcPr>
            <w:tcW w:w="78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1.247.327</w:t>
            </w:r>
          </w:p>
        </w:tc>
        <w:tc>
          <w:tcPr>
            <w:tcW w:w="72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(336.778)</w:t>
            </w:r>
          </w:p>
        </w:tc>
        <w:tc>
          <w:tcPr>
            <w:tcW w:w="78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910.549</w:t>
            </w:r>
          </w:p>
        </w:tc>
        <w:tc>
          <w:tcPr>
            <w:tcW w:w="7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7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7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76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1.247.327</w:t>
            </w:r>
          </w:p>
        </w:tc>
        <w:tc>
          <w:tcPr>
            <w:tcW w:w="75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(336.778)</w:t>
            </w:r>
          </w:p>
        </w:tc>
        <w:tc>
          <w:tcPr>
            <w:tcW w:w="87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910.549</w:t>
            </w:r>
          </w:p>
        </w:tc>
      </w:tr>
      <w:tr>
        <w:tblPrEx>
          <w:tblW w:w="8550" w:type="dxa"/>
          <w:tblInd w:w="1417" w:type="dxa"/>
          <w:tblLayout w:type="fixed"/>
        </w:tblPrEx>
        <w:trPr>
          <w:cantSplit/>
          <w:trHeight w:hRule="auto" w:val="0"/>
        </w:trPr>
        <w:tc>
          <w:tcPr>
            <w:tcW w:w="177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8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72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78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7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7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7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76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75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87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exact" w:val="465"/>
        </w:trPr>
        <w:tc>
          <w:tcPr>
            <w:tcW w:w="177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Reservas ganancias o pérdidas actuariales planes beneficios definidos</w:t>
            </w:r>
          </w:p>
        </w:tc>
        <w:tc>
          <w:tcPr>
            <w:tcW w:w="78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72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78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70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70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70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76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75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87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177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8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2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8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6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5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7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exact" w:val="465"/>
        </w:trPr>
        <w:tc>
          <w:tcPr>
            <w:tcW w:w="177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Ganancias (pérdidas) por nuevas mediciones de planes de beneficios definidos.</w:t>
            </w:r>
          </w:p>
        </w:tc>
        <w:tc>
          <w:tcPr>
            <w:tcW w:w="7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(17.476.651)</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4.718.696</w:t>
            </w:r>
          </w:p>
        </w:tc>
        <w:tc>
          <w:tcPr>
            <w:tcW w:w="7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(12.757.955)</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103</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(28)</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75</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(17.476.548)</w:t>
            </w:r>
          </w:p>
        </w:tc>
        <w:tc>
          <w:tcPr>
            <w:tcW w:w="75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4.718.668</w:t>
            </w:r>
          </w:p>
        </w:tc>
        <w:tc>
          <w:tcPr>
            <w:tcW w:w="87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(12.757.880)</w:t>
            </w:r>
          </w:p>
        </w:tc>
      </w:tr>
      <w:tr>
        <w:tblPrEx>
          <w:tblW w:w="8550" w:type="dxa"/>
          <w:tblInd w:w="1417" w:type="dxa"/>
          <w:tblLayout w:type="fixed"/>
        </w:tblPrEx>
        <w:trPr>
          <w:cantSplit/>
          <w:trHeight w:hRule="auto" w:val="0"/>
        </w:trPr>
        <w:tc>
          <w:tcPr>
            <w:tcW w:w="177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7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177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Total movimientos del periodo o ejercicio</w:t>
            </w:r>
          </w:p>
        </w:tc>
        <w:tc>
          <w:tcPr>
            <w:tcW w:w="78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(17.476.651)</w:t>
            </w:r>
          </w:p>
        </w:tc>
        <w:tc>
          <w:tcPr>
            <w:tcW w:w="72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4.718.696</w:t>
            </w:r>
          </w:p>
        </w:tc>
        <w:tc>
          <w:tcPr>
            <w:tcW w:w="78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(12.757.955)</w:t>
            </w:r>
          </w:p>
        </w:tc>
        <w:tc>
          <w:tcPr>
            <w:tcW w:w="7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103</w:t>
            </w:r>
          </w:p>
        </w:tc>
        <w:tc>
          <w:tcPr>
            <w:tcW w:w="7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(28)</w:t>
            </w:r>
          </w:p>
        </w:tc>
        <w:tc>
          <w:tcPr>
            <w:tcW w:w="7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75</w:t>
            </w:r>
          </w:p>
        </w:tc>
        <w:tc>
          <w:tcPr>
            <w:tcW w:w="76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(17.476.548)</w:t>
            </w:r>
          </w:p>
        </w:tc>
        <w:tc>
          <w:tcPr>
            <w:tcW w:w="75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4.718.668</w:t>
            </w:r>
          </w:p>
        </w:tc>
        <w:tc>
          <w:tcPr>
            <w:tcW w:w="87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(12.757.880)</w:t>
            </w:r>
          </w:p>
        </w:tc>
      </w:tr>
      <w:tr>
        <w:tblPrEx>
          <w:tblW w:w="8550" w:type="dxa"/>
          <w:tblInd w:w="1417" w:type="dxa"/>
          <w:tblLayout w:type="fixed"/>
        </w:tblPrEx>
        <w:trPr>
          <w:cantSplit/>
          <w:trHeight w:hRule="exact" w:val="60"/>
        </w:trPr>
        <w:tc>
          <w:tcPr>
            <w:tcW w:w="177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8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72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7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7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7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6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75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87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177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2"/>
                <w:u w:val="none"/>
              </w:rPr>
              <w:t>Total resultado integral</w:t>
            </w:r>
          </w:p>
        </w:tc>
        <w:tc>
          <w:tcPr>
            <w:tcW w:w="780" w:type="dxa"/>
            <w:tcBorders>
              <w:top w:val="nil"/>
              <w:left w:val="single" w:sz="2" w:space="0" w:color="000000"/>
              <w:bottom w:val="nil"/>
              <w:right w:val="nil"/>
            </w:tcBorders>
            <w:tcMar>
              <w:top w:w="0" w:type="dxa"/>
              <w:left w:w="0" w:type="dxa"/>
              <w:bottom w:w="0" w:type="dxa"/>
              <w:right w:w="0" w:type="dxa"/>
            </w:tcMar>
            <w:vAlign w:val="bottom"/>
          </w:tcPr>
          <w:p>
            <w:pPr>
              <w:pageBreakBefore w:val="0"/>
              <w:spacing w:before="0" w:after="0"/>
            </w:pPr>
          </w:p>
        </w:tc>
        <w:tc>
          <w:tcPr>
            <w:tcW w:w="720"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7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(11.847.406)</w:t>
            </w:r>
          </w:p>
        </w:tc>
        <w:tc>
          <w:tcPr>
            <w:tcW w:w="705" w:type="dxa"/>
            <w:tcBorders>
              <w:top w:val="nil"/>
              <w:left w:val="single" w:sz="2" w:space="0" w:color="000000"/>
              <w:bottom w:val="nil"/>
              <w:right w:val="nil"/>
            </w:tcBorders>
            <w:tcMar>
              <w:top w:w="0" w:type="dxa"/>
              <w:left w:w="0" w:type="dxa"/>
              <w:bottom w:w="0" w:type="dxa"/>
              <w:right w:w="0" w:type="dxa"/>
            </w:tcMar>
            <w:vAlign w:val="bottom"/>
          </w:tcPr>
          <w:p>
            <w:pPr>
              <w:pageBreakBefore w:val="0"/>
              <w:spacing w:before="0" w:after="0"/>
            </w:pPr>
          </w:p>
        </w:tc>
        <w:tc>
          <w:tcPr>
            <w:tcW w:w="70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75</w:t>
            </w:r>
          </w:p>
        </w:tc>
        <w:tc>
          <w:tcPr>
            <w:tcW w:w="765" w:type="dxa"/>
            <w:tcBorders>
              <w:top w:val="nil"/>
              <w:left w:val="single" w:sz="2" w:space="0" w:color="000000"/>
              <w:bottom w:val="nil"/>
              <w:right w:val="nil"/>
            </w:tcBorders>
            <w:tcMar>
              <w:top w:w="0" w:type="dxa"/>
              <w:left w:w="0" w:type="dxa"/>
              <w:bottom w:w="0" w:type="dxa"/>
              <w:right w:w="0" w:type="dxa"/>
            </w:tcMar>
            <w:vAlign w:val="bottom"/>
          </w:tcPr>
          <w:p>
            <w:pPr>
              <w:pageBreakBefore w:val="0"/>
              <w:spacing w:before="0" w:after="0"/>
            </w:pPr>
          </w:p>
        </w:tc>
        <w:tc>
          <w:tcPr>
            <w:tcW w:w="750"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87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(11.847.331)</w:t>
            </w:r>
          </w:p>
        </w:tc>
      </w:tr>
    </w:tbl>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Movimientos al </w:t>
      </w:r>
      <w:r>
        <w:rPr>
          <w:rFonts w:ascii="Calibri" w:eastAsia="Calibri" w:hAnsi="Calibri" w:cs="Calibri"/>
          <w:b w:val="0"/>
          <w:i w:val="0"/>
          <w:color w:val="000000"/>
          <w:sz w:val="20"/>
          <w:u w:val="none"/>
        </w:rPr>
        <w:t>30 de junio de 2025</w:t>
      </w:r>
      <w:r>
        <w:rPr>
          <w:rFonts w:ascii="Calibri" w:eastAsia="Calibri" w:hAnsi="Calibri" w:cs="Calibri"/>
          <w:b w:val="0"/>
          <w:i w:val="0"/>
          <w:color w:val="000000"/>
          <w:sz w:val="20"/>
          <w:u w:val="none"/>
        </w:rPr>
        <w:t>.</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p>
    <w:tbl>
      <w:tblPr>
        <w:tblW w:w="852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770"/>
        <w:gridCol w:w="750"/>
        <w:gridCol w:w="750"/>
        <w:gridCol w:w="750"/>
        <w:gridCol w:w="750"/>
        <w:gridCol w:w="750"/>
        <w:gridCol w:w="750"/>
        <w:gridCol w:w="750"/>
        <w:gridCol w:w="750"/>
        <w:gridCol w:w="750"/>
      </w:tblGrid>
      <w:tr>
        <w:tblPrEx>
          <w:tblW w:w="8520" w:type="dxa"/>
          <w:tblInd w:w="1417" w:type="dxa"/>
          <w:tblLayout w:type="fixed"/>
        </w:tblPrEx>
        <w:trPr>
          <w:cantSplit/>
          <w:trHeight w:hRule="auto" w:val="0"/>
          <w:tblHeader/>
        </w:trPr>
        <w:tc>
          <w:tcPr>
            <w:tcW w:w="1770" w:type="dxa"/>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Movimientos de otros resultados integrales al</w:t>
            </w:r>
          </w:p>
        </w:tc>
        <w:tc>
          <w:tcPr>
            <w:tcW w:w="2250" w:type="dxa"/>
            <w:gridSpan w:val="3"/>
            <w:tcBorders>
              <w:top w:val="single" w:sz="2" w:space="0" w:color="000000"/>
              <w:left w:val="single" w:sz="4" w:space="0" w:color="FFFFFF"/>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Porción atribuible a los accionistas de la controladora</w:t>
            </w:r>
          </w:p>
        </w:tc>
        <w:tc>
          <w:tcPr>
            <w:tcW w:w="2250" w:type="dxa"/>
            <w:gridSpan w:val="3"/>
            <w:tcBorders>
              <w:top w:val="single" w:sz="2" w:space="0" w:color="000000"/>
              <w:left w:val="single" w:sz="4" w:space="0" w:color="FFFFFF"/>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Porción atribuible al interés no controlante</w:t>
            </w:r>
          </w:p>
        </w:tc>
        <w:tc>
          <w:tcPr>
            <w:tcW w:w="2250" w:type="dxa"/>
            <w:gridSpan w:val="3"/>
            <w:tcBorders>
              <w:top w:val="single" w:sz="2" w:space="0" w:color="000000"/>
              <w:left w:val="single" w:sz="4" w:space="0" w:color="FFFFFF"/>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Total</w:t>
            </w:r>
          </w:p>
        </w:tc>
      </w:tr>
      <w:tr>
        <w:tblPrEx>
          <w:tblW w:w="8520" w:type="dxa"/>
          <w:tblInd w:w="1417" w:type="dxa"/>
          <w:tblLayout w:type="fixed"/>
        </w:tblPrEx>
        <w:trPr>
          <w:cantSplit/>
          <w:trHeight w:hRule="auto" w:val="0"/>
          <w:tblHeader/>
        </w:trPr>
        <w:tc>
          <w:tcPr>
            <w:tcW w:w="1770" w:type="dxa"/>
            <w:tcBorders>
              <w:top w:val="nil"/>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30-06-2025</w:t>
            </w:r>
          </w:p>
        </w:tc>
        <w:tc>
          <w:tcPr>
            <w:tcW w:w="75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Importe bruto</w:t>
            </w:r>
          </w:p>
        </w:tc>
        <w:tc>
          <w:tcPr>
            <w:tcW w:w="75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Efecto tributario</w:t>
            </w:r>
          </w:p>
        </w:tc>
        <w:tc>
          <w:tcPr>
            <w:tcW w:w="75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Importe neto</w:t>
            </w:r>
          </w:p>
        </w:tc>
        <w:tc>
          <w:tcPr>
            <w:tcW w:w="75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Importe bruto</w:t>
            </w:r>
          </w:p>
        </w:tc>
        <w:tc>
          <w:tcPr>
            <w:tcW w:w="75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Efecto tributario</w:t>
            </w:r>
          </w:p>
        </w:tc>
        <w:tc>
          <w:tcPr>
            <w:tcW w:w="75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Importe neto</w:t>
            </w:r>
          </w:p>
        </w:tc>
        <w:tc>
          <w:tcPr>
            <w:tcW w:w="75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Importe bruto</w:t>
            </w:r>
          </w:p>
        </w:tc>
        <w:tc>
          <w:tcPr>
            <w:tcW w:w="75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Efecto tributario</w:t>
            </w:r>
          </w:p>
        </w:tc>
        <w:tc>
          <w:tcPr>
            <w:tcW w:w="75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Importe neto</w:t>
            </w:r>
          </w:p>
        </w:tc>
      </w:tr>
      <w:tr>
        <w:tblPrEx>
          <w:tblW w:w="8520" w:type="dxa"/>
          <w:tblInd w:w="1417" w:type="dxa"/>
          <w:tblLayout w:type="fixed"/>
        </w:tblPrEx>
        <w:trPr>
          <w:cantSplit/>
          <w:trHeight w:hRule="auto" w:val="0"/>
          <w:tblHeader/>
        </w:trPr>
        <w:tc>
          <w:tcPr>
            <w:tcW w:w="1770" w:type="dxa"/>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p>
        </w:tc>
        <w:tc>
          <w:tcPr>
            <w:tcW w:w="75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5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5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5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5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5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5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5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5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r>
      <w:tr>
        <w:tblPrEx>
          <w:tblW w:w="8520" w:type="dxa"/>
          <w:tblInd w:w="1417" w:type="dxa"/>
          <w:tblLayout w:type="fixed"/>
        </w:tblPrEx>
        <w:trPr>
          <w:cantSplit/>
          <w:trHeight w:hRule="exact" w:val="60"/>
          <w:tblHeader/>
        </w:trPr>
        <w:tc>
          <w:tcPr>
            <w:tcW w:w="177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20" w:type="dxa"/>
          <w:tblInd w:w="1417" w:type="dxa"/>
          <w:tblLayout w:type="fixed"/>
        </w:tblPrEx>
        <w:trPr>
          <w:cantSplit/>
          <w:trHeight w:hRule="auto" w:val="0"/>
          <w:tblHeader/>
        </w:trPr>
        <w:tc>
          <w:tcPr>
            <w:tcW w:w="177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Ganancia (pérdida) después de impuestos</w:t>
            </w:r>
          </w:p>
        </w:tc>
        <w:tc>
          <w:tcPr>
            <w:tcW w:w="75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75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75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29.597.988</w:t>
            </w:r>
          </w:p>
        </w:tc>
        <w:tc>
          <w:tcPr>
            <w:tcW w:w="75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75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75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41.518</w:t>
            </w:r>
          </w:p>
        </w:tc>
        <w:tc>
          <w:tcPr>
            <w:tcW w:w="75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75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75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29.639.506</w:t>
            </w:r>
          </w:p>
        </w:tc>
      </w:tr>
      <w:tr>
        <w:tblPrEx>
          <w:tblW w:w="8520" w:type="dxa"/>
          <w:tblInd w:w="1417" w:type="dxa"/>
          <w:tblLayout w:type="fixed"/>
        </w:tblPrEx>
        <w:trPr>
          <w:cantSplit/>
          <w:trHeight w:hRule="exact" w:val="60"/>
          <w:tblHeader/>
        </w:trPr>
        <w:tc>
          <w:tcPr>
            <w:tcW w:w="177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5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75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75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75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75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75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75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75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75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20" w:type="dxa"/>
          <w:tblInd w:w="1417" w:type="dxa"/>
          <w:tblLayout w:type="fixed"/>
        </w:tblPrEx>
        <w:trPr>
          <w:cantSplit/>
          <w:trHeight w:hRule="auto" w:val="0"/>
        </w:trPr>
        <w:tc>
          <w:tcPr>
            <w:tcW w:w="177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Reservas de cobertura de flujo de caja</w:t>
            </w:r>
          </w:p>
        </w:tc>
        <w:tc>
          <w:tcPr>
            <w:tcW w:w="75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75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75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75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75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75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75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75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75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20" w:type="dxa"/>
          <w:tblInd w:w="1417" w:type="dxa"/>
          <w:tblLayout w:type="fixed"/>
        </w:tblPrEx>
        <w:trPr>
          <w:cantSplit/>
          <w:trHeight w:hRule="exact" w:val="60"/>
        </w:trPr>
        <w:tc>
          <w:tcPr>
            <w:tcW w:w="177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5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5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5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5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5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5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5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5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5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20" w:type="dxa"/>
          <w:tblInd w:w="1417" w:type="dxa"/>
          <w:tblLayout w:type="fixed"/>
        </w:tblPrEx>
        <w:trPr>
          <w:cantSplit/>
          <w:trHeight w:hRule="auto" w:val="0"/>
        </w:trPr>
        <w:tc>
          <w:tcPr>
            <w:tcW w:w="177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Ganancias (pérdidas) por coberturas de flujo de efectivo.</w:t>
            </w:r>
          </w:p>
        </w:tc>
        <w:tc>
          <w:tcPr>
            <w:tcW w:w="75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(1.124.886)</w:t>
            </w:r>
          </w:p>
        </w:tc>
        <w:tc>
          <w:tcPr>
            <w:tcW w:w="75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303.719</w:t>
            </w:r>
          </w:p>
        </w:tc>
        <w:tc>
          <w:tcPr>
            <w:tcW w:w="75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(821.167)</w:t>
            </w:r>
          </w:p>
        </w:tc>
        <w:tc>
          <w:tcPr>
            <w:tcW w:w="75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5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5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5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(1.124.886)</w:t>
            </w:r>
          </w:p>
        </w:tc>
        <w:tc>
          <w:tcPr>
            <w:tcW w:w="75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303.719</w:t>
            </w:r>
          </w:p>
        </w:tc>
        <w:tc>
          <w:tcPr>
            <w:tcW w:w="75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(821.167)</w:t>
            </w:r>
          </w:p>
        </w:tc>
      </w:tr>
      <w:tr>
        <w:tblPrEx>
          <w:tblW w:w="8520" w:type="dxa"/>
          <w:tblInd w:w="1417" w:type="dxa"/>
          <w:tblLayout w:type="fixed"/>
        </w:tblPrEx>
        <w:trPr>
          <w:cantSplit/>
          <w:trHeight w:hRule="auto" w:val="0"/>
        </w:trPr>
        <w:tc>
          <w:tcPr>
            <w:tcW w:w="177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20" w:type="dxa"/>
          <w:tblInd w:w="1417" w:type="dxa"/>
          <w:tblLayout w:type="fixed"/>
        </w:tblPrEx>
        <w:trPr>
          <w:cantSplit/>
          <w:trHeight w:hRule="exact" w:val="345"/>
        </w:trPr>
        <w:tc>
          <w:tcPr>
            <w:tcW w:w="177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Total movimientos del período o ejercicio</w:t>
            </w:r>
          </w:p>
        </w:tc>
        <w:tc>
          <w:tcPr>
            <w:tcW w:w="75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(1.124.886)</w:t>
            </w:r>
          </w:p>
        </w:tc>
        <w:tc>
          <w:tcPr>
            <w:tcW w:w="75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303.719</w:t>
            </w:r>
          </w:p>
        </w:tc>
        <w:tc>
          <w:tcPr>
            <w:tcW w:w="75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(821.167)</w:t>
            </w:r>
          </w:p>
        </w:tc>
        <w:tc>
          <w:tcPr>
            <w:tcW w:w="75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75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75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75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(1.124.886)</w:t>
            </w:r>
          </w:p>
        </w:tc>
        <w:tc>
          <w:tcPr>
            <w:tcW w:w="75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303.719</w:t>
            </w:r>
          </w:p>
        </w:tc>
        <w:tc>
          <w:tcPr>
            <w:tcW w:w="75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(821.167)</w:t>
            </w:r>
          </w:p>
        </w:tc>
      </w:tr>
      <w:tr>
        <w:tblPrEx>
          <w:tblW w:w="8520" w:type="dxa"/>
          <w:tblInd w:w="1417" w:type="dxa"/>
          <w:tblLayout w:type="fixed"/>
        </w:tblPrEx>
        <w:trPr>
          <w:cantSplit/>
          <w:trHeight w:hRule="auto" w:val="0"/>
        </w:trPr>
        <w:tc>
          <w:tcPr>
            <w:tcW w:w="177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5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75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75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75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75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75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75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75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75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20" w:type="dxa"/>
          <w:tblInd w:w="1417" w:type="dxa"/>
          <w:tblLayout w:type="fixed"/>
        </w:tblPrEx>
        <w:trPr>
          <w:cantSplit/>
          <w:trHeight w:hRule="exact" w:val="465"/>
        </w:trPr>
        <w:tc>
          <w:tcPr>
            <w:tcW w:w="177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Reservas ganancias o pérdidas actuariales planes beneficios definidos</w:t>
            </w:r>
          </w:p>
        </w:tc>
        <w:tc>
          <w:tcPr>
            <w:tcW w:w="75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75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75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75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75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75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75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75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75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20" w:type="dxa"/>
          <w:tblInd w:w="1417" w:type="dxa"/>
          <w:tblLayout w:type="fixed"/>
        </w:tblPrEx>
        <w:trPr>
          <w:cantSplit/>
          <w:trHeight w:hRule="auto" w:val="0"/>
        </w:trPr>
        <w:tc>
          <w:tcPr>
            <w:tcW w:w="177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5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5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5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5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5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5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5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5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5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20" w:type="dxa"/>
          <w:tblInd w:w="1417" w:type="dxa"/>
          <w:tblLayout w:type="fixed"/>
        </w:tblPrEx>
        <w:trPr>
          <w:cantSplit/>
          <w:trHeight w:hRule="exact" w:val="465"/>
        </w:trPr>
        <w:tc>
          <w:tcPr>
            <w:tcW w:w="177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Ganancias (pérdidas) por nuevas mediciones de planes de beneficios definidos.</w:t>
            </w:r>
          </w:p>
        </w:tc>
        <w:tc>
          <w:tcPr>
            <w:tcW w:w="75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296.534</w:t>
            </w:r>
          </w:p>
        </w:tc>
        <w:tc>
          <w:tcPr>
            <w:tcW w:w="75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(80.063)</w:t>
            </w:r>
          </w:p>
        </w:tc>
        <w:tc>
          <w:tcPr>
            <w:tcW w:w="75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216.471</w:t>
            </w:r>
          </w:p>
        </w:tc>
        <w:tc>
          <w:tcPr>
            <w:tcW w:w="75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736</w:t>
            </w:r>
          </w:p>
        </w:tc>
        <w:tc>
          <w:tcPr>
            <w:tcW w:w="75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(199)</w:t>
            </w:r>
          </w:p>
        </w:tc>
        <w:tc>
          <w:tcPr>
            <w:tcW w:w="75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537</w:t>
            </w:r>
          </w:p>
        </w:tc>
        <w:tc>
          <w:tcPr>
            <w:tcW w:w="75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297.270</w:t>
            </w:r>
          </w:p>
        </w:tc>
        <w:tc>
          <w:tcPr>
            <w:tcW w:w="75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(80.262)</w:t>
            </w:r>
          </w:p>
        </w:tc>
        <w:tc>
          <w:tcPr>
            <w:tcW w:w="75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217.008</w:t>
            </w:r>
          </w:p>
        </w:tc>
      </w:tr>
      <w:tr>
        <w:tblPrEx>
          <w:tblW w:w="8520" w:type="dxa"/>
          <w:tblInd w:w="1417" w:type="dxa"/>
          <w:tblLayout w:type="fixed"/>
        </w:tblPrEx>
        <w:trPr>
          <w:cantSplit/>
          <w:trHeight w:hRule="auto" w:val="0"/>
        </w:trPr>
        <w:tc>
          <w:tcPr>
            <w:tcW w:w="177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20" w:type="dxa"/>
          <w:tblInd w:w="1417" w:type="dxa"/>
          <w:tblLayout w:type="fixed"/>
        </w:tblPrEx>
        <w:trPr>
          <w:cantSplit/>
          <w:trHeight w:hRule="auto" w:val="0"/>
        </w:trPr>
        <w:tc>
          <w:tcPr>
            <w:tcW w:w="177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Total movimientos del período o ejercicio</w:t>
            </w:r>
          </w:p>
        </w:tc>
        <w:tc>
          <w:tcPr>
            <w:tcW w:w="75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296.534</w:t>
            </w:r>
          </w:p>
        </w:tc>
        <w:tc>
          <w:tcPr>
            <w:tcW w:w="75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(80.063)</w:t>
            </w:r>
          </w:p>
        </w:tc>
        <w:tc>
          <w:tcPr>
            <w:tcW w:w="75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216.471</w:t>
            </w:r>
          </w:p>
        </w:tc>
        <w:tc>
          <w:tcPr>
            <w:tcW w:w="75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736</w:t>
            </w:r>
          </w:p>
        </w:tc>
        <w:tc>
          <w:tcPr>
            <w:tcW w:w="75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(199)</w:t>
            </w:r>
          </w:p>
        </w:tc>
        <w:tc>
          <w:tcPr>
            <w:tcW w:w="75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537</w:t>
            </w:r>
          </w:p>
        </w:tc>
        <w:tc>
          <w:tcPr>
            <w:tcW w:w="75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297.270</w:t>
            </w:r>
          </w:p>
        </w:tc>
        <w:tc>
          <w:tcPr>
            <w:tcW w:w="75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(80.262)</w:t>
            </w:r>
          </w:p>
        </w:tc>
        <w:tc>
          <w:tcPr>
            <w:tcW w:w="75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217.008</w:t>
            </w:r>
          </w:p>
        </w:tc>
      </w:tr>
      <w:tr>
        <w:tblPrEx>
          <w:tblW w:w="8520" w:type="dxa"/>
          <w:tblInd w:w="1417" w:type="dxa"/>
          <w:tblLayout w:type="fixed"/>
        </w:tblPrEx>
        <w:trPr>
          <w:cantSplit/>
          <w:trHeight w:hRule="exact" w:val="60"/>
        </w:trPr>
        <w:tc>
          <w:tcPr>
            <w:tcW w:w="177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5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75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7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5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75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7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5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75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7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20" w:type="dxa"/>
          <w:tblInd w:w="1417" w:type="dxa"/>
          <w:tblLayout w:type="fixed"/>
        </w:tblPrEx>
        <w:trPr>
          <w:cantSplit/>
          <w:trHeight w:hRule="auto" w:val="0"/>
        </w:trPr>
        <w:tc>
          <w:tcPr>
            <w:tcW w:w="177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2"/>
                <w:u w:val="none"/>
              </w:rPr>
              <w:t>Total resultado integral</w:t>
            </w:r>
          </w:p>
        </w:tc>
        <w:tc>
          <w:tcPr>
            <w:tcW w:w="750" w:type="dxa"/>
            <w:tcBorders>
              <w:top w:val="nil"/>
              <w:left w:val="single" w:sz="2" w:space="0" w:color="000000"/>
              <w:bottom w:val="nil"/>
              <w:right w:val="nil"/>
            </w:tcBorders>
            <w:tcMar>
              <w:top w:w="0" w:type="dxa"/>
              <w:left w:w="0" w:type="dxa"/>
              <w:bottom w:w="0" w:type="dxa"/>
              <w:right w:w="0" w:type="dxa"/>
            </w:tcMar>
            <w:vAlign w:val="bottom"/>
          </w:tcPr>
          <w:p>
            <w:pPr>
              <w:pageBreakBefore w:val="0"/>
              <w:spacing w:before="0" w:after="0"/>
            </w:pPr>
          </w:p>
        </w:tc>
        <w:tc>
          <w:tcPr>
            <w:tcW w:w="750"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75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28.993.292</w:t>
            </w:r>
          </w:p>
        </w:tc>
        <w:tc>
          <w:tcPr>
            <w:tcW w:w="750" w:type="dxa"/>
            <w:tcBorders>
              <w:top w:val="nil"/>
              <w:left w:val="single" w:sz="2" w:space="0" w:color="000000"/>
              <w:bottom w:val="nil"/>
              <w:right w:val="nil"/>
            </w:tcBorders>
            <w:tcMar>
              <w:top w:w="0" w:type="dxa"/>
              <w:left w:w="0" w:type="dxa"/>
              <w:bottom w:w="0" w:type="dxa"/>
              <w:right w:w="0" w:type="dxa"/>
            </w:tcMar>
            <w:vAlign w:val="bottom"/>
          </w:tcPr>
          <w:p>
            <w:pPr>
              <w:pageBreakBefore w:val="0"/>
              <w:spacing w:before="0" w:after="0"/>
            </w:pPr>
          </w:p>
        </w:tc>
        <w:tc>
          <w:tcPr>
            <w:tcW w:w="750"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75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42.055</w:t>
            </w:r>
          </w:p>
        </w:tc>
        <w:tc>
          <w:tcPr>
            <w:tcW w:w="750" w:type="dxa"/>
            <w:tcBorders>
              <w:top w:val="nil"/>
              <w:left w:val="single" w:sz="2" w:space="0" w:color="000000"/>
              <w:bottom w:val="nil"/>
              <w:right w:val="nil"/>
            </w:tcBorders>
            <w:tcMar>
              <w:top w:w="0" w:type="dxa"/>
              <w:left w:w="0" w:type="dxa"/>
              <w:bottom w:w="0" w:type="dxa"/>
              <w:right w:w="0" w:type="dxa"/>
            </w:tcMar>
            <w:vAlign w:val="bottom"/>
          </w:tcPr>
          <w:p>
            <w:pPr>
              <w:pageBreakBefore w:val="0"/>
              <w:spacing w:before="0" w:after="0"/>
            </w:pPr>
          </w:p>
        </w:tc>
        <w:tc>
          <w:tcPr>
            <w:tcW w:w="750"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75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29.035.347</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left"/>
        <w:outlineLvl w:val="0"/>
        <w:rPr>
          <w:rFonts w:ascii="Cambria" w:eastAsia="Cambria" w:hAnsi="Cambria" w:cs="Cambria"/>
          <w:b/>
          <w:i w:val="0"/>
          <w:color w:val="365F91"/>
          <w:sz w:val="28"/>
          <w:u w:val="none"/>
        </w:rPr>
      </w:pPr>
      <w:bookmarkStart w:id="243" w:name="Section125"/>
      <w:bookmarkEnd w:id="243"/>
      <w:bookmarkStart w:id="244" w:name="49d770f6a0b54c45a371e064fd2fd181"/>
      <w:r>
        <w:rPr>
          <w:rFonts w:ascii="Calibri" w:eastAsia="Calibri" w:hAnsi="Calibri" w:cs="Calibri"/>
          <w:b/>
          <w:i w:val="0"/>
          <w:color w:val="000000"/>
          <w:sz w:val="20"/>
          <w:u w:val="none"/>
        </w:rPr>
        <w:t>27.-</w:t>
      </w:r>
      <w:r>
        <w:rPr>
          <w:rFonts w:ascii="Calibri" w:eastAsia="Calibri" w:hAnsi="Calibri" w:cs="Calibri"/>
          <w:b/>
          <w:i w:val="0"/>
          <w:color w:val="000000"/>
          <w:sz w:val="20"/>
          <w:u w:val="none"/>
        </w:rPr>
        <w:tab/>
      </w:r>
      <w:r>
        <w:rPr>
          <w:rFonts w:ascii="Calibri" w:eastAsia="Calibri" w:hAnsi="Calibri" w:cs="Calibri"/>
          <w:b/>
          <w:i w:val="0"/>
          <w:color w:val="000000"/>
          <w:sz w:val="20"/>
          <w:u w:val="none"/>
        </w:rPr>
        <w:t>INGRESOS DE ACTIVIDADES ORDINARIAS.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bookmarkEnd w:id="244"/>
    </w:p>
    <w:p>
      <w:pPr>
        <w:keepNext w:val="0"/>
        <w:keepLines/>
        <w:pageBreakBefore w:val="0"/>
        <w:widowControl w:val="0"/>
        <w:numPr>
          <w:ilvl w:val="0"/>
          <w:numId w:val="0"/>
        </w:numPr>
        <w:spacing w:before="0" w:after="0" w:line="288" w:lineRule="auto"/>
        <w:ind w:left="0" w:right="0" w:firstLine="0"/>
        <w:jc w:val="both"/>
        <w:outlineLvl w:val="9"/>
        <w:sectPr>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245" w:name="Section126"/>
      <w:bookmarkEnd w:id="245"/>
      <w:bookmarkStart w:id="246" w:name="19812660e4204ae697c7fbe4df2bff10"/>
      <w:r>
        <w:rPr>
          <w:rFonts w:ascii="Calibri" w:eastAsia="Calibri" w:hAnsi="Calibri" w:cs="Calibri"/>
          <w:b/>
          <w:i w:val="0"/>
          <w:color w:val="000000"/>
          <w:sz w:val="20"/>
          <w:u w:val="none"/>
        </w:rPr>
        <w:t>27.1.-</w:t>
      </w:r>
      <w:r>
        <w:rPr>
          <w:rFonts w:ascii="Calibri" w:eastAsia="Calibri" w:hAnsi="Calibri" w:cs="Calibri"/>
          <w:b/>
          <w:i w:val="0"/>
          <w:color w:val="000000"/>
          <w:sz w:val="20"/>
          <w:u w:val="none"/>
        </w:rPr>
        <w:tab/>
      </w:r>
      <w:r>
        <w:rPr>
          <w:rFonts w:ascii="Calibri" w:eastAsia="Calibri" w:hAnsi="Calibri" w:cs="Calibri"/>
          <w:b/>
          <w:i w:val="0"/>
          <w:color w:val="000000"/>
          <w:sz w:val="20"/>
          <w:u w:val="none"/>
        </w:rPr>
        <w:t>Ingresos ordinarios.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16"/>
          <w:u w:val="none"/>
        </w:rPr>
      </w:pPr>
      <w:bookmarkEnd w:id="246"/>
    </w:p>
    <w:tbl>
      <w:tblPr>
        <w:tblW w:w="99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320"/>
        <w:gridCol w:w="720"/>
        <w:gridCol w:w="720"/>
        <w:gridCol w:w="720"/>
        <w:gridCol w:w="720"/>
        <w:gridCol w:w="720"/>
        <w:gridCol w:w="720"/>
        <w:gridCol w:w="720"/>
        <w:gridCol w:w="720"/>
        <w:gridCol w:w="720"/>
        <w:gridCol w:w="720"/>
        <w:gridCol w:w="720"/>
        <w:gridCol w:w="720"/>
      </w:tblGrid>
      <w:tr>
        <w:tblPrEx>
          <w:tblW w:w="9960" w:type="dxa"/>
          <w:tblInd w:w="0" w:type="dxa"/>
          <w:tblLayout w:type="fixed"/>
        </w:tblPrEx>
        <w:trPr>
          <w:cantSplit/>
          <w:trHeight w:hRule="auto" w:val="0"/>
        </w:trPr>
        <w:tc>
          <w:tcPr>
            <w:tcW w:w="132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Ingresos de actividades ordinarias</w:t>
            </w:r>
          </w:p>
        </w:tc>
        <w:tc>
          <w:tcPr>
            <w:tcW w:w="2880" w:type="dxa"/>
            <w:gridSpan w:val="4"/>
            <w:tcBorders>
              <w:top w:val="single" w:sz="2" w:space="0" w:color="000000"/>
              <w:left w:val="nil"/>
              <w:bottom w:val="single" w:sz="4" w:space="0" w:color="FFFFFF"/>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0"/>
                <w:u w:val="none"/>
              </w:rPr>
              <w:t xml:space="preserve">Eléctrico </w:t>
            </w:r>
          </w:p>
        </w:tc>
        <w:tc>
          <w:tcPr>
            <w:tcW w:w="2880" w:type="dxa"/>
            <w:gridSpan w:val="4"/>
            <w:tcBorders>
              <w:top w:val="single" w:sz="2" w:space="0" w:color="000000"/>
              <w:left w:val="single" w:sz="4" w:space="0" w:color="FFFFFF"/>
              <w:bottom w:val="single" w:sz="4" w:space="0" w:color="FFFFFF"/>
              <w:right w:val="single" w:sz="4" w:space="0" w:color="FFFFFF"/>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0"/>
                <w:u w:val="none"/>
              </w:rPr>
              <w:t>Servicios</w:t>
            </w:r>
          </w:p>
        </w:tc>
        <w:tc>
          <w:tcPr>
            <w:tcW w:w="2880" w:type="dxa"/>
            <w:gridSpan w:val="4"/>
            <w:tcBorders>
              <w:top w:val="single" w:sz="2" w:space="0" w:color="000000"/>
              <w:left w:val="nil"/>
              <w:bottom w:val="nil"/>
              <w:right w:val="single" w:sz="2" w:space="0" w:color="000000"/>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0"/>
                <w:u w:val="none"/>
              </w:rPr>
              <w:t>Consolidado</w:t>
            </w:r>
          </w:p>
        </w:tc>
      </w:tr>
      <w:tr>
        <w:tblPrEx>
          <w:tblW w:w="9960" w:type="dxa"/>
          <w:tblInd w:w="0" w:type="dxa"/>
          <w:tblLayout w:type="fixed"/>
        </w:tblPrEx>
        <w:trPr>
          <w:cantSplit/>
          <w:trHeight w:hRule="auto" w:val="0"/>
        </w:trPr>
        <w:tc>
          <w:tcPr>
            <w:tcW w:w="1320" w:type="dxa"/>
            <w:vMerge/>
            <w:tcBorders>
              <w:top w:val="nil"/>
              <w:left w:val="single" w:sz="2" w:space="0" w:color="000000"/>
              <w:bottom w:val="nil"/>
              <w:right w:val="nil"/>
            </w:tcBorders>
          </w:tcPr>
          <w:p>
            <w:pPr>
              <w:keepNext/>
              <w:pageBreakBefore w:val="0"/>
            </w:pPr>
          </w:p>
        </w:tc>
        <w:tc>
          <w:tcPr>
            <w:tcW w:w="720"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23" w:after="20" w:line="240" w:lineRule="auto"/>
              <w:jc w:val="center"/>
            </w:pPr>
            <w:r>
              <w:rPr>
                <w:rFonts w:ascii="Calibri" w:eastAsia="Calibri" w:hAnsi="Calibri" w:cs="Calibri"/>
                <w:b/>
                <w:i w:val="0"/>
                <w:color w:val="FFFFFF"/>
                <w:sz w:val="10"/>
                <w:u w:val="none"/>
              </w:rPr>
              <w:t>01-01-2026</w:t>
            </w:r>
          </w:p>
        </w:tc>
        <w:tc>
          <w:tcPr>
            <w:tcW w:w="720" w:type="dxa"/>
            <w:tcBorders>
              <w:top w:val="single" w:sz="4" w:space="0" w:color="FFFFFF"/>
              <w:left w:val="single" w:sz="4" w:space="0" w:color="FFFFFF"/>
              <w:bottom w:val="nil"/>
              <w:right w:val="nil"/>
            </w:tcBorders>
            <w:tcMar>
              <w:top w:w="0" w:type="dxa"/>
              <w:left w:w="53" w:type="dxa"/>
              <w:bottom w:w="0" w:type="dxa"/>
              <w:right w:w="53" w:type="dxa"/>
            </w:tcMar>
            <w:vAlign w:val="bottom"/>
          </w:tcPr>
          <w:p>
            <w:pPr>
              <w:keepNext/>
              <w:pageBreakBefore w:val="0"/>
              <w:spacing w:before="23" w:after="20" w:line="240" w:lineRule="auto"/>
              <w:jc w:val="center"/>
            </w:pPr>
            <w:r>
              <w:rPr>
                <w:rFonts w:ascii="Calibri" w:eastAsia="Calibri" w:hAnsi="Calibri" w:cs="Calibri"/>
                <w:b/>
                <w:i w:val="0"/>
                <w:color w:val="FFFFFF"/>
                <w:sz w:val="10"/>
                <w:u w:val="none"/>
              </w:rPr>
              <w:t>01-01-2025</w:t>
            </w:r>
          </w:p>
        </w:tc>
        <w:tc>
          <w:tcPr>
            <w:tcW w:w="720" w:type="dxa"/>
            <w:tcBorders>
              <w:top w:val="single" w:sz="4" w:space="0" w:color="FFFFFF"/>
              <w:left w:val="single" w:sz="4" w:space="0" w:color="FFFFFF"/>
              <w:bottom w:val="nil"/>
              <w:right w:val="nil"/>
            </w:tcBorders>
            <w:tcMar>
              <w:top w:w="0" w:type="dxa"/>
              <w:left w:w="53" w:type="dxa"/>
              <w:bottom w:w="0" w:type="dxa"/>
              <w:right w:w="53" w:type="dxa"/>
            </w:tcMar>
            <w:vAlign w:val="bottom"/>
          </w:tcPr>
          <w:p>
            <w:pPr>
              <w:keepNext/>
              <w:pageBreakBefore w:val="0"/>
              <w:spacing w:before="23" w:after="20" w:line="240" w:lineRule="auto"/>
              <w:jc w:val="center"/>
            </w:pPr>
            <w:r>
              <w:rPr>
                <w:rFonts w:ascii="Calibri" w:eastAsia="Calibri" w:hAnsi="Calibri" w:cs="Calibri"/>
                <w:b/>
                <w:i w:val="0"/>
                <w:color w:val="FFFFFF"/>
                <w:sz w:val="10"/>
                <w:u w:val="none"/>
              </w:rPr>
              <w:t>01-04-2026</w:t>
            </w:r>
          </w:p>
        </w:tc>
        <w:tc>
          <w:tcPr>
            <w:tcW w:w="720" w:type="dxa"/>
            <w:tcBorders>
              <w:top w:val="single" w:sz="4" w:space="0" w:color="FFFFFF"/>
              <w:left w:val="single" w:sz="8" w:space="0" w:color="FFFFFF"/>
              <w:bottom w:val="nil"/>
              <w:right w:val="nil"/>
            </w:tcBorders>
            <w:tcMar>
              <w:top w:w="0" w:type="dxa"/>
              <w:left w:w="53" w:type="dxa"/>
              <w:bottom w:w="0" w:type="dxa"/>
              <w:right w:w="53" w:type="dxa"/>
            </w:tcMar>
            <w:vAlign w:val="bottom"/>
          </w:tcPr>
          <w:p>
            <w:pPr>
              <w:keepNext/>
              <w:pageBreakBefore w:val="0"/>
              <w:spacing w:before="23" w:after="20" w:line="240" w:lineRule="auto"/>
              <w:jc w:val="center"/>
            </w:pPr>
            <w:r>
              <w:rPr>
                <w:rFonts w:ascii="Calibri" w:eastAsia="Calibri" w:hAnsi="Calibri" w:cs="Calibri"/>
                <w:b/>
                <w:i w:val="0"/>
                <w:color w:val="FFFFFF"/>
                <w:sz w:val="10"/>
                <w:u w:val="none"/>
              </w:rPr>
              <w:t>01-04-2025</w:t>
            </w:r>
          </w:p>
        </w:tc>
        <w:tc>
          <w:tcPr>
            <w:tcW w:w="720"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23" w:after="20" w:line="240" w:lineRule="auto"/>
              <w:jc w:val="center"/>
            </w:pPr>
            <w:r>
              <w:rPr>
                <w:rFonts w:ascii="Calibri" w:eastAsia="Calibri" w:hAnsi="Calibri" w:cs="Calibri"/>
                <w:b/>
                <w:i w:val="0"/>
                <w:color w:val="FFFFFF"/>
                <w:sz w:val="10"/>
                <w:u w:val="none"/>
              </w:rPr>
              <w:t>01-01-2026</w:t>
            </w:r>
          </w:p>
        </w:tc>
        <w:tc>
          <w:tcPr>
            <w:tcW w:w="720" w:type="dxa"/>
            <w:tcBorders>
              <w:top w:val="single" w:sz="4" w:space="0" w:color="FFFFFF"/>
              <w:left w:val="single" w:sz="4" w:space="0" w:color="FFFFFF"/>
              <w:bottom w:val="nil"/>
              <w:right w:val="nil"/>
            </w:tcBorders>
            <w:tcMar>
              <w:top w:w="0" w:type="dxa"/>
              <w:left w:w="53" w:type="dxa"/>
              <w:bottom w:w="0" w:type="dxa"/>
              <w:right w:w="53" w:type="dxa"/>
            </w:tcMar>
            <w:vAlign w:val="bottom"/>
          </w:tcPr>
          <w:p>
            <w:pPr>
              <w:keepNext/>
              <w:pageBreakBefore w:val="0"/>
              <w:spacing w:before="23" w:after="20" w:line="240" w:lineRule="auto"/>
              <w:jc w:val="center"/>
            </w:pPr>
            <w:r>
              <w:rPr>
                <w:rFonts w:ascii="Calibri" w:eastAsia="Calibri" w:hAnsi="Calibri" w:cs="Calibri"/>
                <w:b/>
                <w:i w:val="0"/>
                <w:color w:val="FFFFFF"/>
                <w:sz w:val="10"/>
                <w:u w:val="none"/>
              </w:rPr>
              <w:t>01-01-2025</w:t>
            </w:r>
          </w:p>
        </w:tc>
        <w:tc>
          <w:tcPr>
            <w:tcW w:w="720" w:type="dxa"/>
            <w:tcBorders>
              <w:top w:val="single" w:sz="4" w:space="0" w:color="FFFFFF"/>
              <w:left w:val="single" w:sz="4" w:space="0" w:color="FFFFFF"/>
              <w:bottom w:val="nil"/>
              <w:right w:val="nil"/>
            </w:tcBorders>
            <w:tcMar>
              <w:top w:w="0" w:type="dxa"/>
              <w:left w:w="53" w:type="dxa"/>
              <w:bottom w:w="0" w:type="dxa"/>
              <w:right w:w="53" w:type="dxa"/>
            </w:tcMar>
            <w:vAlign w:val="bottom"/>
          </w:tcPr>
          <w:p>
            <w:pPr>
              <w:keepNext/>
              <w:pageBreakBefore w:val="0"/>
              <w:spacing w:before="23" w:after="20" w:line="240" w:lineRule="auto"/>
              <w:jc w:val="center"/>
            </w:pPr>
            <w:r>
              <w:rPr>
                <w:rFonts w:ascii="Calibri" w:eastAsia="Calibri" w:hAnsi="Calibri" w:cs="Calibri"/>
                <w:b/>
                <w:i w:val="0"/>
                <w:color w:val="FFFFFF"/>
                <w:sz w:val="10"/>
                <w:u w:val="none"/>
              </w:rPr>
              <w:t>01-04-2026</w:t>
            </w:r>
          </w:p>
        </w:tc>
        <w:tc>
          <w:tcPr>
            <w:tcW w:w="720" w:type="dxa"/>
            <w:tcBorders>
              <w:top w:val="single" w:sz="4" w:space="0" w:color="FFFFFF"/>
              <w:left w:val="single" w:sz="8" w:space="0" w:color="FFFFFF"/>
              <w:bottom w:val="nil"/>
              <w:right w:val="nil"/>
            </w:tcBorders>
            <w:tcMar>
              <w:top w:w="0" w:type="dxa"/>
              <w:left w:w="53" w:type="dxa"/>
              <w:bottom w:w="0" w:type="dxa"/>
              <w:right w:w="53" w:type="dxa"/>
            </w:tcMar>
            <w:vAlign w:val="bottom"/>
          </w:tcPr>
          <w:p>
            <w:pPr>
              <w:keepNext/>
              <w:pageBreakBefore w:val="0"/>
              <w:spacing w:before="23" w:after="20" w:line="240" w:lineRule="auto"/>
              <w:jc w:val="center"/>
            </w:pPr>
            <w:r>
              <w:rPr>
                <w:rFonts w:ascii="Calibri" w:eastAsia="Calibri" w:hAnsi="Calibri" w:cs="Calibri"/>
                <w:b/>
                <w:i w:val="0"/>
                <w:color w:val="FFFFFF"/>
                <w:sz w:val="10"/>
                <w:u w:val="none"/>
              </w:rPr>
              <w:t>01-01-2025</w:t>
            </w:r>
          </w:p>
        </w:tc>
        <w:tc>
          <w:tcPr>
            <w:tcW w:w="720" w:type="dxa"/>
            <w:tcBorders>
              <w:top w:val="single" w:sz="4" w:space="0" w:color="FFFFFF"/>
              <w:left w:val="single" w:sz="4" w:space="0" w:color="FFFFFF"/>
              <w:bottom w:val="nil"/>
              <w:right w:val="nil"/>
            </w:tcBorders>
            <w:tcMar>
              <w:top w:w="0" w:type="dxa"/>
              <w:left w:w="53" w:type="dxa"/>
              <w:bottom w:w="0" w:type="dxa"/>
              <w:right w:w="53" w:type="dxa"/>
            </w:tcMar>
            <w:vAlign w:val="bottom"/>
          </w:tcPr>
          <w:p>
            <w:pPr>
              <w:keepNext/>
              <w:pageBreakBefore w:val="0"/>
              <w:spacing w:before="23" w:after="20" w:line="240" w:lineRule="auto"/>
              <w:jc w:val="center"/>
            </w:pPr>
            <w:r>
              <w:rPr>
                <w:rFonts w:ascii="Calibri" w:eastAsia="Calibri" w:hAnsi="Calibri" w:cs="Calibri"/>
                <w:b/>
                <w:i w:val="0"/>
                <w:color w:val="FFFFFF"/>
                <w:sz w:val="10"/>
                <w:u w:val="none"/>
              </w:rPr>
              <w:t>01-01-2026</w:t>
            </w:r>
          </w:p>
        </w:tc>
        <w:tc>
          <w:tcPr>
            <w:tcW w:w="720" w:type="dxa"/>
            <w:tcBorders>
              <w:top w:val="single" w:sz="4" w:space="0" w:color="FFFFFF"/>
              <w:left w:val="single" w:sz="4" w:space="0" w:color="FFFFFF"/>
              <w:bottom w:val="nil"/>
              <w:right w:val="nil"/>
            </w:tcBorders>
            <w:tcMar>
              <w:top w:w="0" w:type="dxa"/>
              <w:left w:w="53" w:type="dxa"/>
              <w:bottom w:w="0" w:type="dxa"/>
              <w:right w:w="53" w:type="dxa"/>
            </w:tcMar>
            <w:vAlign w:val="bottom"/>
          </w:tcPr>
          <w:p>
            <w:pPr>
              <w:keepNext/>
              <w:pageBreakBefore w:val="0"/>
              <w:spacing w:before="23" w:after="20" w:line="240" w:lineRule="auto"/>
              <w:jc w:val="center"/>
            </w:pPr>
            <w:r>
              <w:rPr>
                <w:rFonts w:ascii="Calibri" w:eastAsia="Calibri" w:hAnsi="Calibri" w:cs="Calibri"/>
                <w:b/>
                <w:i w:val="0"/>
                <w:color w:val="FFFFFF"/>
                <w:sz w:val="10"/>
                <w:u w:val="none"/>
              </w:rPr>
              <w:t>01-01-2025</w:t>
            </w:r>
          </w:p>
        </w:tc>
        <w:tc>
          <w:tcPr>
            <w:tcW w:w="720" w:type="dxa"/>
            <w:tcBorders>
              <w:top w:val="single" w:sz="8" w:space="0" w:color="FFFFFF"/>
              <w:left w:val="single" w:sz="2" w:space="0" w:color="000000"/>
              <w:bottom w:val="nil"/>
              <w:right w:val="nil"/>
            </w:tcBorders>
            <w:tcMar>
              <w:top w:w="0" w:type="dxa"/>
              <w:left w:w="53" w:type="dxa"/>
              <w:bottom w:w="0" w:type="dxa"/>
              <w:right w:w="53" w:type="dxa"/>
            </w:tcMar>
            <w:vAlign w:val="bottom"/>
          </w:tcPr>
          <w:p>
            <w:pPr>
              <w:keepNext/>
              <w:pageBreakBefore w:val="0"/>
              <w:spacing w:before="23" w:after="20" w:line="240" w:lineRule="auto"/>
              <w:jc w:val="center"/>
            </w:pPr>
            <w:r>
              <w:rPr>
                <w:rFonts w:ascii="Calibri" w:eastAsia="Calibri" w:hAnsi="Calibri" w:cs="Calibri"/>
                <w:b/>
                <w:i w:val="0"/>
                <w:color w:val="FFFFFF"/>
                <w:sz w:val="10"/>
                <w:u w:val="none"/>
              </w:rPr>
              <w:t>01-04-2026</w:t>
            </w:r>
          </w:p>
        </w:tc>
        <w:tc>
          <w:tcPr>
            <w:tcW w:w="720" w:type="dxa"/>
            <w:tcBorders>
              <w:top w:val="single" w:sz="8" w:space="0" w:color="FFFFFF"/>
              <w:left w:val="single" w:sz="8" w:space="0" w:color="FFFFFF"/>
              <w:bottom w:val="nil"/>
              <w:right w:val="single" w:sz="2" w:space="0" w:color="000000"/>
            </w:tcBorders>
            <w:tcMar>
              <w:top w:w="0" w:type="dxa"/>
              <w:left w:w="53" w:type="dxa"/>
              <w:bottom w:w="0" w:type="dxa"/>
              <w:right w:w="53" w:type="dxa"/>
            </w:tcMar>
            <w:vAlign w:val="bottom"/>
          </w:tcPr>
          <w:p>
            <w:pPr>
              <w:keepNext/>
              <w:pageBreakBefore w:val="0"/>
              <w:spacing w:before="23" w:after="20" w:line="240" w:lineRule="auto"/>
              <w:jc w:val="center"/>
            </w:pPr>
            <w:r>
              <w:rPr>
                <w:rFonts w:ascii="Calibri" w:eastAsia="Calibri" w:hAnsi="Calibri" w:cs="Calibri"/>
                <w:b/>
                <w:i w:val="0"/>
                <w:color w:val="FFFFFF"/>
                <w:sz w:val="10"/>
                <w:u w:val="none"/>
              </w:rPr>
              <w:t>01-01-2025</w:t>
            </w:r>
          </w:p>
        </w:tc>
      </w:tr>
      <w:tr>
        <w:tblPrEx>
          <w:tblW w:w="9960" w:type="dxa"/>
          <w:tblInd w:w="0" w:type="dxa"/>
          <w:tblLayout w:type="fixed"/>
        </w:tblPrEx>
        <w:trPr>
          <w:cantSplit/>
          <w:trHeight w:hRule="auto" w:val="0"/>
        </w:trPr>
        <w:tc>
          <w:tcPr>
            <w:tcW w:w="1320" w:type="dxa"/>
            <w:vMerge/>
            <w:tcBorders>
              <w:top w:val="nil"/>
              <w:left w:val="single" w:sz="2" w:space="0" w:color="000000"/>
              <w:bottom w:val="nil"/>
              <w:right w:val="nil"/>
            </w:tcBorders>
          </w:tcPr>
          <w:p>
            <w:pPr>
              <w:keepNext/>
              <w:pageBreakBefore w:val="0"/>
            </w:pPr>
          </w:p>
        </w:tc>
        <w:tc>
          <w:tcPr>
            <w:tcW w:w="720"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0"/>
                <w:u w:val="none"/>
              </w:rPr>
              <w:t>30-06-2026</w:t>
            </w:r>
          </w:p>
        </w:tc>
        <w:tc>
          <w:tcPr>
            <w:tcW w:w="720"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0"/>
                <w:u w:val="none"/>
              </w:rPr>
              <w:t>30-06-2025</w:t>
            </w:r>
          </w:p>
        </w:tc>
        <w:tc>
          <w:tcPr>
            <w:tcW w:w="720"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0"/>
                <w:u w:val="none"/>
              </w:rPr>
              <w:t>30-06-2026</w:t>
            </w:r>
          </w:p>
        </w:tc>
        <w:tc>
          <w:tcPr>
            <w:tcW w:w="720" w:type="dxa"/>
            <w:tcBorders>
              <w:top w:val="nil"/>
              <w:left w:val="single" w:sz="8" w:space="0" w:color="FFFFFF"/>
              <w:bottom w:val="nil"/>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0"/>
                <w:u w:val="none"/>
              </w:rPr>
              <w:t>30-06-2025</w:t>
            </w:r>
          </w:p>
        </w:tc>
        <w:tc>
          <w:tcPr>
            <w:tcW w:w="720"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0"/>
                <w:u w:val="none"/>
              </w:rPr>
              <w:t>30-06-2026</w:t>
            </w:r>
          </w:p>
        </w:tc>
        <w:tc>
          <w:tcPr>
            <w:tcW w:w="720"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0"/>
                <w:u w:val="none"/>
              </w:rPr>
              <w:t>30-06-2025</w:t>
            </w:r>
          </w:p>
        </w:tc>
        <w:tc>
          <w:tcPr>
            <w:tcW w:w="720"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0"/>
                <w:u w:val="none"/>
              </w:rPr>
              <w:t>30-06-2026</w:t>
            </w:r>
          </w:p>
        </w:tc>
        <w:tc>
          <w:tcPr>
            <w:tcW w:w="720" w:type="dxa"/>
            <w:tcBorders>
              <w:top w:val="nil"/>
              <w:left w:val="single" w:sz="8" w:space="0" w:color="FFFFFF"/>
              <w:bottom w:val="nil"/>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0"/>
                <w:u w:val="none"/>
              </w:rPr>
              <w:t>30-06-2025</w:t>
            </w:r>
          </w:p>
        </w:tc>
        <w:tc>
          <w:tcPr>
            <w:tcW w:w="720"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0"/>
                <w:u w:val="none"/>
              </w:rPr>
              <w:t>30-06-2026</w:t>
            </w:r>
          </w:p>
        </w:tc>
        <w:tc>
          <w:tcPr>
            <w:tcW w:w="720"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0"/>
                <w:u w:val="none"/>
              </w:rPr>
              <w:t>30-06-2025</w:t>
            </w:r>
          </w:p>
        </w:tc>
        <w:tc>
          <w:tcPr>
            <w:tcW w:w="720" w:type="dxa"/>
            <w:tcBorders>
              <w:top w:val="nil"/>
              <w:left w:val="single" w:sz="2" w:space="0" w:color="000000"/>
              <w:bottom w:val="nil"/>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0"/>
                <w:u w:val="none"/>
              </w:rPr>
              <w:t>30-06-2026</w:t>
            </w:r>
          </w:p>
        </w:tc>
        <w:tc>
          <w:tcPr>
            <w:tcW w:w="720" w:type="dxa"/>
            <w:tcBorders>
              <w:top w:val="nil"/>
              <w:left w:val="single" w:sz="8" w:space="0" w:color="FFFFFF"/>
              <w:bottom w:val="nil"/>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0"/>
                <w:u w:val="none"/>
              </w:rPr>
              <w:t>30-06-2025</w:t>
            </w:r>
          </w:p>
        </w:tc>
      </w:tr>
      <w:tr>
        <w:tblPrEx>
          <w:tblW w:w="9960" w:type="dxa"/>
          <w:tblInd w:w="0" w:type="dxa"/>
          <w:tblLayout w:type="fixed"/>
        </w:tblPrEx>
        <w:trPr>
          <w:cantSplit/>
          <w:trHeight w:hRule="auto" w:val="0"/>
        </w:trPr>
        <w:tc>
          <w:tcPr>
            <w:tcW w:w="1320" w:type="dxa"/>
            <w:vMerge/>
            <w:tcBorders>
              <w:top w:val="nil"/>
              <w:left w:val="single" w:sz="2" w:space="0" w:color="000000"/>
              <w:bottom w:val="single" w:sz="2" w:space="0" w:color="000000"/>
              <w:right w:val="nil"/>
            </w:tcBorders>
          </w:tcPr>
          <w:p>
            <w:pPr>
              <w:keepNext/>
              <w:pageBreakBefore w:val="0"/>
            </w:pPr>
          </w:p>
        </w:tc>
        <w:tc>
          <w:tcPr>
            <w:tcW w:w="720"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0"/>
                <w:u w:val="none"/>
              </w:rPr>
              <w:t>M$</w:t>
            </w:r>
          </w:p>
        </w:tc>
        <w:tc>
          <w:tcPr>
            <w:tcW w:w="720"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0"/>
                <w:u w:val="none"/>
              </w:rPr>
              <w:t>M$</w:t>
            </w:r>
          </w:p>
        </w:tc>
        <w:tc>
          <w:tcPr>
            <w:tcW w:w="720"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0"/>
                <w:u w:val="none"/>
              </w:rPr>
              <w:t>M$</w:t>
            </w:r>
          </w:p>
        </w:tc>
        <w:tc>
          <w:tcPr>
            <w:tcW w:w="720" w:type="dxa"/>
            <w:tcBorders>
              <w:top w:val="nil"/>
              <w:left w:val="single" w:sz="8"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0"/>
                <w:u w:val="none"/>
              </w:rPr>
              <w:t>M$</w:t>
            </w:r>
          </w:p>
        </w:tc>
        <w:tc>
          <w:tcPr>
            <w:tcW w:w="720"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0"/>
                <w:u w:val="none"/>
              </w:rPr>
              <w:t>M$</w:t>
            </w:r>
          </w:p>
        </w:tc>
        <w:tc>
          <w:tcPr>
            <w:tcW w:w="720"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0"/>
                <w:u w:val="none"/>
              </w:rPr>
              <w:t>M$</w:t>
            </w:r>
          </w:p>
        </w:tc>
        <w:tc>
          <w:tcPr>
            <w:tcW w:w="720"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0"/>
                <w:u w:val="none"/>
              </w:rPr>
              <w:t>M$</w:t>
            </w:r>
          </w:p>
        </w:tc>
        <w:tc>
          <w:tcPr>
            <w:tcW w:w="720" w:type="dxa"/>
            <w:tcBorders>
              <w:top w:val="nil"/>
              <w:left w:val="single" w:sz="8"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0"/>
                <w:u w:val="none"/>
              </w:rPr>
              <w:t>M$</w:t>
            </w:r>
          </w:p>
        </w:tc>
        <w:tc>
          <w:tcPr>
            <w:tcW w:w="720"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0"/>
                <w:u w:val="none"/>
              </w:rPr>
              <w:t>M$</w:t>
            </w:r>
          </w:p>
        </w:tc>
        <w:tc>
          <w:tcPr>
            <w:tcW w:w="720"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0"/>
                <w:u w:val="none"/>
              </w:rPr>
              <w:t>M$</w:t>
            </w:r>
          </w:p>
        </w:tc>
        <w:tc>
          <w:tcPr>
            <w:tcW w:w="720" w:type="dxa"/>
            <w:tcBorders>
              <w:top w:val="nil"/>
              <w:left w:val="single" w:sz="2" w:space="0" w:color="000000"/>
              <w:bottom w:val="nil"/>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0"/>
                <w:u w:val="none"/>
              </w:rPr>
              <w:t>M$</w:t>
            </w:r>
          </w:p>
        </w:tc>
        <w:tc>
          <w:tcPr>
            <w:tcW w:w="720" w:type="dxa"/>
            <w:tcBorders>
              <w:top w:val="nil"/>
              <w:left w:val="single" w:sz="8" w:space="0" w:color="FFFFFF"/>
              <w:bottom w:val="nil"/>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0"/>
                <w:u w:val="none"/>
              </w:rPr>
              <w:t>M$</w:t>
            </w:r>
          </w:p>
        </w:tc>
      </w:tr>
      <w:tr>
        <w:tblPrEx>
          <w:tblW w:w="9960" w:type="dxa"/>
          <w:tblInd w:w="0" w:type="dxa"/>
          <w:tblLayout w:type="fixed"/>
        </w:tblPrEx>
        <w:trPr>
          <w:cantSplit/>
          <w:trHeight w:hRule="exact" w:val="60"/>
        </w:trPr>
        <w:tc>
          <w:tcPr>
            <w:tcW w:w="13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2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2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13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0"/>
                <w:u w:val="none"/>
              </w:rPr>
              <w:t>Ventas</w:t>
            </w:r>
          </w:p>
        </w:tc>
        <w:tc>
          <w:tcPr>
            <w:tcW w:w="72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0"/>
                <w:u w:val="none"/>
              </w:rPr>
              <w:t>0</w:t>
            </w:r>
          </w:p>
        </w:tc>
        <w:tc>
          <w:tcPr>
            <w:tcW w:w="72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0"/>
                <w:u w:val="none"/>
              </w:rPr>
              <w:t>98.955.097</w:t>
            </w:r>
          </w:p>
        </w:tc>
        <w:tc>
          <w:tcPr>
            <w:tcW w:w="72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0"/>
                <w:u w:val="none"/>
              </w:rPr>
              <w:t>(48.559.735)</w:t>
            </w:r>
          </w:p>
        </w:tc>
        <w:tc>
          <w:tcPr>
            <w:tcW w:w="720" w:type="dxa"/>
            <w:tcBorders>
              <w:top w:val="single" w:sz="2" w:space="0" w:color="000000"/>
              <w:left w:val="single" w:sz="8"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0"/>
                <w:u w:val="none"/>
              </w:rPr>
              <w:t>49.478.601</w:t>
            </w:r>
          </w:p>
        </w:tc>
        <w:tc>
          <w:tcPr>
            <w:tcW w:w="72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0"/>
                <w:u w:val="none"/>
              </w:rPr>
              <w:t>0</w:t>
            </w:r>
          </w:p>
        </w:tc>
        <w:tc>
          <w:tcPr>
            <w:tcW w:w="72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0"/>
                <w:u w:val="none"/>
              </w:rPr>
              <w:t>6.389.377</w:t>
            </w:r>
          </w:p>
        </w:tc>
        <w:tc>
          <w:tcPr>
            <w:tcW w:w="72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0"/>
                <w:u w:val="none"/>
              </w:rPr>
              <w:t>(2.874.721)</w:t>
            </w:r>
          </w:p>
        </w:tc>
        <w:tc>
          <w:tcPr>
            <w:tcW w:w="720" w:type="dxa"/>
            <w:tcBorders>
              <w:top w:val="single" w:sz="2" w:space="0" w:color="000000"/>
              <w:left w:val="single" w:sz="8"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0"/>
                <w:u w:val="none"/>
              </w:rPr>
              <w:t>3.614.284</w:t>
            </w:r>
          </w:p>
        </w:tc>
        <w:tc>
          <w:tcPr>
            <w:tcW w:w="72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0"/>
                <w:u w:val="none"/>
              </w:rPr>
              <w:t>0</w:t>
            </w:r>
          </w:p>
        </w:tc>
        <w:tc>
          <w:tcPr>
            <w:tcW w:w="72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0"/>
                <w:u w:val="none"/>
              </w:rPr>
              <w:t>105.344.474</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0"/>
                <w:u w:val="none"/>
              </w:rPr>
              <w:t>(51.434.456)</w:t>
            </w:r>
          </w:p>
        </w:tc>
        <w:tc>
          <w:tcPr>
            <w:tcW w:w="720" w:type="dxa"/>
            <w:tcBorders>
              <w:top w:val="single" w:sz="2" w:space="0" w:color="000000"/>
              <w:left w:val="single" w:sz="8"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0"/>
                <w:u w:val="none"/>
              </w:rPr>
              <w:t>53.092.885</w:t>
            </w:r>
          </w:p>
        </w:tc>
      </w:tr>
      <w:tr>
        <w:tblPrEx>
          <w:tblW w:w="9960" w:type="dxa"/>
          <w:tblInd w:w="0" w:type="dxa"/>
          <w:tblLayout w:type="fixed"/>
        </w:tblPrEx>
        <w:trPr>
          <w:cantSplit/>
          <w:trHeight w:hRule="exact" w:val="60"/>
        </w:trPr>
        <w:tc>
          <w:tcPr>
            <w:tcW w:w="13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13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0"/>
                <w:u w:val="none"/>
              </w:rPr>
              <w:t>Venta de energía, peajes y transmisión.(*)</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0"/>
                <w:u w:val="none"/>
              </w:rPr>
              <w:t>98.955.097</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0"/>
                <w:u w:val="none"/>
              </w:rPr>
              <w:t>(48.559.735)</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0"/>
                <w:u w:val="none"/>
              </w:rPr>
              <w:t>49.478.601</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720"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720" w:type="dxa"/>
            <w:tcBorders>
              <w:top w:val="single" w:sz="2" w:space="0" w:color="000000"/>
              <w:left w:val="single" w:sz="4" w:space="0" w:color="FFFFFF"/>
              <w:bottom w:val="single" w:sz="4" w:space="0" w:color="FFFFFF"/>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0"/>
                <w:u w:val="none"/>
              </w:rPr>
              <w:t>98.955.097</w:t>
            </w:r>
          </w:p>
        </w:tc>
        <w:tc>
          <w:tcPr>
            <w:tcW w:w="720" w:type="dxa"/>
            <w:tcBorders>
              <w:top w:val="single" w:sz="2" w:space="0" w:color="000000"/>
              <w:left w:val="single" w:sz="2" w:space="0" w:color="000000"/>
              <w:bottom w:val="single" w:sz="8" w:space="0" w:color="FFFFFF"/>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0"/>
                <w:u w:val="none"/>
              </w:rPr>
              <w:t>(48.559.735)</w:t>
            </w:r>
          </w:p>
        </w:tc>
        <w:tc>
          <w:tcPr>
            <w:tcW w:w="720" w:type="dxa"/>
            <w:tcBorders>
              <w:top w:val="single" w:sz="2" w:space="0" w:color="000000"/>
              <w:left w:val="single" w:sz="8" w:space="0" w:color="FFFFFF"/>
              <w:bottom w:val="single" w:sz="8" w:space="0" w:color="FFFFFF"/>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0"/>
                <w:u w:val="none"/>
              </w:rPr>
              <w:t>49.478.601</w:t>
            </w:r>
          </w:p>
        </w:tc>
      </w:tr>
      <w:tr>
        <w:tblPrEx>
          <w:tblW w:w="9960" w:type="dxa"/>
          <w:tblInd w:w="0" w:type="dxa"/>
          <w:tblLayout w:type="fixed"/>
        </w:tblPrEx>
        <w:trPr>
          <w:cantSplit/>
          <w:trHeight w:hRule="auto" w:val="0"/>
        </w:trPr>
        <w:tc>
          <w:tcPr>
            <w:tcW w:w="13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23" w:after="20" w:line="240" w:lineRule="auto"/>
              <w:jc w:val="left"/>
            </w:pPr>
            <w:r>
              <w:rPr>
                <w:rFonts w:ascii="Calibri" w:eastAsia="Calibri" w:hAnsi="Calibri" w:cs="Calibri"/>
                <w:b w:val="0"/>
                <w:i w:val="0"/>
                <w:color w:val="000000"/>
                <w:sz w:val="10"/>
                <w:u w:val="none"/>
              </w:rPr>
              <w:t>Venta de mercaderías, materiales y equipos.</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23" w:after="2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23" w:after="2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23" w:after="2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23" w:after="20" w:line="240" w:lineRule="auto"/>
              <w:jc w:val="right"/>
            </w:pPr>
          </w:p>
        </w:tc>
        <w:tc>
          <w:tcPr>
            <w:tcW w:w="720" w:type="dxa"/>
            <w:tcBorders>
              <w:top w:val="single" w:sz="2" w:space="0" w:color="000000"/>
              <w:left w:val="nil"/>
              <w:bottom w:val="single" w:sz="2" w:space="0" w:color="000000"/>
              <w:right w:val="nil"/>
            </w:tcBorders>
            <w:tcMar>
              <w:top w:w="0" w:type="dxa"/>
              <w:left w:w="0" w:type="dxa"/>
              <w:bottom w:w="0" w:type="dxa"/>
              <w:right w:w="53" w:type="dxa"/>
            </w:tcMar>
            <w:vAlign w:val="bottom"/>
          </w:tcPr>
          <w:p>
            <w:pPr>
              <w:keepNext/>
              <w:pageBreakBefore w:val="0"/>
              <w:spacing w:before="23" w:after="2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23" w:after="20" w:line="240" w:lineRule="auto"/>
              <w:jc w:val="right"/>
            </w:pPr>
            <w:r>
              <w:rPr>
                <w:rFonts w:ascii="Calibri" w:eastAsia="Calibri" w:hAnsi="Calibri" w:cs="Calibri"/>
                <w:b w:val="0"/>
                <w:i w:val="0"/>
                <w:color w:val="000000"/>
                <w:sz w:val="10"/>
                <w:u w:val="none"/>
              </w:rPr>
              <w:t>6.389.377</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23" w:after="20" w:line="240" w:lineRule="auto"/>
              <w:jc w:val="right"/>
            </w:pPr>
            <w:r>
              <w:rPr>
                <w:rFonts w:ascii="Calibri" w:eastAsia="Calibri" w:hAnsi="Calibri" w:cs="Calibri"/>
                <w:b w:val="0"/>
                <w:i w:val="0"/>
                <w:color w:val="000000"/>
                <w:sz w:val="10"/>
                <w:u w:val="none"/>
              </w:rPr>
              <w:t>(2.874.721)</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23" w:after="20" w:line="240" w:lineRule="auto"/>
              <w:jc w:val="right"/>
            </w:pPr>
            <w:r>
              <w:rPr>
                <w:rFonts w:ascii="Calibri" w:eastAsia="Calibri" w:hAnsi="Calibri" w:cs="Calibri"/>
                <w:b w:val="0"/>
                <w:i w:val="0"/>
                <w:color w:val="000000"/>
                <w:sz w:val="10"/>
                <w:u w:val="none"/>
              </w:rPr>
              <w:t>3.614.284</w:t>
            </w:r>
          </w:p>
        </w:tc>
        <w:tc>
          <w:tcPr>
            <w:tcW w:w="720" w:type="dxa"/>
            <w:tcBorders>
              <w:top w:val="single" w:sz="4" w:space="0" w:color="FFFFFF"/>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23" w:after="20" w:line="240" w:lineRule="auto"/>
              <w:jc w:val="right"/>
            </w:pPr>
          </w:p>
        </w:tc>
        <w:tc>
          <w:tcPr>
            <w:tcW w:w="720" w:type="dxa"/>
            <w:tcBorders>
              <w:top w:val="single" w:sz="4" w:space="0" w:color="FFFFFF"/>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23" w:after="20" w:line="240" w:lineRule="auto"/>
              <w:jc w:val="right"/>
            </w:pPr>
            <w:r>
              <w:rPr>
                <w:rFonts w:ascii="Calibri" w:eastAsia="Calibri" w:hAnsi="Calibri" w:cs="Calibri"/>
                <w:b/>
                <w:i w:val="0"/>
                <w:color w:val="FFFFFF"/>
                <w:sz w:val="10"/>
                <w:u w:val="none"/>
              </w:rPr>
              <w:t>6.389.377</w:t>
            </w:r>
          </w:p>
        </w:tc>
        <w:tc>
          <w:tcPr>
            <w:tcW w:w="720" w:type="dxa"/>
            <w:tcBorders>
              <w:top w:val="single" w:sz="8" w:space="0" w:color="FFFFFF"/>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23" w:after="20" w:line="240" w:lineRule="auto"/>
              <w:jc w:val="right"/>
            </w:pPr>
            <w:r>
              <w:rPr>
                <w:rFonts w:ascii="Calibri" w:eastAsia="Calibri" w:hAnsi="Calibri" w:cs="Calibri"/>
                <w:b/>
                <w:i w:val="0"/>
                <w:color w:val="FFFFFF"/>
                <w:sz w:val="10"/>
                <w:u w:val="none"/>
              </w:rPr>
              <w:t>(2.874.721)</w:t>
            </w:r>
          </w:p>
        </w:tc>
        <w:tc>
          <w:tcPr>
            <w:tcW w:w="720" w:type="dxa"/>
            <w:tcBorders>
              <w:top w:val="single" w:sz="8" w:space="0" w:color="FFFFFF"/>
              <w:left w:val="single" w:sz="8"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23" w:after="20" w:line="240" w:lineRule="auto"/>
              <w:jc w:val="right"/>
            </w:pPr>
            <w:r>
              <w:rPr>
                <w:rFonts w:ascii="Calibri" w:eastAsia="Calibri" w:hAnsi="Calibri" w:cs="Calibri"/>
                <w:b/>
                <w:i w:val="0"/>
                <w:color w:val="FFFFFF"/>
                <w:sz w:val="10"/>
                <w:u w:val="none"/>
              </w:rPr>
              <w:t>3.614.284</w:t>
            </w:r>
          </w:p>
        </w:tc>
      </w:tr>
      <w:tr>
        <w:tblPrEx>
          <w:tblW w:w="9960" w:type="dxa"/>
          <w:tblInd w:w="0" w:type="dxa"/>
          <w:tblLayout w:type="fixed"/>
        </w:tblPrEx>
        <w:trPr>
          <w:cantSplit/>
          <w:trHeight w:hRule="auto" w:val="0"/>
        </w:trPr>
        <w:tc>
          <w:tcPr>
            <w:tcW w:w="13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285"/>
        </w:trPr>
        <w:tc>
          <w:tcPr>
            <w:tcW w:w="13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0"/>
                <w:u w:val="none"/>
              </w:rPr>
              <w:t>Prestaciones de servicios</w:t>
            </w:r>
          </w:p>
        </w:tc>
        <w:tc>
          <w:tcPr>
            <w:tcW w:w="72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i w:val="0"/>
                <w:color w:val="FFFFFF"/>
                <w:sz w:val="10"/>
                <w:u w:val="none"/>
              </w:rPr>
              <w:t>0</w:t>
            </w:r>
          </w:p>
        </w:tc>
        <w:tc>
          <w:tcPr>
            <w:tcW w:w="72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i w:val="0"/>
                <w:color w:val="FFFFFF"/>
                <w:sz w:val="10"/>
                <w:u w:val="none"/>
              </w:rPr>
              <w:t>9.405.075</w:t>
            </w:r>
          </w:p>
        </w:tc>
        <w:tc>
          <w:tcPr>
            <w:tcW w:w="72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i w:val="0"/>
                <w:color w:val="FFFFFF"/>
                <w:sz w:val="10"/>
                <w:u w:val="none"/>
              </w:rPr>
              <w:t>(6.064.731)</w:t>
            </w:r>
          </w:p>
        </w:tc>
        <w:tc>
          <w:tcPr>
            <w:tcW w:w="720" w:type="dxa"/>
            <w:tcBorders>
              <w:top w:val="single" w:sz="2" w:space="0" w:color="000000"/>
              <w:left w:val="single" w:sz="8" w:space="0" w:color="FFFFFF"/>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i w:val="0"/>
                <w:color w:val="FFFFFF"/>
                <w:sz w:val="10"/>
                <w:u w:val="none"/>
              </w:rPr>
              <w:t>5.393.612</w:t>
            </w:r>
          </w:p>
        </w:tc>
        <w:tc>
          <w:tcPr>
            <w:tcW w:w="72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i w:val="0"/>
                <w:color w:val="FFFFFF"/>
                <w:sz w:val="10"/>
                <w:u w:val="none"/>
              </w:rPr>
              <w:t>0</w:t>
            </w:r>
          </w:p>
        </w:tc>
        <w:tc>
          <w:tcPr>
            <w:tcW w:w="72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i w:val="0"/>
                <w:color w:val="FFFFFF"/>
                <w:sz w:val="10"/>
                <w:u w:val="none"/>
              </w:rPr>
              <w:t>19.141.543</w:t>
            </w:r>
          </w:p>
        </w:tc>
        <w:tc>
          <w:tcPr>
            <w:tcW w:w="72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i w:val="0"/>
                <w:color w:val="FFFFFF"/>
                <w:sz w:val="10"/>
                <w:u w:val="none"/>
              </w:rPr>
              <w:t>(6.572.580)</w:t>
            </w:r>
          </w:p>
        </w:tc>
        <w:tc>
          <w:tcPr>
            <w:tcW w:w="720" w:type="dxa"/>
            <w:tcBorders>
              <w:top w:val="single" w:sz="2" w:space="0" w:color="000000"/>
              <w:left w:val="single" w:sz="8" w:space="0" w:color="FFFFFF"/>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i w:val="0"/>
                <w:color w:val="FFFFFF"/>
                <w:sz w:val="10"/>
                <w:u w:val="none"/>
              </w:rPr>
              <w:t>10.143.494</w:t>
            </w:r>
          </w:p>
        </w:tc>
        <w:tc>
          <w:tcPr>
            <w:tcW w:w="72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i w:val="0"/>
                <w:color w:val="FFFFFF"/>
                <w:sz w:val="10"/>
                <w:u w:val="none"/>
              </w:rPr>
              <w:t>0</w:t>
            </w:r>
          </w:p>
        </w:tc>
        <w:tc>
          <w:tcPr>
            <w:tcW w:w="72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i w:val="0"/>
                <w:color w:val="FFFFFF"/>
                <w:sz w:val="10"/>
                <w:u w:val="none"/>
              </w:rPr>
              <w:t>28.546.618</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i w:val="0"/>
                <w:color w:val="FFFFFF"/>
                <w:sz w:val="10"/>
                <w:u w:val="none"/>
              </w:rPr>
              <w:t>(12.637.311)</w:t>
            </w:r>
          </w:p>
        </w:tc>
        <w:tc>
          <w:tcPr>
            <w:tcW w:w="720" w:type="dxa"/>
            <w:tcBorders>
              <w:top w:val="single" w:sz="2" w:space="0" w:color="000000"/>
              <w:left w:val="single" w:sz="8"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i w:val="0"/>
                <w:color w:val="FFFFFF"/>
                <w:sz w:val="10"/>
                <w:u w:val="none"/>
              </w:rPr>
              <w:t>15.537.106</w:t>
            </w:r>
          </w:p>
        </w:tc>
      </w:tr>
      <w:tr>
        <w:tblPrEx>
          <w:tblW w:w="9960" w:type="dxa"/>
          <w:tblInd w:w="0" w:type="dxa"/>
          <w:tblLayout w:type="fixed"/>
        </w:tblPrEx>
        <w:trPr>
          <w:cantSplit/>
          <w:trHeight w:hRule="auto" w:val="0"/>
        </w:trPr>
        <w:tc>
          <w:tcPr>
            <w:tcW w:w="13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285"/>
        </w:trPr>
        <w:tc>
          <w:tcPr>
            <w:tcW w:w="13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48" w:after="30" w:line="240" w:lineRule="auto"/>
              <w:jc w:val="left"/>
            </w:pPr>
            <w:r>
              <w:rPr>
                <w:rFonts w:ascii="Calibri" w:eastAsia="Calibri" w:hAnsi="Calibri" w:cs="Calibri"/>
                <w:b w:val="0"/>
                <w:i w:val="0"/>
                <w:color w:val="000000"/>
                <w:sz w:val="10"/>
                <w:u w:val="none"/>
              </w:rPr>
              <w:t>Servicios y recargos regulados.</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val="0"/>
                <w:i w:val="0"/>
                <w:color w:val="000000"/>
                <w:sz w:val="10"/>
                <w:u w:val="none"/>
              </w:rPr>
              <w:t>33.170</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val="0"/>
                <w:i w:val="0"/>
                <w:color w:val="000000"/>
                <w:sz w:val="10"/>
                <w:u w:val="none"/>
              </w:rPr>
              <w:t>(33.256)</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val="0"/>
                <w:i w:val="0"/>
                <w:color w:val="000000"/>
                <w:sz w:val="10"/>
                <w:u w:val="none"/>
              </w:rPr>
              <w:t>18.355</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p>
        </w:tc>
        <w:tc>
          <w:tcPr>
            <w:tcW w:w="720" w:type="dxa"/>
            <w:tcBorders>
              <w:top w:val="single" w:sz="2" w:space="0" w:color="000000"/>
              <w:left w:val="nil"/>
              <w:bottom w:val="single" w:sz="4" w:space="0" w:color="FFFFFF"/>
              <w:right w:val="nil"/>
            </w:tcBorders>
            <w:tcMar>
              <w:top w:w="0" w:type="dxa"/>
              <w:left w:w="0" w:type="dxa"/>
              <w:bottom w:w="0" w:type="dxa"/>
              <w:right w:w="53" w:type="dxa"/>
            </w:tcMar>
            <w:vAlign w:val="bottom"/>
          </w:tcPr>
          <w:p>
            <w:pPr>
              <w:keepNext/>
              <w:pageBreakBefore w:val="0"/>
              <w:spacing w:before="48" w:after="30" w:line="240" w:lineRule="auto"/>
              <w:jc w:val="right"/>
            </w:pPr>
          </w:p>
        </w:tc>
        <w:tc>
          <w:tcPr>
            <w:tcW w:w="720" w:type="dxa"/>
            <w:tcBorders>
              <w:top w:val="single" w:sz="2" w:space="0" w:color="000000"/>
              <w:left w:val="single" w:sz="4" w:space="0" w:color="FFFFFF"/>
              <w:bottom w:val="single" w:sz="4" w:space="0" w:color="FFFFFF"/>
              <w:right w:val="nil"/>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i w:val="0"/>
                <w:color w:val="FFFFFF"/>
                <w:sz w:val="10"/>
                <w:u w:val="none"/>
              </w:rPr>
              <w:t>33.170</w:t>
            </w:r>
          </w:p>
        </w:tc>
        <w:tc>
          <w:tcPr>
            <w:tcW w:w="720" w:type="dxa"/>
            <w:tcBorders>
              <w:top w:val="single" w:sz="2" w:space="0" w:color="000000"/>
              <w:left w:val="single" w:sz="2" w:space="0" w:color="000000"/>
              <w:bottom w:val="single" w:sz="8" w:space="0" w:color="FFFFFF"/>
              <w:right w:val="nil"/>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i w:val="0"/>
                <w:color w:val="FFFFFF"/>
                <w:sz w:val="10"/>
                <w:u w:val="none"/>
              </w:rPr>
              <w:t>(33.256)</w:t>
            </w:r>
          </w:p>
        </w:tc>
        <w:tc>
          <w:tcPr>
            <w:tcW w:w="720" w:type="dxa"/>
            <w:tcBorders>
              <w:top w:val="single" w:sz="2" w:space="0" w:color="000000"/>
              <w:left w:val="single" w:sz="8" w:space="0" w:color="FFFFFF"/>
              <w:bottom w:val="single" w:sz="8" w:space="0" w:color="FFFFFF"/>
              <w:right w:val="single" w:sz="2" w:space="0" w:color="000000"/>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i w:val="0"/>
                <w:color w:val="FFFFFF"/>
                <w:sz w:val="10"/>
                <w:u w:val="none"/>
              </w:rPr>
              <w:t>18.355</w:t>
            </w:r>
          </w:p>
        </w:tc>
      </w:tr>
      <w:tr>
        <w:tblPrEx>
          <w:tblW w:w="9960" w:type="dxa"/>
          <w:tblInd w:w="0" w:type="dxa"/>
          <w:tblLayout w:type="fixed"/>
        </w:tblPrEx>
        <w:trPr>
          <w:cantSplit/>
          <w:trHeight w:hRule="auto" w:val="0"/>
        </w:trPr>
        <w:tc>
          <w:tcPr>
            <w:tcW w:w="13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23" w:after="20" w:line="240" w:lineRule="auto"/>
              <w:jc w:val="left"/>
            </w:pPr>
            <w:r>
              <w:rPr>
                <w:rFonts w:ascii="Calibri" w:eastAsia="Calibri" w:hAnsi="Calibri" w:cs="Calibri"/>
                <w:b w:val="0"/>
                <w:i w:val="0"/>
                <w:color w:val="000000"/>
                <w:sz w:val="10"/>
                <w:u w:val="none"/>
              </w:rPr>
              <w:t>Arriendo de equipos de medida.</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23" w:after="2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23" w:after="20" w:line="240" w:lineRule="auto"/>
              <w:jc w:val="right"/>
            </w:pPr>
            <w:r>
              <w:rPr>
                <w:rFonts w:ascii="Calibri" w:eastAsia="Calibri" w:hAnsi="Calibri" w:cs="Calibri"/>
                <w:b w:val="0"/>
                <w:i w:val="0"/>
                <w:color w:val="000000"/>
                <w:sz w:val="10"/>
                <w:u w:val="none"/>
              </w:rPr>
              <w:t>1.065.856</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23" w:after="20" w:line="240" w:lineRule="auto"/>
              <w:jc w:val="right"/>
            </w:pPr>
            <w:r>
              <w:rPr>
                <w:rFonts w:ascii="Calibri" w:eastAsia="Calibri" w:hAnsi="Calibri" w:cs="Calibri"/>
                <w:b w:val="0"/>
                <w:i w:val="0"/>
                <w:color w:val="000000"/>
                <w:sz w:val="10"/>
                <w:u w:val="none"/>
              </w:rPr>
              <w:t>(537.500)</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23" w:after="20" w:line="240" w:lineRule="auto"/>
              <w:jc w:val="right"/>
            </w:pPr>
            <w:r>
              <w:rPr>
                <w:rFonts w:ascii="Calibri" w:eastAsia="Calibri" w:hAnsi="Calibri" w:cs="Calibri"/>
                <w:b w:val="0"/>
                <w:i w:val="0"/>
                <w:color w:val="000000"/>
                <w:sz w:val="10"/>
                <w:u w:val="none"/>
              </w:rPr>
              <w:t>535.643</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23" w:after="2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23" w:after="2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23" w:after="2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23" w:after="20" w:line="240" w:lineRule="auto"/>
              <w:jc w:val="right"/>
            </w:pPr>
          </w:p>
        </w:tc>
        <w:tc>
          <w:tcPr>
            <w:tcW w:w="720" w:type="dxa"/>
            <w:tcBorders>
              <w:top w:val="single" w:sz="4" w:space="0" w:color="FFFFFF"/>
              <w:left w:val="nil"/>
              <w:bottom w:val="single" w:sz="4" w:space="0" w:color="FFFFFF"/>
              <w:right w:val="nil"/>
            </w:tcBorders>
            <w:tcMar>
              <w:top w:w="0" w:type="dxa"/>
              <w:left w:w="0" w:type="dxa"/>
              <w:bottom w:w="0" w:type="dxa"/>
              <w:right w:w="53" w:type="dxa"/>
            </w:tcMar>
            <w:vAlign w:val="bottom"/>
          </w:tcPr>
          <w:p>
            <w:pPr>
              <w:keepNext/>
              <w:pageBreakBefore w:val="0"/>
              <w:spacing w:before="23" w:after="20" w:line="240" w:lineRule="auto"/>
              <w:jc w:val="right"/>
            </w:pPr>
          </w:p>
        </w:tc>
        <w:tc>
          <w:tcPr>
            <w:tcW w:w="720" w:type="dxa"/>
            <w:tcBorders>
              <w:top w:val="single" w:sz="4" w:space="0" w:color="FFFFFF"/>
              <w:left w:val="single" w:sz="4" w:space="0" w:color="FFFFFF"/>
              <w:bottom w:val="single" w:sz="4" w:space="0" w:color="FFFFFF"/>
              <w:right w:val="nil"/>
            </w:tcBorders>
            <w:tcMar>
              <w:top w:w="0" w:type="dxa"/>
              <w:left w:w="0" w:type="dxa"/>
              <w:bottom w:w="0" w:type="dxa"/>
              <w:right w:w="53" w:type="dxa"/>
            </w:tcMar>
            <w:vAlign w:val="bottom"/>
          </w:tcPr>
          <w:p>
            <w:pPr>
              <w:keepNext/>
              <w:pageBreakBefore w:val="0"/>
              <w:spacing w:before="23" w:after="20" w:line="240" w:lineRule="auto"/>
              <w:jc w:val="right"/>
            </w:pPr>
            <w:r>
              <w:rPr>
                <w:rFonts w:ascii="Calibri" w:eastAsia="Calibri" w:hAnsi="Calibri" w:cs="Calibri"/>
                <w:b/>
                <w:i w:val="0"/>
                <w:color w:val="FFFFFF"/>
                <w:sz w:val="10"/>
                <w:u w:val="none"/>
              </w:rPr>
              <w:t>1.065.856</w:t>
            </w:r>
          </w:p>
        </w:tc>
        <w:tc>
          <w:tcPr>
            <w:tcW w:w="720" w:type="dxa"/>
            <w:tcBorders>
              <w:top w:val="single" w:sz="8" w:space="0" w:color="FFFFFF"/>
              <w:left w:val="single" w:sz="2" w:space="0" w:color="000000"/>
              <w:bottom w:val="single" w:sz="8" w:space="0" w:color="FFFFFF"/>
              <w:right w:val="nil"/>
            </w:tcBorders>
            <w:tcMar>
              <w:top w:w="0" w:type="dxa"/>
              <w:left w:w="0" w:type="dxa"/>
              <w:bottom w:w="0" w:type="dxa"/>
              <w:right w:w="53" w:type="dxa"/>
            </w:tcMar>
            <w:vAlign w:val="bottom"/>
          </w:tcPr>
          <w:p>
            <w:pPr>
              <w:keepNext/>
              <w:pageBreakBefore w:val="0"/>
              <w:spacing w:before="23" w:after="20" w:line="240" w:lineRule="auto"/>
              <w:jc w:val="right"/>
            </w:pPr>
            <w:r>
              <w:rPr>
                <w:rFonts w:ascii="Calibri" w:eastAsia="Calibri" w:hAnsi="Calibri" w:cs="Calibri"/>
                <w:b/>
                <w:i w:val="0"/>
                <w:color w:val="FFFFFF"/>
                <w:sz w:val="10"/>
                <w:u w:val="none"/>
              </w:rPr>
              <w:t>(537.500)</w:t>
            </w:r>
          </w:p>
        </w:tc>
        <w:tc>
          <w:tcPr>
            <w:tcW w:w="720" w:type="dxa"/>
            <w:tcBorders>
              <w:top w:val="single" w:sz="8" w:space="0" w:color="FFFFFF"/>
              <w:left w:val="single" w:sz="8" w:space="0" w:color="FFFFFF"/>
              <w:bottom w:val="single" w:sz="8" w:space="0" w:color="FFFFFF"/>
              <w:right w:val="single" w:sz="2" w:space="0" w:color="000000"/>
            </w:tcBorders>
            <w:tcMar>
              <w:top w:w="0" w:type="dxa"/>
              <w:left w:w="0" w:type="dxa"/>
              <w:bottom w:w="0" w:type="dxa"/>
              <w:right w:w="53" w:type="dxa"/>
            </w:tcMar>
            <w:vAlign w:val="bottom"/>
          </w:tcPr>
          <w:p>
            <w:pPr>
              <w:keepNext/>
              <w:pageBreakBefore w:val="0"/>
              <w:spacing w:before="23" w:after="20" w:line="240" w:lineRule="auto"/>
              <w:jc w:val="right"/>
            </w:pPr>
            <w:r>
              <w:rPr>
                <w:rFonts w:ascii="Calibri" w:eastAsia="Calibri" w:hAnsi="Calibri" w:cs="Calibri"/>
                <w:b/>
                <w:i w:val="0"/>
                <w:color w:val="FFFFFF"/>
                <w:sz w:val="10"/>
                <w:u w:val="none"/>
              </w:rPr>
              <w:t>535.643</w:t>
            </w:r>
          </w:p>
        </w:tc>
      </w:tr>
      <w:tr>
        <w:tblPrEx>
          <w:tblW w:w="9960" w:type="dxa"/>
          <w:tblInd w:w="0" w:type="dxa"/>
          <w:tblLayout w:type="fixed"/>
        </w:tblPrEx>
        <w:trPr>
          <w:cantSplit/>
          <w:trHeight w:hRule="auto" w:val="0"/>
        </w:trPr>
        <w:tc>
          <w:tcPr>
            <w:tcW w:w="13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23" w:after="20" w:line="240" w:lineRule="auto"/>
              <w:jc w:val="left"/>
            </w:pPr>
            <w:r>
              <w:rPr>
                <w:rFonts w:ascii="Calibri" w:eastAsia="Calibri" w:hAnsi="Calibri" w:cs="Calibri"/>
                <w:b w:val="0"/>
                <w:i w:val="0"/>
                <w:color w:val="000000"/>
                <w:sz w:val="10"/>
                <w:u w:val="none"/>
              </w:rPr>
              <w:t>Servicios de mantenimiento de equipos a clientes.</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23" w:after="2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23" w:after="20" w:line="240" w:lineRule="auto"/>
              <w:jc w:val="right"/>
            </w:pPr>
            <w:r>
              <w:rPr>
                <w:rFonts w:ascii="Calibri" w:eastAsia="Calibri" w:hAnsi="Calibri" w:cs="Calibri"/>
                <w:b w:val="0"/>
                <w:i w:val="0"/>
                <w:color w:val="000000"/>
                <w:sz w:val="10"/>
                <w:u w:val="none"/>
              </w:rPr>
              <w:t>332.784</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23" w:after="20" w:line="240" w:lineRule="auto"/>
              <w:jc w:val="right"/>
            </w:pPr>
            <w:r>
              <w:rPr>
                <w:rFonts w:ascii="Calibri" w:eastAsia="Calibri" w:hAnsi="Calibri" w:cs="Calibri"/>
                <w:b w:val="0"/>
                <w:i w:val="0"/>
                <w:color w:val="000000"/>
                <w:sz w:val="10"/>
                <w:u w:val="none"/>
              </w:rPr>
              <w:t>(105.931)</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23" w:after="20" w:line="240" w:lineRule="auto"/>
              <w:jc w:val="right"/>
            </w:pPr>
            <w:r>
              <w:rPr>
                <w:rFonts w:ascii="Calibri" w:eastAsia="Calibri" w:hAnsi="Calibri" w:cs="Calibri"/>
                <w:b w:val="0"/>
                <w:i w:val="0"/>
                <w:color w:val="000000"/>
                <w:sz w:val="10"/>
                <w:u w:val="none"/>
              </w:rPr>
              <w:t>232.193</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23" w:after="2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23" w:after="20" w:line="240" w:lineRule="auto"/>
              <w:jc w:val="right"/>
            </w:pPr>
            <w:r>
              <w:rPr>
                <w:rFonts w:ascii="Calibri" w:eastAsia="Calibri" w:hAnsi="Calibri" w:cs="Calibri"/>
                <w:b w:val="0"/>
                <w:i w:val="0"/>
                <w:color w:val="000000"/>
                <w:sz w:val="10"/>
                <w:u w:val="none"/>
              </w:rPr>
              <w:t>2.256.133</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23" w:after="20" w:line="240" w:lineRule="auto"/>
              <w:jc w:val="right"/>
            </w:pPr>
            <w:r>
              <w:rPr>
                <w:rFonts w:ascii="Calibri" w:eastAsia="Calibri" w:hAnsi="Calibri" w:cs="Calibri"/>
                <w:b w:val="0"/>
                <w:i w:val="0"/>
                <w:color w:val="000000"/>
                <w:sz w:val="10"/>
                <w:u w:val="none"/>
              </w:rPr>
              <w:t>(1.385.240)</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23" w:after="20" w:line="240" w:lineRule="auto"/>
              <w:jc w:val="right"/>
            </w:pPr>
            <w:r>
              <w:rPr>
                <w:rFonts w:ascii="Calibri" w:eastAsia="Calibri" w:hAnsi="Calibri" w:cs="Calibri"/>
                <w:b w:val="0"/>
                <w:i w:val="0"/>
                <w:color w:val="000000"/>
                <w:sz w:val="10"/>
                <w:u w:val="none"/>
              </w:rPr>
              <w:t>1.084.110</w:t>
            </w:r>
          </w:p>
        </w:tc>
        <w:tc>
          <w:tcPr>
            <w:tcW w:w="720" w:type="dxa"/>
            <w:tcBorders>
              <w:top w:val="single" w:sz="4" w:space="0" w:color="FFFFFF"/>
              <w:left w:val="nil"/>
              <w:bottom w:val="single" w:sz="4" w:space="0" w:color="FFFFFF"/>
              <w:right w:val="nil"/>
            </w:tcBorders>
            <w:tcMar>
              <w:top w:w="0" w:type="dxa"/>
              <w:left w:w="0" w:type="dxa"/>
              <w:bottom w:w="0" w:type="dxa"/>
              <w:right w:w="53" w:type="dxa"/>
            </w:tcMar>
            <w:vAlign w:val="bottom"/>
          </w:tcPr>
          <w:p>
            <w:pPr>
              <w:keepNext/>
              <w:pageBreakBefore w:val="0"/>
              <w:spacing w:before="23" w:after="20" w:line="240" w:lineRule="auto"/>
              <w:jc w:val="right"/>
            </w:pPr>
          </w:p>
        </w:tc>
        <w:tc>
          <w:tcPr>
            <w:tcW w:w="720" w:type="dxa"/>
            <w:tcBorders>
              <w:top w:val="single" w:sz="4" w:space="0" w:color="FFFFFF"/>
              <w:left w:val="single" w:sz="4" w:space="0" w:color="FFFFFF"/>
              <w:bottom w:val="single" w:sz="4" w:space="0" w:color="FFFFFF"/>
              <w:right w:val="nil"/>
            </w:tcBorders>
            <w:tcMar>
              <w:top w:w="0" w:type="dxa"/>
              <w:left w:w="0" w:type="dxa"/>
              <w:bottom w:w="0" w:type="dxa"/>
              <w:right w:w="53" w:type="dxa"/>
            </w:tcMar>
            <w:vAlign w:val="bottom"/>
          </w:tcPr>
          <w:p>
            <w:pPr>
              <w:keepNext/>
              <w:pageBreakBefore w:val="0"/>
              <w:spacing w:before="23" w:after="20" w:line="240" w:lineRule="auto"/>
              <w:jc w:val="right"/>
            </w:pPr>
            <w:r>
              <w:rPr>
                <w:rFonts w:ascii="Calibri" w:eastAsia="Calibri" w:hAnsi="Calibri" w:cs="Calibri"/>
                <w:b/>
                <w:i w:val="0"/>
                <w:color w:val="FFFFFF"/>
                <w:sz w:val="10"/>
                <w:u w:val="none"/>
              </w:rPr>
              <w:t>2.588.917</w:t>
            </w:r>
          </w:p>
        </w:tc>
        <w:tc>
          <w:tcPr>
            <w:tcW w:w="720" w:type="dxa"/>
            <w:tcBorders>
              <w:top w:val="single" w:sz="8" w:space="0" w:color="FFFFFF"/>
              <w:left w:val="single" w:sz="2" w:space="0" w:color="000000"/>
              <w:bottom w:val="single" w:sz="8" w:space="0" w:color="FFFFFF"/>
              <w:right w:val="nil"/>
            </w:tcBorders>
            <w:tcMar>
              <w:top w:w="0" w:type="dxa"/>
              <w:left w:w="0" w:type="dxa"/>
              <w:bottom w:w="0" w:type="dxa"/>
              <w:right w:w="53" w:type="dxa"/>
            </w:tcMar>
            <w:vAlign w:val="bottom"/>
          </w:tcPr>
          <w:p>
            <w:pPr>
              <w:keepNext/>
              <w:pageBreakBefore w:val="0"/>
              <w:spacing w:before="23" w:after="20" w:line="240" w:lineRule="auto"/>
              <w:jc w:val="right"/>
            </w:pPr>
            <w:r>
              <w:rPr>
                <w:rFonts w:ascii="Calibri" w:eastAsia="Calibri" w:hAnsi="Calibri" w:cs="Calibri"/>
                <w:b/>
                <w:i w:val="0"/>
                <w:color w:val="FFFFFF"/>
                <w:sz w:val="10"/>
                <w:u w:val="none"/>
              </w:rPr>
              <w:t>(1.491.171)</w:t>
            </w:r>
          </w:p>
        </w:tc>
        <w:tc>
          <w:tcPr>
            <w:tcW w:w="720" w:type="dxa"/>
            <w:tcBorders>
              <w:top w:val="single" w:sz="8" w:space="0" w:color="FFFFFF"/>
              <w:left w:val="single" w:sz="8" w:space="0" w:color="FFFFFF"/>
              <w:bottom w:val="single" w:sz="8" w:space="0" w:color="FFFFFF"/>
              <w:right w:val="single" w:sz="2" w:space="0" w:color="000000"/>
            </w:tcBorders>
            <w:tcMar>
              <w:top w:w="0" w:type="dxa"/>
              <w:left w:w="0" w:type="dxa"/>
              <w:bottom w:w="0" w:type="dxa"/>
              <w:right w:w="53" w:type="dxa"/>
            </w:tcMar>
            <w:vAlign w:val="bottom"/>
          </w:tcPr>
          <w:p>
            <w:pPr>
              <w:keepNext/>
              <w:pageBreakBefore w:val="0"/>
              <w:spacing w:before="23" w:after="20" w:line="240" w:lineRule="auto"/>
              <w:jc w:val="right"/>
            </w:pPr>
            <w:r>
              <w:rPr>
                <w:rFonts w:ascii="Calibri" w:eastAsia="Calibri" w:hAnsi="Calibri" w:cs="Calibri"/>
                <w:b/>
                <w:i w:val="0"/>
                <w:color w:val="FFFFFF"/>
                <w:sz w:val="10"/>
                <w:u w:val="none"/>
              </w:rPr>
              <w:t>1.316.303</w:t>
            </w:r>
          </w:p>
        </w:tc>
      </w:tr>
      <w:tr>
        <w:tblPrEx>
          <w:tblW w:w="9960" w:type="dxa"/>
          <w:tblInd w:w="0" w:type="dxa"/>
          <w:tblLayout w:type="fixed"/>
        </w:tblPrEx>
        <w:trPr>
          <w:cantSplit/>
          <w:trHeight w:hRule="auto" w:val="0"/>
        </w:trPr>
        <w:tc>
          <w:tcPr>
            <w:tcW w:w="13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23" w:after="20" w:line="240" w:lineRule="auto"/>
              <w:jc w:val="left"/>
            </w:pPr>
            <w:r>
              <w:rPr>
                <w:rFonts w:ascii="Calibri" w:eastAsia="Calibri" w:hAnsi="Calibri" w:cs="Calibri"/>
                <w:b w:val="0"/>
                <w:i w:val="0"/>
                <w:color w:val="000000"/>
                <w:sz w:val="10"/>
                <w:u w:val="none"/>
              </w:rPr>
              <w:t>Apoyos en postación.</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23" w:after="2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23" w:after="20" w:line="240" w:lineRule="auto"/>
              <w:jc w:val="right"/>
            </w:pPr>
            <w:r>
              <w:rPr>
                <w:rFonts w:ascii="Calibri" w:eastAsia="Calibri" w:hAnsi="Calibri" w:cs="Calibri"/>
                <w:b w:val="0"/>
                <w:i w:val="0"/>
                <w:color w:val="000000"/>
                <w:sz w:val="10"/>
                <w:u w:val="none"/>
              </w:rPr>
              <w:t>36.467</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23" w:after="20" w:line="240" w:lineRule="auto"/>
              <w:jc w:val="right"/>
            </w:pPr>
            <w:r>
              <w:rPr>
                <w:rFonts w:ascii="Calibri" w:eastAsia="Calibri" w:hAnsi="Calibri" w:cs="Calibri"/>
                <w:b w:val="0"/>
                <w:i w:val="0"/>
                <w:color w:val="000000"/>
                <w:sz w:val="10"/>
                <w:u w:val="none"/>
              </w:rPr>
              <w:t>(37.728)</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23" w:after="2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23" w:after="2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23" w:after="2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23" w:after="2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23" w:after="20" w:line="240" w:lineRule="auto"/>
              <w:jc w:val="right"/>
            </w:pPr>
          </w:p>
        </w:tc>
        <w:tc>
          <w:tcPr>
            <w:tcW w:w="720" w:type="dxa"/>
            <w:tcBorders>
              <w:top w:val="single" w:sz="4" w:space="0" w:color="FFFFFF"/>
              <w:left w:val="nil"/>
              <w:bottom w:val="single" w:sz="4" w:space="0" w:color="FFFFFF"/>
              <w:right w:val="nil"/>
            </w:tcBorders>
            <w:tcMar>
              <w:top w:w="0" w:type="dxa"/>
              <w:left w:w="0" w:type="dxa"/>
              <w:bottom w:w="0" w:type="dxa"/>
              <w:right w:w="53" w:type="dxa"/>
            </w:tcMar>
            <w:vAlign w:val="bottom"/>
          </w:tcPr>
          <w:p>
            <w:pPr>
              <w:keepNext/>
              <w:pageBreakBefore w:val="0"/>
              <w:spacing w:before="23" w:after="20" w:line="240" w:lineRule="auto"/>
              <w:jc w:val="right"/>
            </w:pPr>
          </w:p>
        </w:tc>
        <w:tc>
          <w:tcPr>
            <w:tcW w:w="720" w:type="dxa"/>
            <w:tcBorders>
              <w:top w:val="single" w:sz="4" w:space="0" w:color="FFFFFF"/>
              <w:left w:val="single" w:sz="4" w:space="0" w:color="FFFFFF"/>
              <w:bottom w:val="single" w:sz="4" w:space="0" w:color="FFFFFF"/>
              <w:right w:val="nil"/>
            </w:tcBorders>
            <w:tcMar>
              <w:top w:w="0" w:type="dxa"/>
              <w:left w:w="0" w:type="dxa"/>
              <w:bottom w:w="0" w:type="dxa"/>
              <w:right w:w="53" w:type="dxa"/>
            </w:tcMar>
            <w:vAlign w:val="bottom"/>
          </w:tcPr>
          <w:p>
            <w:pPr>
              <w:keepNext/>
              <w:pageBreakBefore w:val="0"/>
              <w:spacing w:before="23" w:after="20" w:line="240" w:lineRule="auto"/>
              <w:jc w:val="right"/>
            </w:pPr>
            <w:r>
              <w:rPr>
                <w:rFonts w:ascii="Calibri" w:eastAsia="Calibri" w:hAnsi="Calibri" w:cs="Calibri"/>
                <w:b/>
                <w:i w:val="0"/>
                <w:color w:val="FFFFFF"/>
                <w:sz w:val="10"/>
                <w:u w:val="none"/>
              </w:rPr>
              <w:t>36.467</w:t>
            </w:r>
          </w:p>
        </w:tc>
        <w:tc>
          <w:tcPr>
            <w:tcW w:w="720" w:type="dxa"/>
            <w:tcBorders>
              <w:top w:val="single" w:sz="8" w:space="0" w:color="FFFFFF"/>
              <w:left w:val="single" w:sz="2" w:space="0" w:color="000000"/>
              <w:bottom w:val="single" w:sz="8" w:space="0" w:color="FFFFFF"/>
              <w:right w:val="nil"/>
            </w:tcBorders>
            <w:tcMar>
              <w:top w:w="0" w:type="dxa"/>
              <w:left w:w="0" w:type="dxa"/>
              <w:bottom w:w="0" w:type="dxa"/>
              <w:right w:w="53" w:type="dxa"/>
            </w:tcMar>
            <w:vAlign w:val="bottom"/>
          </w:tcPr>
          <w:p>
            <w:pPr>
              <w:keepNext/>
              <w:pageBreakBefore w:val="0"/>
              <w:spacing w:before="23" w:after="20" w:line="240" w:lineRule="auto"/>
              <w:jc w:val="right"/>
            </w:pPr>
            <w:r>
              <w:rPr>
                <w:rFonts w:ascii="Calibri" w:eastAsia="Calibri" w:hAnsi="Calibri" w:cs="Calibri"/>
                <w:b/>
                <w:i w:val="0"/>
                <w:color w:val="FFFFFF"/>
                <w:sz w:val="10"/>
                <w:u w:val="none"/>
              </w:rPr>
              <w:t>(37.728)</w:t>
            </w:r>
          </w:p>
        </w:tc>
        <w:tc>
          <w:tcPr>
            <w:tcW w:w="720" w:type="dxa"/>
            <w:tcBorders>
              <w:top w:val="single" w:sz="8" w:space="0" w:color="FFFFFF"/>
              <w:left w:val="single" w:sz="8" w:space="0" w:color="FFFFFF"/>
              <w:bottom w:val="single" w:sz="8" w:space="0" w:color="FFFFFF"/>
              <w:right w:val="single" w:sz="2" w:space="0" w:color="000000"/>
            </w:tcBorders>
            <w:tcMar>
              <w:top w:w="0" w:type="dxa"/>
              <w:left w:w="0" w:type="dxa"/>
              <w:bottom w:w="0" w:type="dxa"/>
              <w:right w:w="53" w:type="dxa"/>
            </w:tcMar>
            <w:vAlign w:val="bottom"/>
          </w:tcPr>
          <w:p>
            <w:pPr>
              <w:keepNext/>
              <w:pageBreakBefore w:val="0"/>
              <w:spacing w:before="23" w:after="20" w:line="240" w:lineRule="auto"/>
              <w:jc w:val="right"/>
            </w:pPr>
          </w:p>
        </w:tc>
      </w:tr>
      <w:tr>
        <w:tblPrEx>
          <w:tblW w:w="9960" w:type="dxa"/>
          <w:tblInd w:w="0" w:type="dxa"/>
          <w:tblLayout w:type="fixed"/>
        </w:tblPrEx>
        <w:trPr>
          <w:cantSplit/>
          <w:trHeight w:hRule="auto" w:val="0"/>
        </w:trPr>
        <w:tc>
          <w:tcPr>
            <w:tcW w:w="13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23" w:after="20" w:line="240" w:lineRule="auto"/>
              <w:jc w:val="left"/>
            </w:pPr>
            <w:r>
              <w:rPr>
                <w:rFonts w:ascii="Calibri" w:eastAsia="Calibri" w:hAnsi="Calibri" w:cs="Calibri"/>
                <w:b w:val="0"/>
                <w:i w:val="0"/>
                <w:color w:val="000000"/>
                <w:sz w:val="10"/>
                <w:u w:val="none"/>
              </w:rPr>
              <w:t>Servicios de construcción de obras e instalaciones eléctricas.</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23" w:after="2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23" w:after="20" w:line="240" w:lineRule="auto"/>
              <w:jc w:val="right"/>
            </w:pPr>
            <w:r>
              <w:rPr>
                <w:rFonts w:ascii="Calibri" w:eastAsia="Calibri" w:hAnsi="Calibri" w:cs="Calibri"/>
                <w:b w:val="0"/>
                <w:i w:val="0"/>
                <w:color w:val="000000"/>
                <w:sz w:val="10"/>
                <w:u w:val="none"/>
              </w:rPr>
              <w:t>7.844.134</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23" w:after="20" w:line="240" w:lineRule="auto"/>
              <w:jc w:val="right"/>
            </w:pPr>
            <w:r>
              <w:rPr>
                <w:rFonts w:ascii="Calibri" w:eastAsia="Calibri" w:hAnsi="Calibri" w:cs="Calibri"/>
                <w:b w:val="0"/>
                <w:i w:val="0"/>
                <w:color w:val="000000"/>
                <w:sz w:val="10"/>
                <w:u w:val="none"/>
              </w:rPr>
              <w:t>(5.343.316)</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23" w:after="20" w:line="240" w:lineRule="auto"/>
              <w:jc w:val="right"/>
            </w:pPr>
            <w:r>
              <w:rPr>
                <w:rFonts w:ascii="Calibri" w:eastAsia="Calibri" w:hAnsi="Calibri" w:cs="Calibri"/>
                <w:b w:val="0"/>
                <w:i w:val="0"/>
                <w:color w:val="000000"/>
                <w:sz w:val="10"/>
                <w:u w:val="none"/>
              </w:rPr>
              <w:t>4.550.286</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23" w:after="2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23" w:after="20" w:line="240" w:lineRule="auto"/>
              <w:jc w:val="right"/>
            </w:pPr>
            <w:r>
              <w:rPr>
                <w:rFonts w:ascii="Calibri" w:eastAsia="Calibri" w:hAnsi="Calibri" w:cs="Calibri"/>
                <w:b w:val="0"/>
                <w:i w:val="0"/>
                <w:color w:val="000000"/>
                <w:sz w:val="10"/>
                <w:u w:val="none"/>
              </w:rPr>
              <w:t>16.885.410</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23" w:after="20" w:line="240" w:lineRule="auto"/>
              <w:jc w:val="right"/>
            </w:pPr>
            <w:r>
              <w:rPr>
                <w:rFonts w:ascii="Calibri" w:eastAsia="Calibri" w:hAnsi="Calibri" w:cs="Calibri"/>
                <w:b w:val="0"/>
                <w:i w:val="0"/>
                <w:color w:val="000000"/>
                <w:sz w:val="10"/>
                <w:u w:val="none"/>
              </w:rPr>
              <w:t>(5.187.340)</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23" w:after="20" w:line="240" w:lineRule="auto"/>
              <w:jc w:val="right"/>
            </w:pPr>
            <w:r>
              <w:rPr>
                <w:rFonts w:ascii="Calibri" w:eastAsia="Calibri" w:hAnsi="Calibri" w:cs="Calibri"/>
                <w:b w:val="0"/>
                <w:i w:val="0"/>
                <w:color w:val="000000"/>
                <w:sz w:val="10"/>
                <w:u w:val="none"/>
              </w:rPr>
              <w:t>9.059.384</w:t>
            </w:r>
          </w:p>
        </w:tc>
        <w:tc>
          <w:tcPr>
            <w:tcW w:w="720" w:type="dxa"/>
            <w:tcBorders>
              <w:top w:val="single" w:sz="4" w:space="0" w:color="FFFFFF"/>
              <w:left w:val="nil"/>
              <w:bottom w:val="single" w:sz="4" w:space="0" w:color="FFFFFF"/>
              <w:right w:val="nil"/>
            </w:tcBorders>
            <w:tcMar>
              <w:top w:w="0" w:type="dxa"/>
              <w:left w:w="0" w:type="dxa"/>
              <w:bottom w:w="0" w:type="dxa"/>
              <w:right w:w="53" w:type="dxa"/>
            </w:tcMar>
            <w:vAlign w:val="bottom"/>
          </w:tcPr>
          <w:p>
            <w:pPr>
              <w:keepNext/>
              <w:pageBreakBefore w:val="0"/>
              <w:spacing w:before="23" w:after="20" w:line="240" w:lineRule="auto"/>
              <w:jc w:val="right"/>
            </w:pPr>
          </w:p>
        </w:tc>
        <w:tc>
          <w:tcPr>
            <w:tcW w:w="720" w:type="dxa"/>
            <w:tcBorders>
              <w:top w:val="single" w:sz="4" w:space="0" w:color="FFFFFF"/>
              <w:left w:val="single" w:sz="4" w:space="0" w:color="FFFFFF"/>
              <w:bottom w:val="single" w:sz="4" w:space="0" w:color="FFFFFF"/>
              <w:right w:val="nil"/>
            </w:tcBorders>
            <w:tcMar>
              <w:top w:w="0" w:type="dxa"/>
              <w:left w:w="0" w:type="dxa"/>
              <w:bottom w:w="0" w:type="dxa"/>
              <w:right w:w="53" w:type="dxa"/>
            </w:tcMar>
            <w:vAlign w:val="bottom"/>
          </w:tcPr>
          <w:p>
            <w:pPr>
              <w:keepNext/>
              <w:pageBreakBefore w:val="0"/>
              <w:spacing w:before="23" w:after="20" w:line="240" w:lineRule="auto"/>
              <w:jc w:val="right"/>
            </w:pPr>
            <w:r>
              <w:rPr>
                <w:rFonts w:ascii="Calibri" w:eastAsia="Calibri" w:hAnsi="Calibri" w:cs="Calibri"/>
                <w:b/>
                <w:i w:val="0"/>
                <w:color w:val="FFFFFF"/>
                <w:sz w:val="10"/>
                <w:u w:val="none"/>
              </w:rPr>
              <w:t>24.729.544</w:t>
            </w:r>
          </w:p>
        </w:tc>
        <w:tc>
          <w:tcPr>
            <w:tcW w:w="720" w:type="dxa"/>
            <w:tcBorders>
              <w:top w:val="single" w:sz="8" w:space="0" w:color="FFFFFF"/>
              <w:left w:val="single" w:sz="2" w:space="0" w:color="000000"/>
              <w:bottom w:val="single" w:sz="8" w:space="0" w:color="FFFFFF"/>
              <w:right w:val="nil"/>
            </w:tcBorders>
            <w:tcMar>
              <w:top w:w="0" w:type="dxa"/>
              <w:left w:w="0" w:type="dxa"/>
              <w:bottom w:w="0" w:type="dxa"/>
              <w:right w:w="53" w:type="dxa"/>
            </w:tcMar>
            <w:vAlign w:val="bottom"/>
          </w:tcPr>
          <w:p>
            <w:pPr>
              <w:keepNext/>
              <w:pageBreakBefore w:val="0"/>
              <w:spacing w:before="23" w:after="20" w:line="240" w:lineRule="auto"/>
              <w:jc w:val="right"/>
            </w:pPr>
            <w:r>
              <w:rPr>
                <w:rFonts w:ascii="Calibri" w:eastAsia="Calibri" w:hAnsi="Calibri" w:cs="Calibri"/>
                <w:b/>
                <w:i w:val="0"/>
                <w:color w:val="FFFFFF"/>
                <w:sz w:val="10"/>
                <w:u w:val="none"/>
              </w:rPr>
              <w:t>(10.530.656)</w:t>
            </w:r>
          </w:p>
        </w:tc>
        <w:tc>
          <w:tcPr>
            <w:tcW w:w="720" w:type="dxa"/>
            <w:tcBorders>
              <w:top w:val="single" w:sz="8" w:space="0" w:color="FFFFFF"/>
              <w:left w:val="single" w:sz="8" w:space="0" w:color="FFFFFF"/>
              <w:bottom w:val="single" w:sz="8" w:space="0" w:color="FFFFFF"/>
              <w:right w:val="single" w:sz="2" w:space="0" w:color="000000"/>
            </w:tcBorders>
            <w:tcMar>
              <w:top w:w="0" w:type="dxa"/>
              <w:left w:w="0" w:type="dxa"/>
              <w:bottom w:w="0" w:type="dxa"/>
              <w:right w:w="53" w:type="dxa"/>
            </w:tcMar>
            <w:vAlign w:val="bottom"/>
          </w:tcPr>
          <w:p>
            <w:pPr>
              <w:keepNext/>
              <w:pageBreakBefore w:val="0"/>
              <w:spacing w:before="23" w:after="20" w:line="240" w:lineRule="auto"/>
              <w:jc w:val="right"/>
            </w:pPr>
            <w:r>
              <w:rPr>
                <w:rFonts w:ascii="Calibri" w:eastAsia="Calibri" w:hAnsi="Calibri" w:cs="Calibri"/>
                <w:b/>
                <w:i w:val="0"/>
                <w:color w:val="FFFFFF"/>
                <w:sz w:val="10"/>
                <w:u w:val="none"/>
              </w:rPr>
              <w:t>13.609.670</w:t>
            </w:r>
          </w:p>
        </w:tc>
      </w:tr>
      <w:tr>
        <w:tblPrEx>
          <w:tblW w:w="9960" w:type="dxa"/>
          <w:tblInd w:w="0" w:type="dxa"/>
          <w:tblLayout w:type="fixed"/>
        </w:tblPrEx>
        <w:trPr>
          <w:cantSplit/>
          <w:trHeight w:hRule="auto" w:val="0"/>
        </w:trPr>
        <w:tc>
          <w:tcPr>
            <w:tcW w:w="13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23" w:after="20" w:line="240" w:lineRule="auto"/>
              <w:jc w:val="left"/>
            </w:pPr>
            <w:r>
              <w:rPr>
                <w:rFonts w:ascii="Calibri" w:eastAsia="Calibri" w:hAnsi="Calibri" w:cs="Calibri"/>
                <w:b w:val="0"/>
                <w:i w:val="0"/>
                <w:color w:val="000000"/>
                <w:sz w:val="10"/>
                <w:u w:val="none"/>
              </w:rPr>
              <w:t>Otras prestaciones.</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23" w:after="2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23" w:after="20" w:line="240" w:lineRule="auto"/>
              <w:jc w:val="right"/>
            </w:pPr>
            <w:r>
              <w:rPr>
                <w:rFonts w:ascii="Calibri" w:eastAsia="Calibri" w:hAnsi="Calibri" w:cs="Calibri"/>
                <w:b w:val="0"/>
                <w:i w:val="0"/>
                <w:color w:val="000000"/>
                <w:sz w:val="10"/>
                <w:u w:val="none"/>
              </w:rPr>
              <w:t>92.664</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23" w:after="20" w:line="240" w:lineRule="auto"/>
              <w:jc w:val="right"/>
            </w:pPr>
            <w:r>
              <w:rPr>
                <w:rFonts w:ascii="Calibri" w:eastAsia="Calibri" w:hAnsi="Calibri" w:cs="Calibri"/>
                <w:b w:val="0"/>
                <w:i w:val="0"/>
                <w:color w:val="000000"/>
                <w:sz w:val="10"/>
                <w:u w:val="none"/>
              </w:rPr>
              <w:t>(7.000)</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23" w:after="20" w:line="240" w:lineRule="auto"/>
              <w:jc w:val="right"/>
            </w:pPr>
            <w:r>
              <w:rPr>
                <w:rFonts w:ascii="Calibri" w:eastAsia="Calibri" w:hAnsi="Calibri" w:cs="Calibri"/>
                <w:b w:val="0"/>
                <w:i w:val="0"/>
                <w:color w:val="000000"/>
                <w:sz w:val="10"/>
                <w:u w:val="none"/>
              </w:rPr>
              <w:t>57.135</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23" w:after="2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23" w:after="2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23" w:after="2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23" w:after="20" w:line="240" w:lineRule="auto"/>
              <w:jc w:val="right"/>
            </w:pPr>
          </w:p>
        </w:tc>
        <w:tc>
          <w:tcPr>
            <w:tcW w:w="720" w:type="dxa"/>
            <w:tcBorders>
              <w:top w:val="single" w:sz="4" w:space="0" w:color="FFFFFF"/>
              <w:left w:val="nil"/>
              <w:bottom w:val="single" w:sz="2" w:space="0" w:color="000000"/>
              <w:right w:val="nil"/>
            </w:tcBorders>
            <w:tcMar>
              <w:top w:w="0" w:type="dxa"/>
              <w:left w:w="0" w:type="dxa"/>
              <w:bottom w:w="0" w:type="dxa"/>
              <w:right w:w="53" w:type="dxa"/>
            </w:tcMar>
            <w:vAlign w:val="bottom"/>
          </w:tcPr>
          <w:p>
            <w:pPr>
              <w:keepNext/>
              <w:pageBreakBefore w:val="0"/>
              <w:spacing w:before="23" w:after="20" w:line="240" w:lineRule="auto"/>
              <w:jc w:val="right"/>
            </w:pPr>
          </w:p>
        </w:tc>
        <w:tc>
          <w:tcPr>
            <w:tcW w:w="720" w:type="dxa"/>
            <w:tcBorders>
              <w:top w:val="single" w:sz="4" w:space="0" w:color="FFFFFF"/>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23" w:after="20" w:line="240" w:lineRule="auto"/>
              <w:jc w:val="right"/>
            </w:pPr>
            <w:r>
              <w:rPr>
                <w:rFonts w:ascii="Calibri" w:eastAsia="Calibri" w:hAnsi="Calibri" w:cs="Calibri"/>
                <w:b/>
                <w:i w:val="0"/>
                <w:color w:val="FFFFFF"/>
                <w:sz w:val="10"/>
                <w:u w:val="none"/>
              </w:rPr>
              <w:t>92.664</w:t>
            </w:r>
          </w:p>
        </w:tc>
        <w:tc>
          <w:tcPr>
            <w:tcW w:w="720" w:type="dxa"/>
            <w:tcBorders>
              <w:top w:val="single" w:sz="8" w:space="0" w:color="FFFFFF"/>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23" w:after="20" w:line="240" w:lineRule="auto"/>
              <w:jc w:val="right"/>
            </w:pPr>
            <w:r>
              <w:rPr>
                <w:rFonts w:ascii="Calibri" w:eastAsia="Calibri" w:hAnsi="Calibri" w:cs="Calibri"/>
                <w:b/>
                <w:i w:val="0"/>
                <w:color w:val="FFFFFF"/>
                <w:sz w:val="10"/>
                <w:u w:val="none"/>
              </w:rPr>
              <w:t>(7.000)</w:t>
            </w:r>
          </w:p>
        </w:tc>
        <w:tc>
          <w:tcPr>
            <w:tcW w:w="720" w:type="dxa"/>
            <w:tcBorders>
              <w:top w:val="single" w:sz="8" w:space="0" w:color="FFFFFF"/>
              <w:left w:val="single" w:sz="8"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23" w:after="20" w:line="240" w:lineRule="auto"/>
              <w:jc w:val="right"/>
            </w:pPr>
            <w:r>
              <w:rPr>
                <w:rFonts w:ascii="Calibri" w:eastAsia="Calibri" w:hAnsi="Calibri" w:cs="Calibri"/>
                <w:b/>
                <w:i w:val="0"/>
                <w:color w:val="FFFFFF"/>
                <w:sz w:val="10"/>
                <w:u w:val="none"/>
              </w:rPr>
              <w:t>57.135</w:t>
            </w:r>
          </w:p>
        </w:tc>
      </w:tr>
      <w:tr>
        <w:tblPrEx>
          <w:tblW w:w="9960" w:type="dxa"/>
          <w:tblInd w:w="0" w:type="dxa"/>
          <w:tblLayout w:type="fixed"/>
        </w:tblPrEx>
        <w:trPr>
          <w:cantSplit/>
          <w:trHeight w:hRule="auto" w:val="0"/>
        </w:trPr>
        <w:tc>
          <w:tcPr>
            <w:tcW w:w="13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13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0"/>
                <w:u w:val="none"/>
              </w:rPr>
              <w:t>Total</w:t>
            </w:r>
          </w:p>
        </w:tc>
        <w:tc>
          <w:tcPr>
            <w:tcW w:w="72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0"/>
                <w:u w:val="none"/>
              </w:rPr>
              <w:t>0</w:t>
            </w:r>
          </w:p>
        </w:tc>
        <w:tc>
          <w:tcPr>
            <w:tcW w:w="72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0"/>
                <w:u w:val="none"/>
              </w:rPr>
              <w:t>108.360.172</w:t>
            </w:r>
          </w:p>
        </w:tc>
        <w:tc>
          <w:tcPr>
            <w:tcW w:w="72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0"/>
                <w:u w:val="none"/>
              </w:rPr>
              <w:t>(54.624.466)</w:t>
            </w:r>
          </w:p>
        </w:tc>
        <w:tc>
          <w:tcPr>
            <w:tcW w:w="720" w:type="dxa"/>
            <w:tcBorders>
              <w:top w:val="single" w:sz="2" w:space="0" w:color="000000"/>
              <w:left w:val="single" w:sz="8"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0"/>
                <w:u w:val="none"/>
              </w:rPr>
              <w:t>54.872.213</w:t>
            </w:r>
          </w:p>
        </w:tc>
        <w:tc>
          <w:tcPr>
            <w:tcW w:w="72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0"/>
                <w:u w:val="none"/>
              </w:rPr>
              <w:t>0</w:t>
            </w:r>
          </w:p>
        </w:tc>
        <w:tc>
          <w:tcPr>
            <w:tcW w:w="72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0"/>
                <w:u w:val="none"/>
              </w:rPr>
              <w:t>25.530.920</w:t>
            </w:r>
          </w:p>
        </w:tc>
        <w:tc>
          <w:tcPr>
            <w:tcW w:w="72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0"/>
                <w:u w:val="none"/>
              </w:rPr>
              <w:t>(9.447.301)</w:t>
            </w:r>
          </w:p>
        </w:tc>
        <w:tc>
          <w:tcPr>
            <w:tcW w:w="720" w:type="dxa"/>
            <w:tcBorders>
              <w:top w:val="single" w:sz="2" w:space="0" w:color="000000"/>
              <w:left w:val="single" w:sz="8"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0"/>
                <w:u w:val="none"/>
              </w:rPr>
              <w:t>13.757.778</w:t>
            </w:r>
          </w:p>
        </w:tc>
        <w:tc>
          <w:tcPr>
            <w:tcW w:w="72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0"/>
                <w:u w:val="none"/>
              </w:rPr>
              <w:t>0</w:t>
            </w:r>
          </w:p>
        </w:tc>
        <w:tc>
          <w:tcPr>
            <w:tcW w:w="72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0"/>
                <w:u w:val="none"/>
              </w:rPr>
              <w:t>133.891.092</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0"/>
                <w:u w:val="none"/>
              </w:rPr>
              <w:t>(64.071.767)</w:t>
            </w:r>
          </w:p>
        </w:tc>
        <w:tc>
          <w:tcPr>
            <w:tcW w:w="720" w:type="dxa"/>
            <w:tcBorders>
              <w:top w:val="single" w:sz="2" w:space="0" w:color="000000"/>
              <w:left w:val="single" w:sz="8"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0"/>
                <w:u w:val="none"/>
              </w:rPr>
              <w:t>68.629.991</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CGE Transmisión S.A. y subsidiarias no tienen clientes con los cuales registre ventas que representen el 10% o más de sus ingresos ordinarios en los periodos terminados al </w:t>
      </w:r>
      <w:r>
        <w:rPr>
          <w:rFonts w:ascii="Calibri" w:eastAsia="Calibri" w:hAnsi="Calibri" w:cs="Calibri"/>
          <w:b w:val="0"/>
          <w:i w:val="0"/>
          <w:color w:val="000000"/>
          <w:sz w:val="20"/>
          <w:u w:val="none"/>
        </w:rPr>
        <w:t>30 de junio de 2026 y 2025</w:t>
      </w:r>
      <w:r>
        <w:rPr>
          <w:rFonts w:ascii="Calibri" w:eastAsia="Calibri" w:hAnsi="Calibri" w:cs="Calibri"/>
          <w:b w:val="0"/>
          <w:i w:val="0"/>
          <w:sz w:val="20"/>
        </w:rPr>
        <w:t>.</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Normal-wk"/>
        <w:keepNext w:val="0"/>
        <w:keepLines/>
        <w:pageBreakBefore w:val="0"/>
        <w:widowControl w:val="0"/>
        <w:numPr>
          <w:ilvl w:val="0"/>
          <w:numId w:val="0"/>
        </w:numPr>
        <w:spacing w:before="0" w:after="0" w:line="240" w:lineRule="exact"/>
        <w:ind w:left="1417" w:right="0" w:firstLine="0"/>
        <w:jc w:val="both"/>
        <w:outlineLvl w:val="1"/>
        <w:rPr>
          <w:rFonts w:ascii="Calibri" w:eastAsia="Calibri" w:hAnsi="Calibri" w:cs="Calibri"/>
          <w:b w:val="0"/>
          <w:i w:val="0"/>
          <w:color w:val="000000"/>
          <w:sz w:val="20"/>
          <w:u w:val="none"/>
        </w:rPr>
      </w:pPr>
      <w:bookmarkStart w:id="247" w:name="Section127"/>
      <w:bookmarkEnd w:id="247"/>
      <w:r>
        <w:rPr>
          <w:rFonts w:ascii="Calibri" w:eastAsia="Calibri" w:hAnsi="Calibri" w:cs="Calibri"/>
          <w:b w:val="0"/>
          <w:i w:val="0"/>
          <w:color w:val="000000"/>
          <w:sz w:val="20"/>
          <w:u w:val="none"/>
        </w:rPr>
        <w:t xml:space="preserve">Los ingresos de venta de energía, peajes y transmisión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se desglosan del siguiente modo:</w:t>
      </w:r>
    </w:p>
    <w:p>
      <w:pPr>
        <w:keepNext w:val="0"/>
        <w:keepLines/>
        <w:pageBreakBefore w:val="0"/>
        <w:widowControl w:val="0"/>
        <w:numPr>
          <w:ilvl w:val="0"/>
          <w:numId w:val="0"/>
        </w:numPr>
        <w:spacing w:before="0" w:after="0" w:line="288" w:lineRule="auto"/>
        <w:ind w:left="720" w:right="0" w:firstLine="72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350"/>
        <w:gridCol w:w="1200"/>
        <w:gridCol w:w="1200"/>
        <w:gridCol w:w="900"/>
        <w:gridCol w:w="900"/>
      </w:tblGrid>
      <w:tr>
        <w:tblPrEx>
          <w:tblW w:w="8550" w:type="dxa"/>
          <w:tblInd w:w="1417" w:type="dxa"/>
          <w:tblLayout w:type="fixed"/>
        </w:tblPrEx>
        <w:trPr>
          <w:cantSplit/>
          <w:trHeight w:hRule="auto" w:val="0"/>
        </w:trPr>
        <w:tc>
          <w:tcPr>
            <w:tcW w:w="435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 Detalle ingresos por venta de energía, peajes y transmisión.</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4"/>
                <w:u w:val="none"/>
              </w:rPr>
              <w:t>01-01-2026</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4"/>
                <w:u w:val="none"/>
              </w:rPr>
              <w:t>01-01-2025</w:t>
            </w:r>
          </w:p>
        </w:tc>
        <w:tc>
          <w:tcPr>
            <w:tcW w:w="900" w:type="dxa"/>
            <w:tcBorders>
              <w:top w:val="single" w:sz="2" w:space="0" w:color="000000"/>
              <w:left w:val="single" w:sz="2" w:space="0" w:color="000000"/>
              <w:bottom w:val="nil"/>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4"/>
                <w:u w:val="none"/>
              </w:rPr>
              <w:t>01-04-2026</w:t>
            </w:r>
          </w:p>
        </w:tc>
        <w:tc>
          <w:tcPr>
            <w:tcW w:w="900" w:type="dxa"/>
            <w:tcBorders>
              <w:top w:val="single" w:sz="2" w:space="0" w:color="000000"/>
              <w:left w:val="single" w:sz="8" w:space="0" w:color="FFFFFF"/>
              <w:bottom w:val="nil"/>
              <w:right w:val="single" w:sz="2" w:space="0" w:color="000000"/>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4"/>
                <w:u w:val="none"/>
              </w:rPr>
              <w:t>01-04-2025</w:t>
            </w:r>
          </w:p>
        </w:tc>
      </w:tr>
      <w:tr>
        <w:tblPrEx>
          <w:tblW w:w="8550" w:type="dxa"/>
          <w:tblInd w:w="1417" w:type="dxa"/>
          <w:tblLayout w:type="fixed"/>
        </w:tblPrEx>
        <w:trPr>
          <w:cantSplit/>
          <w:trHeight w:hRule="auto" w:val="0"/>
        </w:trPr>
        <w:tc>
          <w:tcPr>
            <w:tcW w:w="4350"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4"/>
                <w:u w:val="none"/>
              </w:rPr>
              <w:t>30-06-2026</w:t>
            </w:r>
          </w:p>
        </w:tc>
        <w:tc>
          <w:tcPr>
            <w:tcW w:w="1200"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4"/>
                <w:u w:val="none"/>
              </w:rPr>
              <w:t>30-06-2025</w:t>
            </w:r>
          </w:p>
        </w:tc>
        <w:tc>
          <w:tcPr>
            <w:tcW w:w="900" w:type="dxa"/>
            <w:tcBorders>
              <w:top w:val="nil"/>
              <w:left w:val="single" w:sz="2" w:space="0" w:color="000000"/>
              <w:bottom w:val="nil"/>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4"/>
                <w:u w:val="none"/>
              </w:rPr>
              <w:t>30-06-2026</w:t>
            </w:r>
          </w:p>
        </w:tc>
        <w:tc>
          <w:tcPr>
            <w:tcW w:w="900" w:type="dxa"/>
            <w:tcBorders>
              <w:top w:val="nil"/>
              <w:left w:val="single" w:sz="8" w:space="0" w:color="FFFFFF"/>
              <w:bottom w:val="nil"/>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4"/>
                <w:u w:val="none"/>
              </w:rPr>
              <w:t>30-06-2025</w:t>
            </w:r>
          </w:p>
        </w:tc>
      </w:tr>
      <w:tr>
        <w:tblPrEx>
          <w:tblW w:w="8550" w:type="dxa"/>
          <w:tblInd w:w="1417" w:type="dxa"/>
          <w:tblLayout w:type="fixed"/>
        </w:tblPrEx>
        <w:trPr>
          <w:cantSplit/>
          <w:trHeight w:hRule="auto" w:val="0"/>
        </w:trPr>
        <w:tc>
          <w:tcPr>
            <w:tcW w:w="435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4"/>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4"/>
                <w:u w:val="none"/>
              </w:rPr>
              <w:t>M$</w:t>
            </w:r>
          </w:p>
        </w:tc>
        <w:tc>
          <w:tcPr>
            <w:tcW w:w="900" w:type="dxa"/>
            <w:tcBorders>
              <w:top w:val="nil"/>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4"/>
                <w:u w:val="none"/>
              </w:rPr>
              <w:t>M$</w:t>
            </w:r>
          </w:p>
        </w:tc>
        <w:tc>
          <w:tcPr>
            <w:tcW w:w="900" w:type="dxa"/>
            <w:tcBorders>
              <w:top w:val="nil"/>
              <w:left w:val="single" w:sz="8" w:space="0" w:color="FFFFFF"/>
              <w:bottom w:val="single" w:sz="2" w:space="0" w:color="000000"/>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4"/>
                <w:u w:val="none"/>
              </w:rPr>
              <w:t>M$</w:t>
            </w:r>
          </w:p>
        </w:tc>
      </w:tr>
      <w:tr>
        <w:tblPrEx>
          <w:tblW w:w="8550" w:type="dxa"/>
          <w:tblInd w:w="1417" w:type="dxa"/>
          <w:tblLayout w:type="fixed"/>
        </w:tblPrEx>
        <w:trPr>
          <w:cantSplit/>
          <w:trHeight w:hRule="auto" w:val="0"/>
        </w:trPr>
        <w:tc>
          <w:tcPr>
            <w:tcW w:w="43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Ingresos transmisión zonal.</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43.357.018</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92.279.634</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6.024.018</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6.001.573</w:t>
            </w:r>
          </w:p>
        </w:tc>
      </w:tr>
      <w:tr>
        <w:tblPrEx>
          <w:tblW w:w="8550" w:type="dxa"/>
          <w:tblInd w:w="1417" w:type="dxa"/>
          <w:tblLayout w:type="fixed"/>
        </w:tblPrEx>
        <w:trPr>
          <w:cantSplit/>
          <w:trHeight w:hRule="auto" w:val="0"/>
        </w:trPr>
        <w:tc>
          <w:tcPr>
            <w:tcW w:w="43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Ingresos transmisión nacional.</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204.777</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423.374</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8550" w:type="dxa"/>
          <w:tblInd w:w="1417" w:type="dxa"/>
          <w:tblLayout w:type="fixed"/>
        </w:tblPrEx>
        <w:trPr>
          <w:cantSplit/>
          <w:trHeight w:hRule="auto" w:val="0"/>
        </w:trPr>
        <w:tc>
          <w:tcPr>
            <w:tcW w:w="43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Ingresos transmisión dedicada (Regulados).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237.434</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483.571</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8550" w:type="dxa"/>
          <w:tblInd w:w="1417" w:type="dxa"/>
          <w:tblLayout w:type="fixed"/>
        </w:tblPrEx>
        <w:trPr>
          <w:cantSplit/>
          <w:trHeight w:hRule="auto" w:val="0"/>
        </w:trPr>
        <w:tc>
          <w:tcPr>
            <w:tcW w:w="43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Ingresos transmisión dedicada (Libres).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2.528.148</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5.561.030</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8550" w:type="dxa"/>
          <w:tblInd w:w="1417" w:type="dxa"/>
          <w:tblLayout w:type="fixed"/>
        </w:tblPrEx>
        <w:trPr>
          <w:cantSplit/>
          <w:trHeight w:hRule="auto" w:val="0"/>
        </w:trPr>
        <w:tc>
          <w:tcPr>
            <w:tcW w:w="43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Otros.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215.478</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203.988</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8550" w:type="dxa"/>
          <w:tblInd w:w="1417" w:type="dxa"/>
          <w:tblLayout w:type="fixed"/>
        </w:tblPrEx>
        <w:trPr>
          <w:cantSplit/>
          <w:trHeight w:hRule="auto" w:val="0"/>
        </w:trPr>
        <w:tc>
          <w:tcPr>
            <w:tcW w:w="43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Servicios complementarios.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1.750</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3.500</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8550" w:type="dxa"/>
          <w:tblInd w:w="1417" w:type="dxa"/>
          <w:tblLayout w:type="fixed"/>
        </w:tblPrEx>
        <w:trPr>
          <w:cantSplit/>
          <w:trHeight w:hRule="auto" w:val="0"/>
        </w:trPr>
        <w:tc>
          <w:tcPr>
            <w:tcW w:w="43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Total ingresos por venta de energía, peajes y transmisión.</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46.544.605</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98.955.097</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6.024.018</w:t>
            </w:r>
          </w:p>
        </w:tc>
        <w:tc>
          <w:tcPr>
            <w:tcW w:w="900" w:type="dxa"/>
            <w:tcBorders>
              <w:top w:val="single" w:sz="2" w:space="0" w:color="000000"/>
              <w:left w:val="single" w:sz="8"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6.001.573</w:t>
            </w:r>
          </w:p>
        </w:tc>
      </w:tr>
    </w:tbl>
    <w:p>
      <w:pPr>
        <w:keepNext w:val="0"/>
        <w:keepLines/>
        <w:pageBreakBefore w:val="0"/>
        <w:widowControl w:val="0"/>
        <w:numPr>
          <w:ilvl w:val="0"/>
          <w:numId w:val="0"/>
        </w:numPr>
        <w:spacing w:before="0" w:after="0" w:line="288" w:lineRule="auto"/>
        <w:ind w:left="720" w:right="0" w:firstLine="72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720" w:right="0" w:firstLine="720"/>
        <w:jc w:val="both"/>
        <w:outlineLvl w:val="9"/>
        <w:rPr>
          <w:rFonts w:ascii="Calibri" w:eastAsia="Calibri" w:hAnsi="Calibri" w:cs="Calibri"/>
          <w:b w:val="0"/>
          <w:i w:val="0"/>
          <w:color w:val="000000"/>
          <w:sz w:val="20"/>
          <w:u w:val="none"/>
        </w:rPr>
        <w:sectPr>
          <w:footerReference w:type="default" r:id="rId52"/>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248" w:name="Section128"/>
      <w:bookmarkEnd w:id="248"/>
      <w:bookmarkStart w:id="249" w:name="abca84efc9d649a492123f07a748c698"/>
      <w:r>
        <w:rPr>
          <w:rFonts w:ascii="Calibri" w:eastAsia="Calibri" w:hAnsi="Calibri" w:cs="Calibri"/>
          <w:b/>
          <w:i w:val="0"/>
          <w:color w:val="000000"/>
          <w:sz w:val="20"/>
          <w:u w:val="none"/>
        </w:rPr>
        <w:t>27.2.-</w:t>
      </w:r>
      <w:r>
        <w:rPr>
          <w:rFonts w:ascii="Calibri" w:eastAsia="Calibri" w:hAnsi="Calibri" w:cs="Calibri"/>
          <w:b/>
          <w:i w:val="0"/>
          <w:color w:val="000000"/>
          <w:sz w:val="20"/>
          <w:u w:val="none"/>
        </w:rPr>
        <w:tab/>
      </w:r>
      <w:r>
        <w:rPr>
          <w:rFonts w:ascii="Calibri" w:eastAsia="Calibri" w:hAnsi="Calibri" w:cs="Calibri"/>
          <w:b/>
          <w:i w:val="0"/>
          <w:color w:val="000000"/>
          <w:sz w:val="20"/>
          <w:u w:val="none"/>
        </w:rPr>
        <w:t>Otros ingresos, por función.</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bookmarkEnd w:id="249"/>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960"/>
        <w:gridCol w:w="1200"/>
        <w:gridCol w:w="1200"/>
        <w:gridCol w:w="1095"/>
        <w:gridCol w:w="1095"/>
      </w:tblGrid>
      <w:tr>
        <w:tblPrEx>
          <w:tblW w:w="8550" w:type="dxa"/>
          <w:tblInd w:w="1417" w:type="dxa"/>
          <w:tblLayout w:type="fixed"/>
        </w:tblPrEx>
        <w:trPr>
          <w:cantSplit/>
          <w:trHeight w:hRule="auto" w:val="0"/>
        </w:trPr>
        <w:tc>
          <w:tcPr>
            <w:tcW w:w="396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Otros ingresos por función</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4"/>
                <w:u w:val="none"/>
              </w:rPr>
              <w:t>01-01-2026</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4"/>
                <w:u w:val="none"/>
              </w:rPr>
              <w:t>01-01-2025</w:t>
            </w:r>
          </w:p>
        </w:tc>
        <w:tc>
          <w:tcPr>
            <w:tcW w:w="1095" w:type="dxa"/>
            <w:tcBorders>
              <w:top w:val="nil"/>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01-04-2026</w:t>
            </w:r>
          </w:p>
        </w:tc>
        <w:tc>
          <w:tcPr>
            <w:tcW w:w="1095" w:type="dxa"/>
            <w:tcBorders>
              <w:top w:val="nil"/>
              <w:left w:val="single" w:sz="8"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01-04-2025</w:t>
            </w:r>
          </w:p>
        </w:tc>
      </w:tr>
      <w:tr>
        <w:tblPrEx>
          <w:tblW w:w="8550" w:type="dxa"/>
          <w:tblInd w:w="1417" w:type="dxa"/>
          <w:tblLayout w:type="fixed"/>
        </w:tblPrEx>
        <w:trPr>
          <w:cantSplit/>
          <w:trHeight w:hRule="auto" w:val="0"/>
        </w:trPr>
        <w:tc>
          <w:tcPr>
            <w:tcW w:w="3960"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4"/>
                <w:u w:val="none"/>
              </w:rPr>
              <w:t>30-06-2026</w:t>
            </w:r>
          </w:p>
        </w:tc>
        <w:tc>
          <w:tcPr>
            <w:tcW w:w="1200"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4"/>
                <w:u w:val="none"/>
              </w:rPr>
              <w:t>30-06-2025</w:t>
            </w:r>
          </w:p>
        </w:tc>
        <w:tc>
          <w:tcPr>
            <w:tcW w:w="1095" w:type="dxa"/>
            <w:tcBorders>
              <w:top w:val="nil"/>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1095" w:type="dxa"/>
            <w:tcBorders>
              <w:top w:val="nil"/>
              <w:left w:val="single" w:sz="8"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30-06-2025</w:t>
            </w:r>
          </w:p>
        </w:tc>
      </w:tr>
      <w:tr>
        <w:tblPrEx>
          <w:tblW w:w="8550" w:type="dxa"/>
          <w:tblInd w:w="1417" w:type="dxa"/>
          <w:tblLayout w:type="fixed"/>
        </w:tblPrEx>
        <w:trPr>
          <w:cantSplit/>
          <w:trHeight w:hRule="auto" w:val="0"/>
        </w:trPr>
        <w:tc>
          <w:tcPr>
            <w:tcW w:w="396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4"/>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4"/>
                <w:u w:val="none"/>
              </w:rPr>
              <w:t>M$</w:t>
            </w:r>
          </w:p>
        </w:tc>
        <w:tc>
          <w:tcPr>
            <w:tcW w:w="1095" w:type="dxa"/>
            <w:tcBorders>
              <w:top w:val="nil"/>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95" w:type="dxa"/>
            <w:tcBorders>
              <w:top w:val="nil"/>
              <w:left w:val="single" w:sz="8"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8550" w:type="dxa"/>
          <w:tblInd w:w="1417" w:type="dxa"/>
          <w:tblLayout w:type="fixed"/>
        </w:tblPrEx>
        <w:trPr>
          <w:cantSplit/>
          <w:trHeight w:hRule="auto" w:val="0"/>
        </w:trPr>
        <w:tc>
          <w:tcPr>
            <w:tcW w:w="3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Arriendo de oficinas a terceros.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504.940</w:t>
            </w:r>
          </w:p>
        </w:tc>
        <w:tc>
          <w:tcPr>
            <w:tcW w:w="1095" w:type="dxa"/>
            <w:tcBorders>
              <w:top w:val="nil"/>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(90.382)</w:t>
            </w:r>
          </w:p>
        </w:tc>
        <w:tc>
          <w:tcPr>
            <w:tcW w:w="1095" w:type="dxa"/>
            <w:tcBorders>
              <w:top w:val="nil"/>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405.045</w:t>
            </w:r>
          </w:p>
        </w:tc>
      </w:tr>
      <w:tr>
        <w:tblPrEx>
          <w:tblW w:w="8550" w:type="dxa"/>
          <w:tblInd w:w="1417" w:type="dxa"/>
          <w:tblLayout w:type="fixed"/>
        </w:tblPrEx>
        <w:trPr>
          <w:cantSplit/>
          <w:trHeight w:hRule="auto" w:val="0"/>
        </w:trPr>
        <w:tc>
          <w:tcPr>
            <w:tcW w:w="3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Otros ingresos de operación.</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244.598</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(277.408)</w:t>
            </w: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(26.024)</w:t>
            </w:r>
          </w:p>
        </w:tc>
      </w:tr>
      <w:tr>
        <w:tblPrEx>
          <w:tblW w:w="8550" w:type="dxa"/>
          <w:tblInd w:w="1417" w:type="dxa"/>
          <w:tblLayout w:type="fixed"/>
        </w:tblPrEx>
        <w:trPr>
          <w:cantSplit/>
          <w:trHeight w:hRule="auto" w:val="0"/>
        </w:trPr>
        <w:tc>
          <w:tcPr>
            <w:tcW w:w="3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749.538</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(367.790)</w:t>
            </w:r>
          </w:p>
        </w:tc>
        <w:tc>
          <w:tcPr>
            <w:tcW w:w="1095" w:type="dxa"/>
            <w:tcBorders>
              <w:top w:val="single" w:sz="2" w:space="0" w:color="000000"/>
              <w:left w:val="single" w:sz="8"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379.021</w:t>
            </w:r>
          </w:p>
        </w:tc>
      </w:tr>
    </w:tbl>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En el ítem otros ingresos de operación se registran servicios y arriendos de propiedades a empresas relacionadas fuera del perímetro de CGE Transmisión S.A.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40" w:lineRule="exact"/>
        <w:ind w:left="0" w:right="0" w:firstLine="0"/>
        <w:jc w:val="both"/>
        <w:outlineLvl w:val="0"/>
        <w:rPr>
          <w:rFonts w:ascii="Cambria" w:eastAsia="Cambria" w:hAnsi="Cambria" w:cs="Cambria"/>
          <w:b/>
          <w:i w:val="0"/>
          <w:color w:val="365F91"/>
          <w:sz w:val="28"/>
          <w:u w:val="none"/>
        </w:rPr>
      </w:pPr>
      <w:bookmarkStart w:id="250" w:name="Section129"/>
      <w:bookmarkEnd w:id="250"/>
      <w:bookmarkStart w:id="251" w:name="45eae414982641128e5a19104436dbe4"/>
      <w:r>
        <w:rPr>
          <w:rFonts w:ascii="Calibri" w:eastAsia="Calibri" w:hAnsi="Calibri" w:cs="Calibri"/>
          <w:b/>
          <w:i w:val="0"/>
          <w:color w:val="000000"/>
          <w:sz w:val="20"/>
          <w:u w:val="none"/>
        </w:rPr>
        <w:t>28.-</w:t>
      </w:r>
      <w:r>
        <w:rPr>
          <w:rFonts w:ascii="Calibri" w:eastAsia="Calibri" w:hAnsi="Calibri" w:cs="Calibri"/>
          <w:b/>
          <w:i w:val="0"/>
          <w:color w:val="000000"/>
          <w:sz w:val="20"/>
          <w:u w:val="none"/>
        </w:rPr>
        <w:tab/>
      </w:r>
      <w:r>
        <w:rPr>
          <w:rFonts w:ascii="Calibri" w:eastAsia="Calibri" w:hAnsi="Calibri" w:cs="Calibri"/>
          <w:b/>
          <w:i w:val="0"/>
          <w:color w:val="000000"/>
          <w:sz w:val="20"/>
          <w:u w:val="none"/>
        </w:rPr>
        <w:t>COMPOSICIÓN DE RESULTADOS RELEVANTES.</w:t>
      </w:r>
    </w:p>
    <w:p>
      <w:pPr>
        <w:keepNext w:val="0"/>
        <w:keepLines/>
        <w:pageBreakBefore w:val="0"/>
        <w:widowControl w:val="0"/>
        <w:numPr>
          <w:ilvl w:val="0"/>
          <w:numId w:val="0"/>
        </w:numPr>
        <w:tabs>
          <w:tab w:val="left" w:pos="2260"/>
        </w:tabs>
        <w:spacing w:before="0" w:after="0" w:line="288" w:lineRule="auto"/>
        <w:ind w:left="0" w:right="0" w:firstLine="0"/>
        <w:jc w:val="both"/>
        <w:outlineLvl w:val="9"/>
        <w:rPr>
          <w:rFonts w:ascii="Calibri" w:eastAsia="Calibri" w:hAnsi="Calibri" w:cs="Calibri"/>
          <w:b w:val="0"/>
          <w:i w:val="0"/>
          <w:color w:val="000000"/>
          <w:sz w:val="20"/>
          <w:u w:val="none"/>
        </w:rPr>
      </w:pPr>
      <w:bookmarkEnd w:id="251"/>
    </w:p>
    <w:p>
      <w:pPr>
        <w:pStyle w:val="Normal-wk"/>
        <w:keepNext w:val="0"/>
        <w:keepLines/>
        <w:pageBreakBefore w:val="0"/>
        <w:widowControl w:val="0"/>
        <w:numPr>
          <w:ilvl w:val="0"/>
          <w:numId w:val="0"/>
        </w:numPr>
        <w:tabs>
          <w:tab w:val="left" w:pos="2260"/>
        </w:tabs>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Los ítems del estado de resultados por función para los periodos terminados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que se adjunta, se descomponen como se indica en 28.1, 28.2, 28.3 y 28.4.</w:t>
      </w:r>
    </w:p>
    <w:p>
      <w:pPr>
        <w:keepNext w:val="0"/>
        <w:keepLines/>
        <w:pageBreakBefore w:val="0"/>
        <w:widowControl w:val="0"/>
        <w:numPr>
          <w:ilvl w:val="0"/>
          <w:numId w:val="0"/>
        </w:numPr>
        <w:tabs>
          <w:tab w:val="left" w:pos="2260"/>
        </w:tabs>
        <w:spacing w:before="0" w:after="0" w:line="288" w:lineRule="auto"/>
        <w:ind w:left="0" w:right="0" w:firstLine="0"/>
        <w:jc w:val="both"/>
        <w:outlineLvl w:val="9"/>
        <w:rPr>
          <w:rFonts w:ascii="Calibri" w:eastAsia="Calibri" w:hAnsi="Calibri" w:cs="Calibri"/>
          <w:b w:val="0"/>
          <w:i w:val="0"/>
          <w:color w:val="000000"/>
          <w:sz w:val="20"/>
          <w:u w:val="none"/>
        </w:rPr>
      </w:pPr>
    </w:p>
    <w:tbl>
      <w:tblPr>
        <w:tblW w:w="9255"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125"/>
        <w:gridCol w:w="1200"/>
        <w:gridCol w:w="1200"/>
        <w:gridCol w:w="1365"/>
        <w:gridCol w:w="1365"/>
      </w:tblGrid>
      <w:tr>
        <w:tblPrEx>
          <w:tblW w:w="9255" w:type="dxa"/>
          <w:tblInd w:w="709" w:type="dxa"/>
          <w:tblLayout w:type="fixed"/>
        </w:tblPrEx>
        <w:trPr>
          <w:cantSplit/>
          <w:trHeight w:hRule="auto" w:val="0"/>
        </w:trPr>
        <w:tc>
          <w:tcPr>
            <w:tcW w:w="412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Gastos por naturaleza del estado de resultados por función</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01-01-2026</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01-01-2025</w:t>
            </w:r>
          </w:p>
        </w:tc>
        <w:tc>
          <w:tcPr>
            <w:tcW w:w="1365" w:type="dxa"/>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01-04-2026</w:t>
            </w:r>
          </w:p>
        </w:tc>
        <w:tc>
          <w:tcPr>
            <w:tcW w:w="1365" w:type="dxa"/>
            <w:tcBorders>
              <w:top w:val="single" w:sz="2" w:space="0" w:color="000000"/>
              <w:left w:val="single" w:sz="8"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01-04-2025</w:t>
            </w:r>
          </w:p>
        </w:tc>
      </w:tr>
      <w:tr>
        <w:tblPrEx>
          <w:tblW w:w="9255" w:type="dxa"/>
          <w:tblInd w:w="709" w:type="dxa"/>
          <w:tblLayout w:type="fixed"/>
        </w:tblPrEx>
        <w:trPr>
          <w:cantSplit/>
          <w:trHeight w:hRule="auto" w:val="0"/>
        </w:trPr>
        <w:tc>
          <w:tcPr>
            <w:tcW w:w="4125"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30-06-2025</w:t>
            </w:r>
          </w:p>
        </w:tc>
        <w:tc>
          <w:tcPr>
            <w:tcW w:w="1365" w:type="dxa"/>
            <w:tcBorders>
              <w:top w:val="nil"/>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1365" w:type="dxa"/>
            <w:tcBorders>
              <w:top w:val="nil"/>
              <w:left w:val="single" w:sz="8"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30-06-2025</w:t>
            </w:r>
          </w:p>
        </w:tc>
      </w:tr>
      <w:tr>
        <w:tblPrEx>
          <w:tblW w:w="9255" w:type="dxa"/>
          <w:tblInd w:w="709" w:type="dxa"/>
          <w:tblLayout w:type="fixed"/>
        </w:tblPrEx>
        <w:trPr>
          <w:cantSplit/>
          <w:trHeight w:hRule="auto" w:val="0"/>
        </w:trPr>
        <w:tc>
          <w:tcPr>
            <w:tcW w:w="4125"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365" w:type="dxa"/>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365" w:type="dxa"/>
            <w:tcBorders>
              <w:top w:val="nil"/>
              <w:left w:val="single" w:sz="8"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9255" w:type="dxa"/>
          <w:tblInd w:w="709" w:type="dxa"/>
          <w:tblLayout w:type="fixed"/>
        </w:tblPrEx>
        <w:trPr>
          <w:cantSplit/>
          <w:trHeight w:hRule="auto" w:val="0"/>
        </w:trPr>
        <w:tc>
          <w:tcPr>
            <w:tcW w:w="41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Costo de venta.</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64.729.647</w:t>
            </w:r>
          </w:p>
        </w:tc>
        <w:tc>
          <w:tcPr>
            <w:tcW w:w="13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(29.511.934)</w:t>
            </w:r>
          </w:p>
        </w:tc>
        <w:tc>
          <w:tcPr>
            <w:tcW w:w="13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34.065.357</w:t>
            </w:r>
          </w:p>
        </w:tc>
      </w:tr>
      <w:tr>
        <w:tblPrEx>
          <w:tblW w:w="9255" w:type="dxa"/>
          <w:tblInd w:w="709" w:type="dxa"/>
          <w:tblLayout w:type="fixed"/>
        </w:tblPrEx>
        <w:trPr>
          <w:cantSplit/>
          <w:trHeight w:hRule="auto" w:val="0"/>
        </w:trPr>
        <w:tc>
          <w:tcPr>
            <w:tcW w:w="41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Gasto de administración.</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18.461.609</w:t>
            </w:r>
          </w:p>
        </w:tc>
        <w:tc>
          <w:tcPr>
            <w:tcW w:w="13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(8.967.795)</w:t>
            </w:r>
          </w:p>
        </w:tc>
        <w:tc>
          <w:tcPr>
            <w:tcW w:w="13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9.241.749</w:t>
            </w:r>
          </w:p>
        </w:tc>
      </w:tr>
      <w:tr>
        <w:tblPrEx>
          <w:tblW w:w="9255" w:type="dxa"/>
          <w:tblInd w:w="709" w:type="dxa"/>
          <w:tblLayout w:type="fixed"/>
        </w:tblPrEx>
        <w:trPr>
          <w:cantSplit/>
          <w:trHeight w:hRule="auto" w:val="0"/>
        </w:trPr>
        <w:tc>
          <w:tcPr>
            <w:tcW w:w="41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Deterioro de valor de ganancias y reversión de pérdidas por deterioro de valor (pérdidas por deterioro de valor) determinado de acuerdo con la NIIF 9.</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18.302</w:t>
            </w:r>
          </w:p>
        </w:tc>
        <w:tc>
          <w:tcPr>
            <w:tcW w:w="13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(100.346)</w:t>
            </w:r>
          </w:p>
        </w:tc>
        <w:tc>
          <w:tcPr>
            <w:tcW w:w="13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(68.193)</w:t>
            </w:r>
          </w:p>
        </w:tc>
      </w:tr>
      <w:tr>
        <w:tblPrEx>
          <w:tblW w:w="9255" w:type="dxa"/>
          <w:tblInd w:w="709" w:type="dxa"/>
          <w:tblLayout w:type="fixed"/>
        </w:tblPrEx>
        <w:trPr>
          <w:cantSplit/>
          <w:trHeight w:hRule="auto" w:val="0"/>
        </w:trPr>
        <w:tc>
          <w:tcPr>
            <w:tcW w:w="41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83.209.558</w:t>
            </w:r>
          </w:p>
        </w:tc>
        <w:tc>
          <w:tcPr>
            <w:tcW w:w="13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(38.580.075)</w:t>
            </w:r>
          </w:p>
        </w:tc>
        <w:tc>
          <w:tcPr>
            <w:tcW w:w="1365" w:type="dxa"/>
            <w:tcBorders>
              <w:top w:val="single" w:sz="2" w:space="0" w:color="000000"/>
              <w:left w:val="single" w:sz="8"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43.238.913</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252" w:name="Section130"/>
      <w:bookmarkEnd w:id="252"/>
      <w:bookmarkStart w:id="253" w:name="f0557dc4a6e445439c4d34e402c71822"/>
      <w:r>
        <w:rPr>
          <w:rFonts w:ascii="Calibri" w:eastAsia="Calibri" w:hAnsi="Calibri" w:cs="Calibri"/>
          <w:b/>
          <w:i w:val="0"/>
          <w:color w:val="000000"/>
          <w:sz w:val="20"/>
          <w:u w:val="none"/>
        </w:rPr>
        <w:t>28.1.-</w:t>
      </w:r>
      <w:r>
        <w:rPr>
          <w:rFonts w:ascii="Calibri" w:eastAsia="Calibri" w:hAnsi="Calibri" w:cs="Calibri"/>
          <w:b/>
          <w:i w:val="0"/>
          <w:color w:val="000000"/>
          <w:sz w:val="20"/>
          <w:u w:val="none"/>
        </w:rPr>
        <w:tab/>
      </w:r>
      <w:r>
        <w:rPr>
          <w:rFonts w:ascii="Calibri" w:eastAsia="Calibri" w:hAnsi="Calibri" w:cs="Calibri"/>
          <w:b/>
          <w:i w:val="0"/>
          <w:color w:val="000000"/>
          <w:sz w:val="20"/>
          <w:u w:val="none"/>
        </w:rPr>
        <w:t>Gastos por naturaleza.</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253"/>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960"/>
        <w:gridCol w:w="1200"/>
        <w:gridCol w:w="1200"/>
        <w:gridCol w:w="1095"/>
        <w:gridCol w:w="1095"/>
      </w:tblGrid>
      <w:tr>
        <w:tblPrEx>
          <w:tblW w:w="8550" w:type="dxa"/>
          <w:tblInd w:w="1417" w:type="dxa"/>
          <w:tblLayout w:type="fixed"/>
        </w:tblPrEx>
        <w:trPr>
          <w:cantSplit/>
          <w:trHeight w:hRule="auto" w:val="0"/>
        </w:trPr>
        <w:tc>
          <w:tcPr>
            <w:tcW w:w="396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Apertura de gastos por naturaleza</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01-01-2026</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01-01-2025</w:t>
            </w:r>
          </w:p>
        </w:tc>
        <w:tc>
          <w:tcPr>
            <w:tcW w:w="1095" w:type="dxa"/>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01-04-2026</w:t>
            </w:r>
          </w:p>
        </w:tc>
        <w:tc>
          <w:tcPr>
            <w:tcW w:w="1095" w:type="dxa"/>
            <w:tcBorders>
              <w:top w:val="single" w:sz="2" w:space="0" w:color="000000"/>
              <w:left w:val="single" w:sz="8"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01-04-2025</w:t>
            </w:r>
          </w:p>
        </w:tc>
      </w:tr>
      <w:tr>
        <w:tblPrEx>
          <w:tblW w:w="8550" w:type="dxa"/>
          <w:tblInd w:w="1417" w:type="dxa"/>
          <w:tblLayout w:type="fixed"/>
        </w:tblPrEx>
        <w:trPr>
          <w:cantSplit/>
          <w:trHeight w:hRule="auto" w:val="0"/>
        </w:trPr>
        <w:tc>
          <w:tcPr>
            <w:tcW w:w="3960"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30-06-2025</w:t>
            </w:r>
          </w:p>
        </w:tc>
        <w:tc>
          <w:tcPr>
            <w:tcW w:w="1095" w:type="dxa"/>
            <w:tcBorders>
              <w:top w:val="nil"/>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1095" w:type="dxa"/>
            <w:tcBorders>
              <w:top w:val="nil"/>
              <w:left w:val="single" w:sz="8"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30-06-2025</w:t>
            </w:r>
          </w:p>
        </w:tc>
      </w:tr>
      <w:tr>
        <w:tblPrEx>
          <w:tblW w:w="8550" w:type="dxa"/>
          <w:tblInd w:w="1417" w:type="dxa"/>
          <w:tblLayout w:type="fixed"/>
        </w:tblPrEx>
        <w:trPr>
          <w:cantSplit/>
          <w:trHeight w:hRule="auto" w:val="0"/>
        </w:trPr>
        <w:tc>
          <w:tcPr>
            <w:tcW w:w="396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95" w:type="dxa"/>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95" w:type="dxa"/>
            <w:tcBorders>
              <w:top w:val="nil"/>
              <w:left w:val="single" w:sz="8"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8550" w:type="dxa"/>
          <w:tblInd w:w="1417" w:type="dxa"/>
          <w:tblLayout w:type="fixed"/>
        </w:tblPrEx>
        <w:trPr>
          <w:cantSplit/>
          <w:trHeight w:hRule="auto" w:val="0"/>
        </w:trPr>
        <w:tc>
          <w:tcPr>
            <w:tcW w:w="3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Compra de energía.</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3.970.351</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(1.836.435)</w:t>
            </w: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1.791.061</w:t>
            </w:r>
          </w:p>
        </w:tc>
      </w:tr>
      <w:tr>
        <w:tblPrEx>
          <w:tblW w:w="8550" w:type="dxa"/>
          <w:tblInd w:w="1417" w:type="dxa"/>
          <w:tblLayout w:type="fixed"/>
        </w:tblPrEx>
        <w:trPr>
          <w:cantSplit/>
          <w:trHeight w:hRule="auto" w:val="0"/>
        </w:trPr>
        <w:tc>
          <w:tcPr>
            <w:tcW w:w="3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Gastos de personal.</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9.467.200</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(4.978.739)</w:t>
            </w: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4.706.629</w:t>
            </w:r>
          </w:p>
        </w:tc>
      </w:tr>
      <w:tr>
        <w:tblPrEx>
          <w:tblW w:w="8550" w:type="dxa"/>
          <w:tblInd w:w="1417" w:type="dxa"/>
          <w:tblLayout w:type="fixed"/>
        </w:tblPrEx>
        <w:trPr>
          <w:cantSplit/>
          <w:trHeight w:hRule="auto" w:val="0"/>
        </w:trPr>
        <w:tc>
          <w:tcPr>
            <w:tcW w:w="3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 xml:space="preserve">Gastos de operación y mantenimiento.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34.453.444</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(14.287.703)</w:t>
            </w: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18.333.677</w:t>
            </w:r>
          </w:p>
        </w:tc>
      </w:tr>
      <w:tr>
        <w:tblPrEx>
          <w:tblW w:w="8550" w:type="dxa"/>
          <w:tblInd w:w="1417" w:type="dxa"/>
          <w:tblLayout w:type="fixed"/>
        </w:tblPrEx>
        <w:trPr>
          <w:cantSplit/>
          <w:trHeight w:hRule="auto" w:val="0"/>
        </w:trPr>
        <w:tc>
          <w:tcPr>
            <w:tcW w:w="3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Gastos de administración.</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14.917.010</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(7.604.928)</w:t>
            </w: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7.880.016</w:t>
            </w:r>
          </w:p>
        </w:tc>
      </w:tr>
      <w:tr>
        <w:tblPrEx>
          <w:tblW w:w="8550" w:type="dxa"/>
          <w:tblInd w:w="1417" w:type="dxa"/>
          <w:tblLayout w:type="fixed"/>
        </w:tblPrEx>
        <w:trPr>
          <w:cantSplit/>
          <w:trHeight w:hRule="auto" w:val="0"/>
        </w:trPr>
        <w:tc>
          <w:tcPr>
            <w:tcW w:w="3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Costos de transformadores.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4.420.385</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(1.282.009)</w:t>
            </w: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2.561.909</w:t>
            </w:r>
          </w:p>
        </w:tc>
      </w:tr>
      <w:tr>
        <w:tblPrEx>
          <w:tblW w:w="8550" w:type="dxa"/>
          <w:tblInd w:w="1417" w:type="dxa"/>
          <w:tblLayout w:type="fixed"/>
        </w:tblPrEx>
        <w:trPr>
          <w:cantSplit/>
          <w:trHeight w:hRule="auto" w:val="0"/>
        </w:trPr>
        <w:tc>
          <w:tcPr>
            <w:tcW w:w="3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Provisión de incobrables.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18.302</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(100.346)</w:t>
            </w: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(68.193)</w:t>
            </w:r>
          </w:p>
        </w:tc>
      </w:tr>
      <w:tr>
        <w:tblPrEx>
          <w:tblW w:w="8550" w:type="dxa"/>
          <w:tblInd w:w="1417" w:type="dxa"/>
          <w:tblLayout w:type="fixed"/>
        </w:tblPrEx>
        <w:trPr>
          <w:cantSplit/>
          <w:trHeight w:hRule="auto" w:val="0"/>
        </w:trPr>
        <w:tc>
          <w:tcPr>
            <w:tcW w:w="3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Depreciación.</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15.111.987</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(8.068.542)</w:t>
            </w: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7.604.917</w:t>
            </w:r>
          </w:p>
        </w:tc>
      </w:tr>
      <w:tr>
        <w:tblPrEx>
          <w:tblW w:w="8550" w:type="dxa"/>
          <w:tblInd w:w="1417" w:type="dxa"/>
          <w:tblLayout w:type="fixed"/>
        </w:tblPrEx>
        <w:trPr>
          <w:cantSplit/>
          <w:trHeight w:hRule="auto" w:val="0"/>
        </w:trPr>
        <w:tc>
          <w:tcPr>
            <w:tcW w:w="3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Amortización.</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850.879</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(421.373)</w:t>
            </w: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428.897</w:t>
            </w:r>
          </w:p>
        </w:tc>
      </w:tr>
      <w:tr>
        <w:tblPrEx>
          <w:tblW w:w="8550" w:type="dxa"/>
          <w:tblInd w:w="1417" w:type="dxa"/>
          <w:tblLayout w:type="fixed"/>
        </w:tblPrEx>
        <w:trPr>
          <w:cantSplit/>
          <w:trHeight w:hRule="auto" w:val="0"/>
        </w:trPr>
        <w:tc>
          <w:tcPr>
            <w:tcW w:w="3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83.209.558</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(38.580.075)</w:t>
            </w:r>
          </w:p>
        </w:tc>
        <w:tc>
          <w:tcPr>
            <w:tcW w:w="1095" w:type="dxa"/>
            <w:tcBorders>
              <w:top w:val="single" w:sz="2" w:space="0" w:color="000000"/>
              <w:left w:val="single" w:sz="8"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43.238.913</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254" w:name="Section131"/>
      <w:bookmarkEnd w:id="254"/>
      <w:bookmarkStart w:id="255" w:name="35860200f7a94ee4ba7d2f840e333775"/>
      <w:r>
        <w:rPr>
          <w:rFonts w:ascii="Calibri" w:eastAsia="Calibri" w:hAnsi="Calibri" w:cs="Calibri"/>
          <w:b/>
          <w:i w:val="0"/>
          <w:color w:val="000000"/>
          <w:sz w:val="20"/>
          <w:u w:val="none"/>
        </w:rPr>
        <w:t>28.2.-</w:t>
      </w:r>
      <w:r>
        <w:rPr>
          <w:rFonts w:ascii="Calibri" w:eastAsia="Calibri" w:hAnsi="Calibri" w:cs="Calibri"/>
          <w:b/>
          <w:i w:val="0"/>
          <w:color w:val="000000"/>
          <w:sz w:val="20"/>
          <w:u w:val="none"/>
        </w:rPr>
        <w:tab/>
      </w:r>
      <w:r>
        <w:rPr>
          <w:rFonts w:ascii="Calibri" w:eastAsia="Calibri" w:hAnsi="Calibri" w:cs="Calibri"/>
          <w:b/>
          <w:i w:val="0"/>
          <w:color w:val="000000"/>
          <w:sz w:val="20"/>
          <w:u w:val="none"/>
        </w:rPr>
        <w:t>Gastos de personal.</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255"/>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960"/>
        <w:gridCol w:w="1200"/>
        <w:gridCol w:w="1200"/>
        <w:gridCol w:w="1095"/>
        <w:gridCol w:w="1095"/>
      </w:tblGrid>
      <w:tr>
        <w:tblPrEx>
          <w:tblW w:w="8550" w:type="dxa"/>
          <w:tblInd w:w="1417" w:type="dxa"/>
          <w:tblLayout w:type="fixed"/>
        </w:tblPrEx>
        <w:trPr>
          <w:cantSplit/>
          <w:trHeight w:hRule="auto" w:val="0"/>
        </w:trPr>
        <w:tc>
          <w:tcPr>
            <w:tcW w:w="396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Gastos de personal</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01-01-2026</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01-01-2025</w:t>
            </w:r>
          </w:p>
        </w:tc>
        <w:tc>
          <w:tcPr>
            <w:tcW w:w="1095" w:type="dxa"/>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01-04-2026</w:t>
            </w:r>
          </w:p>
        </w:tc>
        <w:tc>
          <w:tcPr>
            <w:tcW w:w="1095" w:type="dxa"/>
            <w:tcBorders>
              <w:top w:val="single" w:sz="2" w:space="0" w:color="000000"/>
              <w:left w:val="single" w:sz="8"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01-04-2025</w:t>
            </w:r>
          </w:p>
        </w:tc>
      </w:tr>
      <w:tr>
        <w:tblPrEx>
          <w:tblW w:w="8550" w:type="dxa"/>
          <w:tblInd w:w="1417" w:type="dxa"/>
          <w:tblLayout w:type="fixed"/>
        </w:tblPrEx>
        <w:trPr>
          <w:cantSplit/>
          <w:trHeight w:hRule="auto" w:val="0"/>
        </w:trPr>
        <w:tc>
          <w:tcPr>
            <w:tcW w:w="3960"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30-06-2025</w:t>
            </w:r>
          </w:p>
        </w:tc>
        <w:tc>
          <w:tcPr>
            <w:tcW w:w="1095" w:type="dxa"/>
            <w:tcBorders>
              <w:top w:val="nil"/>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1095" w:type="dxa"/>
            <w:tcBorders>
              <w:top w:val="nil"/>
              <w:left w:val="single" w:sz="8"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30-06-2025</w:t>
            </w:r>
          </w:p>
        </w:tc>
      </w:tr>
      <w:tr>
        <w:tblPrEx>
          <w:tblW w:w="8550" w:type="dxa"/>
          <w:tblInd w:w="1417" w:type="dxa"/>
          <w:tblLayout w:type="fixed"/>
        </w:tblPrEx>
        <w:trPr>
          <w:cantSplit/>
          <w:trHeight w:hRule="auto" w:val="0"/>
        </w:trPr>
        <w:tc>
          <w:tcPr>
            <w:tcW w:w="396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95" w:type="dxa"/>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95" w:type="dxa"/>
            <w:tcBorders>
              <w:top w:val="nil"/>
              <w:left w:val="single" w:sz="8"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8550" w:type="dxa"/>
          <w:tblInd w:w="1417" w:type="dxa"/>
          <w:tblLayout w:type="fixed"/>
        </w:tblPrEx>
        <w:trPr>
          <w:cantSplit/>
          <w:trHeight w:hRule="auto" w:val="0"/>
        </w:trPr>
        <w:tc>
          <w:tcPr>
            <w:tcW w:w="3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Sueldos y salarios.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2.923.042</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7.848.569</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(1.375.578)</w:t>
            </w: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4.037.245</w:t>
            </w:r>
          </w:p>
        </w:tc>
      </w:tr>
      <w:tr>
        <w:tblPrEx>
          <w:tblW w:w="8550" w:type="dxa"/>
          <w:tblInd w:w="1417" w:type="dxa"/>
          <w:tblLayout w:type="fixed"/>
        </w:tblPrEx>
        <w:trPr>
          <w:cantSplit/>
          <w:trHeight w:hRule="auto" w:val="0"/>
        </w:trPr>
        <w:tc>
          <w:tcPr>
            <w:tcW w:w="3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Beneficios a corto plazo a los empleados.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192.085</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1.145.300</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(58.873)</w:t>
            </w: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616.086</w:t>
            </w:r>
          </w:p>
        </w:tc>
      </w:tr>
      <w:tr>
        <w:tblPrEx>
          <w:tblW w:w="8550" w:type="dxa"/>
          <w:tblInd w:w="1417" w:type="dxa"/>
          <w:tblLayout w:type="fixed"/>
        </w:tblPrEx>
        <w:trPr>
          <w:cantSplit/>
          <w:trHeight w:hRule="auto" w:val="0"/>
        </w:trPr>
        <w:tc>
          <w:tcPr>
            <w:tcW w:w="3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Beneficios por terminación.</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398.884</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411.379</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(30.277)</w:t>
            </w: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15.381</w:t>
            </w:r>
          </w:p>
        </w:tc>
      </w:tr>
      <w:tr>
        <w:tblPrEx>
          <w:tblW w:w="8550" w:type="dxa"/>
          <w:tblInd w:w="1417" w:type="dxa"/>
          <w:tblLayout w:type="fixed"/>
        </w:tblPrEx>
        <w:trPr>
          <w:cantSplit/>
          <w:trHeight w:hRule="auto" w:val="0"/>
        </w:trPr>
        <w:tc>
          <w:tcPr>
            <w:tcW w:w="3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Otros gastos de personal.</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61.952</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37.917</w:t>
            </w:r>
          </w:p>
        </w:tc>
      </w:tr>
      <w:tr>
        <w:tblPrEx>
          <w:tblW w:w="8550" w:type="dxa"/>
          <w:tblInd w:w="1417" w:type="dxa"/>
          <w:tblLayout w:type="fixed"/>
        </w:tblPrEx>
        <w:trPr>
          <w:cantSplit/>
          <w:trHeight w:hRule="auto" w:val="0"/>
        </w:trPr>
        <w:tc>
          <w:tcPr>
            <w:tcW w:w="3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3.514.011</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9.467.200</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(1.464.728)</w:t>
            </w:r>
          </w:p>
        </w:tc>
        <w:tc>
          <w:tcPr>
            <w:tcW w:w="1095" w:type="dxa"/>
            <w:tcBorders>
              <w:top w:val="single" w:sz="2" w:space="0" w:color="000000"/>
              <w:left w:val="single" w:sz="8"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4.706.629</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256" w:name="Section132"/>
      <w:bookmarkEnd w:id="256"/>
      <w:bookmarkStart w:id="257" w:name="e2b36de53ff34483915638943b3cfa93"/>
      <w:r>
        <w:rPr>
          <w:rFonts w:ascii="Calibri" w:eastAsia="Calibri" w:hAnsi="Calibri" w:cs="Calibri"/>
          <w:b/>
          <w:i w:val="0"/>
          <w:color w:val="000000"/>
          <w:sz w:val="20"/>
          <w:u w:val="none"/>
        </w:rPr>
        <w:t>28.3.-</w:t>
      </w:r>
      <w:r>
        <w:rPr>
          <w:rFonts w:ascii="Calibri" w:eastAsia="Calibri" w:hAnsi="Calibri" w:cs="Calibri"/>
          <w:b/>
          <w:i w:val="0"/>
          <w:color w:val="000000"/>
          <w:sz w:val="20"/>
          <w:u w:val="none"/>
        </w:rPr>
        <w:tab/>
      </w:r>
      <w:r>
        <w:rPr>
          <w:rFonts w:ascii="Calibri" w:eastAsia="Calibri" w:hAnsi="Calibri" w:cs="Calibri"/>
          <w:b/>
          <w:i w:val="0"/>
          <w:color w:val="000000"/>
          <w:sz w:val="20"/>
          <w:u w:val="none"/>
        </w:rPr>
        <w:t>Depreciación y amortización.</w:t>
      </w:r>
    </w:p>
    <w:p>
      <w:pPr>
        <w:keepNext w:val="0"/>
        <w:keepLines/>
        <w:pageBreakBefore w:val="0"/>
        <w:widowControl w:val="0"/>
        <w:numPr>
          <w:ilvl w:val="0"/>
          <w:numId w:val="0"/>
        </w:numPr>
        <w:spacing w:before="0" w:after="0" w:line="288" w:lineRule="auto"/>
        <w:ind w:left="1418" w:right="48" w:firstLine="0"/>
        <w:jc w:val="both"/>
        <w:outlineLvl w:val="9"/>
        <w:rPr>
          <w:rFonts w:ascii="Calibri" w:eastAsia="Calibri" w:hAnsi="Calibri" w:cs="Calibri"/>
          <w:b w:val="0"/>
          <w:i w:val="0"/>
          <w:color w:val="000000"/>
          <w:sz w:val="20"/>
          <w:u w:val="none"/>
        </w:rPr>
      </w:pPr>
      <w:bookmarkEnd w:id="257"/>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960"/>
        <w:gridCol w:w="1200"/>
        <w:gridCol w:w="1200"/>
        <w:gridCol w:w="1095"/>
        <w:gridCol w:w="1095"/>
      </w:tblGrid>
      <w:tr>
        <w:tblPrEx>
          <w:tblW w:w="8550" w:type="dxa"/>
          <w:tblInd w:w="1417" w:type="dxa"/>
          <w:tblLayout w:type="fixed"/>
        </w:tblPrEx>
        <w:trPr>
          <w:cantSplit/>
          <w:trHeight w:hRule="auto" w:val="0"/>
        </w:trPr>
        <w:tc>
          <w:tcPr>
            <w:tcW w:w="396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Detalle</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01-01-2026</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01-01-2025</w:t>
            </w:r>
          </w:p>
        </w:tc>
        <w:tc>
          <w:tcPr>
            <w:tcW w:w="1095" w:type="dxa"/>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01-04-2026</w:t>
            </w:r>
          </w:p>
        </w:tc>
        <w:tc>
          <w:tcPr>
            <w:tcW w:w="1095" w:type="dxa"/>
            <w:tcBorders>
              <w:top w:val="single" w:sz="2" w:space="0" w:color="000000"/>
              <w:left w:val="single" w:sz="8"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01-04-2025</w:t>
            </w:r>
          </w:p>
        </w:tc>
      </w:tr>
      <w:tr>
        <w:tblPrEx>
          <w:tblW w:w="8550" w:type="dxa"/>
          <w:tblInd w:w="1417" w:type="dxa"/>
          <w:tblLayout w:type="fixed"/>
        </w:tblPrEx>
        <w:trPr>
          <w:cantSplit/>
          <w:trHeight w:hRule="auto" w:val="0"/>
        </w:trPr>
        <w:tc>
          <w:tcPr>
            <w:tcW w:w="3960"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30-06-2025</w:t>
            </w:r>
          </w:p>
        </w:tc>
        <w:tc>
          <w:tcPr>
            <w:tcW w:w="1095" w:type="dxa"/>
            <w:tcBorders>
              <w:top w:val="nil"/>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1095" w:type="dxa"/>
            <w:tcBorders>
              <w:top w:val="nil"/>
              <w:left w:val="single" w:sz="8"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30-06-2025</w:t>
            </w:r>
          </w:p>
        </w:tc>
      </w:tr>
      <w:tr>
        <w:tblPrEx>
          <w:tblW w:w="8550" w:type="dxa"/>
          <w:tblInd w:w="1417" w:type="dxa"/>
          <w:tblLayout w:type="fixed"/>
        </w:tblPrEx>
        <w:trPr>
          <w:cantSplit/>
          <w:trHeight w:hRule="auto" w:val="0"/>
        </w:trPr>
        <w:tc>
          <w:tcPr>
            <w:tcW w:w="396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95" w:type="dxa"/>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95" w:type="dxa"/>
            <w:tcBorders>
              <w:top w:val="nil"/>
              <w:left w:val="single" w:sz="8"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8550" w:type="dxa"/>
          <w:tblInd w:w="1417" w:type="dxa"/>
          <w:tblLayout w:type="fixed"/>
        </w:tblPrEx>
        <w:trPr>
          <w:cantSplit/>
          <w:trHeight w:hRule="exact" w:val="60"/>
        </w:trPr>
        <w:tc>
          <w:tcPr>
            <w:tcW w:w="396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3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Depreciación y retiros</w:t>
            </w:r>
          </w:p>
        </w:tc>
        <w:tc>
          <w:tcPr>
            <w:tcW w:w="12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3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Costo de ventas.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15.011.351</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(8.045.801)</w:t>
            </w: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7.548.945</w:t>
            </w:r>
          </w:p>
        </w:tc>
      </w:tr>
      <w:tr>
        <w:tblPrEx>
          <w:tblW w:w="8550" w:type="dxa"/>
          <w:tblInd w:w="1417" w:type="dxa"/>
          <w:tblLayout w:type="fixed"/>
        </w:tblPrEx>
        <w:trPr>
          <w:cantSplit/>
          <w:trHeight w:hRule="auto" w:val="0"/>
        </w:trPr>
        <w:tc>
          <w:tcPr>
            <w:tcW w:w="3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Gasto de administración.</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100.636</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(22.741)</w:t>
            </w: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55.972</w:t>
            </w:r>
          </w:p>
        </w:tc>
      </w:tr>
      <w:tr>
        <w:tblPrEx>
          <w:tblW w:w="8550" w:type="dxa"/>
          <w:tblInd w:w="1417" w:type="dxa"/>
          <w:tblLayout w:type="fixed"/>
        </w:tblPrEx>
        <w:trPr>
          <w:cantSplit/>
          <w:trHeight w:hRule="auto" w:val="0"/>
        </w:trPr>
        <w:tc>
          <w:tcPr>
            <w:tcW w:w="3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Otras ganancias (pérdidas).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152.884</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(130.993)</w:t>
            </w: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44.081</w:t>
            </w:r>
          </w:p>
        </w:tc>
      </w:tr>
      <w:tr>
        <w:tblPrEx>
          <w:tblW w:w="8550" w:type="dxa"/>
          <w:tblInd w:w="1417" w:type="dxa"/>
          <w:tblLayout w:type="fixed"/>
        </w:tblPrEx>
        <w:trPr>
          <w:cantSplit/>
          <w:trHeight w:hRule="auto" w:val="0"/>
        </w:trPr>
        <w:tc>
          <w:tcPr>
            <w:tcW w:w="3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Total depreciación</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15.264.871</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(8.199.535)</w:t>
            </w:r>
          </w:p>
        </w:tc>
        <w:tc>
          <w:tcPr>
            <w:tcW w:w="1095" w:type="dxa"/>
            <w:tcBorders>
              <w:top w:val="single" w:sz="2" w:space="0" w:color="000000"/>
              <w:left w:val="single" w:sz="8"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7.648.998</w:t>
            </w:r>
          </w:p>
        </w:tc>
      </w:tr>
      <w:tr>
        <w:tblPrEx>
          <w:tblW w:w="8550" w:type="dxa"/>
          <w:tblInd w:w="1417" w:type="dxa"/>
          <w:tblLayout w:type="fixed"/>
        </w:tblPrEx>
        <w:trPr>
          <w:cantSplit/>
          <w:trHeight w:hRule="exact" w:val="60"/>
        </w:trPr>
        <w:tc>
          <w:tcPr>
            <w:tcW w:w="396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3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Amortización</w:t>
            </w:r>
          </w:p>
        </w:tc>
        <w:tc>
          <w:tcPr>
            <w:tcW w:w="12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3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Costo de ventas.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7.650</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(3.825)</w:t>
            </w: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3.825</w:t>
            </w:r>
          </w:p>
        </w:tc>
      </w:tr>
      <w:tr>
        <w:tblPrEx>
          <w:tblW w:w="8550" w:type="dxa"/>
          <w:tblInd w:w="1417" w:type="dxa"/>
          <w:tblLayout w:type="fixed"/>
        </w:tblPrEx>
        <w:trPr>
          <w:cantSplit/>
          <w:trHeight w:hRule="auto" w:val="0"/>
        </w:trPr>
        <w:tc>
          <w:tcPr>
            <w:tcW w:w="3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Gasto de administración.</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843.229</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(417.548)</w:t>
            </w: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425.072</w:t>
            </w:r>
          </w:p>
        </w:tc>
      </w:tr>
      <w:tr>
        <w:tblPrEx>
          <w:tblW w:w="8550" w:type="dxa"/>
          <w:tblInd w:w="1417" w:type="dxa"/>
          <w:tblLayout w:type="fixed"/>
        </w:tblPrEx>
        <w:trPr>
          <w:cantSplit/>
          <w:trHeight w:hRule="auto" w:val="0"/>
        </w:trPr>
        <w:tc>
          <w:tcPr>
            <w:tcW w:w="3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Total amortización</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850.879</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(421.373)</w:t>
            </w:r>
          </w:p>
        </w:tc>
        <w:tc>
          <w:tcPr>
            <w:tcW w:w="1095" w:type="dxa"/>
            <w:tcBorders>
              <w:top w:val="single" w:sz="2" w:space="0" w:color="000000"/>
              <w:left w:val="single" w:sz="8"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428.897</w:t>
            </w:r>
          </w:p>
        </w:tc>
      </w:tr>
      <w:tr>
        <w:tblPrEx>
          <w:tblW w:w="8550" w:type="dxa"/>
          <w:tblInd w:w="1417" w:type="dxa"/>
          <w:tblLayout w:type="fixed"/>
        </w:tblPrEx>
        <w:trPr>
          <w:cantSplit/>
          <w:trHeight w:hRule="exact" w:val="60"/>
        </w:trPr>
        <w:tc>
          <w:tcPr>
            <w:tcW w:w="396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3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16.115.750</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(8.620.908)</w:t>
            </w:r>
          </w:p>
        </w:tc>
        <w:tc>
          <w:tcPr>
            <w:tcW w:w="1095" w:type="dxa"/>
            <w:tcBorders>
              <w:top w:val="single" w:sz="2" w:space="0" w:color="000000"/>
              <w:left w:val="single" w:sz="8"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8.077.895</w:t>
            </w:r>
          </w:p>
        </w:tc>
      </w:tr>
    </w:tbl>
    <w:p>
      <w:pPr>
        <w:keepNext w:val="0"/>
        <w:keepLines/>
        <w:pageBreakBefore w:val="0"/>
        <w:widowControl w:val="0"/>
        <w:numPr>
          <w:ilvl w:val="0"/>
          <w:numId w:val="0"/>
        </w:numPr>
        <w:spacing w:before="0" w:after="0" w:line="288" w:lineRule="auto"/>
        <w:ind w:left="0" w:right="0" w:firstLine="72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720"/>
        <w:jc w:val="both"/>
        <w:outlineLvl w:val="9"/>
        <w:rPr>
          <w:rFonts w:ascii="Calibri" w:eastAsia="Calibri" w:hAnsi="Calibri" w:cs="Calibri"/>
          <w:b w:val="0"/>
          <w:i w:val="0"/>
          <w:sz w:val="20"/>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258" w:name="Section133"/>
      <w:bookmarkEnd w:id="258"/>
      <w:bookmarkStart w:id="259" w:name="323a87694aa24bffbeb5d0653f4f8ddb"/>
      <w:r>
        <w:rPr>
          <w:rFonts w:ascii="Calibri" w:eastAsia="Calibri" w:hAnsi="Calibri" w:cs="Calibri"/>
          <w:b/>
          <w:i w:val="0"/>
          <w:color w:val="000000"/>
          <w:sz w:val="20"/>
          <w:u w:val="none"/>
        </w:rPr>
        <w:t>28.4.-</w:t>
      </w:r>
      <w:r>
        <w:rPr>
          <w:rFonts w:ascii="Calibri" w:eastAsia="Calibri" w:hAnsi="Calibri" w:cs="Calibri"/>
          <w:b/>
          <w:i w:val="0"/>
          <w:color w:val="000000"/>
          <w:sz w:val="20"/>
          <w:u w:val="none"/>
        </w:rPr>
        <w:tab/>
      </w:r>
      <w:r>
        <w:rPr>
          <w:rFonts w:ascii="Calibri" w:eastAsia="Calibri" w:hAnsi="Calibri" w:cs="Calibri"/>
          <w:b/>
          <w:i w:val="0"/>
          <w:color w:val="000000"/>
          <w:sz w:val="20"/>
          <w:u w:val="none"/>
        </w:rPr>
        <w:t>Otras ganancias (pérdidas).</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259"/>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600"/>
        <w:gridCol w:w="1200"/>
        <w:gridCol w:w="1200"/>
        <w:gridCol w:w="1275"/>
        <w:gridCol w:w="1275"/>
      </w:tblGrid>
      <w:tr>
        <w:tblPrEx>
          <w:tblW w:w="8550" w:type="dxa"/>
          <w:tblInd w:w="1417" w:type="dxa"/>
          <w:tblLayout w:type="fixed"/>
        </w:tblPrEx>
        <w:trPr>
          <w:cantSplit/>
          <w:trHeight w:hRule="auto" w:val="0"/>
        </w:trPr>
        <w:tc>
          <w:tcPr>
            <w:tcW w:w="360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Detalle</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01-01-2026</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01-01-2025</w:t>
            </w:r>
          </w:p>
        </w:tc>
        <w:tc>
          <w:tcPr>
            <w:tcW w:w="1275" w:type="dxa"/>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01-04-2026</w:t>
            </w:r>
          </w:p>
        </w:tc>
        <w:tc>
          <w:tcPr>
            <w:tcW w:w="1275" w:type="dxa"/>
            <w:tcBorders>
              <w:top w:val="single" w:sz="2" w:space="0" w:color="000000"/>
              <w:left w:val="single" w:sz="8"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01-04-2025</w:t>
            </w:r>
          </w:p>
        </w:tc>
      </w:tr>
      <w:tr>
        <w:tblPrEx>
          <w:tblW w:w="8550" w:type="dxa"/>
          <w:tblInd w:w="1417" w:type="dxa"/>
          <w:tblLayout w:type="fixed"/>
        </w:tblPrEx>
        <w:trPr>
          <w:cantSplit/>
          <w:trHeight w:hRule="auto" w:val="0"/>
        </w:trPr>
        <w:tc>
          <w:tcPr>
            <w:tcW w:w="3600"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30-06-2025</w:t>
            </w:r>
          </w:p>
        </w:tc>
        <w:tc>
          <w:tcPr>
            <w:tcW w:w="1275" w:type="dxa"/>
            <w:tcBorders>
              <w:top w:val="nil"/>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75" w:type="dxa"/>
            <w:tcBorders>
              <w:top w:val="nil"/>
              <w:left w:val="single" w:sz="8"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30-06-2025</w:t>
            </w:r>
          </w:p>
        </w:tc>
      </w:tr>
      <w:tr>
        <w:tblPrEx>
          <w:tblW w:w="8550" w:type="dxa"/>
          <w:tblInd w:w="1417" w:type="dxa"/>
          <w:tblLayout w:type="fixed"/>
        </w:tblPrEx>
        <w:trPr>
          <w:cantSplit/>
          <w:trHeight w:hRule="auto" w:val="0"/>
        </w:trPr>
        <w:tc>
          <w:tcPr>
            <w:tcW w:w="360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75" w:type="dxa"/>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75" w:type="dxa"/>
            <w:tcBorders>
              <w:top w:val="nil"/>
              <w:left w:val="single" w:sz="8"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auto" w:val="0"/>
        </w:trPr>
        <w:tc>
          <w:tcPr>
            <w:tcW w:w="3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Castigos o retiros de propiedades, planta y equipo.</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(152.884)</w:t>
            </w:r>
          </w:p>
        </w:tc>
        <w:tc>
          <w:tcPr>
            <w:tcW w:w="12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130.993</w:t>
            </w:r>
          </w:p>
        </w:tc>
        <w:tc>
          <w:tcPr>
            <w:tcW w:w="12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(44.081)</w:t>
            </w:r>
          </w:p>
        </w:tc>
      </w:tr>
      <w:tr>
        <w:tblPrEx>
          <w:tblW w:w="8550" w:type="dxa"/>
          <w:tblInd w:w="1417" w:type="dxa"/>
          <w:tblLayout w:type="fixed"/>
        </w:tblPrEx>
        <w:trPr>
          <w:cantSplit/>
          <w:trHeight w:hRule="auto" w:val="0"/>
        </w:trPr>
        <w:tc>
          <w:tcPr>
            <w:tcW w:w="3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Venta de propiedades, planta y equipo.</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5.451</w:t>
            </w:r>
          </w:p>
        </w:tc>
        <w:tc>
          <w:tcPr>
            <w:tcW w:w="12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(210)</w:t>
            </w:r>
          </w:p>
        </w:tc>
        <w:tc>
          <w:tcPr>
            <w:tcW w:w="12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5.451</w:t>
            </w:r>
          </w:p>
        </w:tc>
      </w:tr>
      <w:tr>
        <w:tblPrEx>
          <w:tblW w:w="8550" w:type="dxa"/>
          <w:tblInd w:w="1417" w:type="dxa"/>
          <w:tblLayout w:type="fixed"/>
        </w:tblPrEx>
        <w:trPr>
          <w:cantSplit/>
          <w:trHeight w:hRule="auto" w:val="0"/>
        </w:trPr>
        <w:tc>
          <w:tcPr>
            <w:tcW w:w="3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Juicios o arbitrajes.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(1.964.373)</w:t>
            </w:r>
          </w:p>
        </w:tc>
        <w:tc>
          <w:tcPr>
            <w:tcW w:w="12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325.207</w:t>
            </w:r>
          </w:p>
        </w:tc>
        <w:tc>
          <w:tcPr>
            <w:tcW w:w="12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(1.401.046)</w:t>
            </w:r>
          </w:p>
        </w:tc>
      </w:tr>
      <w:tr>
        <w:tblPrEx>
          <w:tblW w:w="8550" w:type="dxa"/>
          <w:tblInd w:w="1417" w:type="dxa"/>
          <w:tblLayout w:type="fixed"/>
        </w:tblPrEx>
        <w:trPr>
          <w:cantSplit/>
          <w:trHeight w:hRule="auto" w:val="0"/>
        </w:trPr>
        <w:tc>
          <w:tcPr>
            <w:tcW w:w="3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Remuneraciones del directorio.</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(26.169)</w:t>
            </w:r>
          </w:p>
        </w:tc>
        <w:tc>
          <w:tcPr>
            <w:tcW w:w="12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8.946</w:t>
            </w:r>
          </w:p>
        </w:tc>
        <w:tc>
          <w:tcPr>
            <w:tcW w:w="12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(13.174)</w:t>
            </w:r>
          </w:p>
        </w:tc>
      </w:tr>
      <w:tr>
        <w:tblPrEx>
          <w:tblW w:w="8550" w:type="dxa"/>
          <w:tblInd w:w="1417" w:type="dxa"/>
          <w:tblLayout w:type="fixed"/>
        </w:tblPrEx>
        <w:trPr>
          <w:cantSplit/>
          <w:trHeight w:hRule="auto" w:val="0"/>
        </w:trPr>
        <w:tc>
          <w:tcPr>
            <w:tcW w:w="3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Indemnizaciones percibidas.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1.478.413</w:t>
            </w:r>
          </w:p>
        </w:tc>
        <w:tc>
          <w:tcPr>
            <w:tcW w:w="12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(126.526)</w:t>
            </w:r>
          </w:p>
        </w:tc>
        <w:tc>
          <w:tcPr>
            <w:tcW w:w="12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332.895</w:t>
            </w:r>
          </w:p>
        </w:tc>
      </w:tr>
      <w:tr>
        <w:tblPrEx>
          <w:tblW w:w="8550" w:type="dxa"/>
          <w:tblInd w:w="1417" w:type="dxa"/>
          <w:tblLayout w:type="fixed"/>
        </w:tblPrEx>
        <w:trPr>
          <w:cantSplit/>
          <w:trHeight w:hRule="auto" w:val="0"/>
        </w:trPr>
        <w:tc>
          <w:tcPr>
            <w:tcW w:w="3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Otras ganancias (pérdidas).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6.371</w:t>
            </w:r>
          </w:p>
        </w:tc>
        <w:tc>
          <w:tcPr>
            <w:tcW w:w="12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(4.966)</w:t>
            </w:r>
          </w:p>
        </w:tc>
        <w:tc>
          <w:tcPr>
            <w:tcW w:w="12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(404)</w:t>
            </w:r>
          </w:p>
        </w:tc>
      </w:tr>
      <w:tr>
        <w:tblPrEx>
          <w:tblW w:w="8550" w:type="dxa"/>
          <w:tblInd w:w="1417" w:type="dxa"/>
          <w:tblLayout w:type="fixed"/>
        </w:tblPrEx>
        <w:trPr>
          <w:cantSplit/>
          <w:trHeight w:hRule="auto" w:val="0"/>
        </w:trPr>
        <w:tc>
          <w:tcPr>
            <w:tcW w:w="3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Aportes de terceros para financiar obras propias.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5.448.425</w:t>
            </w:r>
          </w:p>
        </w:tc>
        <w:tc>
          <w:tcPr>
            <w:tcW w:w="12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(401)</w:t>
            </w:r>
          </w:p>
        </w:tc>
        <w:tc>
          <w:tcPr>
            <w:tcW w:w="12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2.973.426</w:t>
            </w:r>
          </w:p>
        </w:tc>
      </w:tr>
      <w:tr>
        <w:tblPrEx>
          <w:tblW w:w="8550" w:type="dxa"/>
          <w:tblInd w:w="1417" w:type="dxa"/>
          <w:tblLayout w:type="fixed"/>
        </w:tblPrEx>
        <w:trPr>
          <w:cantSplit/>
          <w:trHeight w:hRule="auto" w:val="0"/>
        </w:trPr>
        <w:tc>
          <w:tcPr>
            <w:tcW w:w="3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4.795.234</w:t>
            </w:r>
          </w:p>
        </w:tc>
        <w:tc>
          <w:tcPr>
            <w:tcW w:w="12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333.043</w:t>
            </w:r>
          </w:p>
        </w:tc>
        <w:tc>
          <w:tcPr>
            <w:tcW w:w="1275" w:type="dxa"/>
            <w:tcBorders>
              <w:top w:val="single" w:sz="2" w:space="0" w:color="000000"/>
              <w:left w:val="single" w:sz="8"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1.853.067</w:t>
            </w:r>
          </w:p>
        </w:tc>
      </w:tr>
    </w:tbl>
    <w:p>
      <w:pPr>
        <w:keepNext/>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sz w:val="20"/>
        </w:rPr>
      </w:pPr>
    </w:p>
    <w:p>
      <w:pPr>
        <w:keepNext/>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sz w:val="20"/>
        </w:rPr>
        <w:sectPr>
          <w:type w:val="continuous"/>
          <w:pgSz w:w="12240" w:h="15840"/>
          <w:pgMar w:top="1134" w:right="1134" w:bottom="1134" w:left="1134" w:header="0" w:footer="425"/>
          <w:cols w:space="708"/>
        </w:sectPr>
      </w:pPr>
    </w:p>
    <w:p>
      <w:pPr>
        <w:pStyle w:val="Heading1-wk"/>
        <w:keepNext w:val="0"/>
        <w:keepLines/>
        <w:pageBreakBefore w:val="0"/>
        <w:widowControl w:val="0"/>
        <w:numPr>
          <w:ilvl w:val="0"/>
          <w:numId w:val="0"/>
        </w:numPr>
        <w:tabs>
          <w:tab w:val="left" w:pos="700"/>
        </w:tabs>
        <w:spacing w:before="0" w:after="0" w:line="288" w:lineRule="auto"/>
        <w:ind w:left="0" w:right="0" w:firstLine="0"/>
        <w:jc w:val="both"/>
        <w:outlineLvl w:val="0"/>
        <w:rPr>
          <w:rFonts w:ascii="Cambria" w:eastAsia="Cambria" w:hAnsi="Cambria" w:cs="Cambria"/>
          <w:b/>
          <w:i w:val="0"/>
          <w:color w:val="365F91"/>
          <w:sz w:val="28"/>
          <w:u w:val="none"/>
        </w:rPr>
      </w:pPr>
      <w:bookmarkStart w:id="260" w:name="Section134"/>
      <w:bookmarkEnd w:id="260"/>
      <w:bookmarkStart w:id="261" w:name="a347f926ff604156bac76e3b5010c5a6"/>
      <w:r>
        <w:rPr>
          <w:rFonts w:ascii="Calibri" w:eastAsia="Calibri" w:hAnsi="Calibri" w:cs="Calibri"/>
          <w:b/>
          <w:i w:val="0"/>
          <w:color w:val="000000"/>
          <w:sz w:val="20"/>
          <w:u w:val="none"/>
        </w:rPr>
        <w:t>29.-</w:t>
      </w:r>
      <w:r>
        <w:rPr>
          <w:rFonts w:ascii="Calibri" w:eastAsia="Calibri" w:hAnsi="Calibri" w:cs="Calibri"/>
          <w:b/>
          <w:i w:val="0"/>
          <w:color w:val="000000"/>
          <w:sz w:val="20"/>
          <w:u w:val="none"/>
        </w:rPr>
        <w:tab/>
      </w:r>
      <w:r>
        <w:rPr>
          <w:rFonts w:ascii="Calibri" w:eastAsia="Calibri" w:hAnsi="Calibri" w:cs="Calibri"/>
          <w:b/>
          <w:i w:val="0"/>
          <w:color w:val="000000"/>
          <w:sz w:val="20"/>
          <w:u w:val="none"/>
        </w:rPr>
        <w:t>RESULTADO FINANCIERO.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bookmarkEnd w:id="261"/>
    </w:p>
    <w:p>
      <w:pPr>
        <w:pStyle w:val="Normal-wk"/>
        <w:keepNext w:val="0"/>
        <w:keepLines/>
        <w:pageBreakBefore w:val="0"/>
        <w:widowControl w:val="0"/>
        <w:numPr>
          <w:ilvl w:val="0"/>
          <w:numId w:val="0"/>
        </w:numPr>
        <w:tabs>
          <w:tab w:val="left" w:pos="2260"/>
        </w:tabs>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Los ítems adjuntos de ingresos financieros, costos financieros, resultados por unidades de reajustes y ganancias (pérdidas) de cambio en moneda extranjera del estado de resultados por función para los periodos terminados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se detallan a continuación.</w:t>
      </w:r>
    </w:p>
    <w:p>
      <w:pPr>
        <w:keepNext w:val="0"/>
        <w:keepLines/>
        <w:pageBreakBefore w:val="0"/>
        <w:widowControl w:val="0"/>
        <w:numPr>
          <w:ilvl w:val="0"/>
          <w:numId w:val="0"/>
        </w:numPr>
        <w:tabs>
          <w:tab w:val="left" w:pos="2260"/>
        </w:tabs>
        <w:spacing w:before="0" w:after="0" w:line="288" w:lineRule="auto"/>
        <w:ind w:left="0" w:right="0" w:firstLine="0"/>
        <w:jc w:val="both"/>
        <w:outlineLvl w:val="9"/>
        <w:rPr>
          <w:rFonts w:ascii="Calibri" w:eastAsia="Calibri" w:hAnsi="Calibri" w:cs="Calibri"/>
          <w:b w:val="0"/>
          <w:i w:val="0"/>
          <w:color w:val="000000"/>
          <w:sz w:val="20"/>
          <w:u w:val="none"/>
        </w:rPr>
      </w:pPr>
    </w:p>
    <w:tbl>
      <w:tblPr>
        <w:tblW w:w="9255"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665"/>
        <w:gridCol w:w="1200"/>
        <w:gridCol w:w="1200"/>
        <w:gridCol w:w="1095"/>
        <w:gridCol w:w="1095"/>
      </w:tblGrid>
      <w:tr>
        <w:tblPrEx>
          <w:tblW w:w="9255" w:type="dxa"/>
          <w:tblInd w:w="709" w:type="dxa"/>
          <w:tblLayout w:type="fixed"/>
        </w:tblPrEx>
        <w:trPr>
          <w:cantSplit/>
          <w:trHeight w:hRule="auto" w:val="0"/>
        </w:trPr>
        <w:tc>
          <w:tcPr>
            <w:tcW w:w="466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Resultado financiero</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01-01-2026</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01-01-2025</w:t>
            </w:r>
          </w:p>
        </w:tc>
        <w:tc>
          <w:tcPr>
            <w:tcW w:w="1095" w:type="dxa"/>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01-04-2026</w:t>
            </w:r>
          </w:p>
        </w:tc>
        <w:tc>
          <w:tcPr>
            <w:tcW w:w="1095" w:type="dxa"/>
            <w:tcBorders>
              <w:top w:val="single" w:sz="2" w:space="0" w:color="000000"/>
              <w:left w:val="single" w:sz="8"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01-04-2025</w:t>
            </w:r>
          </w:p>
        </w:tc>
      </w:tr>
      <w:tr>
        <w:tblPrEx>
          <w:tblW w:w="9255" w:type="dxa"/>
          <w:tblInd w:w="709" w:type="dxa"/>
          <w:tblLayout w:type="fixed"/>
        </w:tblPrEx>
        <w:trPr>
          <w:cantSplit/>
          <w:trHeight w:hRule="auto" w:val="0"/>
        </w:trPr>
        <w:tc>
          <w:tcPr>
            <w:tcW w:w="4665"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30-06-2025</w:t>
            </w:r>
          </w:p>
        </w:tc>
        <w:tc>
          <w:tcPr>
            <w:tcW w:w="1095" w:type="dxa"/>
            <w:tcBorders>
              <w:top w:val="nil"/>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095" w:type="dxa"/>
            <w:tcBorders>
              <w:top w:val="nil"/>
              <w:left w:val="single" w:sz="8"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30-06-2025</w:t>
            </w:r>
          </w:p>
        </w:tc>
      </w:tr>
      <w:tr>
        <w:tblPrEx>
          <w:tblW w:w="9255" w:type="dxa"/>
          <w:tblInd w:w="709" w:type="dxa"/>
          <w:tblLayout w:type="fixed"/>
        </w:tblPrEx>
        <w:trPr>
          <w:cantSplit/>
          <w:trHeight w:hRule="auto" w:val="0"/>
        </w:trPr>
        <w:tc>
          <w:tcPr>
            <w:tcW w:w="4665"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95" w:type="dxa"/>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95" w:type="dxa"/>
            <w:tcBorders>
              <w:top w:val="nil"/>
              <w:left w:val="single" w:sz="8"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9255" w:type="dxa"/>
          <w:tblInd w:w="709" w:type="dxa"/>
          <w:tblLayout w:type="fixed"/>
        </w:tblPrEx>
        <w:trPr>
          <w:cantSplit/>
          <w:trHeight w:hRule="exact" w:val="60"/>
        </w:trPr>
        <w:tc>
          <w:tcPr>
            <w:tcW w:w="46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255" w:type="dxa"/>
          <w:tblInd w:w="709" w:type="dxa"/>
          <w:tblLayout w:type="fixed"/>
        </w:tblPrEx>
        <w:trPr>
          <w:cantSplit/>
          <w:trHeight w:hRule="auto" w:val="0"/>
        </w:trPr>
        <w:tc>
          <w:tcPr>
            <w:tcW w:w="46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Ingresos financieros</w:t>
            </w:r>
          </w:p>
        </w:tc>
        <w:tc>
          <w:tcPr>
            <w:tcW w:w="12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255" w:type="dxa"/>
          <w:tblInd w:w="709" w:type="dxa"/>
          <w:tblLayout w:type="fixed"/>
        </w:tblPrEx>
        <w:trPr>
          <w:cantSplit/>
          <w:trHeight w:hRule="auto" w:val="0"/>
        </w:trPr>
        <w:tc>
          <w:tcPr>
            <w:tcW w:w="46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Intereses comerciales.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49.690</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30.971</w:t>
            </w:r>
          </w:p>
        </w:tc>
      </w:tr>
      <w:tr>
        <w:tblPrEx>
          <w:tblW w:w="9255" w:type="dxa"/>
          <w:tblInd w:w="709" w:type="dxa"/>
          <w:tblLayout w:type="fixed"/>
        </w:tblPrEx>
        <w:trPr>
          <w:cantSplit/>
          <w:trHeight w:hRule="auto" w:val="0"/>
        </w:trPr>
        <w:tc>
          <w:tcPr>
            <w:tcW w:w="46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Ingresos por otros activos financieros.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2.444.730</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(1.160.286)</w:t>
            </w: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1.277.815</w:t>
            </w:r>
          </w:p>
        </w:tc>
      </w:tr>
      <w:tr>
        <w:tblPrEx>
          <w:tblW w:w="9255" w:type="dxa"/>
          <w:tblInd w:w="709" w:type="dxa"/>
          <w:tblLayout w:type="fixed"/>
        </w:tblPrEx>
        <w:trPr>
          <w:cantSplit/>
          <w:trHeight w:hRule="auto" w:val="0"/>
        </w:trPr>
        <w:tc>
          <w:tcPr>
            <w:tcW w:w="46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Ingreso por intereses tesorería centralizada.</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45.960</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(332.902)</w:t>
            </w: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40.118</w:t>
            </w:r>
          </w:p>
        </w:tc>
      </w:tr>
      <w:tr>
        <w:tblPrEx>
          <w:tblW w:w="9255" w:type="dxa"/>
          <w:tblInd w:w="709" w:type="dxa"/>
          <w:tblLayout w:type="fixed"/>
        </w:tblPrEx>
        <w:trPr>
          <w:cantSplit/>
          <w:trHeight w:hRule="auto" w:val="0"/>
        </w:trPr>
        <w:tc>
          <w:tcPr>
            <w:tcW w:w="46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Total ingresos financieros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2.540.380</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(1.493.188)</w:t>
            </w:r>
          </w:p>
        </w:tc>
        <w:tc>
          <w:tcPr>
            <w:tcW w:w="1095" w:type="dxa"/>
            <w:tcBorders>
              <w:top w:val="single" w:sz="2" w:space="0" w:color="000000"/>
              <w:left w:val="single" w:sz="8"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1.348.904</w:t>
            </w:r>
          </w:p>
        </w:tc>
      </w:tr>
      <w:tr>
        <w:tblPrEx>
          <w:tblW w:w="9255" w:type="dxa"/>
          <w:tblInd w:w="709" w:type="dxa"/>
          <w:tblLayout w:type="fixed"/>
        </w:tblPrEx>
        <w:trPr>
          <w:cantSplit/>
          <w:trHeight w:hRule="auto" w:val="0"/>
        </w:trPr>
        <w:tc>
          <w:tcPr>
            <w:tcW w:w="46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255" w:type="dxa"/>
          <w:tblInd w:w="709" w:type="dxa"/>
          <w:tblLayout w:type="fixed"/>
        </w:tblPrEx>
        <w:trPr>
          <w:cantSplit/>
          <w:trHeight w:hRule="auto" w:val="0"/>
        </w:trPr>
        <w:tc>
          <w:tcPr>
            <w:tcW w:w="46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Costos financieros</w:t>
            </w:r>
          </w:p>
        </w:tc>
        <w:tc>
          <w:tcPr>
            <w:tcW w:w="12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255" w:type="dxa"/>
          <w:tblInd w:w="709" w:type="dxa"/>
          <w:tblLayout w:type="fixed"/>
        </w:tblPrEx>
        <w:trPr>
          <w:cantSplit/>
          <w:trHeight w:hRule="exact" w:val="255"/>
        </w:trPr>
        <w:tc>
          <w:tcPr>
            <w:tcW w:w="46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Gastos por préstamos bancarios.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(13.442.511)</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6.545.978</w:t>
            </w: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(6.878.714)</w:t>
            </w:r>
          </w:p>
        </w:tc>
      </w:tr>
      <w:tr>
        <w:tblPrEx>
          <w:tblW w:w="9255" w:type="dxa"/>
          <w:tblInd w:w="709" w:type="dxa"/>
          <w:tblLayout w:type="fixed"/>
        </w:tblPrEx>
        <w:trPr>
          <w:cantSplit/>
          <w:trHeight w:hRule="auto" w:val="0"/>
        </w:trPr>
        <w:tc>
          <w:tcPr>
            <w:tcW w:w="46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Gastos por obligaciones con el público (bonos).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(1.300.203)</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658.633</w:t>
            </w: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(654.818)</w:t>
            </w:r>
          </w:p>
        </w:tc>
      </w:tr>
      <w:tr>
        <w:tblPrEx>
          <w:tblW w:w="9255" w:type="dxa"/>
          <w:tblInd w:w="709" w:type="dxa"/>
          <w:tblLayout w:type="fixed"/>
        </w:tblPrEx>
        <w:trPr>
          <w:cantSplit/>
          <w:trHeight w:hRule="auto" w:val="0"/>
        </w:trPr>
        <w:tc>
          <w:tcPr>
            <w:tcW w:w="46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Gastos financieros activados.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1.474.754</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(641.797)</w:t>
            </w: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732.213</w:t>
            </w:r>
          </w:p>
        </w:tc>
      </w:tr>
      <w:tr>
        <w:tblPrEx>
          <w:tblW w:w="9255" w:type="dxa"/>
          <w:tblInd w:w="709" w:type="dxa"/>
          <w:tblLayout w:type="fixed"/>
        </w:tblPrEx>
        <w:trPr>
          <w:cantSplit/>
          <w:trHeight w:hRule="auto" w:val="0"/>
        </w:trPr>
        <w:tc>
          <w:tcPr>
            <w:tcW w:w="46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Gastos por arrendamientos financieros.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(45.685)</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17.736</w:t>
            </w: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(23.868)</w:t>
            </w:r>
          </w:p>
        </w:tc>
      </w:tr>
      <w:tr>
        <w:tblPrEx>
          <w:tblW w:w="9255" w:type="dxa"/>
          <w:tblInd w:w="709" w:type="dxa"/>
          <w:tblLayout w:type="fixed"/>
        </w:tblPrEx>
        <w:trPr>
          <w:cantSplit/>
          <w:trHeight w:hRule="auto" w:val="0"/>
        </w:trPr>
        <w:tc>
          <w:tcPr>
            <w:tcW w:w="46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Gastos por valoración derivados financieros.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(2.820.616)</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1.655.294</w:t>
            </w: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(1.542.209)</w:t>
            </w:r>
          </w:p>
        </w:tc>
      </w:tr>
      <w:tr>
        <w:tblPrEx>
          <w:tblW w:w="9255" w:type="dxa"/>
          <w:tblInd w:w="709" w:type="dxa"/>
          <w:tblLayout w:type="fixed"/>
        </w:tblPrEx>
        <w:trPr>
          <w:cantSplit/>
          <w:trHeight w:hRule="auto" w:val="0"/>
        </w:trPr>
        <w:tc>
          <w:tcPr>
            <w:tcW w:w="46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Gastos por intereses tesorería centralizada.</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(648.560)</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7.935</w:t>
            </w: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(234.322)</w:t>
            </w:r>
          </w:p>
        </w:tc>
      </w:tr>
      <w:tr>
        <w:tblPrEx>
          <w:tblW w:w="9255" w:type="dxa"/>
          <w:tblInd w:w="709" w:type="dxa"/>
          <w:tblLayout w:type="fixed"/>
        </w:tblPrEx>
        <w:trPr>
          <w:cantSplit/>
          <w:trHeight w:hRule="auto" w:val="0"/>
        </w:trPr>
        <w:tc>
          <w:tcPr>
            <w:tcW w:w="46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Gastos por intereses préstamos empresas relacionadas.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(2.483.400)</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946.076</w:t>
            </w: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(1.164.382)</w:t>
            </w:r>
          </w:p>
        </w:tc>
      </w:tr>
      <w:tr>
        <w:tblPrEx>
          <w:tblW w:w="9255" w:type="dxa"/>
          <w:tblInd w:w="709" w:type="dxa"/>
          <w:tblLayout w:type="fixed"/>
        </w:tblPrEx>
        <w:trPr>
          <w:cantSplit/>
          <w:trHeight w:hRule="auto" w:val="0"/>
        </w:trPr>
        <w:tc>
          <w:tcPr>
            <w:tcW w:w="46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Otros gastos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(228.315)</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140.550</w:t>
            </w: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(134.526)</w:t>
            </w:r>
          </w:p>
        </w:tc>
      </w:tr>
      <w:tr>
        <w:tblPrEx>
          <w:tblW w:w="9255" w:type="dxa"/>
          <w:tblInd w:w="709" w:type="dxa"/>
          <w:tblLayout w:type="fixed"/>
        </w:tblPrEx>
        <w:trPr>
          <w:cantSplit/>
          <w:trHeight w:hRule="auto" w:val="0"/>
        </w:trPr>
        <w:tc>
          <w:tcPr>
            <w:tcW w:w="46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Total costos financieros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(19.494.536)</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9.330.405</w:t>
            </w:r>
          </w:p>
        </w:tc>
        <w:tc>
          <w:tcPr>
            <w:tcW w:w="1095" w:type="dxa"/>
            <w:tcBorders>
              <w:top w:val="single" w:sz="2" w:space="0" w:color="000000"/>
              <w:left w:val="single" w:sz="8"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(9.900.626)</w:t>
            </w:r>
          </w:p>
        </w:tc>
      </w:tr>
      <w:tr>
        <w:tblPrEx>
          <w:tblW w:w="9255" w:type="dxa"/>
          <w:tblInd w:w="709" w:type="dxa"/>
          <w:tblLayout w:type="fixed"/>
        </w:tblPrEx>
        <w:trPr>
          <w:cantSplit/>
          <w:trHeight w:hRule="auto" w:val="0"/>
        </w:trPr>
        <w:tc>
          <w:tcPr>
            <w:tcW w:w="46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255" w:type="dxa"/>
          <w:tblInd w:w="709" w:type="dxa"/>
          <w:tblLayout w:type="fixed"/>
        </w:tblPrEx>
        <w:trPr>
          <w:cantSplit/>
          <w:trHeight w:hRule="auto" w:val="0"/>
        </w:trPr>
        <w:tc>
          <w:tcPr>
            <w:tcW w:w="46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 xml:space="preserve">Total Ganancias (pérdidas) de cambio de moneda extranjera. (Nota 29.1) </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5.628.407</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1.673.333</w:t>
            </w:r>
          </w:p>
        </w:tc>
        <w:tc>
          <w:tcPr>
            <w:tcW w:w="1095" w:type="dxa"/>
            <w:tcBorders>
              <w:top w:val="single" w:sz="2" w:space="0" w:color="000000"/>
              <w:left w:val="single" w:sz="8"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(410.917)</w:t>
            </w:r>
          </w:p>
        </w:tc>
      </w:tr>
      <w:tr>
        <w:tblPrEx>
          <w:tblW w:w="9255" w:type="dxa"/>
          <w:tblInd w:w="709" w:type="dxa"/>
          <w:tblLayout w:type="fixed"/>
        </w:tblPrEx>
        <w:trPr>
          <w:cantSplit/>
          <w:trHeight w:hRule="auto" w:val="0"/>
        </w:trPr>
        <w:tc>
          <w:tcPr>
            <w:tcW w:w="46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255" w:type="dxa"/>
          <w:tblInd w:w="709" w:type="dxa"/>
          <w:tblLayout w:type="fixed"/>
        </w:tblPrEx>
        <w:trPr>
          <w:cantSplit/>
          <w:trHeight w:hRule="exact" w:val="255"/>
        </w:trPr>
        <w:tc>
          <w:tcPr>
            <w:tcW w:w="46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 xml:space="preserve">Total resultados por unidades de reajuste (Nota 29.2) </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(4.946.100)</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261.053</w:t>
            </w:r>
          </w:p>
        </w:tc>
        <w:tc>
          <w:tcPr>
            <w:tcW w:w="1095" w:type="dxa"/>
            <w:tcBorders>
              <w:top w:val="single" w:sz="2" w:space="0" w:color="000000"/>
              <w:left w:val="single" w:sz="8"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(1.807.627)</w:t>
            </w:r>
          </w:p>
        </w:tc>
      </w:tr>
      <w:tr>
        <w:tblPrEx>
          <w:tblW w:w="9255" w:type="dxa"/>
          <w:tblInd w:w="709" w:type="dxa"/>
          <w:tblLayout w:type="fixed"/>
        </w:tblPrEx>
        <w:trPr>
          <w:cantSplit/>
          <w:trHeight w:hRule="auto" w:val="0"/>
        </w:trPr>
        <w:tc>
          <w:tcPr>
            <w:tcW w:w="46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255" w:type="dxa"/>
          <w:tblInd w:w="709" w:type="dxa"/>
          <w:tblLayout w:type="fixed"/>
        </w:tblPrEx>
        <w:trPr>
          <w:cantSplit/>
          <w:trHeight w:hRule="exact" w:val="255"/>
        </w:trPr>
        <w:tc>
          <w:tcPr>
            <w:tcW w:w="46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(16.271.849)</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9.771.603</w:t>
            </w:r>
          </w:p>
        </w:tc>
        <w:tc>
          <w:tcPr>
            <w:tcW w:w="1095" w:type="dxa"/>
            <w:tcBorders>
              <w:top w:val="single" w:sz="2" w:space="0" w:color="000000"/>
              <w:left w:val="single" w:sz="8"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(10.770.266)</w:t>
            </w:r>
          </w:p>
        </w:tc>
      </w:tr>
    </w:tbl>
    <w:p>
      <w:pPr>
        <w:keepNext w:val="0"/>
        <w:keepLines/>
        <w:pageBreakBefore w:val="0"/>
        <w:widowControl w:val="0"/>
        <w:numPr>
          <w:ilvl w:val="0"/>
          <w:numId w:val="0"/>
        </w:numPr>
        <w:tabs>
          <w:tab w:val="left" w:pos="980"/>
        </w:tabs>
        <w:spacing w:before="0" w:after="0" w:line="288" w:lineRule="auto"/>
        <w:ind w:left="1134" w:right="0" w:hanging="425"/>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980"/>
        </w:tabs>
        <w:spacing w:before="0" w:after="0" w:line="240" w:lineRule="exact"/>
        <w:ind w:left="992" w:right="0" w:hanging="284"/>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 xml:space="preserve">El ítem otros gastos de los costos financieros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está compuesto por costos de intereses de beneficios al personal en base a NIC 19 por M$ 34.192, costos por intereses bancarios por M$ 53.152 y por otros gastos por M$ 53.206. Al </w:t>
      </w:r>
      <w:r>
        <w:rPr>
          <w:rFonts w:ascii="Calibri" w:eastAsia="Calibri" w:hAnsi="Calibri" w:cs="Calibri"/>
          <w:b w:val="0"/>
          <w:i w:val="0"/>
          <w:color w:val="000000"/>
          <w:sz w:val="20"/>
          <w:u w:val="none"/>
        </w:rPr>
        <w:t>30 de junio de 2025</w:t>
      </w:r>
      <w:r>
        <w:rPr>
          <w:rFonts w:ascii="Calibri" w:eastAsia="Calibri" w:hAnsi="Calibri" w:cs="Calibri"/>
          <w:b w:val="0"/>
          <w:i w:val="0"/>
          <w:color w:val="000000"/>
          <w:sz w:val="20"/>
          <w:u w:val="none"/>
        </w:rPr>
        <w:t xml:space="preserve"> dicho ítem se compone por costos de intereses de beneficios al personal por M$ </w:t>
      </w:r>
      <w:r>
        <w:rPr>
          <w:rFonts w:ascii="Calibri" w:eastAsia="Calibri" w:hAnsi="Calibri" w:cs="Calibri"/>
          <w:b w:val="0"/>
          <w:i w:val="0"/>
          <w:color w:val="000000"/>
          <w:sz w:val="20"/>
          <w:u w:val="none"/>
        </w:rPr>
        <w:t>67.992</w:t>
      </w:r>
      <w:r>
        <w:rPr>
          <w:rFonts w:ascii="Calibri" w:eastAsia="Calibri" w:hAnsi="Calibri" w:cs="Calibri"/>
          <w:b w:val="0"/>
          <w:i w:val="0"/>
          <w:color w:val="000000"/>
          <w:sz w:val="20"/>
          <w:u w:val="none"/>
        </w:rPr>
        <w:t xml:space="preserve">,  costos por intereses bancarios por M$ </w:t>
      </w:r>
      <w:r>
        <w:rPr>
          <w:rFonts w:ascii="Calibri" w:eastAsia="Calibri" w:hAnsi="Calibri" w:cs="Calibri"/>
          <w:b w:val="0"/>
          <w:i w:val="0"/>
          <w:color w:val="000000"/>
          <w:sz w:val="20"/>
          <w:u w:val="none"/>
        </w:rPr>
        <w:t>102.433</w:t>
      </w:r>
      <w:r>
        <w:rPr>
          <w:rFonts w:ascii="Calibri" w:eastAsia="Calibri" w:hAnsi="Calibri" w:cs="Calibri"/>
          <w:b w:val="0"/>
          <w:i w:val="0"/>
          <w:color w:val="000000"/>
          <w:sz w:val="20"/>
          <w:u w:val="none"/>
        </w:rPr>
        <w:t xml:space="preserve"> y por otros gastos por M$ </w:t>
      </w:r>
      <w:r>
        <w:rPr>
          <w:rFonts w:ascii="Calibri" w:eastAsia="Calibri" w:hAnsi="Calibri" w:cs="Calibri"/>
          <w:b w:val="0"/>
          <w:i w:val="0"/>
          <w:color w:val="000000"/>
          <w:sz w:val="20"/>
          <w:u w:val="none"/>
        </w:rPr>
        <w:t>57.890.</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keepNext/>
        <w:keepLines/>
        <w:pageBreakBefore w:val="0"/>
        <w:widowControl w:val="0"/>
        <w:numPr>
          <w:ilvl w:val="0"/>
          <w:numId w:val="0"/>
        </w:numPr>
        <w:tabs>
          <w:tab w:val="left" w:pos="700"/>
        </w:tabs>
        <w:spacing w:before="0" w:after="0" w:line="288" w:lineRule="auto"/>
        <w:ind w:left="0" w:right="0" w:firstLine="709"/>
        <w:jc w:val="both"/>
        <w:outlineLvl w:val="9"/>
        <w:rPr>
          <w:rFonts w:ascii="Times New Roman" w:eastAsia="Times New Roman" w:hAnsi="Times New Roman" w:cs="Times New Roman"/>
          <w:b/>
          <w:i w:val="0"/>
          <w:color w:val="000000"/>
          <w:sz w:val="24"/>
          <w:u w:val="none"/>
        </w:rPr>
      </w:pPr>
      <w:bookmarkStart w:id="262" w:name="Section135"/>
      <w:bookmarkEnd w:id="262"/>
    </w:p>
    <w:p>
      <w:pPr>
        <w:pStyle w:val="Heading2-wk"/>
        <w:keepNext/>
        <w:keepLines/>
        <w:pageBreakBefore/>
        <w:widowControl w:val="0"/>
        <w:numPr>
          <w:ilvl w:val="0"/>
          <w:numId w:val="0"/>
        </w:numPr>
        <w:tabs>
          <w:tab w:val="left" w:pos="700"/>
        </w:tabs>
        <w:spacing w:before="0" w:after="0" w:line="200" w:lineRule="exact"/>
        <w:ind w:left="0" w:right="0" w:firstLine="709"/>
        <w:jc w:val="both"/>
        <w:outlineLvl w:val="1"/>
        <w:rPr>
          <w:rFonts w:ascii="Times New Roman" w:eastAsia="Times New Roman" w:hAnsi="Times New Roman" w:cs="Times New Roman"/>
          <w:b/>
          <w:i w:val="0"/>
          <w:color w:val="000000"/>
          <w:sz w:val="24"/>
          <w:u w:val="none"/>
        </w:rPr>
      </w:pPr>
      <w:bookmarkStart w:id="263" w:name="fcf6e6960763492e848101d4162bb2c5"/>
      <w:r>
        <w:rPr>
          <w:rFonts w:ascii="Calibri" w:eastAsia="Calibri" w:hAnsi="Calibri" w:cs="Calibri"/>
          <w:b/>
          <w:i w:val="0"/>
          <w:color w:val="000000"/>
          <w:sz w:val="20"/>
          <w:u w:val="none"/>
        </w:rPr>
        <w:t>29.1.-</w:t>
      </w:r>
      <w:r>
        <w:rPr>
          <w:rFonts w:ascii="Calibri" w:eastAsia="Calibri" w:hAnsi="Calibri" w:cs="Calibri"/>
          <w:b/>
          <w:i w:val="0"/>
          <w:color w:val="000000"/>
          <w:sz w:val="20"/>
          <w:u w:val="none"/>
        </w:rPr>
        <w:tab/>
      </w:r>
      <w:r>
        <w:rPr>
          <w:rFonts w:ascii="Calibri" w:eastAsia="Calibri" w:hAnsi="Calibri" w:cs="Calibri"/>
          <w:b/>
          <w:i w:val="0"/>
          <w:color w:val="000000"/>
          <w:sz w:val="20"/>
          <w:u w:val="none"/>
        </w:rPr>
        <w:t xml:space="preserve">Composición ganancias (pérdidas) de cambio en moneda extranjera.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bookmarkEnd w:id="263"/>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960"/>
        <w:gridCol w:w="1200"/>
        <w:gridCol w:w="1200"/>
        <w:gridCol w:w="1095"/>
        <w:gridCol w:w="1095"/>
      </w:tblGrid>
      <w:tr>
        <w:tblPrEx>
          <w:tblW w:w="8550" w:type="dxa"/>
          <w:tblInd w:w="1417" w:type="dxa"/>
          <w:tblLayout w:type="fixed"/>
        </w:tblPrEx>
        <w:trPr>
          <w:cantSplit/>
          <w:trHeight w:hRule="auto" w:val="0"/>
        </w:trPr>
        <w:tc>
          <w:tcPr>
            <w:tcW w:w="396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Ganancias (pérdidas) de cambio en moneda extranjera.</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01-01-2026</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01-01-2025</w:t>
            </w:r>
          </w:p>
        </w:tc>
        <w:tc>
          <w:tcPr>
            <w:tcW w:w="1095" w:type="dxa"/>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01-04-2026</w:t>
            </w:r>
          </w:p>
        </w:tc>
        <w:tc>
          <w:tcPr>
            <w:tcW w:w="1095" w:type="dxa"/>
            <w:tcBorders>
              <w:top w:val="single" w:sz="2" w:space="0" w:color="000000"/>
              <w:left w:val="single" w:sz="8"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01-04-2025</w:t>
            </w:r>
          </w:p>
        </w:tc>
      </w:tr>
      <w:tr>
        <w:tblPrEx>
          <w:tblW w:w="8550" w:type="dxa"/>
          <w:tblInd w:w="1417" w:type="dxa"/>
          <w:tblLayout w:type="fixed"/>
        </w:tblPrEx>
        <w:trPr>
          <w:cantSplit/>
          <w:trHeight w:hRule="auto" w:val="0"/>
        </w:trPr>
        <w:tc>
          <w:tcPr>
            <w:tcW w:w="3960"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30-06-2025</w:t>
            </w:r>
          </w:p>
        </w:tc>
        <w:tc>
          <w:tcPr>
            <w:tcW w:w="1095" w:type="dxa"/>
            <w:tcBorders>
              <w:top w:val="nil"/>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095" w:type="dxa"/>
            <w:tcBorders>
              <w:top w:val="nil"/>
              <w:left w:val="single" w:sz="8"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30-06-2025</w:t>
            </w:r>
          </w:p>
        </w:tc>
      </w:tr>
      <w:tr>
        <w:tblPrEx>
          <w:tblW w:w="8550" w:type="dxa"/>
          <w:tblInd w:w="1417" w:type="dxa"/>
          <w:tblLayout w:type="fixed"/>
        </w:tblPrEx>
        <w:trPr>
          <w:cantSplit/>
          <w:trHeight w:hRule="auto" w:val="0"/>
        </w:trPr>
        <w:tc>
          <w:tcPr>
            <w:tcW w:w="396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95" w:type="dxa"/>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95" w:type="dxa"/>
            <w:tcBorders>
              <w:top w:val="nil"/>
              <w:left w:val="single" w:sz="8"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exact" w:val="60"/>
        </w:trPr>
        <w:tc>
          <w:tcPr>
            <w:tcW w:w="396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3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 xml:space="preserve"> Diferencias de cambio por activos </w:t>
            </w:r>
          </w:p>
        </w:tc>
        <w:tc>
          <w:tcPr>
            <w:tcW w:w="12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3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Efectivo y equivalentes al efectivo.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(20.454)</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27.005</w:t>
            </w: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(9.591)</w:t>
            </w:r>
          </w:p>
        </w:tc>
      </w:tr>
      <w:tr>
        <w:tblPrEx>
          <w:tblW w:w="8550" w:type="dxa"/>
          <w:tblInd w:w="1417" w:type="dxa"/>
          <w:tblLayout w:type="fixed"/>
        </w:tblPrEx>
        <w:trPr>
          <w:cantSplit/>
          <w:trHeight w:hRule="auto" w:val="0"/>
        </w:trPr>
        <w:tc>
          <w:tcPr>
            <w:tcW w:w="3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Otros activos financieros.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(5.042.931)</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(2.827.465)</w:t>
            </w: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822.711</w:t>
            </w:r>
          </w:p>
        </w:tc>
      </w:tr>
      <w:tr>
        <w:tblPrEx>
          <w:tblW w:w="8550" w:type="dxa"/>
          <w:tblInd w:w="1417" w:type="dxa"/>
          <w:tblLayout w:type="fixed"/>
        </w:tblPrEx>
        <w:trPr>
          <w:cantSplit/>
          <w:trHeight w:hRule="auto" w:val="0"/>
        </w:trPr>
        <w:tc>
          <w:tcPr>
            <w:tcW w:w="3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Deudores comerciales y otras cuentas por cobrar.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(3.305)</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(12)</w:t>
            </w: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(17.567)</w:t>
            </w:r>
          </w:p>
        </w:tc>
      </w:tr>
      <w:tr>
        <w:tblPrEx>
          <w:tblW w:w="8550" w:type="dxa"/>
          <w:tblInd w:w="1417" w:type="dxa"/>
          <w:tblLayout w:type="fixed"/>
        </w:tblPrEx>
        <w:trPr>
          <w:cantSplit/>
          <w:trHeight w:hRule="auto" w:val="0"/>
        </w:trPr>
        <w:tc>
          <w:tcPr>
            <w:tcW w:w="3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Cuentas por cobrar a entidades relacionadas.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(6.037.000)</w:t>
            </w:r>
          </w:p>
        </w:tc>
      </w:tr>
      <w:tr>
        <w:tblPrEx>
          <w:tblW w:w="8550" w:type="dxa"/>
          <w:tblInd w:w="1417" w:type="dxa"/>
          <w:tblLayout w:type="fixed"/>
        </w:tblPrEx>
        <w:trPr>
          <w:cantSplit/>
          <w:trHeight w:hRule="auto" w:val="0"/>
        </w:trPr>
        <w:tc>
          <w:tcPr>
            <w:tcW w:w="3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 xml:space="preserve"> Total diferencias de cambio por activos </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(5.066.690)</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(2.800.472)</w:t>
            </w:r>
          </w:p>
        </w:tc>
        <w:tc>
          <w:tcPr>
            <w:tcW w:w="1095" w:type="dxa"/>
            <w:tcBorders>
              <w:top w:val="single" w:sz="2" w:space="0" w:color="000000"/>
              <w:left w:val="single" w:sz="8"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(5.241.447)</w:t>
            </w:r>
          </w:p>
        </w:tc>
      </w:tr>
      <w:tr>
        <w:tblPrEx>
          <w:tblW w:w="8550" w:type="dxa"/>
          <w:tblInd w:w="1417" w:type="dxa"/>
          <w:tblLayout w:type="fixed"/>
        </w:tblPrEx>
        <w:trPr>
          <w:cantSplit/>
          <w:trHeight w:hRule="auto" w:val="0"/>
        </w:trPr>
        <w:tc>
          <w:tcPr>
            <w:tcW w:w="396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3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 xml:space="preserve"> Diferencias de cambio por pasivos </w:t>
            </w:r>
          </w:p>
        </w:tc>
        <w:tc>
          <w:tcPr>
            <w:tcW w:w="12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3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Otros pasivos financieros.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5.042.931</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2.827.465</w:t>
            </w: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(822.711)</w:t>
            </w:r>
          </w:p>
        </w:tc>
      </w:tr>
      <w:tr>
        <w:tblPrEx>
          <w:tblW w:w="8550" w:type="dxa"/>
          <w:tblInd w:w="1417" w:type="dxa"/>
          <w:tblLayout w:type="fixed"/>
        </w:tblPrEx>
        <w:trPr>
          <w:cantSplit/>
          <w:trHeight w:hRule="auto" w:val="0"/>
        </w:trPr>
        <w:tc>
          <w:tcPr>
            <w:tcW w:w="3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Cuentas por pagar comerciales y otras cuentas por pagar.</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14.166</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17.669</w:t>
            </w: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15.241</w:t>
            </w:r>
          </w:p>
        </w:tc>
      </w:tr>
      <w:tr>
        <w:tblPrEx>
          <w:tblW w:w="8550" w:type="dxa"/>
          <w:tblInd w:w="1417" w:type="dxa"/>
          <w:tblLayout w:type="fixed"/>
        </w:tblPrEx>
        <w:trPr>
          <w:cantSplit/>
          <w:trHeight w:hRule="auto" w:val="0"/>
        </w:trPr>
        <w:tc>
          <w:tcPr>
            <w:tcW w:w="3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Cuentas por pagar a entidades relacionadas.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5.638.000</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1.628.671</w:t>
            </w: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5.638.000</w:t>
            </w:r>
          </w:p>
        </w:tc>
      </w:tr>
      <w:tr>
        <w:tblPrEx>
          <w:tblW w:w="8550" w:type="dxa"/>
          <w:tblInd w:w="1417" w:type="dxa"/>
          <w:tblLayout w:type="fixed"/>
        </w:tblPrEx>
        <w:trPr>
          <w:cantSplit/>
          <w:trHeight w:hRule="auto" w:val="0"/>
        </w:trPr>
        <w:tc>
          <w:tcPr>
            <w:tcW w:w="3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 xml:space="preserve"> Total diferencias de cambio por pasivos </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10.695.097</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4.473.805</w:t>
            </w:r>
          </w:p>
        </w:tc>
        <w:tc>
          <w:tcPr>
            <w:tcW w:w="1095" w:type="dxa"/>
            <w:tcBorders>
              <w:top w:val="single" w:sz="2" w:space="0" w:color="000000"/>
              <w:left w:val="single" w:sz="8"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4.830.530</w:t>
            </w:r>
          </w:p>
        </w:tc>
      </w:tr>
      <w:tr>
        <w:tblPrEx>
          <w:tblW w:w="8550" w:type="dxa"/>
          <w:tblInd w:w="1417" w:type="dxa"/>
          <w:tblLayout w:type="fixed"/>
        </w:tblPrEx>
        <w:trPr>
          <w:cantSplit/>
          <w:trHeight w:hRule="auto" w:val="0"/>
        </w:trPr>
        <w:tc>
          <w:tcPr>
            <w:tcW w:w="396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3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 diferencia de cambios neta</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5.628.407</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1.673.333</w:t>
            </w:r>
          </w:p>
        </w:tc>
        <w:tc>
          <w:tcPr>
            <w:tcW w:w="1095" w:type="dxa"/>
            <w:tcBorders>
              <w:top w:val="single" w:sz="2" w:space="0" w:color="000000"/>
              <w:left w:val="single" w:sz="8"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(410.917)</w:t>
            </w:r>
          </w:p>
        </w:tc>
      </w:tr>
    </w:tbl>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sz w:val="20"/>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9"/>
        <w:jc w:val="both"/>
        <w:outlineLvl w:val="1"/>
        <w:rPr>
          <w:rFonts w:ascii="Times New Roman" w:eastAsia="Times New Roman" w:hAnsi="Times New Roman" w:cs="Times New Roman"/>
          <w:b/>
          <w:i w:val="0"/>
          <w:color w:val="000000"/>
          <w:sz w:val="24"/>
          <w:u w:val="none"/>
        </w:rPr>
      </w:pPr>
      <w:bookmarkStart w:id="264" w:name="Section136"/>
      <w:bookmarkEnd w:id="264"/>
      <w:bookmarkStart w:id="265" w:name="04d31db55b314e14baf790b987c06e31"/>
      <w:r>
        <w:rPr>
          <w:rFonts w:ascii="Calibri" w:eastAsia="Calibri" w:hAnsi="Calibri" w:cs="Calibri"/>
          <w:b/>
          <w:i w:val="0"/>
          <w:color w:val="000000"/>
          <w:sz w:val="20"/>
          <w:u w:val="none"/>
        </w:rPr>
        <w:t>29.2.-</w:t>
      </w:r>
      <w:r>
        <w:rPr>
          <w:rFonts w:ascii="Calibri" w:eastAsia="Calibri" w:hAnsi="Calibri" w:cs="Calibri"/>
          <w:b/>
          <w:i w:val="0"/>
          <w:color w:val="000000"/>
          <w:sz w:val="20"/>
          <w:u w:val="none"/>
        </w:rPr>
        <w:tab/>
      </w:r>
      <w:r>
        <w:rPr>
          <w:rFonts w:ascii="Calibri" w:eastAsia="Calibri" w:hAnsi="Calibri" w:cs="Calibri"/>
          <w:b/>
          <w:i w:val="0"/>
          <w:color w:val="000000"/>
          <w:sz w:val="20"/>
          <w:u w:val="none"/>
        </w:rPr>
        <w:t xml:space="preserve">Composición unidades de reajuste. </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265"/>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960"/>
        <w:gridCol w:w="1200"/>
        <w:gridCol w:w="1200"/>
        <w:gridCol w:w="1095"/>
        <w:gridCol w:w="1095"/>
      </w:tblGrid>
      <w:tr>
        <w:tblPrEx>
          <w:tblW w:w="8550" w:type="dxa"/>
          <w:tblInd w:w="1417" w:type="dxa"/>
          <w:tblLayout w:type="fixed"/>
        </w:tblPrEx>
        <w:trPr>
          <w:cantSplit/>
          <w:trHeight w:hRule="auto" w:val="0"/>
        </w:trPr>
        <w:tc>
          <w:tcPr>
            <w:tcW w:w="396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Resultado por unidades de reajuste</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01-01-2026</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01-01-2025</w:t>
            </w:r>
          </w:p>
        </w:tc>
        <w:tc>
          <w:tcPr>
            <w:tcW w:w="1095" w:type="dxa"/>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01-04-2026</w:t>
            </w:r>
          </w:p>
        </w:tc>
        <w:tc>
          <w:tcPr>
            <w:tcW w:w="1095" w:type="dxa"/>
            <w:tcBorders>
              <w:top w:val="single" w:sz="2" w:space="0" w:color="000000"/>
              <w:left w:val="single" w:sz="8"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01-04-2025</w:t>
            </w:r>
          </w:p>
        </w:tc>
      </w:tr>
      <w:tr>
        <w:tblPrEx>
          <w:tblW w:w="8550" w:type="dxa"/>
          <w:tblInd w:w="1417" w:type="dxa"/>
          <w:tblLayout w:type="fixed"/>
        </w:tblPrEx>
        <w:trPr>
          <w:cantSplit/>
          <w:trHeight w:hRule="auto" w:val="0"/>
        </w:trPr>
        <w:tc>
          <w:tcPr>
            <w:tcW w:w="3960"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30-06-2025</w:t>
            </w:r>
          </w:p>
        </w:tc>
        <w:tc>
          <w:tcPr>
            <w:tcW w:w="1095" w:type="dxa"/>
            <w:tcBorders>
              <w:top w:val="nil"/>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095" w:type="dxa"/>
            <w:tcBorders>
              <w:top w:val="nil"/>
              <w:left w:val="single" w:sz="8"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30-06-2025</w:t>
            </w:r>
          </w:p>
        </w:tc>
      </w:tr>
      <w:tr>
        <w:tblPrEx>
          <w:tblW w:w="8550" w:type="dxa"/>
          <w:tblInd w:w="1417" w:type="dxa"/>
          <w:tblLayout w:type="fixed"/>
        </w:tblPrEx>
        <w:trPr>
          <w:cantSplit/>
          <w:trHeight w:hRule="auto" w:val="0"/>
        </w:trPr>
        <w:tc>
          <w:tcPr>
            <w:tcW w:w="3960" w:type="dxa"/>
            <w:vMerge/>
            <w:tcBorders>
              <w:top w:val="nil"/>
              <w:left w:val="single" w:sz="2" w:space="0" w:color="000000"/>
              <w:bottom w:val="single" w:sz="2" w:space="0" w:color="000000"/>
              <w:right w:val="nil"/>
            </w:tcBorders>
          </w:tcPr>
          <w:p>
            <w:pPr>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i w:val="0"/>
                <w:color w:val="FFFFFF"/>
                <w:sz w:val="16"/>
                <w:u w:val="none"/>
              </w:rPr>
              <w:t>M$</w:t>
            </w:r>
          </w:p>
        </w:tc>
        <w:tc>
          <w:tcPr>
            <w:tcW w:w="1095" w:type="dxa"/>
            <w:tcBorders>
              <w:top w:val="nil"/>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i w:val="0"/>
                <w:color w:val="FFFFFF"/>
                <w:sz w:val="16"/>
                <w:u w:val="none"/>
              </w:rPr>
              <w:t>M$</w:t>
            </w:r>
          </w:p>
        </w:tc>
        <w:tc>
          <w:tcPr>
            <w:tcW w:w="1095" w:type="dxa"/>
            <w:tcBorders>
              <w:top w:val="nil"/>
              <w:left w:val="single" w:sz="8" w:space="0" w:color="FFFFFF"/>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exact" w:val="60"/>
        </w:trPr>
        <w:tc>
          <w:tcPr>
            <w:tcW w:w="3960" w:type="dxa"/>
            <w:tcBorders>
              <w:top w:val="single" w:sz="2" w:space="0" w:color="000000"/>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pageBreakBefore w:val="0"/>
              <w:spacing w:before="0" w:after="0"/>
            </w:pPr>
          </w:p>
        </w:tc>
        <w:tc>
          <w:tcPr>
            <w:tcW w:w="1095" w:type="dxa"/>
            <w:tcBorders>
              <w:top w:val="single" w:sz="2" w:space="0" w:color="000000"/>
              <w:left w:val="nil"/>
              <w:bottom w:val="nil"/>
              <w:right w:val="nil"/>
            </w:tcBorders>
            <w:tcMar>
              <w:top w:w="0" w:type="dxa"/>
              <w:left w:w="0" w:type="dxa"/>
              <w:bottom w:w="0" w:type="dxa"/>
              <w:right w:w="0" w:type="dxa"/>
            </w:tcMar>
            <w:vAlign w:val="bottom"/>
          </w:tcPr>
          <w:p>
            <w:pPr>
              <w:pageBreakBefore w:val="0"/>
              <w:spacing w:before="0" w:after="0"/>
            </w:pPr>
          </w:p>
        </w:tc>
        <w:tc>
          <w:tcPr>
            <w:tcW w:w="1095" w:type="dxa"/>
            <w:tcBorders>
              <w:top w:val="single" w:sz="2" w:space="0" w:color="000000"/>
              <w:left w:val="nil"/>
              <w:bottom w:val="nil"/>
              <w:right w:val="nil"/>
            </w:tcBorders>
            <w:tcMar>
              <w:top w:w="0" w:type="dxa"/>
              <w:left w:w="0" w:type="dxa"/>
              <w:bottom w:w="0" w:type="dxa"/>
              <w:right w:w="0" w:type="dxa"/>
            </w:tcMar>
            <w:vAlign w:val="bottom"/>
          </w:tcPr>
          <w:p>
            <w:pPr>
              <w:pageBreakBefore w:val="0"/>
              <w:spacing w:before="0" w:after="0"/>
            </w:pPr>
          </w:p>
        </w:tc>
      </w:tr>
      <w:tr>
        <w:tblPrEx>
          <w:tblW w:w="8550" w:type="dxa"/>
          <w:tblInd w:w="1417" w:type="dxa"/>
          <w:tblLayout w:type="fixed"/>
        </w:tblPrEx>
        <w:trPr>
          <w:cantSplit/>
          <w:trHeight w:hRule="auto" w:val="0"/>
        </w:trPr>
        <w:tc>
          <w:tcPr>
            <w:tcW w:w="3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 xml:space="preserve"> Unidades de reajuste por activos </w:t>
            </w:r>
          </w:p>
        </w:tc>
        <w:tc>
          <w:tcPr>
            <w:tcW w:w="1200" w:type="dxa"/>
            <w:tcBorders>
              <w:top w:val="nil"/>
              <w:left w:val="single" w:sz="2" w:space="0" w:color="000000"/>
              <w:bottom w:val="single" w:sz="2" w:space="0" w:color="000000"/>
              <w:right w:val="nil"/>
            </w:tcBorders>
            <w:tcMar>
              <w:top w:w="0" w:type="dxa"/>
              <w:left w:w="0" w:type="dxa"/>
              <w:bottom w:w="0" w:type="dxa"/>
              <w:right w:w="0" w:type="dxa"/>
            </w:tcMar>
            <w:vAlign w:val="bottom"/>
          </w:tcPr>
          <w:p>
            <w:pPr>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1095" w:type="dxa"/>
            <w:tcBorders>
              <w:top w:val="nil"/>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1095" w:type="dxa"/>
            <w:tcBorders>
              <w:top w:val="nil"/>
              <w:left w:val="nil"/>
              <w:bottom w:val="single" w:sz="2" w:space="0" w:color="000000"/>
              <w:right w:val="nil"/>
            </w:tcBorders>
            <w:tcMar>
              <w:top w:w="0" w:type="dxa"/>
              <w:left w:w="0" w:type="dxa"/>
              <w:bottom w:w="0" w:type="dxa"/>
              <w:right w:w="0" w:type="dxa"/>
            </w:tcMar>
            <w:vAlign w:val="bottom"/>
          </w:tcPr>
          <w:p>
            <w:pPr>
              <w:pageBreakBefore w:val="0"/>
              <w:spacing w:before="0" w:after="0"/>
            </w:pPr>
          </w:p>
        </w:tc>
      </w:tr>
      <w:tr>
        <w:tblPrEx>
          <w:tblW w:w="8550" w:type="dxa"/>
          <w:tblInd w:w="1417" w:type="dxa"/>
          <w:tblLayout w:type="fixed"/>
        </w:tblPrEx>
        <w:trPr>
          <w:cantSplit/>
          <w:trHeight w:hRule="auto" w:val="0"/>
        </w:trPr>
        <w:tc>
          <w:tcPr>
            <w:tcW w:w="3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6"/>
                <w:u w:val="none"/>
              </w:rPr>
              <w:t xml:space="preserve"> Deudores comerciales y otras cuentas por cobrar.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6"/>
                <w:u w:val="none"/>
              </w:rPr>
              <w:t>2.019</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6"/>
                <w:u w:val="none"/>
              </w:rPr>
              <w:t>(129)</w:t>
            </w: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6"/>
                <w:u w:val="none"/>
              </w:rPr>
              <w:t>1.455</w:t>
            </w:r>
          </w:p>
        </w:tc>
      </w:tr>
      <w:tr>
        <w:tblPrEx>
          <w:tblW w:w="8550" w:type="dxa"/>
          <w:tblInd w:w="1417" w:type="dxa"/>
          <w:tblLayout w:type="fixed"/>
        </w:tblPrEx>
        <w:trPr>
          <w:cantSplit/>
          <w:trHeight w:hRule="auto" w:val="0"/>
        </w:trPr>
        <w:tc>
          <w:tcPr>
            <w:tcW w:w="3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6"/>
                <w:u w:val="none"/>
              </w:rPr>
              <w:t xml:space="preserve"> Activos por impuestos.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6"/>
                <w:u w:val="none"/>
              </w:rPr>
              <w:t>214.626</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6"/>
                <w:u w:val="none"/>
              </w:rPr>
              <w:t>1.075</w:t>
            </w: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6"/>
                <w:u w:val="none"/>
              </w:rPr>
              <w:t>211.540</w:t>
            </w:r>
          </w:p>
        </w:tc>
      </w:tr>
      <w:tr>
        <w:tblPrEx>
          <w:tblW w:w="8550" w:type="dxa"/>
          <w:tblInd w:w="1417" w:type="dxa"/>
          <w:tblLayout w:type="fixed"/>
        </w:tblPrEx>
        <w:trPr>
          <w:cantSplit/>
          <w:trHeight w:hRule="auto" w:val="0"/>
        </w:trPr>
        <w:tc>
          <w:tcPr>
            <w:tcW w:w="3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 xml:space="preserve"> Total unidades de reajuste por activos </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216.941</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946</w:t>
            </w:r>
          </w:p>
        </w:tc>
        <w:tc>
          <w:tcPr>
            <w:tcW w:w="1095" w:type="dxa"/>
            <w:tcBorders>
              <w:top w:val="single" w:sz="2" w:space="0" w:color="000000"/>
              <w:left w:val="single" w:sz="8"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213.291</w:t>
            </w:r>
          </w:p>
        </w:tc>
      </w:tr>
      <w:tr>
        <w:tblPrEx>
          <w:tblW w:w="8550" w:type="dxa"/>
          <w:tblInd w:w="1417" w:type="dxa"/>
          <w:tblLayout w:type="fixed"/>
        </w:tblPrEx>
        <w:trPr>
          <w:cantSplit/>
          <w:trHeight w:hRule="auto" w:val="0"/>
        </w:trPr>
        <w:tc>
          <w:tcPr>
            <w:tcW w:w="3960" w:type="dxa"/>
            <w:tcBorders>
              <w:top w:val="single" w:sz="2" w:space="0" w:color="000000"/>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pageBreakBefore w:val="0"/>
              <w:spacing w:before="0" w:after="0"/>
            </w:pPr>
          </w:p>
        </w:tc>
        <w:tc>
          <w:tcPr>
            <w:tcW w:w="1095" w:type="dxa"/>
            <w:tcBorders>
              <w:top w:val="single" w:sz="2" w:space="0" w:color="000000"/>
              <w:left w:val="nil"/>
              <w:bottom w:val="nil"/>
              <w:right w:val="nil"/>
            </w:tcBorders>
            <w:tcMar>
              <w:top w:w="0" w:type="dxa"/>
              <w:left w:w="0" w:type="dxa"/>
              <w:bottom w:w="0" w:type="dxa"/>
              <w:right w:w="0" w:type="dxa"/>
            </w:tcMar>
            <w:vAlign w:val="bottom"/>
          </w:tcPr>
          <w:p>
            <w:pPr>
              <w:pageBreakBefore w:val="0"/>
              <w:spacing w:before="0" w:after="0"/>
            </w:pPr>
          </w:p>
        </w:tc>
        <w:tc>
          <w:tcPr>
            <w:tcW w:w="1095" w:type="dxa"/>
            <w:tcBorders>
              <w:top w:val="single" w:sz="2" w:space="0" w:color="000000"/>
              <w:left w:val="nil"/>
              <w:bottom w:val="nil"/>
              <w:right w:val="nil"/>
            </w:tcBorders>
            <w:tcMar>
              <w:top w:w="0" w:type="dxa"/>
              <w:left w:w="0" w:type="dxa"/>
              <w:bottom w:w="0" w:type="dxa"/>
              <w:right w:w="0" w:type="dxa"/>
            </w:tcMar>
            <w:vAlign w:val="bottom"/>
          </w:tcPr>
          <w:p>
            <w:pPr>
              <w:pageBreakBefore w:val="0"/>
              <w:spacing w:before="0" w:after="0"/>
            </w:pPr>
          </w:p>
        </w:tc>
      </w:tr>
      <w:tr>
        <w:tblPrEx>
          <w:tblW w:w="8550" w:type="dxa"/>
          <w:tblInd w:w="1417" w:type="dxa"/>
          <w:tblLayout w:type="fixed"/>
        </w:tblPrEx>
        <w:trPr>
          <w:cantSplit/>
          <w:trHeight w:hRule="auto" w:val="0"/>
        </w:trPr>
        <w:tc>
          <w:tcPr>
            <w:tcW w:w="3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 xml:space="preserve"> Unidades de reajuste por pasivos </w:t>
            </w:r>
          </w:p>
        </w:tc>
        <w:tc>
          <w:tcPr>
            <w:tcW w:w="1200" w:type="dxa"/>
            <w:tcBorders>
              <w:top w:val="nil"/>
              <w:left w:val="single" w:sz="2" w:space="0" w:color="000000"/>
              <w:bottom w:val="single" w:sz="2" w:space="0" w:color="000000"/>
              <w:right w:val="nil"/>
            </w:tcBorders>
            <w:tcMar>
              <w:top w:w="0" w:type="dxa"/>
              <w:left w:w="0" w:type="dxa"/>
              <w:bottom w:w="0" w:type="dxa"/>
              <w:right w:w="0" w:type="dxa"/>
            </w:tcMar>
            <w:vAlign w:val="bottom"/>
          </w:tcPr>
          <w:p>
            <w:pPr>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1095" w:type="dxa"/>
            <w:tcBorders>
              <w:top w:val="nil"/>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1095" w:type="dxa"/>
            <w:tcBorders>
              <w:top w:val="nil"/>
              <w:left w:val="nil"/>
              <w:bottom w:val="single" w:sz="2" w:space="0" w:color="000000"/>
              <w:right w:val="nil"/>
            </w:tcBorders>
            <w:tcMar>
              <w:top w:w="0" w:type="dxa"/>
              <w:left w:w="0" w:type="dxa"/>
              <w:bottom w:w="0" w:type="dxa"/>
              <w:right w:w="0" w:type="dxa"/>
            </w:tcMar>
            <w:vAlign w:val="bottom"/>
          </w:tcPr>
          <w:p>
            <w:pPr>
              <w:pageBreakBefore w:val="0"/>
              <w:spacing w:before="0" w:after="0"/>
            </w:pPr>
          </w:p>
        </w:tc>
      </w:tr>
      <w:tr>
        <w:tblPrEx>
          <w:tblW w:w="8550" w:type="dxa"/>
          <w:tblInd w:w="1417" w:type="dxa"/>
          <w:tblLayout w:type="fixed"/>
        </w:tblPrEx>
        <w:trPr>
          <w:cantSplit/>
          <w:trHeight w:hRule="auto" w:val="0"/>
        </w:trPr>
        <w:tc>
          <w:tcPr>
            <w:tcW w:w="3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6"/>
                <w:u w:val="none"/>
              </w:rPr>
              <w:t>Otros pasivos financieros.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6"/>
                <w:u w:val="none"/>
              </w:rPr>
              <w:t>(5.042.206)</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6"/>
                <w:u w:val="none"/>
              </w:rPr>
              <w:t>227.520</w:t>
            </w: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6"/>
                <w:u w:val="none"/>
              </w:rPr>
              <w:t>(1.964.516)</w:t>
            </w:r>
          </w:p>
        </w:tc>
      </w:tr>
      <w:tr>
        <w:tblPrEx>
          <w:tblW w:w="8550" w:type="dxa"/>
          <w:tblInd w:w="1417" w:type="dxa"/>
          <w:tblLayout w:type="fixed"/>
        </w:tblPrEx>
        <w:trPr>
          <w:cantSplit/>
          <w:trHeight w:hRule="auto" w:val="0"/>
        </w:trPr>
        <w:tc>
          <w:tcPr>
            <w:tcW w:w="3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6"/>
                <w:u w:val="none"/>
              </w:rPr>
              <w:t>Pasivos por arrendamientos.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6"/>
                <w:u w:val="none"/>
              </w:rPr>
              <w:t>(20.066)</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6"/>
                <w:u w:val="none"/>
              </w:rPr>
              <w:t>2.168</w:t>
            </w: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6"/>
                <w:u w:val="none"/>
              </w:rPr>
              <w:t>(11.090)</w:t>
            </w:r>
          </w:p>
        </w:tc>
      </w:tr>
      <w:tr>
        <w:tblPrEx>
          <w:tblW w:w="8550" w:type="dxa"/>
          <w:tblInd w:w="1417" w:type="dxa"/>
          <w:tblLayout w:type="fixed"/>
        </w:tblPrEx>
        <w:trPr>
          <w:cantSplit/>
          <w:trHeight w:hRule="auto" w:val="0"/>
        </w:trPr>
        <w:tc>
          <w:tcPr>
            <w:tcW w:w="3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6"/>
                <w:u w:val="none"/>
              </w:rPr>
              <w:t>Cuentas por pagar comerciales y otras cuentas por pagar.</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6"/>
                <w:u w:val="none"/>
              </w:rPr>
              <w:t>(100.769)</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6"/>
                <w:u w:val="none"/>
              </w:rPr>
              <w:t>30.419</w:t>
            </w: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6"/>
                <w:u w:val="none"/>
              </w:rPr>
              <w:t>(45.312)</w:t>
            </w:r>
          </w:p>
        </w:tc>
      </w:tr>
      <w:tr>
        <w:tblPrEx>
          <w:tblW w:w="8550" w:type="dxa"/>
          <w:tblInd w:w="1417" w:type="dxa"/>
          <w:tblLayout w:type="fixed"/>
        </w:tblPrEx>
        <w:trPr>
          <w:cantSplit/>
          <w:trHeight w:hRule="auto" w:val="0"/>
        </w:trPr>
        <w:tc>
          <w:tcPr>
            <w:tcW w:w="3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 xml:space="preserve"> Total unidades de reajuste por pasivos </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(5.163.041)</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260.107</w:t>
            </w:r>
          </w:p>
        </w:tc>
        <w:tc>
          <w:tcPr>
            <w:tcW w:w="1095" w:type="dxa"/>
            <w:tcBorders>
              <w:top w:val="single" w:sz="2" w:space="0" w:color="000000"/>
              <w:left w:val="single" w:sz="8"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(2.020.918)</w:t>
            </w:r>
          </w:p>
        </w:tc>
      </w:tr>
      <w:tr>
        <w:tblPrEx>
          <w:tblW w:w="8550" w:type="dxa"/>
          <w:tblInd w:w="1417" w:type="dxa"/>
          <w:tblLayout w:type="fixed"/>
        </w:tblPrEx>
        <w:trPr>
          <w:cantSplit/>
          <w:trHeight w:hRule="auto" w:val="0"/>
        </w:trPr>
        <w:tc>
          <w:tcPr>
            <w:tcW w:w="3960" w:type="dxa"/>
            <w:tcBorders>
              <w:top w:val="single" w:sz="2" w:space="0" w:color="000000"/>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pageBreakBefore w:val="0"/>
              <w:spacing w:before="0" w:after="0"/>
            </w:pPr>
          </w:p>
        </w:tc>
      </w:tr>
      <w:tr>
        <w:tblPrEx>
          <w:tblW w:w="8550" w:type="dxa"/>
          <w:tblInd w:w="1417" w:type="dxa"/>
          <w:tblLayout w:type="fixed"/>
        </w:tblPrEx>
        <w:trPr>
          <w:cantSplit/>
          <w:trHeight w:hRule="auto" w:val="0"/>
        </w:trPr>
        <w:tc>
          <w:tcPr>
            <w:tcW w:w="3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 unidades de reajuste neto</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(4.946.100)</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261.053</w:t>
            </w:r>
          </w:p>
        </w:tc>
        <w:tc>
          <w:tcPr>
            <w:tcW w:w="1095" w:type="dxa"/>
            <w:tcBorders>
              <w:top w:val="single" w:sz="2" w:space="0" w:color="000000"/>
              <w:left w:val="single" w:sz="8"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(1.807.627)</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keepNext/>
        <w:keepLines/>
        <w:pageBreakBefore w:val="0"/>
        <w:widowControl w:val="0"/>
        <w:numPr>
          <w:ilvl w:val="0"/>
          <w:numId w:val="0"/>
        </w:numPr>
        <w:tabs>
          <w:tab w:val="left" w:pos="700"/>
        </w:tabs>
        <w:spacing w:before="0" w:after="0" w:line="288" w:lineRule="auto"/>
        <w:ind w:left="0" w:right="0" w:firstLine="0"/>
        <w:jc w:val="left"/>
        <w:outlineLvl w:val="9"/>
        <w:rPr>
          <w:rFonts w:ascii="Cambria" w:eastAsia="Cambria" w:hAnsi="Cambria" w:cs="Cambria"/>
          <w:b/>
          <w:i w:val="0"/>
          <w:color w:val="365F91"/>
          <w:sz w:val="28"/>
          <w:u w:val="none"/>
        </w:rPr>
      </w:pPr>
      <w:bookmarkStart w:id="266" w:name="Section137"/>
      <w:bookmarkEnd w:id="266"/>
    </w:p>
    <w:p>
      <w:pPr>
        <w:pStyle w:val="Heading1-wk"/>
        <w:keepNext/>
        <w:keepLines/>
        <w:pageBreakBefore/>
        <w:widowControl w:val="0"/>
        <w:numPr>
          <w:ilvl w:val="0"/>
          <w:numId w:val="0"/>
        </w:numPr>
        <w:tabs>
          <w:tab w:val="left" w:pos="700"/>
        </w:tabs>
        <w:spacing w:before="0" w:after="0" w:line="240" w:lineRule="auto"/>
        <w:ind w:left="0" w:right="0" w:firstLine="0"/>
        <w:jc w:val="left"/>
        <w:outlineLvl w:val="0"/>
        <w:rPr>
          <w:rFonts w:ascii="Cambria" w:eastAsia="Cambria" w:hAnsi="Cambria" w:cs="Cambria"/>
          <w:b/>
          <w:i w:val="0"/>
          <w:color w:val="365F91"/>
          <w:sz w:val="28"/>
          <w:u w:val="none"/>
        </w:rPr>
      </w:pPr>
      <w:bookmarkStart w:id="267" w:name="2305565a5208487eb051a99a6b651b73"/>
      <w:r>
        <w:rPr>
          <w:rFonts w:ascii="Calibri" w:eastAsia="Calibri" w:hAnsi="Calibri" w:cs="Calibri"/>
          <w:b/>
          <w:i w:val="0"/>
          <w:color w:val="000000"/>
          <w:sz w:val="20"/>
          <w:u w:val="none"/>
        </w:rPr>
        <w:t>30.-</w:t>
      </w:r>
      <w:r>
        <w:rPr>
          <w:rFonts w:ascii="Calibri" w:eastAsia="Calibri" w:hAnsi="Calibri" w:cs="Calibri"/>
          <w:b/>
          <w:i w:val="0"/>
          <w:color w:val="000000"/>
          <w:sz w:val="20"/>
          <w:u w:val="none"/>
        </w:rPr>
        <w:tab/>
      </w:r>
      <w:r>
        <w:rPr>
          <w:rFonts w:ascii="Calibri" w:eastAsia="Calibri" w:hAnsi="Calibri" w:cs="Calibri"/>
          <w:b/>
          <w:i w:val="0"/>
          <w:color w:val="000000"/>
          <w:sz w:val="20"/>
          <w:u w:val="none"/>
        </w:rPr>
        <w:t>GASTO POR IMPUESTOS A LAS GANANCIAS.</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267"/>
    </w:p>
    <w:p>
      <w:pPr>
        <w:pStyle w:val="Normal-wk"/>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En los periodos terminados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se procedió a calcular y contabilizar el impuesto a la renta con una tasa del 27%, en base a lo dispuesto por la Ley N° 20.780, publicada en el Diario Oficial con fecha 29 de septiembre de 2014. La sociedad se encuentra incorporada al sistema de tributación parcialmente integrado.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709" w:right="0" w:firstLine="0"/>
        <w:jc w:val="both"/>
        <w:outlineLvl w:val="1"/>
        <w:rPr>
          <w:rFonts w:ascii="Times New Roman" w:eastAsia="Times New Roman" w:hAnsi="Times New Roman" w:cs="Times New Roman"/>
          <w:b/>
          <w:i w:val="0"/>
          <w:color w:val="000000"/>
          <w:sz w:val="24"/>
          <w:u w:val="none"/>
        </w:rPr>
      </w:pPr>
      <w:bookmarkStart w:id="268" w:name="Section138"/>
      <w:bookmarkEnd w:id="268"/>
      <w:bookmarkStart w:id="269" w:name="a39093157ed34ee58b9916b0dcaac004"/>
      <w:r>
        <w:rPr>
          <w:rFonts w:ascii="Calibri" w:eastAsia="Calibri" w:hAnsi="Calibri" w:cs="Calibri"/>
          <w:b/>
          <w:i w:val="0"/>
          <w:color w:val="000000"/>
          <w:sz w:val="20"/>
          <w:u w:val="none"/>
        </w:rPr>
        <w:t>30.1.-</w:t>
      </w:r>
      <w:r>
        <w:rPr>
          <w:rFonts w:ascii="Calibri" w:eastAsia="Calibri" w:hAnsi="Calibri" w:cs="Calibri"/>
          <w:b/>
          <w:i w:val="0"/>
          <w:color w:val="000000"/>
          <w:sz w:val="20"/>
          <w:u w:val="none"/>
        </w:rPr>
        <w:tab/>
      </w:r>
      <w:r>
        <w:rPr>
          <w:rFonts w:ascii="Calibri" w:eastAsia="Calibri" w:hAnsi="Calibri" w:cs="Calibri"/>
          <w:b/>
          <w:i w:val="0"/>
          <w:color w:val="000000"/>
          <w:sz w:val="20"/>
          <w:u w:val="none"/>
        </w:rPr>
        <w:t>Efecto en resultados por impuestos a las ganancias.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69"/>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Durante el periodo terminado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se originó un </w:t>
      </w:r>
      <w:r>
        <w:rPr>
          <w:rFonts w:ascii="Calibri" w:eastAsia="Calibri" w:hAnsi="Calibri" w:cs="Calibri"/>
          <w:b w:val="0"/>
          <w:i w:val="0"/>
          <w:color w:val="000000"/>
          <w:sz w:val="20"/>
          <w:u w:val="none"/>
        </w:rPr>
        <w:t>cargo</w:t>
      </w:r>
      <w:r>
        <w:rPr>
          <w:rFonts w:ascii="Calibri" w:eastAsia="Calibri" w:hAnsi="Calibri" w:cs="Calibri"/>
          <w:b w:val="0"/>
          <w:i w:val="0"/>
          <w:color w:val="000000"/>
          <w:sz w:val="20"/>
          <w:u w:val="none"/>
        </w:rPr>
        <w:t xml:space="preserve"> a resultados por impuesto a las ganancias ascendente a M$ </w:t>
      </w:r>
      <w:r>
        <w:rPr>
          <w:rFonts w:ascii="Calibri" w:eastAsia="Calibri" w:hAnsi="Calibri" w:cs="Calibri"/>
          <w:b w:val="0"/>
          <w:i w:val="0"/>
          <w:color w:val="000000"/>
          <w:sz w:val="20"/>
          <w:u w:val="none"/>
        </w:rPr>
        <w:t>0</w:t>
      </w:r>
      <w:r>
        <w:rPr>
          <w:rFonts w:ascii="Calibri" w:eastAsia="Calibri" w:hAnsi="Calibri" w:cs="Calibri"/>
          <w:b w:val="0"/>
          <w:i w:val="0"/>
          <w:color w:val="000000"/>
          <w:sz w:val="20"/>
          <w:u w:val="none"/>
        </w:rPr>
        <w:t xml:space="preserve"> y M$ </w:t>
      </w:r>
      <w:r>
        <w:rPr>
          <w:rFonts w:ascii="Calibri" w:eastAsia="Calibri" w:hAnsi="Calibri" w:cs="Calibri"/>
          <w:b w:val="0"/>
          <w:i w:val="0"/>
          <w:color w:val="000000"/>
          <w:sz w:val="20"/>
          <w:u w:val="none"/>
        </w:rPr>
        <w:t>10.314.951</w:t>
      </w:r>
      <w:r>
        <w:rPr>
          <w:rFonts w:ascii="Calibri" w:eastAsia="Calibri" w:hAnsi="Calibri" w:cs="Calibri"/>
          <w:b w:val="0"/>
          <w:i w:val="0"/>
          <w:sz w:val="20"/>
        </w:rPr>
        <w:t>, respectivamente</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140"/>
        <w:gridCol w:w="1200"/>
        <w:gridCol w:w="1200"/>
        <w:gridCol w:w="1005"/>
        <w:gridCol w:w="1005"/>
      </w:tblGrid>
      <w:tr>
        <w:tblPrEx>
          <w:tblW w:w="8550" w:type="dxa"/>
          <w:tblInd w:w="1417" w:type="dxa"/>
          <w:tblLayout w:type="fixed"/>
        </w:tblPrEx>
        <w:trPr>
          <w:cantSplit/>
          <w:trHeight w:hRule="exact" w:val="255"/>
        </w:trPr>
        <w:tc>
          <w:tcPr>
            <w:tcW w:w="414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(Gasto) ingreso por impuesto a las ganancias por partes corriente y diferida</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01-01-2026</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01-01-2025</w:t>
            </w:r>
          </w:p>
        </w:tc>
        <w:tc>
          <w:tcPr>
            <w:tcW w:w="1005" w:type="dxa"/>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01-04-2026</w:t>
            </w:r>
          </w:p>
        </w:tc>
        <w:tc>
          <w:tcPr>
            <w:tcW w:w="1005" w:type="dxa"/>
            <w:tcBorders>
              <w:top w:val="single" w:sz="2" w:space="0" w:color="000000"/>
              <w:left w:val="single" w:sz="8"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01-04-2025</w:t>
            </w:r>
          </w:p>
        </w:tc>
      </w:tr>
      <w:tr>
        <w:tblPrEx>
          <w:tblW w:w="8550" w:type="dxa"/>
          <w:tblInd w:w="1417" w:type="dxa"/>
          <w:tblLayout w:type="fixed"/>
        </w:tblPrEx>
        <w:trPr>
          <w:cantSplit/>
          <w:trHeight w:hRule="exact" w:val="255"/>
        </w:trPr>
        <w:tc>
          <w:tcPr>
            <w:tcW w:w="4140"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30-06-2025</w:t>
            </w:r>
          </w:p>
        </w:tc>
        <w:tc>
          <w:tcPr>
            <w:tcW w:w="1005" w:type="dxa"/>
            <w:tcBorders>
              <w:top w:val="nil"/>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005" w:type="dxa"/>
            <w:tcBorders>
              <w:top w:val="nil"/>
              <w:left w:val="single" w:sz="8"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30-06-2025</w:t>
            </w:r>
          </w:p>
        </w:tc>
      </w:tr>
      <w:tr>
        <w:tblPrEx>
          <w:tblW w:w="8550" w:type="dxa"/>
          <w:tblInd w:w="1417" w:type="dxa"/>
          <w:tblLayout w:type="fixed"/>
        </w:tblPrEx>
        <w:trPr>
          <w:cantSplit/>
          <w:trHeight w:hRule="exact" w:val="255"/>
        </w:trPr>
        <w:tc>
          <w:tcPr>
            <w:tcW w:w="414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8"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exact" w:val="60"/>
        </w:trPr>
        <w:tc>
          <w:tcPr>
            <w:tcW w:w="414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exact" w:val="255"/>
        </w:trPr>
        <w:tc>
          <w:tcPr>
            <w:tcW w:w="41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 xml:space="preserve">Impuestos corrientes a las ganancias </w:t>
            </w:r>
          </w:p>
        </w:tc>
        <w:tc>
          <w:tcPr>
            <w:tcW w:w="12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exact" w:val="255"/>
        </w:trPr>
        <w:tc>
          <w:tcPr>
            <w:tcW w:w="41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(Gasto) ingreso por impuestos corrientes.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(6.412.045)</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712.911</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(2.478.598)</w:t>
            </w:r>
          </w:p>
        </w:tc>
      </w:tr>
      <w:tr>
        <w:tblPrEx>
          <w:tblW w:w="8550" w:type="dxa"/>
          <w:tblInd w:w="1417" w:type="dxa"/>
          <w:tblLayout w:type="fixed"/>
        </w:tblPrEx>
        <w:trPr>
          <w:cantSplit/>
          <w:trHeight w:hRule="exact" w:val="255"/>
        </w:trPr>
        <w:tc>
          <w:tcPr>
            <w:tcW w:w="41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 xml:space="preserve">Total gasto por impuestos corrientes a las ganancias, neto </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(6.691.668)</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712.911</w:t>
            </w:r>
          </w:p>
        </w:tc>
        <w:tc>
          <w:tcPr>
            <w:tcW w:w="1005" w:type="dxa"/>
            <w:tcBorders>
              <w:top w:val="single" w:sz="2" w:space="0" w:color="000000"/>
              <w:left w:val="single" w:sz="8"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(2.758.221)</w:t>
            </w:r>
          </w:p>
        </w:tc>
      </w:tr>
      <w:tr>
        <w:tblPrEx>
          <w:tblW w:w="8550" w:type="dxa"/>
          <w:tblInd w:w="1417" w:type="dxa"/>
          <w:tblLayout w:type="fixed"/>
        </w:tblPrEx>
        <w:trPr>
          <w:cantSplit/>
          <w:trHeight w:hRule="exact" w:val="60"/>
        </w:trPr>
        <w:tc>
          <w:tcPr>
            <w:tcW w:w="414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exact" w:val="255"/>
        </w:trPr>
        <w:tc>
          <w:tcPr>
            <w:tcW w:w="41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 xml:space="preserve">Impuestos diferidos </w:t>
            </w:r>
          </w:p>
        </w:tc>
        <w:tc>
          <w:tcPr>
            <w:tcW w:w="12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exact" w:val="405"/>
        </w:trPr>
        <w:tc>
          <w:tcPr>
            <w:tcW w:w="41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(Gasto) ingreso por impuestos diferidos relacionado con el nacimiento y reversión de diferencias temporarias.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(3.799.771)</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3.624.676</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(2.199.682)</w:t>
            </w:r>
          </w:p>
        </w:tc>
      </w:tr>
      <w:tr>
        <w:tblPrEx>
          <w:tblW w:w="8550" w:type="dxa"/>
          <w:tblInd w:w="1417" w:type="dxa"/>
          <w:tblLayout w:type="fixed"/>
        </w:tblPrEx>
        <w:trPr>
          <w:cantSplit/>
          <w:trHeight w:hRule="exact" w:val="255"/>
        </w:trPr>
        <w:tc>
          <w:tcPr>
            <w:tcW w:w="41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Total (gasto) ingreso por impuestos diferidos , neto</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(3.623.283)</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3.624.676</w:t>
            </w:r>
          </w:p>
        </w:tc>
        <w:tc>
          <w:tcPr>
            <w:tcW w:w="1005" w:type="dxa"/>
            <w:tcBorders>
              <w:top w:val="single" w:sz="2" w:space="0" w:color="000000"/>
              <w:left w:val="single" w:sz="8"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(2.023.194)</w:t>
            </w:r>
          </w:p>
        </w:tc>
      </w:tr>
      <w:tr>
        <w:tblPrEx>
          <w:tblW w:w="8550" w:type="dxa"/>
          <w:tblInd w:w="1417" w:type="dxa"/>
          <w:tblLayout w:type="fixed"/>
        </w:tblPrEx>
        <w:trPr>
          <w:cantSplit/>
          <w:trHeight w:hRule="exact" w:val="60"/>
        </w:trPr>
        <w:tc>
          <w:tcPr>
            <w:tcW w:w="414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cargo</w:t>
            </w:r>
          </w:p>
        </w:tc>
        <w:tc>
          <w:tcPr>
            <w:tcW w:w="1200" w:type="dxa"/>
            <w:tcBorders>
              <w:top w:val="single" w:sz="2" w:space="0" w:color="000000"/>
              <w:left w:val="nil"/>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cargo</w:t>
            </w: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exact" w:val="255"/>
        </w:trPr>
        <w:tc>
          <w:tcPr>
            <w:tcW w:w="41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(Gasto) ingreso por impuesto a las ganancias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(10.314.951)</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4.337.587</w:t>
            </w:r>
          </w:p>
        </w:tc>
        <w:tc>
          <w:tcPr>
            <w:tcW w:w="1005" w:type="dxa"/>
            <w:tcBorders>
              <w:top w:val="single" w:sz="2" w:space="0" w:color="000000"/>
              <w:left w:val="single" w:sz="8"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(4.781.415)</w:t>
            </w:r>
          </w:p>
        </w:tc>
      </w:tr>
    </w:tbl>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sz w:val="20"/>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709" w:right="0" w:firstLine="0"/>
        <w:jc w:val="both"/>
        <w:outlineLvl w:val="1"/>
        <w:rPr>
          <w:rFonts w:ascii="Times New Roman" w:eastAsia="Times New Roman" w:hAnsi="Times New Roman" w:cs="Times New Roman"/>
          <w:b/>
          <w:i w:val="0"/>
          <w:color w:val="000000"/>
          <w:sz w:val="24"/>
          <w:u w:val="none"/>
        </w:rPr>
      </w:pPr>
      <w:bookmarkStart w:id="270" w:name="Section139"/>
      <w:bookmarkEnd w:id="270"/>
      <w:bookmarkStart w:id="271" w:name="73b9450bd1174a20b2350e859a400b2d"/>
      <w:r>
        <w:rPr>
          <w:rFonts w:ascii="Calibri" w:eastAsia="Calibri" w:hAnsi="Calibri" w:cs="Calibri"/>
          <w:b/>
          <w:i w:val="0"/>
          <w:color w:val="000000"/>
          <w:sz w:val="20"/>
          <w:u w:val="none"/>
        </w:rPr>
        <w:t>30.2.-</w:t>
      </w:r>
      <w:r>
        <w:rPr>
          <w:rFonts w:ascii="Calibri" w:eastAsia="Calibri" w:hAnsi="Calibri" w:cs="Calibri"/>
          <w:b/>
          <w:i w:val="0"/>
          <w:color w:val="000000"/>
          <w:sz w:val="20"/>
          <w:u w:val="none"/>
        </w:rPr>
        <w:tab/>
      </w:r>
      <w:r>
        <w:rPr>
          <w:rFonts w:ascii="Calibri" w:eastAsia="Calibri" w:hAnsi="Calibri" w:cs="Calibri"/>
          <w:b/>
          <w:i w:val="0"/>
          <w:color w:val="000000"/>
          <w:sz w:val="20"/>
          <w:u w:val="none"/>
        </w:rPr>
        <w:t>Conciliación entre el resultado por impuestos a las ganancias contabilizado y la tasa efectiva.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71"/>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siguiente cuadro muestra la conciliación entre el impuesto a las ganancias contabilizado y el que resultaría de aplicar la tasa efectiva para los periodos terminados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2790"/>
        <w:gridCol w:w="720"/>
        <w:gridCol w:w="720"/>
        <w:gridCol w:w="720"/>
        <w:gridCol w:w="720"/>
        <w:gridCol w:w="720"/>
        <w:gridCol w:w="720"/>
        <w:gridCol w:w="720"/>
        <w:gridCol w:w="720"/>
      </w:tblGrid>
      <w:tr>
        <w:tblPrEx>
          <w:tblW w:w="8550" w:type="dxa"/>
          <w:tblInd w:w="1417" w:type="dxa"/>
          <w:tblLayout w:type="fixed"/>
        </w:tblPrEx>
        <w:trPr>
          <w:cantSplit/>
          <w:trHeight w:hRule="auto" w:val="0"/>
        </w:trPr>
        <w:tc>
          <w:tcPr>
            <w:tcW w:w="279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Conciliación del gasto por impuestos utilizando la tasa legal con el gasto por impuestos utilizando la tasa efectiva</w:t>
            </w:r>
          </w:p>
        </w:tc>
        <w:tc>
          <w:tcPr>
            <w:tcW w:w="72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01-01-2026</w:t>
            </w:r>
          </w:p>
        </w:tc>
        <w:tc>
          <w:tcPr>
            <w:tcW w:w="72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01-01-2026</w:t>
            </w:r>
          </w:p>
        </w:tc>
        <w:tc>
          <w:tcPr>
            <w:tcW w:w="72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01-01-2025</w:t>
            </w:r>
          </w:p>
        </w:tc>
        <w:tc>
          <w:tcPr>
            <w:tcW w:w="72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01-01-2025</w:t>
            </w:r>
          </w:p>
        </w:tc>
        <w:tc>
          <w:tcPr>
            <w:tcW w:w="720" w:type="dxa"/>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01-04-2026</w:t>
            </w:r>
          </w:p>
        </w:tc>
        <w:tc>
          <w:tcPr>
            <w:tcW w:w="720" w:type="dxa"/>
            <w:tcBorders>
              <w:top w:val="single" w:sz="2" w:space="0" w:color="000000"/>
              <w:left w:val="single" w:sz="8"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01-04-2026</w:t>
            </w:r>
          </w:p>
        </w:tc>
        <w:tc>
          <w:tcPr>
            <w:tcW w:w="720" w:type="dxa"/>
            <w:tcBorders>
              <w:top w:val="single" w:sz="2" w:space="0" w:color="000000"/>
              <w:left w:val="single" w:sz="8"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01-04-2025</w:t>
            </w:r>
          </w:p>
        </w:tc>
        <w:tc>
          <w:tcPr>
            <w:tcW w:w="720" w:type="dxa"/>
            <w:tcBorders>
              <w:top w:val="single" w:sz="2" w:space="0" w:color="000000"/>
              <w:left w:val="single" w:sz="8"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01-04-2025</w:t>
            </w:r>
          </w:p>
        </w:tc>
      </w:tr>
      <w:tr>
        <w:tblPrEx>
          <w:tblW w:w="8550" w:type="dxa"/>
          <w:tblInd w:w="1417" w:type="dxa"/>
          <w:tblLayout w:type="fixed"/>
        </w:tblPrEx>
        <w:trPr>
          <w:cantSplit/>
          <w:trHeight w:hRule="auto" w:val="0"/>
        </w:trPr>
        <w:tc>
          <w:tcPr>
            <w:tcW w:w="2790" w:type="dxa"/>
            <w:vMerge/>
            <w:tcBorders>
              <w:top w:val="nil"/>
              <w:left w:val="single" w:sz="2" w:space="0" w:color="000000"/>
              <w:bottom w:val="nil"/>
              <w:right w:val="nil"/>
            </w:tcBorders>
          </w:tcPr>
          <w:p>
            <w:pPr>
              <w:keepNext/>
              <w:pageBreakBefore w:val="0"/>
            </w:pPr>
          </w:p>
        </w:tc>
        <w:tc>
          <w:tcPr>
            <w:tcW w:w="72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30-06-2026</w:t>
            </w:r>
          </w:p>
        </w:tc>
        <w:tc>
          <w:tcPr>
            <w:tcW w:w="72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30-06-2026</w:t>
            </w:r>
          </w:p>
        </w:tc>
        <w:tc>
          <w:tcPr>
            <w:tcW w:w="72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30-06-2025</w:t>
            </w:r>
          </w:p>
        </w:tc>
        <w:tc>
          <w:tcPr>
            <w:tcW w:w="72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30-06-2025</w:t>
            </w:r>
          </w:p>
        </w:tc>
        <w:tc>
          <w:tcPr>
            <w:tcW w:w="720" w:type="dxa"/>
            <w:tcBorders>
              <w:top w:val="nil"/>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30-06-2026</w:t>
            </w:r>
          </w:p>
        </w:tc>
        <w:tc>
          <w:tcPr>
            <w:tcW w:w="720" w:type="dxa"/>
            <w:tcBorders>
              <w:top w:val="nil"/>
              <w:left w:val="single" w:sz="8"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30-06-2026</w:t>
            </w:r>
          </w:p>
        </w:tc>
        <w:tc>
          <w:tcPr>
            <w:tcW w:w="720" w:type="dxa"/>
            <w:tcBorders>
              <w:top w:val="nil"/>
              <w:left w:val="single" w:sz="8"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30-06-2025</w:t>
            </w:r>
          </w:p>
        </w:tc>
        <w:tc>
          <w:tcPr>
            <w:tcW w:w="720" w:type="dxa"/>
            <w:tcBorders>
              <w:top w:val="nil"/>
              <w:left w:val="single" w:sz="8"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30-06-2025</w:t>
            </w:r>
          </w:p>
        </w:tc>
      </w:tr>
      <w:tr>
        <w:tblPrEx>
          <w:tblW w:w="8550" w:type="dxa"/>
          <w:tblInd w:w="1417" w:type="dxa"/>
          <w:tblLayout w:type="fixed"/>
        </w:tblPrEx>
        <w:trPr>
          <w:cantSplit/>
          <w:trHeight w:hRule="auto" w:val="0"/>
        </w:trPr>
        <w:tc>
          <w:tcPr>
            <w:tcW w:w="2790" w:type="dxa"/>
            <w:vMerge/>
            <w:tcBorders>
              <w:top w:val="nil"/>
              <w:left w:val="single" w:sz="2" w:space="0" w:color="000000"/>
              <w:bottom w:val="single" w:sz="2" w:space="0" w:color="000000"/>
              <w:right w:val="nil"/>
            </w:tcBorders>
          </w:tcPr>
          <w:p>
            <w:pPr>
              <w:keepNext/>
              <w:pageBreakBefore w:val="0"/>
            </w:pPr>
          </w:p>
        </w:tc>
        <w:tc>
          <w:tcPr>
            <w:tcW w:w="72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M$</w:t>
            </w:r>
          </w:p>
        </w:tc>
        <w:tc>
          <w:tcPr>
            <w:tcW w:w="72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w:t>
            </w:r>
          </w:p>
        </w:tc>
        <w:tc>
          <w:tcPr>
            <w:tcW w:w="72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M$</w:t>
            </w:r>
          </w:p>
        </w:tc>
        <w:tc>
          <w:tcPr>
            <w:tcW w:w="72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w:t>
            </w:r>
          </w:p>
        </w:tc>
        <w:tc>
          <w:tcPr>
            <w:tcW w:w="720" w:type="dxa"/>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M$</w:t>
            </w:r>
          </w:p>
        </w:tc>
        <w:tc>
          <w:tcPr>
            <w:tcW w:w="720" w:type="dxa"/>
            <w:tcBorders>
              <w:top w:val="nil"/>
              <w:left w:val="single" w:sz="8"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w:t>
            </w:r>
          </w:p>
        </w:tc>
        <w:tc>
          <w:tcPr>
            <w:tcW w:w="720" w:type="dxa"/>
            <w:tcBorders>
              <w:top w:val="nil"/>
              <w:left w:val="single" w:sz="8"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M$</w:t>
            </w:r>
          </w:p>
        </w:tc>
        <w:tc>
          <w:tcPr>
            <w:tcW w:w="720" w:type="dxa"/>
            <w:tcBorders>
              <w:top w:val="nil"/>
              <w:left w:val="single" w:sz="8"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w:t>
            </w:r>
          </w:p>
        </w:tc>
      </w:tr>
      <w:tr>
        <w:tblPrEx>
          <w:tblW w:w="8550" w:type="dxa"/>
          <w:tblInd w:w="1417" w:type="dxa"/>
          <w:tblLayout w:type="fixed"/>
        </w:tblPrEx>
        <w:trPr>
          <w:cantSplit/>
          <w:trHeight w:hRule="exact" w:val="60"/>
        </w:trPr>
        <w:tc>
          <w:tcPr>
            <w:tcW w:w="279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2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7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2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7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2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7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2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279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1"/>
                <w:u w:val="none"/>
              </w:rPr>
              <w:t xml:space="preserve">Ganancia contable </w:t>
            </w:r>
          </w:p>
        </w:tc>
        <w:tc>
          <w:tcPr>
            <w:tcW w:w="72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0</w:t>
            </w:r>
          </w:p>
        </w:tc>
        <w:tc>
          <w:tcPr>
            <w:tcW w:w="72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39.954.457</w:t>
            </w:r>
          </w:p>
        </w:tc>
        <w:tc>
          <w:tcPr>
            <w:tcW w:w="72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720" w:type="dxa"/>
            <w:tcBorders>
              <w:top w:val="single" w:sz="2" w:space="0" w:color="000000"/>
              <w:left w:val="nil"/>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-15.754.836</w:t>
            </w:r>
          </w:p>
        </w:tc>
        <w:tc>
          <w:tcPr>
            <w:tcW w:w="72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16.852.900</w:t>
            </w:r>
          </w:p>
        </w:tc>
        <w:tc>
          <w:tcPr>
            <w:tcW w:w="72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exact" w:val="60"/>
        </w:trPr>
        <w:tc>
          <w:tcPr>
            <w:tcW w:w="279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2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2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2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2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279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1"/>
                <w:u w:val="none"/>
              </w:rPr>
              <w:t xml:space="preserve">Total de (gasto) ingreso por impuestos a la tasa impositiva aplicable </w:t>
            </w:r>
          </w:p>
        </w:tc>
        <w:tc>
          <w:tcPr>
            <w:tcW w:w="72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0</w:t>
            </w:r>
          </w:p>
        </w:tc>
        <w:tc>
          <w:tcPr>
            <w:tcW w:w="720" w:type="dxa"/>
            <w:tcBorders>
              <w:top w:val="single" w:sz="2" w:space="0" w:color="000000"/>
              <w:left w:val="single" w:sz="4" w:space="0" w:color="FFFFFF"/>
              <w:bottom w:val="single" w:sz="2" w:space="0" w:color="000000"/>
              <w:right w:val="nil"/>
            </w:tcBorders>
            <w:tcMar>
              <w:top w:w="0" w:type="dxa"/>
              <w:left w:w="0" w:type="dxa"/>
              <w:bottom w:w="0" w:type="dxa"/>
              <w:right w:w="15" w:type="dxa"/>
            </w:tcMar>
            <w:vAlign w:val="center"/>
          </w:tcPr>
          <w:p>
            <w:pPr>
              <w:keepNext/>
              <w:pageBreakBefore w:val="0"/>
              <w:tabs>
                <w:tab w:val="left" w:pos="1"/>
              </w:tabs>
              <w:spacing w:before="0" w:after="0" w:line="240" w:lineRule="auto"/>
              <w:jc w:val="right"/>
            </w:pPr>
            <w:r>
              <w:rPr>
                <w:rFonts w:ascii="Calibri" w:eastAsia="Calibri" w:hAnsi="Calibri" w:cs="Calibri"/>
                <w:b/>
                <w:i w:val="0"/>
                <w:color w:val="FFFFFF"/>
                <w:sz w:val="11"/>
                <w:u w:val="none"/>
              </w:rPr>
              <w:tab/>
              <w:t>27,0 %</w:t>
            </w:r>
          </w:p>
        </w:tc>
        <w:tc>
          <w:tcPr>
            <w:tcW w:w="72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(10.787.703)</w:t>
            </w:r>
          </w:p>
        </w:tc>
        <w:tc>
          <w:tcPr>
            <w:tcW w:w="720" w:type="dxa"/>
            <w:tcBorders>
              <w:top w:val="single" w:sz="2" w:space="0" w:color="000000"/>
              <w:left w:val="single" w:sz="4" w:space="0" w:color="FFFFFF"/>
              <w:bottom w:val="single" w:sz="2" w:space="0" w:color="000000"/>
              <w:right w:val="nil"/>
            </w:tcBorders>
            <w:tcMar>
              <w:top w:w="0" w:type="dxa"/>
              <w:left w:w="0" w:type="dxa"/>
              <w:bottom w:w="0" w:type="dxa"/>
              <w:right w:w="15" w:type="dxa"/>
            </w:tcMar>
            <w:vAlign w:val="center"/>
          </w:tcPr>
          <w:p>
            <w:pPr>
              <w:keepNext/>
              <w:pageBreakBefore w:val="0"/>
              <w:tabs>
                <w:tab w:val="left" w:pos="1"/>
                <w:tab w:val="left" w:pos="334"/>
              </w:tabs>
              <w:spacing w:before="0" w:after="0" w:line="240" w:lineRule="auto"/>
              <w:jc w:val="right"/>
            </w:pPr>
            <w:r>
              <w:rPr>
                <w:rFonts w:ascii="Calibri" w:eastAsia="Calibri" w:hAnsi="Calibri" w:cs="Calibri"/>
                <w:b/>
                <w:i w:val="0"/>
                <w:color w:val="FFFFFF"/>
                <w:sz w:val="11"/>
                <w:u w:val="none"/>
              </w:rPr>
              <w:tab/>
              <w:t>27,0 %</w:t>
              <w:tab/>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4.253.806</w:t>
            </w:r>
          </w:p>
        </w:tc>
        <w:tc>
          <w:tcPr>
            <w:tcW w:w="720" w:type="dxa"/>
            <w:tcBorders>
              <w:top w:val="single" w:sz="2" w:space="0" w:color="000000"/>
              <w:left w:val="single" w:sz="8" w:space="0" w:color="FFFFFF"/>
              <w:bottom w:val="single" w:sz="2" w:space="0" w:color="000000"/>
              <w:right w:val="nil"/>
            </w:tcBorders>
            <w:tcMar>
              <w:top w:w="0" w:type="dxa"/>
              <w:left w:w="0" w:type="dxa"/>
              <w:bottom w:w="0" w:type="dxa"/>
              <w:right w:w="15" w:type="dxa"/>
            </w:tcMar>
            <w:vAlign w:val="center"/>
          </w:tcPr>
          <w:p>
            <w:pPr>
              <w:keepNext/>
              <w:pageBreakBefore w:val="0"/>
              <w:tabs>
                <w:tab w:val="left" w:pos="1"/>
                <w:tab w:val="left" w:pos="334"/>
              </w:tabs>
              <w:spacing w:before="0" w:after="0" w:line="240" w:lineRule="auto"/>
              <w:jc w:val="right"/>
            </w:pPr>
            <w:r>
              <w:rPr>
                <w:rFonts w:ascii="Calibri" w:eastAsia="Calibri" w:hAnsi="Calibri" w:cs="Calibri"/>
                <w:b/>
                <w:i w:val="0"/>
                <w:color w:val="FFFFFF"/>
                <w:sz w:val="11"/>
                <w:u w:val="none"/>
              </w:rPr>
              <w:tab/>
              <w:t>27,0 %</w:t>
              <w:tab/>
            </w:r>
          </w:p>
        </w:tc>
        <w:tc>
          <w:tcPr>
            <w:tcW w:w="720" w:type="dxa"/>
            <w:tcBorders>
              <w:top w:val="single" w:sz="2" w:space="0" w:color="000000"/>
              <w:left w:val="single" w:sz="8"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(4.550.283)</w:t>
            </w:r>
          </w:p>
        </w:tc>
        <w:tc>
          <w:tcPr>
            <w:tcW w:w="720" w:type="dxa"/>
            <w:tcBorders>
              <w:top w:val="single" w:sz="2" w:space="0" w:color="000000"/>
              <w:left w:val="single" w:sz="8" w:space="0" w:color="FFFFFF"/>
              <w:bottom w:val="single" w:sz="2" w:space="0" w:color="000000"/>
              <w:right w:val="single" w:sz="2" w:space="0" w:color="000000"/>
            </w:tcBorders>
            <w:tcMar>
              <w:top w:w="0" w:type="dxa"/>
              <w:left w:w="0" w:type="dxa"/>
              <w:bottom w:w="0" w:type="dxa"/>
              <w:right w:w="15" w:type="dxa"/>
            </w:tcMar>
            <w:vAlign w:val="center"/>
          </w:tcPr>
          <w:p>
            <w:pPr>
              <w:keepNext/>
              <w:pageBreakBefore w:val="0"/>
              <w:tabs>
                <w:tab w:val="left" w:pos="1"/>
                <w:tab w:val="left" w:pos="334"/>
              </w:tabs>
              <w:spacing w:before="0" w:after="0" w:line="240" w:lineRule="auto"/>
              <w:jc w:val="right"/>
            </w:pPr>
            <w:r>
              <w:rPr>
                <w:rFonts w:ascii="Calibri" w:eastAsia="Calibri" w:hAnsi="Calibri" w:cs="Calibri"/>
                <w:b/>
                <w:i w:val="0"/>
                <w:color w:val="FFFFFF"/>
                <w:sz w:val="11"/>
                <w:u w:val="none"/>
              </w:rPr>
              <w:tab/>
              <w:t>27,0 %</w:t>
              <w:tab/>
            </w:r>
          </w:p>
        </w:tc>
      </w:tr>
      <w:tr>
        <w:tblPrEx>
          <w:tblW w:w="8550" w:type="dxa"/>
          <w:tblInd w:w="1417" w:type="dxa"/>
          <w:tblLayout w:type="fixed"/>
        </w:tblPrEx>
        <w:trPr>
          <w:cantSplit/>
          <w:trHeight w:hRule="auto" w:val="0"/>
        </w:trPr>
        <w:tc>
          <w:tcPr>
            <w:tcW w:w="279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1"/>
                <w:u w:val="none"/>
              </w:rPr>
              <w:t>Efecto fiscal de gastos no deducibles para la determinación de la ganancia (pérdida) tributable.(*)</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(57.495)</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#DIV/0!</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575.886</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center"/>
          </w:tcPr>
          <w:p>
            <w:pPr>
              <w:keepNext/>
              <w:pageBreakBefore w:val="0"/>
              <w:tabs>
                <w:tab w:val="left" w:pos="1"/>
                <w:tab w:val="left" w:pos="311"/>
              </w:tabs>
              <w:spacing w:before="0" w:after="0" w:line="240" w:lineRule="auto"/>
              <w:jc w:val="right"/>
            </w:pPr>
            <w:r>
              <w:rPr>
                <w:rFonts w:ascii="Calibri" w:eastAsia="Calibri" w:hAnsi="Calibri" w:cs="Calibri"/>
                <w:b w:val="0"/>
                <w:i w:val="0"/>
                <w:color w:val="000000"/>
                <w:sz w:val="11"/>
                <w:u w:val="none"/>
              </w:rPr>
              <w:tab/>
              <w:t>(1,4 %)</w:t>
              <w:tab/>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26.286</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center"/>
          </w:tcPr>
          <w:p>
            <w:pPr>
              <w:keepNext/>
              <w:pageBreakBefore w:val="0"/>
              <w:tabs>
                <w:tab w:val="left" w:pos="1"/>
                <w:tab w:val="left" w:pos="278"/>
              </w:tabs>
              <w:spacing w:before="0" w:after="0" w:line="240" w:lineRule="auto"/>
              <w:jc w:val="right"/>
            </w:pPr>
            <w:r>
              <w:rPr>
                <w:rFonts w:ascii="Calibri" w:eastAsia="Calibri" w:hAnsi="Calibri" w:cs="Calibri"/>
                <w:b w:val="0"/>
                <w:i w:val="0"/>
                <w:color w:val="000000"/>
                <w:sz w:val="11"/>
                <w:u w:val="none"/>
              </w:rPr>
              <w:tab/>
              <w:t>0,2 %</w:t>
              <w:tab/>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-128.145</w:t>
            </w:r>
          </w:p>
        </w:tc>
        <w:tc>
          <w:tcPr>
            <w:tcW w:w="72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15" w:type="dxa"/>
            </w:tcMar>
            <w:vAlign w:val="center"/>
          </w:tcPr>
          <w:p>
            <w:pPr>
              <w:keepNext/>
              <w:pageBreakBefore w:val="0"/>
              <w:tabs>
                <w:tab w:val="left" w:pos="1"/>
                <w:tab w:val="left" w:pos="278"/>
              </w:tabs>
              <w:spacing w:before="0" w:after="0" w:line="240" w:lineRule="auto"/>
              <w:jc w:val="right"/>
            </w:pPr>
            <w:r>
              <w:rPr>
                <w:rFonts w:ascii="Calibri" w:eastAsia="Calibri" w:hAnsi="Calibri" w:cs="Calibri"/>
                <w:b w:val="0"/>
                <w:i w:val="0"/>
                <w:color w:val="000000"/>
                <w:sz w:val="11"/>
                <w:u w:val="none"/>
              </w:rPr>
              <w:tab/>
              <w:t>0,8 %</w:t>
              <w:tab/>
            </w:r>
          </w:p>
        </w:tc>
      </w:tr>
      <w:tr>
        <w:tblPrEx>
          <w:tblW w:w="8550" w:type="dxa"/>
          <w:tblInd w:w="1417" w:type="dxa"/>
          <w:tblLayout w:type="fixed"/>
        </w:tblPrEx>
        <w:trPr>
          <w:cantSplit/>
          <w:trHeight w:hRule="auto" w:val="0"/>
        </w:trPr>
        <w:tc>
          <w:tcPr>
            <w:tcW w:w="279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1"/>
                <w:u w:val="none"/>
              </w:rPr>
              <w:t>Otros efectos fiscales por conciliación entre la ganancia contable y gasto por impuestos (ingreso).</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#DIV/0!</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(103.134)</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center"/>
          </w:tcPr>
          <w:p>
            <w:pPr>
              <w:keepNext/>
              <w:pageBreakBefore w:val="0"/>
              <w:tabs>
                <w:tab w:val="left" w:pos="1"/>
                <w:tab w:val="left" w:pos="202"/>
              </w:tabs>
              <w:spacing w:before="0" w:after="0" w:line="240" w:lineRule="auto"/>
              <w:jc w:val="right"/>
            </w:pPr>
            <w:r>
              <w:rPr>
                <w:rFonts w:ascii="Calibri" w:eastAsia="Calibri" w:hAnsi="Calibri" w:cs="Calibri"/>
                <w:b w:val="0"/>
                <w:i w:val="0"/>
                <w:color w:val="000000"/>
                <w:sz w:val="11"/>
                <w:u w:val="none"/>
              </w:rPr>
              <w:tab/>
              <w:t>0,3</w:t>
              <w:tab/>
              <w:t>%</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center"/>
          </w:tcPr>
          <w:p>
            <w:pPr>
              <w:keepNext/>
              <w:pageBreakBefore w:val="0"/>
              <w:tabs>
                <w:tab w:val="left" w:pos="1"/>
                <w:tab w:val="left" w:pos="139"/>
              </w:tabs>
              <w:spacing w:before="0" w:after="0" w:line="240" w:lineRule="auto"/>
              <w:jc w:val="right"/>
            </w:pPr>
            <w:r>
              <w:rPr>
                <w:rFonts w:ascii="Calibri" w:eastAsia="Calibri" w:hAnsi="Calibri" w:cs="Calibri"/>
                <w:b w:val="0"/>
                <w:i w:val="0"/>
                <w:color w:val="000000"/>
                <w:sz w:val="11"/>
                <w:u w:val="none"/>
              </w:rPr>
              <w:tab/>
              <w:tab/>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-102.987</w:t>
            </w:r>
          </w:p>
        </w:tc>
        <w:tc>
          <w:tcPr>
            <w:tcW w:w="72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15" w:type="dxa"/>
            </w:tcMar>
            <w:vAlign w:val="center"/>
          </w:tcPr>
          <w:p>
            <w:pPr>
              <w:keepNext/>
              <w:pageBreakBefore w:val="0"/>
              <w:tabs>
                <w:tab w:val="left" w:pos="1"/>
                <w:tab w:val="left" w:pos="278"/>
              </w:tabs>
              <w:spacing w:before="0" w:after="0" w:line="240" w:lineRule="auto"/>
              <w:jc w:val="right"/>
            </w:pPr>
            <w:r>
              <w:rPr>
                <w:rFonts w:ascii="Calibri" w:eastAsia="Calibri" w:hAnsi="Calibri" w:cs="Calibri"/>
                <w:b w:val="0"/>
                <w:i w:val="0"/>
                <w:color w:val="000000"/>
                <w:sz w:val="11"/>
                <w:u w:val="none"/>
              </w:rPr>
              <w:tab/>
              <w:t>0,6 %</w:t>
              <w:tab/>
            </w:r>
          </w:p>
        </w:tc>
      </w:tr>
      <w:tr>
        <w:tblPrEx>
          <w:tblW w:w="8550" w:type="dxa"/>
          <w:tblInd w:w="1417" w:type="dxa"/>
          <w:tblLayout w:type="fixed"/>
        </w:tblPrEx>
        <w:trPr>
          <w:cantSplit/>
          <w:trHeight w:hRule="auto" w:val="0"/>
        </w:trPr>
        <w:tc>
          <w:tcPr>
            <w:tcW w:w="279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1"/>
                <w:u w:val="none"/>
              </w:rPr>
              <w:t>Total ajustes al gasto por impuestos utilizando la tasa legal'</w:t>
            </w:r>
          </w:p>
        </w:tc>
        <w:tc>
          <w:tcPr>
            <w:tcW w:w="72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(57.495)</w:t>
            </w:r>
          </w:p>
        </w:tc>
        <w:tc>
          <w:tcPr>
            <w:tcW w:w="720" w:type="dxa"/>
            <w:tcBorders>
              <w:top w:val="single" w:sz="2" w:space="0" w:color="000000"/>
              <w:left w:val="single" w:sz="4" w:space="0" w:color="FFFFFF"/>
              <w:bottom w:val="single" w:sz="2" w:space="0" w:color="000000"/>
              <w:right w:val="nil"/>
            </w:tcBorders>
            <w:tcMar>
              <w:top w:w="0" w:type="dxa"/>
              <w:left w:w="0" w:type="dxa"/>
              <w:bottom w:w="0" w:type="dxa"/>
              <w:right w:w="15"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#DIV/0!</w:t>
            </w:r>
          </w:p>
        </w:tc>
        <w:tc>
          <w:tcPr>
            <w:tcW w:w="72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472.752</w:t>
            </w:r>
          </w:p>
        </w:tc>
        <w:tc>
          <w:tcPr>
            <w:tcW w:w="720" w:type="dxa"/>
            <w:tcBorders>
              <w:top w:val="single" w:sz="2" w:space="0" w:color="000000"/>
              <w:left w:val="single" w:sz="4" w:space="0" w:color="FFFFFF"/>
              <w:bottom w:val="single" w:sz="2" w:space="0" w:color="000000"/>
              <w:right w:val="nil"/>
            </w:tcBorders>
            <w:tcMar>
              <w:top w:w="0" w:type="dxa"/>
              <w:left w:w="0" w:type="dxa"/>
              <w:bottom w:w="0" w:type="dxa"/>
              <w:right w:w="15" w:type="dxa"/>
            </w:tcMar>
            <w:vAlign w:val="center"/>
          </w:tcPr>
          <w:p>
            <w:pPr>
              <w:keepNext/>
              <w:pageBreakBefore w:val="0"/>
              <w:tabs>
                <w:tab w:val="left" w:pos="1"/>
              </w:tabs>
              <w:spacing w:before="0" w:after="0" w:line="240" w:lineRule="auto"/>
              <w:jc w:val="right"/>
            </w:pPr>
            <w:r>
              <w:rPr>
                <w:rFonts w:ascii="Calibri" w:eastAsia="Calibri" w:hAnsi="Calibri" w:cs="Calibri"/>
                <w:b/>
                <w:i w:val="0"/>
                <w:color w:val="FFFFFF"/>
                <w:sz w:val="11"/>
                <w:u w:val="none"/>
              </w:rPr>
              <w:tab/>
              <w:t>(1,2 %)</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26.286</w:t>
            </w:r>
          </w:p>
        </w:tc>
        <w:tc>
          <w:tcPr>
            <w:tcW w:w="720" w:type="dxa"/>
            <w:tcBorders>
              <w:top w:val="single" w:sz="2" w:space="0" w:color="000000"/>
              <w:left w:val="single" w:sz="8" w:space="0" w:color="FFFFFF"/>
              <w:bottom w:val="single" w:sz="2" w:space="0" w:color="000000"/>
              <w:right w:val="nil"/>
            </w:tcBorders>
            <w:tcMar>
              <w:top w:w="0" w:type="dxa"/>
              <w:left w:w="0" w:type="dxa"/>
              <w:bottom w:w="0" w:type="dxa"/>
              <w:right w:w="15" w:type="dxa"/>
            </w:tcMar>
            <w:vAlign w:val="center"/>
          </w:tcPr>
          <w:p>
            <w:pPr>
              <w:keepNext/>
              <w:pageBreakBefore w:val="0"/>
              <w:tabs>
                <w:tab w:val="left" w:pos="1"/>
                <w:tab w:val="left" w:pos="278"/>
              </w:tabs>
              <w:spacing w:before="0" w:after="0" w:line="240" w:lineRule="auto"/>
              <w:jc w:val="right"/>
            </w:pPr>
            <w:r>
              <w:rPr>
                <w:rFonts w:ascii="Calibri" w:eastAsia="Calibri" w:hAnsi="Calibri" w:cs="Calibri"/>
                <w:b/>
                <w:i w:val="0"/>
                <w:color w:val="FFFFFF"/>
                <w:sz w:val="11"/>
                <w:u w:val="none"/>
              </w:rPr>
              <w:tab/>
              <w:t>0,2 %</w:t>
              <w:tab/>
            </w:r>
          </w:p>
        </w:tc>
        <w:tc>
          <w:tcPr>
            <w:tcW w:w="720" w:type="dxa"/>
            <w:tcBorders>
              <w:top w:val="single" w:sz="2" w:space="0" w:color="000000"/>
              <w:left w:val="single" w:sz="8"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-231.132</w:t>
            </w:r>
          </w:p>
        </w:tc>
        <w:tc>
          <w:tcPr>
            <w:tcW w:w="720" w:type="dxa"/>
            <w:tcBorders>
              <w:top w:val="single" w:sz="2" w:space="0" w:color="000000"/>
              <w:left w:val="single" w:sz="8" w:space="0" w:color="FFFFFF"/>
              <w:bottom w:val="single" w:sz="2" w:space="0" w:color="000000"/>
              <w:right w:val="single" w:sz="2" w:space="0" w:color="000000"/>
            </w:tcBorders>
            <w:tcMar>
              <w:top w:w="0" w:type="dxa"/>
              <w:left w:w="0" w:type="dxa"/>
              <w:bottom w:w="0" w:type="dxa"/>
              <w:right w:w="15" w:type="dxa"/>
            </w:tcMar>
            <w:vAlign w:val="center"/>
          </w:tcPr>
          <w:p>
            <w:pPr>
              <w:keepNext/>
              <w:pageBreakBefore w:val="0"/>
              <w:tabs>
                <w:tab w:val="left" w:pos="1"/>
                <w:tab w:val="left" w:pos="278"/>
              </w:tabs>
              <w:spacing w:before="0" w:after="0" w:line="240" w:lineRule="auto"/>
              <w:jc w:val="right"/>
            </w:pPr>
            <w:r>
              <w:rPr>
                <w:rFonts w:ascii="Calibri" w:eastAsia="Calibri" w:hAnsi="Calibri" w:cs="Calibri"/>
                <w:b/>
                <w:i w:val="0"/>
                <w:color w:val="FFFFFF"/>
                <w:sz w:val="11"/>
                <w:u w:val="none"/>
              </w:rPr>
              <w:tab/>
              <w:t>1,4 %</w:t>
              <w:tab/>
            </w:r>
          </w:p>
        </w:tc>
      </w:tr>
      <w:tr>
        <w:tblPrEx>
          <w:tblW w:w="8550" w:type="dxa"/>
          <w:tblInd w:w="1417" w:type="dxa"/>
          <w:tblLayout w:type="fixed"/>
        </w:tblPrEx>
        <w:trPr>
          <w:cantSplit/>
          <w:trHeight w:hRule="auto" w:val="0"/>
        </w:trPr>
        <w:tc>
          <w:tcPr>
            <w:tcW w:w="279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exact" w:val="315"/>
        </w:trPr>
        <w:tc>
          <w:tcPr>
            <w:tcW w:w="279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1"/>
                <w:u w:val="none"/>
              </w:rPr>
              <w:t xml:space="preserve">(Gasto) ingreso por impuestos a las ganancias, operaciones continuadas </w:t>
            </w:r>
          </w:p>
        </w:tc>
        <w:tc>
          <w:tcPr>
            <w:tcW w:w="72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1"/>
                <w:u w:val="none"/>
              </w:rPr>
              <w:t>(57.495)</w:t>
            </w:r>
          </w:p>
        </w:tc>
        <w:tc>
          <w:tcPr>
            <w:tcW w:w="720" w:type="dxa"/>
            <w:tcBorders>
              <w:top w:val="single" w:sz="2" w:space="0" w:color="000000"/>
              <w:left w:val="single" w:sz="4" w:space="0" w:color="FFFFFF"/>
              <w:bottom w:val="single" w:sz="2" w:space="0" w:color="000000"/>
              <w:right w:val="nil"/>
            </w:tcBorders>
            <w:tcMar>
              <w:top w:w="0" w:type="dxa"/>
              <w:left w:w="0" w:type="dxa"/>
              <w:bottom w:w="0" w:type="dxa"/>
              <w:right w:w="15" w:type="dxa"/>
            </w:tcMar>
            <w:vAlign w:val="center"/>
          </w:tcPr>
          <w:p>
            <w:pPr>
              <w:pageBreakBefore w:val="0"/>
              <w:spacing w:before="0" w:after="0" w:line="240" w:lineRule="auto"/>
              <w:jc w:val="right"/>
            </w:pPr>
            <w:r>
              <w:rPr>
                <w:rFonts w:ascii="Calibri" w:eastAsia="Calibri" w:hAnsi="Calibri" w:cs="Calibri"/>
                <w:b/>
                <w:i w:val="0"/>
                <w:color w:val="FFFFFF"/>
                <w:sz w:val="11"/>
                <w:u w:val="none"/>
              </w:rPr>
              <w:t>#DIV/0!</w:t>
            </w:r>
          </w:p>
        </w:tc>
        <w:tc>
          <w:tcPr>
            <w:tcW w:w="72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1"/>
                <w:u w:val="none"/>
              </w:rPr>
              <w:t>(10.314.951)</w:t>
            </w:r>
          </w:p>
        </w:tc>
        <w:tc>
          <w:tcPr>
            <w:tcW w:w="720" w:type="dxa"/>
            <w:tcBorders>
              <w:top w:val="single" w:sz="2" w:space="0" w:color="000000"/>
              <w:left w:val="single" w:sz="4" w:space="0" w:color="FFFFFF"/>
              <w:bottom w:val="single" w:sz="2" w:space="0" w:color="000000"/>
              <w:right w:val="nil"/>
            </w:tcBorders>
            <w:tcMar>
              <w:top w:w="0" w:type="dxa"/>
              <w:left w:w="0" w:type="dxa"/>
              <w:bottom w:w="0" w:type="dxa"/>
              <w:right w:w="15" w:type="dxa"/>
            </w:tcMar>
            <w:vAlign w:val="center"/>
          </w:tcPr>
          <w:p>
            <w:pPr>
              <w:pageBreakBefore w:val="0"/>
              <w:tabs>
                <w:tab w:val="left" w:pos="1"/>
                <w:tab w:val="left" w:pos="334"/>
              </w:tabs>
              <w:spacing w:before="0" w:after="0" w:line="240" w:lineRule="auto"/>
              <w:jc w:val="right"/>
            </w:pPr>
            <w:r>
              <w:rPr>
                <w:rFonts w:ascii="Calibri" w:eastAsia="Calibri" w:hAnsi="Calibri" w:cs="Calibri"/>
                <w:b/>
                <w:i w:val="0"/>
                <w:color w:val="FFFFFF"/>
                <w:sz w:val="11"/>
                <w:u w:val="none"/>
              </w:rPr>
              <w:tab/>
              <w:t>25,8 %</w:t>
              <w:tab/>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FFFFFF"/>
                <w:sz w:val="11"/>
                <w:u w:val="none"/>
              </w:rPr>
              <w:t>4.280.092</w:t>
            </w:r>
          </w:p>
        </w:tc>
        <w:tc>
          <w:tcPr>
            <w:tcW w:w="720" w:type="dxa"/>
            <w:tcBorders>
              <w:top w:val="single" w:sz="2" w:space="0" w:color="000000"/>
              <w:left w:val="single" w:sz="8" w:space="0" w:color="FFFFFF"/>
              <w:bottom w:val="single" w:sz="2" w:space="0" w:color="000000"/>
              <w:right w:val="nil"/>
            </w:tcBorders>
            <w:tcMar>
              <w:top w:w="0" w:type="dxa"/>
              <w:left w:w="0" w:type="dxa"/>
              <w:bottom w:w="0" w:type="dxa"/>
              <w:right w:w="15" w:type="dxa"/>
            </w:tcMar>
            <w:vAlign w:val="center"/>
          </w:tcPr>
          <w:p>
            <w:pPr>
              <w:pageBreakBefore w:val="0"/>
              <w:tabs>
                <w:tab w:val="left" w:pos="1"/>
                <w:tab w:val="left" w:pos="334"/>
              </w:tabs>
              <w:spacing w:before="0" w:after="0" w:line="240" w:lineRule="auto"/>
              <w:jc w:val="right"/>
            </w:pPr>
            <w:r>
              <w:rPr>
                <w:rFonts w:ascii="Calibri" w:eastAsia="Calibri" w:hAnsi="Calibri" w:cs="Calibri"/>
                <w:b/>
                <w:i w:val="0"/>
                <w:color w:val="FFFFFF"/>
                <w:sz w:val="11"/>
                <w:u w:val="none"/>
              </w:rPr>
              <w:tab/>
              <w:t>27,2 %</w:t>
              <w:tab/>
            </w:r>
          </w:p>
        </w:tc>
        <w:tc>
          <w:tcPr>
            <w:tcW w:w="720" w:type="dxa"/>
            <w:tcBorders>
              <w:top w:val="single" w:sz="2" w:space="0" w:color="000000"/>
              <w:left w:val="single" w:sz="8"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1"/>
                <w:u w:val="none"/>
              </w:rPr>
              <w:t>(4.781.415)</w:t>
            </w:r>
          </w:p>
        </w:tc>
        <w:tc>
          <w:tcPr>
            <w:tcW w:w="720" w:type="dxa"/>
            <w:tcBorders>
              <w:top w:val="single" w:sz="2" w:space="0" w:color="000000"/>
              <w:left w:val="single" w:sz="8" w:space="0" w:color="FFFFFF"/>
              <w:bottom w:val="single" w:sz="2" w:space="0" w:color="000000"/>
              <w:right w:val="single" w:sz="2" w:space="0" w:color="000000"/>
            </w:tcBorders>
            <w:tcMar>
              <w:top w:w="0" w:type="dxa"/>
              <w:left w:w="0" w:type="dxa"/>
              <w:bottom w:w="0" w:type="dxa"/>
              <w:right w:w="15" w:type="dxa"/>
            </w:tcMar>
            <w:vAlign w:val="center"/>
          </w:tcPr>
          <w:p>
            <w:pPr>
              <w:pageBreakBefore w:val="0"/>
              <w:tabs>
                <w:tab w:val="left" w:pos="1"/>
                <w:tab w:val="left" w:pos="334"/>
              </w:tabs>
              <w:spacing w:before="0" w:after="0" w:line="240" w:lineRule="auto"/>
              <w:jc w:val="right"/>
            </w:pPr>
            <w:r>
              <w:rPr>
                <w:rFonts w:ascii="Calibri" w:eastAsia="Calibri" w:hAnsi="Calibri" w:cs="Calibri"/>
                <w:b/>
                <w:i w:val="0"/>
                <w:color w:val="FFFFFF"/>
                <w:sz w:val="11"/>
                <w:u w:val="none"/>
              </w:rPr>
              <w:tab/>
              <w:t>28,4 %</w:t>
              <w:tab/>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detalle del efecto fiscal de gastos no deducibles para la determinación de la ganancia (pérdida) tributable es el siguiente: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20" w:type="dxa"/>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120"/>
        <w:gridCol w:w="900"/>
        <w:gridCol w:w="900"/>
        <w:gridCol w:w="900"/>
        <w:gridCol w:w="900"/>
        <w:gridCol w:w="900"/>
        <w:gridCol w:w="900"/>
      </w:tblGrid>
      <w:tr>
        <w:tblPrEx>
          <w:tblW w:w="8520" w:type="dxa"/>
          <w:tblInd w:w="1440" w:type="dxa"/>
          <w:tblLayout w:type="fixed"/>
        </w:tblPrEx>
        <w:trPr>
          <w:cantSplit/>
          <w:trHeight w:hRule="auto" w:val="0"/>
        </w:trPr>
        <w:tc>
          <w:tcPr>
            <w:tcW w:w="312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 xml:space="preserve"> Detalle Efecto fiscal de gastos no deducibles para la determinación de la ganancia (pérdida) tributable. (*)</w:t>
            </w:r>
          </w:p>
        </w:tc>
        <w:tc>
          <w:tcPr>
            <w:tcW w:w="900" w:type="dxa"/>
            <w:tcBorders>
              <w:top w:val="single" w:sz="2" w:space="0" w:color="000000"/>
              <w:left w:val="single" w:sz="4" w:space="0" w:color="FFFFFF"/>
              <w:bottom w:val="nil"/>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6"/>
                <w:u w:val="none"/>
              </w:rPr>
              <w:t>01-01-2026</w:t>
            </w:r>
          </w:p>
        </w:tc>
        <w:tc>
          <w:tcPr>
            <w:tcW w:w="900" w:type="dxa"/>
            <w:tcBorders>
              <w:top w:val="single" w:sz="2" w:space="0" w:color="000000"/>
              <w:left w:val="single" w:sz="4" w:space="0" w:color="FFFFFF"/>
              <w:bottom w:val="nil"/>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6"/>
                <w:u w:val="none"/>
              </w:rPr>
              <w:t>01-01-2025</w:t>
            </w:r>
          </w:p>
        </w:tc>
        <w:tc>
          <w:tcPr>
            <w:tcW w:w="900" w:type="dxa"/>
            <w:tcBorders>
              <w:top w:val="single" w:sz="2" w:space="0" w:color="000000"/>
              <w:left w:val="single" w:sz="2" w:space="0" w:color="000000"/>
              <w:bottom w:val="nil"/>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6"/>
                <w:u w:val="none"/>
              </w:rPr>
              <w:t>01-04-2026</w:t>
            </w:r>
          </w:p>
        </w:tc>
        <w:tc>
          <w:tcPr>
            <w:tcW w:w="900" w:type="dxa"/>
            <w:tcBorders>
              <w:top w:val="single" w:sz="2" w:space="0" w:color="000000"/>
              <w:left w:val="single" w:sz="8" w:space="0" w:color="FFFFFF"/>
              <w:bottom w:val="nil"/>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6"/>
                <w:u w:val="none"/>
              </w:rPr>
              <w:t>01-04-2025</w:t>
            </w:r>
          </w:p>
        </w:tc>
        <w:tc>
          <w:tcPr>
            <w:tcW w:w="900" w:type="dxa"/>
            <w:tcBorders>
              <w:top w:val="single" w:sz="2" w:space="0" w:color="000000"/>
              <w:left w:val="single" w:sz="8" w:space="0" w:color="FFFFFF"/>
              <w:bottom w:val="nil"/>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6"/>
                <w:u w:val="none"/>
              </w:rPr>
              <w:t>01-01-2026</w:t>
            </w:r>
          </w:p>
        </w:tc>
        <w:tc>
          <w:tcPr>
            <w:tcW w:w="900" w:type="dxa"/>
            <w:tcBorders>
              <w:top w:val="single" w:sz="2" w:space="0" w:color="000000"/>
              <w:left w:val="single" w:sz="8" w:space="0" w:color="FFFFFF"/>
              <w:bottom w:val="nil"/>
              <w:right w:val="single" w:sz="2" w:space="0" w:color="000000"/>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6"/>
                <w:u w:val="none"/>
              </w:rPr>
              <w:t>01-01-2025</w:t>
            </w:r>
          </w:p>
        </w:tc>
      </w:tr>
      <w:tr>
        <w:tblPrEx>
          <w:tblW w:w="8520" w:type="dxa"/>
          <w:tblInd w:w="1440" w:type="dxa"/>
          <w:tblLayout w:type="fixed"/>
        </w:tblPrEx>
        <w:trPr>
          <w:cantSplit/>
          <w:trHeight w:hRule="auto" w:val="0"/>
        </w:trPr>
        <w:tc>
          <w:tcPr>
            <w:tcW w:w="3120" w:type="dxa"/>
            <w:vMerge/>
            <w:tcBorders>
              <w:top w:val="nil"/>
              <w:left w:val="single" w:sz="2" w:space="0" w:color="000000"/>
              <w:bottom w:val="nil"/>
              <w:right w:val="nil"/>
            </w:tcBorders>
          </w:tcPr>
          <w:p>
            <w:pPr>
              <w:keepNext/>
              <w:pageBreakBefore w:val="0"/>
            </w:pPr>
          </w:p>
        </w:tc>
        <w:tc>
          <w:tcPr>
            <w:tcW w:w="900"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30-06-2026</w:t>
            </w:r>
          </w:p>
        </w:tc>
        <w:tc>
          <w:tcPr>
            <w:tcW w:w="900"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30-06-2025</w:t>
            </w:r>
          </w:p>
        </w:tc>
        <w:tc>
          <w:tcPr>
            <w:tcW w:w="900" w:type="dxa"/>
            <w:tcBorders>
              <w:top w:val="nil"/>
              <w:left w:val="single" w:sz="2" w:space="0" w:color="000000"/>
              <w:bottom w:val="nil"/>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30-06-2026</w:t>
            </w:r>
          </w:p>
        </w:tc>
        <w:tc>
          <w:tcPr>
            <w:tcW w:w="900" w:type="dxa"/>
            <w:tcBorders>
              <w:top w:val="nil"/>
              <w:left w:val="single" w:sz="8" w:space="0" w:color="FFFFFF"/>
              <w:bottom w:val="nil"/>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30-06-2025</w:t>
            </w:r>
          </w:p>
        </w:tc>
        <w:tc>
          <w:tcPr>
            <w:tcW w:w="900" w:type="dxa"/>
            <w:tcBorders>
              <w:top w:val="nil"/>
              <w:left w:val="single" w:sz="8" w:space="0" w:color="FFFFFF"/>
              <w:bottom w:val="nil"/>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31-03-2026</w:t>
            </w:r>
          </w:p>
        </w:tc>
        <w:tc>
          <w:tcPr>
            <w:tcW w:w="900" w:type="dxa"/>
            <w:tcBorders>
              <w:top w:val="nil"/>
              <w:left w:val="single" w:sz="8" w:space="0" w:color="FFFFFF"/>
              <w:bottom w:val="nil"/>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31-03-2025</w:t>
            </w:r>
          </w:p>
        </w:tc>
      </w:tr>
      <w:tr>
        <w:tblPrEx>
          <w:tblW w:w="8520" w:type="dxa"/>
          <w:tblInd w:w="1440" w:type="dxa"/>
          <w:tblLayout w:type="fixed"/>
        </w:tblPrEx>
        <w:trPr>
          <w:cantSplit/>
          <w:trHeight w:hRule="auto" w:val="0"/>
        </w:trPr>
        <w:tc>
          <w:tcPr>
            <w:tcW w:w="3120" w:type="dxa"/>
            <w:vMerge/>
            <w:tcBorders>
              <w:top w:val="nil"/>
              <w:left w:val="single" w:sz="2" w:space="0" w:color="000000"/>
              <w:bottom w:val="single" w:sz="2" w:space="0" w:color="000000"/>
              <w:right w:val="nil"/>
            </w:tcBorders>
          </w:tcPr>
          <w:p>
            <w:pPr>
              <w:keepNext/>
              <w:pageBreakBefore w:val="0"/>
            </w:pP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900" w:type="dxa"/>
            <w:tcBorders>
              <w:top w:val="nil"/>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900" w:type="dxa"/>
            <w:tcBorders>
              <w:top w:val="nil"/>
              <w:left w:val="single" w:sz="8"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900" w:type="dxa"/>
            <w:tcBorders>
              <w:top w:val="nil"/>
              <w:left w:val="single" w:sz="8"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900" w:type="dxa"/>
            <w:tcBorders>
              <w:top w:val="nil"/>
              <w:left w:val="single" w:sz="8" w:space="0" w:color="FFFFFF"/>
              <w:bottom w:val="single" w:sz="2" w:space="0" w:color="000000"/>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r>
      <w:tr>
        <w:tblPrEx>
          <w:tblW w:w="8520" w:type="dxa"/>
          <w:tblInd w:w="1440" w:type="dxa"/>
          <w:tblLayout w:type="fixed"/>
        </w:tblPrEx>
        <w:trPr>
          <w:cantSplit/>
          <w:trHeight w:hRule="auto" w:val="0"/>
        </w:trPr>
        <w:tc>
          <w:tcPr>
            <w:tcW w:w="3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Correcciones monetarias (Capital propio tributario- Inversiones).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4.082</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1.163.267</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684.775</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478.490</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123.555</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684.777</w:t>
            </w:r>
          </w:p>
        </w:tc>
      </w:tr>
      <w:tr>
        <w:tblPrEx>
          <w:tblW w:w="8520" w:type="dxa"/>
          <w:tblInd w:w="1440" w:type="dxa"/>
          <w:tblLayout w:type="fixed"/>
        </w:tblPrEx>
        <w:trPr>
          <w:cantSplit/>
          <w:trHeight w:hRule="auto" w:val="0"/>
        </w:trPr>
        <w:tc>
          <w:tcPr>
            <w:tcW w:w="3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Multas fiscales.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(565.378)</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(158.459)</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(406.919)</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(127.441)</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(158.459)</w:t>
            </w:r>
          </w:p>
        </w:tc>
      </w:tr>
      <w:tr>
        <w:tblPrEx>
          <w:tblW w:w="8520" w:type="dxa"/>
          <w:tblInd w:w="1440" w:type="dxa"/>
          <w:tblLayout w:type="fixed"/>
        </w:tblPrEx>
        <w:trPr>
          <w:cantSplit/>
          <w:trHeight w:hRule="auto" w:val="0"/>
        </w:trPr>
        <w:tc>
          <w:tcPr>
            <w:tcW w:w="3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Otras diferencias permanentes.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(13.805)</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(22.003)</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66.090</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(199.716)</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(79.895)</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177.713</w:t>
            </w:r>
          </w:p>
        </w:tc>
      </w:tr>
      <w:tr>
        <w:tblPrEx>
          <w:tblW w:w="8520" w:type="dxa"/>
          <w:tblInd w:w="1440" w:type="dxa"/>
          <w:tblLayout w:type="fixed"/>
        </w:tblPrEx>
        <w:trPr>
          <w:cantSplit/>
          <w:trHeight w:hRule="auto" w:val="0"/>
        </w:trPr>
        <w:tc>
          <w:tcPr>
            <w:tcW w:w="3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 xml:space="preserve">Total </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(9.723)</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575.886</w:t>
            </w:r>
          </w:p>
        </w:tc>
        <w:tc>
          <w:tcPr>
            <w:tcW w:w="900" w:type="dxa"/>
            <w:tcBorders>
              <w:top w:val="single" w:sz="2" w:space="0" w:color="000000"/>
              <w:left w:val="single" w:sz="2" w:space="0" w:color="000000"/>
              <w:bottom w:val="nil"/>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592.406</w:t>
            </w:r>
          </w:p>
        </w:tc>
        <w:tc>
          <w:tcPr>
            <w:tcW w:w="900" w:type="dxa"/>
            <w:tcBorders>
              <w:top w:val="single" w:sz="2" w:space="0" w:color="000000"/>
              <w:left w:val="single" w:sz="8" w:space="0" w:color="FFFFFF"/>
              <w:bottom w:val="nil"/>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(128.145)</w:t>
            </w:r>
          </w:p>
        </w:tc>
        <w:tc>
          <w:tcPr>
            <w:tcW w:w="900" w:type="dxa"/>
            <w:tcBorders>
              <w:top w:val="single" w:sz="2" w:space="0" w:color="000000"/>
              <w:left w:val="single" w:sz="8" w:space="0" w:color="FFFFFF"/>
              <w:bottom w:val="nil"/>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(83.781)</w:t>
            </w:r>
          </w:p>
        </w:tc>
        <w:tc>
          <w:tcPr>
            <w:tcW w:w="900" w:type="dxa"/>
            <w:tcBorders>
              <w:top w:val="single" w:sz="2" w:space="0" w:color="000000"/>
              <w:left w:val="single" w:sz="8" w:space="0" w:color="FFFFFF"/>
              <w:bottom w:val="nil"/>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704.031</w:t>
            </w:r>
          </w:p>
        </w:tc>
      </w:tr>
    </w:tbl>
    <w:p>
      <w:pPr>
        <w:keepNext w:val="0"/>
        <w:keepLines/>
        <w:pageBreakBefore w:val="0"/>
        <w:widowControl w:val="0"/>
        <w:numPr>
          <w:ilvl w:val="0"/>
          <w:numId w:val="0"/>
        </w:numPr>
        <w:spacing w:before="0" w:after="0" w:line="288" w:lineRule="auto"/>
        <w:ind w:left="0" w:right="0" w:firstLine="72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720"/>
        <w:jc w:val="both"/>
        <w:outlineLvl w:val="9"/>
        <w:rPr>
          <w:rFonts w:ascii="Calibri" w:eastAsia="Calibri" w:hAnsi="Calibri" w:cs="Calibri"/>
          <w:b w:val="0"/>
          <w:i w:val="0"/>
          <w:sz w:val="20"/>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272" w:name="Section140"/>
      <w:bookmarkEnd w:id="272"/>
      <w:bookmarkStart w:id="273" w:name="cbab1f3b2ece4544b08007fc5ae73c25"/>
      <w:r>
        <w:rPr>
          <w:rFonts w:ascii="Calibri" w:eastAsia="Calibri" w:hAnsi="Calibri" w:cs="Calibri"/>
          <w:b/>
          <w:i w:val="0"/>
          <w:color w:val="000000"/>
          <w:sz w:val="20"/>
          <w:u w:val="none"/>
        </w:rPr>
        <w:t>30.3.-</w:t>
      </w:r>
      <w:r>
        <w:rPr>
          <w:rFonts w:ascii="Calibri" w:eastAsia="Calibri" w:hAnsi="Calibri" w:cs="Calibri"/>
          <w:b/>
          <w:i w:val="0"/>
          <w:color w:val="000000"/>
          <w:sz w:val="20"/>
          <w:u w:val="none"/>
        </w:rPr>
        <w:tab/>
      </w:r>
      <w:r>
        <w:rPr>
          <w:rFonts w:ascii="Calibri" w:eastAsia="Calibri" w:hAnsi="Calibri" w:cs="Calibri"/>
          <w:b/>
          <w:i w:val="0"/>
          <w:color w:val="000000"/>
          <w:sz w:val="20"/>
          <w:u w:val="none"/>
        </w:rPr>
        <w:t>Efecto en los resultados integrales por impuestos a las ganancias.</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273"/>
    </w:p>
    <w:tbl>
      <w:tblPr>
        <w:tblW w:w="9240"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500"/>
        <w:gridCol w:w="645"/>
        <w:gridCol w:w="645"/>
        <w:gridCol w:w="645"/>
        <w:gridCol w:w="645"/>
        <w:gridCol w:w="645"/>
        <w:gridCol w:w="645"/>
        <w:gridCol w:w="645"/>
        <w:gridCol w:w="645"/>
        <w:gridCol w:w="645"/>
        <w:gridCol w:w="645"/>
        <w:gridCol w:w="645"/>
        <w:gridCol w:w="645"/>
      </w:tblGrid>
      <w:tr>
        <w:tblPrEx>
          <w:tblW w:w="9240" w:type="dxa"/>
          <w:tblInd w:w="720" w:type="dxa"/>
          <w:tblLayout w:type="fixed"/>
        </w:tblPrEx>
        <w:trPr>
          <w:cantSplit/>
          <w:trHeight w:hRule="auto" w:val="0"/>
        </w:trPr>
        <w:tc>
          <w:tcPr>
            <w:tcW w:w="150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Importes antes de impuestos</w:t>
            </w:r>
          </w:p>
        </w:tc>
        <w:tc>
          <w:tcPr>
            <w:tcW w:w="1935" w:type="dxa"/>
            <w:gridSpan w:val="3"/>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01-01-2026</w:t>
            </w:r>
          </w:p>
        </w:tc>
        <w:tc>
          <w:tcPr>
            <w:tcW w:w="1935" w:type="dxa"/>
            <w:gridSpan w:val="3"/>
            <w:tcBorders>
              <w:top w:val="single" w:sz="2" w:space="0" w:color="000000"/>
              <w:left w:val="nil"/>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01-01-2025</w:t>
            </w:r>
          </w:p>
        </w:tc>
        <w:tc>
          <w:tcPr>
            <w:tcW w:w="1935" w:type="dxa"/>
            <w:gridSpan w:val="3"/>
            <w:tcBorders>
              <w:top w:val="single" w:sz="2" w:space="0" w:color="000000"/>
              <w:left w:val="nil"/>
              <w:bottom w:val="nil"/>
              <w:right w:val="single" w:sz="8"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01-04-2026</w:t>
            </w:r>
          </w:p>
        </w:tc>
        <w:tc>
          <w:tcPr>
            <w:tcW w:w="1935" w:type="dxa"/>
            <w:gridSpan w:val="3"/>
            <w:tcBorders>
              <w:top w:val="single" w:sz="2" w:space="0" w:color="000000"/>
              <w:left w:val="nil"/>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01-04-2025</w:t>
            </w:r>
          </w:p>
        </w:tc>
      </w:tr>
      <w:tr>
        <w:tblPrEx>
          <w:tblW w:w="9240" w:type="dxa"/>
          <w:tblInd w:w="720" w:type="dxa"/>
          <w:tblLayout w:type="fixed"/>
        </w:tblPrEx>
        <w:trPr>
          <w:cantSplit/>
          <w:trHeight w:hRule="auto" w:val="0"/>
        </w:trPr>
        <w:tc>
          <w:tcPr>
            <w:tcW w:w="1500" w:type="dxa"/>
            <w:vMerge/>
            <w:tcBorders>
              <w:top w:val="nil"/>
              <w:left w:val="single" w:sz="2" w:space="0" w:color="000000"/>
              <w:bottom w:val="nil"/>
              <w:right w:val="single" w:sz="4" w:space="0" w:color="FFFFFF"/>
            </w:tcBorders>
          </w:tcPr>
          <w:p>
            <w:pPr>
              <w:keepNext/>
              <w:pageBreakBefore w:val="0"/>
            </w:pPr>
          </w:p>
        </w:tc>
        <w:tc>
          <w:tcPr>
            <w:tcW w:w="1935" w:type="dxa"/>
            <w:gridSpan w:val="3"/>
            <w:tcBorders>
              <w:top w:val="nil"/>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30-06-2026</w:t>
            </w:r>
          </w:p>
        </w:tc>
        <w:tc>
          <w:tcPr>
            <w:tcW w:w="1935" w:type="dxa"/>
            <w:gridSpan w:val="3"/>
            <w:tcBorders>
              <w:top w:val="nil"/>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30-06-2025</w:t>
            </w:r>
          </w:p>
        </w:tc>
        <w:tc>
          <w:tcPr>
            <w:tcW w:w="1935" w:type="dxa"/>
            <w:gridSpan w:val="3"/>
            <w:tcBorders>
              <w:top w:val="nil"/>
              <w:left w:val="nil"/>
              <w:bottom w:val="single" w:sz="8" w:space="0" w:color="FFFFFF"/>
              <w:right w:val="single" w:sz="8"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30-06-2026</w:t>
            </w:r>
          </w:p>
        </w:tc>
        <w:tc>
          <w:tcPr>
            <w:tcW w:w="1935" w:type="dxa"/>
            <w:gridSpan w:val="3"/>
            <w:tcBorders>
              <w:top w:val="nil"/>
              <w:left w:val="nil"/>
              <w:bottom w:val="single" w:sz="8"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30-06-2025</w:t>
            </w:r>
          </w:p>
        </w:tc>
      </w:tr>
      <w:tr>
        <w:tblPrEx>
          <w:tblW w:w="9240" w:type="dxa"/>
          <w:tblInd w:w="720" w:type="dxa"/>
          <w:tblLayout w:type="fixed"/>
        </w:tblPrEx>
        <w:trPr>
          <w:cantSplit/>
          <w:trHeight w:hRule="auto" w:val="0"/>
        </w:trPr>
        <w:tc>
          <w:tcPr>
            <w:tcW w:w="1500" w:type="dxa"/>
            <w:vMerge/>
            <w:tcBorders>
              <w:top w:val="nil"/>
              <w:left w:val="single" w:sz="2" w:space="0" w:color="000000"/>
              <w:bottom w:val="nil"/>
              <w:right w:val="nil"/>
            </w:tcBorders>
          </w:tcPr>
          <w:p>
            <w:pPr>
              <w:keepNext/>
              <w:pageBreakBefore w:val="0"/>
            </w:pPr>
          </w:p>
        </w:tc>
        <w:tc>
          <w:tcPr>
            <w:tcW w:w="645" w:type="dxa"/>
            <w:tcBorders>
              <w:top w:val="nil"/>
              <w:left w:val="single" w:sz="4" w:space="0" w:color="FFFFFF"/>
              <w:bottom w:val="nil"/>
              <w:right w:val="nil"/>
            </w:tcBorders>
            <w:tcMar>
              <w:top w:w="0" w:type="dxa"/>
              <w:left w:w="53" w:type="dxa"/>
              <w:bottom w:w="0" w:type="dxa"/>
              <w:right w:w="53" w:type="dxa"/>
            </w:tcMar>
            <w:vAlign w:val="top"/>
          </w:tcPr>
          <w:p>
            <w:pPr>
              <w:keepNext/>
              <w:pageBreakBefore w:val="0"/>
              <w:spacing w:before="23" w:after="20" w:line="240" w:lineRule="auto"/>
              <w:jc w:val="center"/>
            </w:pPr>
            <w:r>
              <w:rPr>
                <w:rFonts w:ascii="Calibri" w:eastAsia="Calibri" w:hAnsi="Calibri" w:cs="Calibri"/>
                <w:b/>
                <w:i w:val="0"/>
                <w:color w:val="FFFFFF"/>
                <w:sz w:val="10"/>
                <w:u w:val="none"/>
              </w:rPr>
              <w:t>Importe antes de impuestos</w:t>
            </w:r>
          </w:p>
        </w:tc>
        <w:tc>
          <w:tcPr>
            <w:tcW w:w="645" w:type="dxa"/>
            <w:tcBorders>
              <w:top w:val="single" w:sz="4" w:space="0" w:color="FFFFFF"/>
              <w:left w:val="single" w:sz="4" w:space="0" w:color="FFFFFF"/>
              <w:bottom w:val="nil"/>
              <w:right w:val="nil"/>
            </w:tcBorders>
            <w:tcMar>
              <w:top w:w="0" w:type="dxa"/>
              <w:left w:w="53" w:type="dxa"/>
              <w:bottom w:w="0" w:type="dxa"/>
              <w:right w:w="53" w:type="dxa"/>
            </w:tcMar>
            <w:vAlign w:val="top"/>
          </w:tcPr>
          <w:p>
            <w:pPr>
              <w:keepNext/>
              <w:pageBreakBefore w:val="0"/>
              <w:spacing w:before="23" w:after="20" w:line="240" w:lineRule="auto"/>
              <w:jc w:val="center"/>
            </w:pPr>
            <w:r>
              <w:rPr>
                <w:rFonts w:ascii="Calibri" w:eastAsia="Calibri" w:hAnsi="Calibri" w:cs="Calibri"/>
                <w:b/>
                <w:i w:val="0"/>
                <w:color w:val="FFFFFF"/>
                <w:sz w:val="10"/>
                <w:u w:val="none"/>
              </w:rPr>
              <w:t>Gasto (ingreso) por impuesto a las ganancias</w:t>
            </w:r>
          </w:p>
        </w:tc>
        <w:tc>
          <w:tcPr>
            <w:tcW w:w="645" w:type="dxa"/>
            <w:tcBorders>
              <w:top w:val="single" w:sz="4" w:space="0" w:color="FFFFFF"/>
              <w:left w:val="single" w:sz="4" w:space="0" w:color="FFFFFF"/>
              <w:bottom w:val="nil"/>
              <w:right w:val="nil"/>
            </w:tcBorders>
            <w:tcMar>
              <w:top w:w="0" w:type="dxa"/>
              <w:left w:w="53" w:type="dxa"/>
              <w:bottom w:w="0" w:type="dxa"/>
              <w:right w:w="53" w:type="dxa"/>
            </w:tcMar>
            <w:vAlign w:val="top"/>
          </w:tcPr>
          <w:p>
            <w:pPr>
              <w:keepNext/>
              <w:pageBreakBefore w:val="0"/>
              <w:spacing w:before="23" w:after="20" w:line="240" w:lineRule="auto"/>
              <w:jc w:val="center"/>
            </w:pPr>
            <w:r>
              <w:rPr>
                <w:rFonts w:ascii="Calibri" w:eastAsia="Calibri" w:hAnsi="Calibri" w:cs="Calibri"/>
                <w:b/>
                <w:i w:val="0"/>
                <w:color w:val="FFFFFF"/>
                <w:sz w:val="10"/>
                <w:u w:val="none"/>
              </w:rPr>
              <w:t>Importe después de impuestos</w:t>
            </w:r>
          </w:p>
        </w:tc>
        <w:tc>
          <w:tcPr>
            <w:tcW w:w="645" w:type="dxa"/>
            <w:tcBorders>
              <w:top w:val="nil"/>
              <w:left w:val="single" w:sz="4" w:space="0" w:color="FFFFFF"/>
              <w:bottom w:val="nil"/>
              <w:right w:val="nil"/>
            </w:tcBorders>
            <w:tcMar>
              <w:top w:w="0" w:type="dxa"/>
              <w:left w:w="53" w:type="dxa"/>
              <w:bottom w:w="0" w:type="dxa"/>
              <w:right w:w="53" w:type="dxa"/>
            </w:tcMar>
            <w:vAlign w:val="top"/>
          </w:tcPr>
          <w:p>
            <w:pPr>
              <w:keepNext/>
              <w:pageBreakBefore w:val="0"/>
              <w:spacing w:before="23" w:after="20" w:line="240" w:lineRule="auto"/>
              <w:jc w:val="center"/>
            </w:pPr>
            <w:r>
              <w:rPr>
                <w:rFonts w:ascii="Calibri" w:eastAsia="Calibri" w:hAnsi="Calibri" w:cs="Calibri"/>
                <w:b/>
                <w:i w:val="0"/>
                <w:color w:val="FFFFFF"/>
                <w:sz w:val="10"/>
                <w:u w:val="none"/>
              </w:rPr>
              <w:t>Importe antes de impuestos</w:t>
            </w:r>
          </w:p>
        </w:tc>
        <w:tc>
          <w:tcPr>
            <w:tcW w:w="645" w:type="dxa"/>
            <w:tcBorders>
              <w:top w:val="single" w:sz="4" w:space="0" w:color="FFFFFF"/>
              <w:left w:val="single" w:sz="4" w:space="0" w:color="FFFFFF"/>
              <w:bottom w:val="nil"/>
              <w:right w:val="nil"/>
            </w:tcBorders>
            <w:tcMar>
              <w:top w:w="0" w:type="dxa"/>
              <w:left w:w="53" w:type="dxa"/>
              <w:bottom w:w="0" w:type="dxa"/>
              <w:right w:w="53" w:type="dxa"/>
            </w:tcMar>
            <w:vAlign w:val="top"/>
          </w:tcPr>
          <w:p>
            <w:pPr>
              <w:keepNext/>
              <w:pageBreakBefore w:val="0"/>
              <w:spacing w:before="23" w:after="20" w:line="240" w:lineRule="auto"/>
              <w:jc w:val="center"/>
            </w:pPr>
            <w:r>
              <w:rPr>
                <w:rFonts w:ascii="Calibri" w:eastAsia="Calibri" w:hAnsi="Calibri" w:cs="Calibri"/>
                <w:b/>
                <w:i w:val="0"/>
                <w:color w:val="FFFFFF"/>
                <w:sz w:val="10"/>
                <w:u w:val="none"/>
              </w:rPr>
              <w:t>Gasto (ingreso) por impuesto a las ganancias</w:t>
            </w:r>
          </w:p>
        </w:tc>
        <w:tc>
          <w:tcPr>
            <w:tcW w:w="645" w:type="dxa"/>
            <w:tcBorders>
              <w:top w:val="single" w:sz="4" w:space="0" w:color="FFFFFF"/>
              <w:left w:val="single" w:sz="4" w:space="0" w:color="FFFFFF"/>
              <w:bottom w:val="nil"/>
              <w:right w:val="nil"/>
            </w:tcBorders>
            <w:tcMar>
              <w:top w:w="0" w:type="dxa"/>
              <w:left w:w="53" w:type="dxa"/>
              <w:bottom w:w="0" w:type="dxa"/>
              <w:right w:w="53" w:type="dxa"/>
            </w:tcMar>
            <w:vAlign w:val="top"/>
          </w:tcPr>
          <w:p>
            <w:pPr>
              <w:keepNext/>
              <w:pageBreakBefore w:val="0"/>
              <w:spacing w:before="23" w:after="20" w:line="240" w:lineRule="auto"/>
              <w:jc w:val="center"/>
            </w:pPr>
            <w:r>
              <w:rPr>
                <w:rFonts w:ascii="Calibri" w:eastAsia="Calibri" w:hAnsi="Calibri" w:cs="Calibri"/>
                <w:b/>
                <w:i w:val="0"/>
                <w:color w:val="FFFFFF"/>
                <w:sz w:val="10"/>
                <w:u w:val="none"/>
              </w:rPr>
              <w:t>Importe después de impuestos</w:t>
            </w:r>
          </w:p>
        </w:tc>
        <w:tc>
          <w:tcPr>
            <w:tcW w:w="645" w:type="dxa"/>
            <w:tcBorders>
              <w:top w:val="nil"/>
              <w:left w:val="single" w:sz="2" w:space="0" w:color="000000"/>
              <w:bottom w:val="nil"/>
              <w:right w:val="nil"/>
            </w:tcBorders>
            <w:tcMar>
              <w:top w:w="0" w:type="dxa"/>
              <w:left w:w="53" w:type="dxa"/>
              <w:bottom w:w="0" w:type="dxa"/>
              <w:right w:w="53" w:type="dxa"/>
            </w:tcMar>
            <w:vAlign w:val="top"/>
          </w:tcPr>
          <w:p>
            <w:pPr>
              <w:keepNext/>
              <w:pageBreakBefore w:val="0"/>
              <w:spacing w:before="23" w:after="20" w:line="240" w:lineRule="auto"/>
              <w:jc w:val="center"/>
            </w:pPr>
            <w:r>
              <w:rPr>
                <w:rFonts w:ascii="Calibri" w:eastAsia="Calibri" w:hAnsi="Calibri" w:cs="Calibri"/>
                <w:b/>
                <w:i w:val="0"/>
                <w:color w:val="FFFFFF"/>
                <w:sz w:val="10"/>
                <w:u w:val="none"/>
              </w:rPr>
              <w:t>Importe antes de impuestos</w:t>
            </w:r>
          </w:p>
        </w:tc>
        <w:tc>
          <w:tcPr>
            <w:tcW w:w="645" w:type="dxa"/>
            <w:tcBorders>
              <w:top w:val="single" w:sz="8" w:space="0" w:color="FFFFFF"/>
              <w:left w:val="single" w:sz="8" w:space="0" w:color="FFFFFF"/>
              <w:bottom w:val="nil"/>
              <w:right w:val="nil"/>
            </w:tcBorders>
            <w:tcMar>
              <w:top w:w="0" w:type="dxa"/>
              <w:left w:w="53" w:type="dxa"/>
              <w:bottom w:w="0" w:type="dxa"/>
              <w:right w:w="53" w:type="dxa"/>
            </w:tcMar>
            <w:vAlign w:val="top"/>
          </w:tcPr>
          <w:p>
            <w:pPr>
              <w:keepNext/>
              <w:pageBreakBefore w:val="0"/>
              <w:spacing w:before="23" w:after="20" w:line="240" w:lineRule="auto"/>
              <w:jc w:val="center"/>
            </w:pPr>
            <w:r>
              <w:rPr>
                <w:rFonts w:ascii="Calibri" w:eastAsia="Calibri" w:hAnsi="Calibri" w:cs="Calibri"/>
                <w:b/>
                <w:i w:val="0"/>
                <w:color w:val="FFFFFF"/>
                <w:sz w:val="10"/>
                <w:u w:val="none"/>
              </w:rPr>
              <w:t>Gasto (ingreso) por impuesto a las ganancias</w:t>
            </w:r>
          </w:p>
        </w:tc>
        <w:tc>
          <w:tcPr>
            <w:tcW w:w="645" w:type="dxa"/>
            <w:tcBorders>
              <w:top w:val="single" w:sz="8" w:space="0" w:color="FFFFFF"/>
              <w:left w:val="single" w:sz="8" w:space="0" w:color="FFFFFF"/>
              <w:bottom w:val="nil"/>
              <w:right w:val="nil"/>
            </w:tcBorders>
            <w:tcMar>
              <w:top w:w="0" w:type="dxa"/>
              <w:left w:w="53" w:type="dxa"/>
              <w:bottom w:w="0" w:type="dxa"/>
              <w:right w:w="53" w:type="dxa"/>
            </w:tcMar>
            <w:vAlign w:val="top"/>
          </w:tcPr>
          <w:p>
            <w:pPr>
              <w:keepNext/>
              <w:pageBreakBefore w:val="0"/>
              <w:spacing w:before="23" w:after="20" w:line="240" w:lineRule="auto"/>
              <w:jc w:val="center"/>
            </w:pPr>
            <w:r>
              <w:rPr>
                <w:rFonts w:ascii="Calibri" w:eastAsia="Calibri" w:hAnsi="Calibri" w:cs="Calibri"/>
                <w:b/>
                <w:i w:val="0"/>
                <w:color w:val="FFFFFF"/>
                <w:sz w:val="10"/>
                <w:u w:val="none"/>
              </w:rPr>
              <w:t>Importe después de impuestos</w:t>
            </w:r>
          </w:p>
        </w:tc>
        <w:tc>
          <w:tcPr>
            <w:tcW w:w="645" w:type="dxa"/>
            <w:tcBorders>
              <w:top w:val="nil"/>
              <w:left w:val="single" w:sz="8" w:space="0" w:color="FFFFFF"/>
              <w:bottom w:val="nil"/>
              <w:right w:val="nil"/>
            </w:tcBorders>
            <w:tcMar>
              <w:top w:w="0" w:type="dxa"/>
              <w:left w:w="53" w:type="dxa"/>
              <w:bottom w:w="0" w:type="dxa"/>
              <w:right w:w="53" w:type="dxa"/>
            </w:tcMar>
            <w:vAlign w:val="top"/>
          </w:tcPr>
          <w:p>
            <w:pPr>
              <w:keepNext/>
              <w:pageBreakBefore w:val="0"/>
              <w:spacing w:before="23" w:after="20" w:line="240" w:lineRule="auto"/>
              <w:jc w:val="center"/>
            </w:pPr>
            <w:r>
              <w:rPr>
                <w:rFonts w:ascii="Calibri" w:eastAsia="Calibri" w:hAnsi="Calibri" w:cs="Calibri"/>
                <w:b/>
                <w:i w:val="0"/>
                <w:color w:val="FFFFFF"/>
                <w:sz w:val="10"/>
                <w:u w:val="none"/>
              </w:rPr>
              <w:t>Importe antes de impuestos</w:t>
            </w:r>
          </w:p>
        </w:tc>
        <w:tc>
          <w:tcPr>
            <w:tcW w:w="645" w:type="dxa"/>
            <w:tcBorders>
              <w:top w:val="single" w:sz="8" w:space="0" w:color="FFFFFF"/>
              <w:left w:val="single" w:sz="8" w:space="0" w:color="FFFFFF"/>
              <w:bottom w:val="nil"/>
              <w:right w:val="nil"/>
            </w:tcBorders>
            <w:tcMar>
              <w:top w:w="0" w:type="dxa"/>
              <w:left w:w="53" w:type="dxa"/>
              <w:bottom w:w="0" w:type="dxa"/>
              <w:right w:w="53" w:type="dxa"/>
            </w:tcMar>
            <w:vAlign w:val="top"/>
          </w:tcPr>
          <w:p>
            <w:pPr>
              <w:keepNext/>
              <w:pageBreakBefore w:val="0"/>
              <w:spacing w:before="23" w:after="20" w:line="240" w:lineRule="auto"/>
              <w:jc w:val="center"/>
            </w:pPr>
            <w:r>
              <w:rPr>
                <w:rFonts w:ascii="Calibri" w:eastAsia="Calibri" w:hAnsi="Calibri" w:cs="Calibri"/>
                <w:b/>
                <w:i w:val="0"/>
                <w:color w:val="FFFFFF"/>
                <w:sz w:val="10"/>
                <w:u w:val="none"/>
              </w:rPr>
              <w:t>Gasto (ingreso) por impuesto a las ganancias</w:t>
            </w:r>
          </w:p>
        </w:tc>
        <w:tc>
          <w:tcPr>
            <w:tcW w:w="645" w:type="dxa"/>
            <w:tcBorders>
              <w:top w:val="single" w:sz="8" w:space="0" w:color="FFFFFF"/>
              <w:left w:val="single" w:sz="8" w:space="0" w:color="FFFFFF"/>
              <w:bottom w:val="nil"/>
              <w:right w:val="single" w:sz="2" w:space="0" w:color="000000"/>
            </w:tcBorders>
            <w:tcMar>
              <w:top w:w="0" w:type="dxa"/>
              <w:left w:w="53" w:type="dxa"/>
              <w:bottom w:w="0" w:type="dxa"/>
              <w:right w:w="53" w:type="dxa"/>
            </w:tcMar>
            <w:vAlign w:val="top"/>
          </w:tcPr>
          <w:p>
            <w:pPr>
              <w:keepNext/>
              <w:pageBreakBefore w:val="0"/>
              <w:spacing w:before="23" w:after="20" w:line="240" w:lineRule="auto"/>
              <w:jc w:val="center"/>
            </w:pPr>
            <w:r>
              <w:rPr>
                <w:rFonts w:ascii="Calibri" w:eastAsia="Calibri" w:hAnsi="Calibri" w:cs="Calibri"/>
                <w:b/>
                <w:i w:val="0"/>
                <w:color w:val="FFFFFF"/>
                <w:sz w:val="10"/>
                <w:u w:val="none"/>
              </w:rPr>
              <w:t>Importe después de impuestos</w:t>
            </w:r>
          </w:p>
        </w:tc>
      </w:tr>
      <w:tr>
        <w:tblPrEx>
          <w:tblW w:w="9240" w:type="dxa"/>
          <w:tblInd w:w="720" w:type="dxa"/>
          <w:tblLayout w:type="fixed"/>
        </w:tblPrEx>
        <w:trPr>
          <w:cantSplit/>
          <w:trHeight w:hRule="auto" w:val="0"/>
        </w:trPr>
        <w:tc>
          <w:tcPr>
            <w:tcW w:w="1500" w:type="dxa"/>
            <w:vMerge/>
            <w:tcBorders>
              <w:top w:val="nil"/>
              <w:left w:val="single" w:sz="2" w:space="0" w:color="000000"/>
              <w:bottom w:val="single" w:sz="2" w:space="0" w:color="000000"/>
              <w:right w:val="nil"/>
            </w:tcBorders>
          </w:tcPr>
          <w:p>
            <w:pPr>
              <w:keepNext/>
              <w:pageBreakBefore w:val="0"/>
            </w:pPr>
          </w:p>
        </w:tc>
        <w:tc>
          <w:tcPr>
            <w:tcW w:w="6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M$</w:t>
            </w:r>
          </w:p>
        </w:tc>
        <w:tc>
          <w:tcPr>
            <w:tcW w:w="6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M$</w:t>
            </w:r>
          </w:p>
        </w:tc>
        <w:tc>
          <w:tcPr>
            <w:tcW w:w="6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M$</w:t>
            </w:r>
          </w:p>
        </w:tc>
        <w:tc>
          <w:tcPr>
            <w:tcW w:w="6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M$</w:t>
            </w:r>
          </w:p>
        </w:tc>
        <w:tc>
          <w:tcPr>
            <w:tcW w:w="6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M$</w:t>
            </w:r>
          </w:p>
        </w:tc>
        <w:tc>
          <w:tcPr>
            <w:tcW w:w="6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M$</w:t>
            </w:r>
          </w:p>
        </w:tc>
        <w:tc>
          <w:tcPr>
            <w:tcW w:w="645" w:type="dxa"/>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M$</w:t>
            </w:r>
          </w:p>
        </w:tc>
        <w:tc>
          <w:tcPr>
            <w:tcW w:w="645" w:type="dxa"/>
            <w:tcBorders>
              <w:top w:val="nil"/>
              <w:left w:val="single" w:sz="8"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M$</w:t>
            </w:r>
          </w:p>
        </w:tc>
        <w:tc>
          <w:tcPr>
            <w:tcW w:w="645" w:type="dxa"/>
            <w:tcBorders>
              <w:top w:val="nil"/>
              <w:left w:val="single" w:sz="8"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M$</w:t>
            </w:r>
          </w:p>
        </w:tc>
        <w:tc>
          <w:tcPr>
            <w:tcW w:w="645" w:type="dxa"/>
            <w:tcBorders>
              <w:top w:val="nil"/>
              <w:left w:val="single" w:sz="8"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M$</w:t>
            </w:r>
          </w:p>
        </w:tc>
        <w:tc>
          <w:tcPr>
            <w:tcW w:w="645" w:type="dxa"/>
            <w:tcBorders>
              <w:top w:val="nil"/>
              <w:left w:val="single" w:sz="8"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M$</w:t>
            </w:r>
          </w:p>
        </w:tc>
        <w:tc>
          <w:tcPr>
            <w:tcW w:w="645" w:type="dxa"/>
            <w:tcBorders>
              <w:top w:val="nil"/>
              <w:left w:val="single" w:sz="8"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M$</w:t>
            </w:r>
          </w:p>
        </w:tc>
      </w:tr>
      <w:tr>
        <w:tblPrEx>
          <w:tblW w:w="9240" w:type="dxa"/>
          <w:tblInd w:w="720" w:type="dxa"/>
          <w:tblLayout w:type="fixed"/>
        </w:tblPrEx>
        <w:trPr>
          <w:cantSplit/>
          <w:trHeight w:hRule="auto" w:val="0"/>
        </w:trPr>
        <w:tc>
          <w:tcPr>
            <w:tcW w:w="15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0"/>
                <w:u w:val="none"/>
              </w:rPr>
              <w:t>Cobertura de flujo de efectivo.</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1.247.327</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(336.778)</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910.549</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(1.124.886)</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303.719</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(821.167)</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733.601</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(198.072)</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535.529</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(993.154)</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268.151</w:t>
            </w:r>
          </w:p>
        </w:tc>
        <w:tc>
          <w:tcPr>
            <w:tcW w:w="64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(725.003)</w:t>
            </w:r>
          </w:p>
        </w:tc>
      </w:tr>
      <w:tr>
        <w:tblPrEx>
          <w:tblW w:w="9240" w:type="dxa"/>
          <w:tblInd w:w="720" w:type="dxa"/>
          <w:tblLayout w:type="fixed"/>
        </w:tblPrEx>
        <w:trPr>
          <w:cantSplit/>
          <w:trHeight w:hRule="auto" w:val="0"/>
        </w:trPr>
        <w:tc>
          <w:tcPr>
            <w:tcW w:w="15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0"/>
                <w:u w:val="none"/>
              </w:rPr>
              <w:t>Ganancias (pérdidas) por nuevas mediciones de planes de beneficios definidos.</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(17.476.651)</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4.718.696</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(12.757.955)</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297.270</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(80.262)</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217.008</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(17.359.744)</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4.687.132</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(12.672.612)</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96.585</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(26.077)</w:t>
            </w:r>
          </w:p>
        </w:tc>
        <w:tc>
          <w:tcPr>
            <w:tcW w:w="64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70.508</w:t>
            </w:r>
          </w:p>
        </w:tc>
      </w:tr>
      <w:tr>
        <w:tblPrEx>
          <w:tblW w:w="9240" w:type="dxa"/>
          <w:tblInd w:w="720" w:type="dxa"/>
          <w:tblLayout w:type="fixed"/>
        </w:tblPrEx>
        <w:trPr>
          <w:cantSplit/>
          <w:trHeight w:hRule="auto" w:val="0"/>
        </w:trPr>
        <w:tc>
          <w:tcPr>
            <w:tcW w:w="15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0"/>
                <w:u w:val="none"/>
              </w:rPr>
              <w:t>Total</w:t>
            </w:r>
          </w:p>
        </w:tc>
        <w:tc>
          <w:tcPr>
            <w:tcW w:w="645" w:type="dxa"/>
            <w:tcBorders>
              <w:top w:val="single" w:sz="2" w:space="0" w:color="000000"/>
              <w:left w:val="single" w:sz="2" w:space="0" w:color="000000"/>
              <w:bottom w:val="nil"/>
              <w:right w:val="nil"/>
            </w:tcBorders>
            <w:tcMar>
              <w:top w:w="0" w:type="dxa"/>
              <w:left w:w="0" w:type="dxa"/>
              <w:bottom w:w="0" w:type="dxa"/>
              <w:right w:w="0" w:type="dxa"/>
            </w:tcMar>
            <w:vAlign w:val="bottom"/>
          </w:tcPr>
          <w:p>
            <w:pPr>
              <w:pageBreakBefore w:val="0"/>
              <w:spacing w:before="0" w:after="0"/>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4.381.918</w:t>
            </w:r>
          </w:p>
        </w:tc>
        <w:tc>
          <w:tcPr>
            <w:tcW w:w="645" w:type="dxa"/>
            <w:tcBorders>
              <w:top w:val="single" w:sz="2" w:space="0" w:color="000000"/>
              <w:left w:val="single" w:sz="2" w:space="0" w:color="000000"/>
              <w:bottom w:val="nil"/>
              <w:right w:val="nil"/>
            </w:tcBorders>
            <w:tcMar>
              <w:top w:w="0" w:type="dxa"/>
              <w:left w:w="0" w:type="dxa"/>
              <w:bottom w:w="0" w:type="dxa"/>
              <w:right w:w="0" w:type="dxa"/>
            </w:tcMar>
            <w:vAlign w:val="bottom"/>
          </w:tcPr>
          <w:p>
            <w:pPr>
              <w:pageBreakBefore w:val="0"/>
              <w:spacing w:before="0" w:after="0"/>
            </w:pPr>
          </w:p>
        </w:tc>
        <w:tc>
          <w:tcPr>
            <w:tcW w:w="645" w:type="dxa"/>
            <w:tcBorders>
              <w:top w:val="single" w:sz="2" w:space="0" w:color="000000"/>
              <w:left w:val="nil"/>
              <w:bottom w:val="nil"/>
              <w:right w:val="nil"/>
            </w:tcBorders>
            <w:tcMar>
              <w:top w:w="0" w:type="dxa"/>
              <w:left w:w="0" w:type="dxa"/>
              <w:bottom w:w="0" w:type="dxa"/>
              <w:right w:w="0" w:type="dxa"/>
            </w:tcMar>
            <w:vAlign w:val="bottom"/>
          </w:tcPr>
          <w:p>
            <w:pPr>
              <w:pageBreakBefore w:val="0"/>
              <w:spacing w:before="0" w:after="0"/>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223.457</w:t>
            </w:r>
          </w:p>
        </w:tc>
        <w:tc>
          <w:tcPr>
            <w:tcW w:w="645" w:type="dxa"/>
            <w:tcBorders>
              <w:top w:val="single" w:sz="2" w:space="0" w:color="000000"/>
              <w:left w:val="single" w:sz="2" w:space="0" w:color="000000"/>
              <w:bottom w:val="nil"/>
              <w:right w:val="nil"/>
            </w:tcBorders>
            <w:tcMar>
              <w:top w:w="0" w:type="dxa"/>
              <w:left w:w="0" w:type="dxa"/>
              <w:bottom w:w="0" w:type="dxa"/>
              <w:right w:w="0" w:type="dxa"/>
            </w:tcMar>
            <w:vAlign w:val="bottom"/>
          </w:tcPr>
          <w:p>
            <w:pPr>
              <w:pageBreakBefore w:val="0"/>
              <w:spacing w:before="0" w:after="0"/>
            </w:pPr>
          </w:p>
        </w:tc>
        <w:tc>
          <w:tcPr>
            <w:tcW w:w="645" w:type="dxa"/>
            <w:tcBorders>
              <w:top w:val="single" w:sz="2" w:space="0" w:color="000000"/>
              <w:left w:val="nil"/>
              <w:bottom w:val="nil"/>
              <w:right w:val="nil"/>
            </w:tcBorders>
            <w:tcMar>
              <w:top w:w="0" w:type="dxa"/>
              <w:left w:w="0" w:type="dxa"/>
              <w:bottom w:w="0" w:type="dxa"/>
              <w:right w:w="0" w:type="dxa"/>
            </w:tcMar>
            <w:vAlign w:val="bottom"/>
          </w:tcPr>
          <w:p>
            <w:pPr>
              <w:pageBreakBefore w:val="0"/>
              <w:spacing w:before="0" w:after="0"/>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4.489.060</w:t>
            </w:r>
          </w:p>
        </w:tc>
        <w:tc>
          <w:tcPr>
            <w:tcW w:w="645" w:type="dxa"/>
            <w:tcBorders>
              <w:top w:val="single" w:sz="2" w:space="0" w:color="000000"/>
              <w:left w:val="single" w:sz="2" w:space="0" w:color="000000"/>
              <w:bottom w:val="nil"/>
              <w:right w:val="nil"/>
            </w:tcBorders>
            <w:tcMar>
              <w:top w:w="0" w:type="dxa"/>
              <w:left w:w="0" w:type="dxa"/>
              <w:bottom w:w="0" w:type="dxa"/>
              <w:right w:w="0" w:type="dxa"/>
            </w:tcMar>
            <w:vAlign w:val="bottom"/>
          </w:tcPr>
          <w:p>
            <w:pPr>
              <w:pageBreakBefore w:val="0"/>
              <w:spacing w:before="0" w:after="0"/>
            </w:pPr>
          </w:p>
        </w:tc>
        <w:tc>
          <w:tcPr>
            <w:tcW w:w="645" w:type="dxa"/>
            <w:tcBorders>
              <w:top w:val="single" w:sz="2" w:space="0" w:color="000000"/>
              <w:left w:val="nil"/>
              <w:bottom w:val="nil"/>
              <w:right w:val="nil"/>
            </w:tcBorders>
            <w:tcMar>
              <w:top w:w="0" w:type="dxa"/>
              <w:left w:w="0" w:type="dxa"/>
              <w:bottom w:w="0" w:type="dxa"/>
              <w:right w:w="0" w:type="dxa"/>
            </w:tcMar>
            <w:vAlign w:val="bottom"/>
          </w:tcPr>
          <w:p>
            <w:pPr>
              <w:pageBreakBefore w:val="0"/>
              <w:spacing w:before="0" w:after="0"/>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242.074</w:t>
            </w:r>
          </w:p>
        </w:tc>
        <w:tc>
          <w:tcPr>
            <w:tcW w:w="645" w:type="dxa"/>
            <w:tcBorders>
              <w:top w:val="single" w:sz="2" w:space="0" w:color="000000"/>
              <w:left w:val="single" w:sz="2" w:space="0" w:color="000000"/>
              <w:bottom w:val="nil"/>
              <w:right w:val="nil"/>
            </w:tcBorders>
            <w:tcMar>
              <w:top w:w="0" w:type="dxa"/>
              <w:left w:w="0" w:type="dxa"/>
              <w:bottom w:w="0" w:type="dxa"/>
              <w:right w:w="0" w:type="dxa"/>
            </w:tcMar>
            <w:vAlign w:val="bottom"/>
          </w:tcPr>
          <w:p>
            <w:pPr>
              <w:pageBreakBefore w:val="0"/>
              <w:spacing w:before="0" w:after="0"/>
            </w:pPr>
          </w:p>
        </w:tc>
      </w:tr>
    </w:tbl>
    <w:p>
      <w:pPr>
        <w:keepNext w:val="0"/>
        <w:keepLines/>
        <w:pageBreakBefore w:val="0"/>
        <w:widowControl w:val="0"/>
        <w:numPr>
          <w:ilvl w:val="0"/>
          <w:numId w:val="0"/>
        </w:numPr>
        <w:spacing w:before="0" w:after="0" w:line="288" w:lineRule="auto"/>
        <w:ind w:left="708"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708"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40" w:lineRule="exact"/>
        <w:ind w:left="0" w:right="0" w:firstLine="0"/>
        <w:jc w:val="left"/>
        <w:outlineLvl w:val="0"/>
        <w:rPr>
          <w:rFonts w:ascii="Cambria" w:eastAsia="Cambria" w:hAnsi="Cambria" w:cs="Cambria"/>
          <w:b/>
          <w:i w:val="0"/>
          <w:color w:val="365F91"/>
          <w:sz w:val="28"/>
          <w:u w:val="none"/>
        </w:rPr>
      </w:pPr>
      <w:bookmarkStart w:id="274" w:name="Section141"/>
      <w:bookmarkEnd w:id="274"/>
      <w:bookmarkStart w:id="275" w:name="d7d4cc21b04a41c18217e32639ec0613"/>
      <w:r>
        <w:rPr>
          <w:rFonts w:ascii="Calibri" w:eastAsia="Calibri" w:hAnsi="Calibri" w:cs="Calibri"/>
          <w:b/>
          <w:i w:val="0"/>
          <w:color w:val="000000"/>
          <w:sz w:val="20"/>
          <w:u w:val="none"/>
        </w:rPr>
        <w:t>31.-</w:t>
      </w:r>
      <w:r>
        <w:rPr>
          <w:rFonts w:ascii="Calibri" w:eastAsia="Calibri" w:hAnsi="Calibri" w:cs="Calibri"/>
          <w:b/>
          <w:i w:val="0"/>
          <w:color w:val="000000"/>
          <w:sz w:val="20"/>
          <w:u w:val="none"/>
        </w:rPr>
        <w:tab/>
      </w:r>
      <w:r>
        <w:rPr>
          <w:rFonts w:ascii="Calibri" w:eastAsia="Calibri" w:hAnsi="Calibri" w:cs="Calibri"/>
          <w:b/>
          <w:i w:val="0"/>
          <w:color w:val="000000"/>
          <w:sz w:val="20"/>
          <w:u w:val="none"/>
        </w:rPr>
        <w:t>GANANCIAS POR ACCIÓN.</w:t>
      </w:r>
    </w:p>
    <w:p>
      <w:pPr>
        <w:keepNext w:val="0"/>
        <w:keepLines/>
        <w:pageBreakBefore w:val="0"/>
        <w:widowControl w:val="0"/>
        <w:numPr>
          <w:ilvl w:val="0"/>
          <w:numId w:val="0"/>
        </w:numPr>
        <w:spacing w:before="0" w:after="0" w:line="288" w:lineRule="auto"/>
        <w:ind w:left="708" w:right="0" w:firstLine="0"/>
        <w:jc w:val="both"/>
        <w:outlineLvl w:val="9"/>
        <w:rPr>
          <w:rFonts w:ascii="Calibri" w:eastAsia="Calibri" w:hAnsi="Calibri" w:cs="Calibri"/>
          <w:b w:val="0"/>
          <w:i w:val="0"/>
          <w:color w:val="000000"/>
          <w:sz w:val="20"/>
          <w:u w:val="none"/>
        </w:rPr>
      </w:pPr>
      <w:bookmarkEnd w:id="275"/>
    </w:p>
    <w:p>
      <w:pPr>
        <w:pStyle w:val="Normal-wk"/>
        <w:keepNext w:val="0"/>
        <w:keepLines/>
        <w:pageBreakBefore w:val="0"/>
        <w:widowControl w:val="0"/>
        <w:numPr>
          <w:ilvl w:val="0"/>
          <w:numId w:val="0"/>
        </w:numPr>
        <w:spacing w:before="0" w:after="0" w:line="240" w:lineRule="exact"/>
        <w:ind w:left="70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utilidad por acción básica se calcula dividiendo la utilidad atribuible a los accionistas de CGE Transmisión S.A. entre el promedio ponderado de las acciones comunes en circulación en el año, excluyendo de existir, las acciones comunes adquiridas por la Sociedad y mantenidas como acciones de tesorería.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9255"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855"/>
        <w:gridCol w:w="1200"/>
        <w:gridCol w:w="1200"/>
      </w:tblGrid>
      <w:tr>
        <w:tblPrEx>
          <w:tblW w:w="9255" w:type="dxa"/>
          <w:tblInd w:w="709" w:type="dxa"/>
          <w:tblLayout w:type="fixed"/>
        </w:tblPrEx>
        <w:trPr>
          <w:cantSplit/>
          <w:trHeight w:hRule="auto" w:val="0"/>
        </w:trPr>
        <w:tc>
          <w:tcPr>
            <w:tcW w:w="685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ESTADO DE RESULTADOS POR FUNCIÓN</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01-01-2025</w:t>
            </w:r>
          </w:p>
        </w:tc>
      </w:tr>
      <w:tr>
        <w:tblPrEx>
          <w:tblW w:w="9255" w:type="dxa"/>
          <w:tblInd w:w="709" w:type="dxa"/>
          <w:tblLayout w:type="fixed"/>
        </w:tblPrEx>
        <w:trPr>
          <w:cantSplit/>
          <w:trHeight w:hRule="auto" w:val="0"/>
        </w:trPr>
        <w:tc>
          <w:tcPr>
            <w:tcW w:w="6855"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30-06-2025</w:t>
            </w:r>
          </w:p>
        </w:tc>
      </w:tr>
      <w:tr>
        <w:tblPrEx>
          <w:tblW w:w="9255" w:type="dxa"/>
          <w:tblInd w:w="709" w:type="dxa"/>
          <w:tblLayout w:type="fixed"/>
        </w:tblPrEx>
        <w:trPr>
          <w:cantSplit/>
          <w:trHeight w:hRule="auto" w:val="0"/>
        </w:trPr>
        <w:tc>
          <w:tcPr>
            <w:tcW w:w="6855"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9255" w:type="dxa"/>
          <w:tblInd w:w="709" w:type="dxa"/>
          <w:tblLayout w:type="fixed"/>
        </w:tblPrEx>
        <w:trPr>
          <w:cantSplit/>
          <w:trHeight w:hRule="exact" w:val="60"/>
        </w:trPr>
        <w:tc>
          <w:tcPr>
            <w:tcW w:w="685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255" w:type="dxa"/>
          <w:tblInd w:w="709" w:type="dxa"/>
          <w:tblLayout w:type="fixed"/>
        </w:tblPrEx>
        <w:trPr>
          <w:cantSplit/>
          <w:trHeight w:hRule="auto" w:val="0"/>
        </w:trPr>
        <w:tc>
          <w:tcPr>
            <w:tcW w:w="6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 xml:space="preserve"> Ganancia (pérdida) atribuible a los propietarios de la controladora. </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29.597.988</w:t>
            </w:r>
          </w:p>
        </w:tc>
      </w:tr>
      <w:tr>
        <w:tblPrEx>
          <w:tblW w:w="9255" w:type="dxa"/>
          <w:tblInd w:w="709" w:type="dxa"/>
          <w:tblLayout w:type="fixed"/>
        </w:tblPrEx>
        <w:trPr>
          <w:cantSplit/>
          <w:trHeight w:hRule="auto" w:val="0"/>
        </w:trPr>
        <w:tc>
          <w:tcPr>
            <w:tcW w:w="6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Ganancia (pérdida) por acción básica y diluidas en operaciones continuadas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0,00</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14,65</w:t>
            </w:r>
          </w:p>
        </w:tc>
      </w:tr>
      <w:tr>
        <w:tblPrEx>
          <w:tblW w:w="9255" w:type="dxa"/>
          <w:tblInd w:w="709" w:type="dxa"/>
          <w:tblLayout w:type="fixed"/>
        </w:tblPrEx>
        <w:trPr>
          <w:cantSplit/>
          <w:trHeight w:hRule="auto" w:val="0"/>
        </w:trPr>
        <w:tc>
          <w:tcPr>
            <w:tcW w:w="6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Cantidad de acciones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2.019.896.893</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2.019.896.893</w:t>
            </w:r>
          </w:p>
        </w:tc>
      </w:tr>
    </w:tbl>
    <w:p>
      <w:pPr>
        <w:keepNext w:val="0"/>
        <w:keepLines/>
        <w:pageBreakBefore w:val="0"/>
        <w:widowControl w:val="0"/>
        <w:numPr>
          <w:ilvl w:val="0"/>
          <w:numId w:val="0"/>
        </w:numPr>
        <w:spacing w:before="0" w:after="0" w:line="288" w:lineRule="auto"/>
        <w:ind w:left="0" w:right="0" w:firstLine="709"/>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88" w:lineRule="auto"/>
        <w:ind w:left="70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No existen transacciones o conceptos que generen efecto dilutivo.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40" w:lineRule="exact"/>
        <w:ind w:left="0" w:right="0" w:firstLine="0"/>
        <w:jc w:val="both"/>
        <w:outlineLvl w:val="0"/>
        <w:rPr>
          <w:rFonts w:ascii="Cambria" w:eastAsia="Cambria" w:hAnsi="Cambria" w:cs="Cambria"/>
          <w:b/>
          <w:i w:val="0"/>
          <w:color w:val="365F91"/>
          <w:sz w:val="28"/>
          <w:u w:val="none"/>
        </w:rPr>
      </w:pPr>
      <w:bookmarkStart w:id="276" w:name="Section142"/>
      <w:bookmarkEnd w:id="276"/>
      <w:bookmarkStart w:id="277" w:name="60e5b9f50eb74ee0aec0a65de284cb74"/>
      <w:r>
        <w:rPr>
          <w:rFonts w:ascii="Calibri" w:eastAsia="Calibri" w:hAnsi="Calibri" w:cs="Calibri"/>
          <w:b/>
          <w:i w:val="0"/>
          <w:color w:val="000000"/>
          <w:sz w:val="20"/>
          <w:u w:val="none"/>
        </w:rPr>
        <w:t>32.-</w:t>
      </w:r>
      <w:r>
        <w:rPr>
          <w:rFonts w:ascii="Calibri" w:eastAsia="Calibri" w:hAnsi="Calibri" w:cs="Calibri"/>
          <w:b/>
          <w:i w:val="0"/>
          <w:color w:val="000000"/>
          <w:sz w:val="20"/>
          <w:u w:val="none"/>
        </w:rPr>
        <w:tab/>
      </w:r>
      <w:r>
        <w:rPr>
          <w:rFonts w:ascii="Calibri" w:eastAsia="Calibri" w:hAnsi="Calibri" w:cs="Calibri"/>
          <w:b/>
          <w:i w:val="0"/>
          <w:color w:val="000000"/>
          <w:sz w:val="20"/>
          <w:u w:val="none"/>
        </w:rPr>
        <w:t>INFORMACIÓN POR SEGMENTO.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77"/>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278" w:name="Section143"/>
      <w:bookmarkEnd w:id="278"/>
      <w:bookmarkStart w:id="279" w:name="0863f457f5724488a5151d24f01fc3e3"/>
      <w:r>
        <w:rPr>
          <w:rFonts w:ascii="Calibri" w:eastAsia="Calibri" w:hAnsi="Calibri" w:cs="Calibri"/>
          <w:b/>
          <w:i w:val="0"/>
          <w:color w:val="000000"/>
          <w:sz w:val="20"/>
          <w:u w:val="none"/>
        </w:rPr>
        <w:t>32.1.-</w:t>
      </w:r>
      <w:r>
        <w:rPr>
          <w:rFonts w:ascii="Calibri" w:eastAsia="Calibri" w:hAnsi="Calibri" w:cs="Calibri"/>
          <w:b/>
          <w:i w:val="0"/>
          <w:color w:val="000000"/>
          <w:sz w:val="20"/>
          <w:u w:val="none"/>
        </w:rPr>
        <w:tab/>
      </w:r>
      <w:r>
        <w:rPr>
          <w:rFonts w:ascii="Calibri" w:eastAsia="Calibri" w:hAnsi="Calibri" w:cs="Calibri"/>
          <w:b/>
          <w:i w:val="0"/>
          <w:color w:val="000000"/>
          <w:sz w:val="20"/>
          <w:u w:val="none"/>
        </w:rPr>
        <w:t>Criterios de segmentación.</w:t>
      </w:r>
    </w:p>
    <w:p>
      <w:pPr>
        <w:keepNext w:val="0"/>
        <w:keepLines/>
        <w:pageBreakBefore w:val="0"/>
        <w:widowControl w:val="0"/>
        <w:numPr>
          <w:ilvl w:val="0"/>
          <w:numId w:val="0"/>
        </w:numPr>
        <w:spacing w:before="0" w:after="0" w:line="288" w:lineRule="auto"/>
        <w:ind w:left="708" w:right="0" w:firstLine="0"/>
        <w:jc w:val="both"/>
        <w:outlineLvl w:val="9"/>
        <w:rPr>
          <w:rFonts w:ascii="Calibri" w:eastAsia="Calibri" w:hAnsi="Calibri" w:cs="Calibri"/>
          <w:b w:val="0"/>
          <w:i w:val="0"/>
          <w:color w:val="000000"/>
          <w:sz w:val="20"/>
          <w:u w:val="none"/>
        </w:rPr>
      </w:pPr>
      <w:bookmarkEnd w:id="279"/>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gerencia ha determinado los segmentos operativos sobre la base de los informes revisados por el comité ejecutivo estratégico. El comité considera el negocio desde una perspectiva asociada al tipo de servicio o producto vendido (electricidad en Chile y servicios).</w:t>
      </w:r>
    </w:p>
    <w:p>
      <w:pPr>
        <w:keepNext w:val="0"/>
        <w:keepLines/>
        <w:pageBreakBefore w:val="0"/>
        <w:widowControl w:val="0"/>
        <w:numPr>
          <w:ilvl w:val="0"/>
          <w:numId w:val="0"/>
        </w:numPr>
        <w:spacing w:before="0" w:after="0" w:line="288" w:lineRule="auto"/>
        <w:ind w:left="141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 xml:space="preserve">Los segmentos operativos reportables derivan sus ingresos principalmente de la transmisión de energía eléctrica y en el segmento de servicios de la fabricación y venta de transformadores y servicios de mantención, diagnóstico y ensayo de transformadores. En relación con las características del negocio de dichos segmentos (ver nota 2). </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Los indicadores utilizados por el comité ejecutivo para la medición de desempeño y asignación de recursos a cada segmento están vinculados con el margen de cada actividad y su EBITDA (Donde Ebitda se determina como (+) Ganancias (pérdidas) de actividades operacionales (+) Depreciación y retiros (+) Amortización).</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La información por segmentos que se entrega al comité ejecutivo estratégico de los segmentos reportables a nivel de estado de situación, estado de resultados por función y el estado de flujo de efectivo, es la siguiente:</w:t>
      </w:r>
    </w:p>
    <w:p>
      <w:pPr>
        <w:keepNext w:val="0"/>
        <w:keepLines/>
        <w:pageBreakBefore w:val="0"/>
        <w:widowControl w:val="0"/>
        <w:numPr>
          <w:ilvl w:val="0"/>
          <w:numId w:val="0"/>
        </w:numPr>
        <w:spacing w:before="0" w:after="0" w:line="240" w:lineRule="exact"/>
        <w:ind w:left="1417"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280" w:name="Section144"/>
      <w:bookmarkEnd w:id="280"/>
      <w:bookmarkStart w:id="281" w:name="6717221ddc1449b59c45bf21e5241b06"/>
      <w:r>
        <w:rPr>
          <w:rFonts w:ascii="Calibri" w:eastAsia="Calibri" w:hAnsi="Calibri" w:cs="Calibri"/>
          <w:b/>
          <w:i w:val="0"/>
          <w:color w:val="000000"/>
          <w:sz w:val="20"/>
          <w:u w:val="none"/>
        </w:rPr>
        <w:t>32.2.-</w:t>
      </w:r>
      <w:r>
        <w:rPr>
          <w:rFonts w:ascii="Calibri" w:eastAsia="Calibri" w:hAnsi="Calibri" w:cs="Calibri"/>
          <w:b/>
          <w:i w:val="0"/>
          <w:color w:val="000000"/>
          <w:sz w:val="20"/>
          <w:u w:val="none"/>
        </w:rPr>
        <w:tab/>
      </w:r>
      <w:r>
        <w:rPr>
          <w:rFonts w:ascii="Calibri" w:eastAsia="Calibri" w:hAnsi="Calibri" w:cs="Calibri"/>
          <w:b/>
          <w:i w:val="0"/>
          <w:color w:val="000000"/>
          <w:sz w:val="20"/>
          <w:u w:val="none"/>
        </w:rPr>
        <w:t>Cuadros patrimoniales.</w:t>
      </w:r>
    </w:p>
    <w:p>
      <w:pPr>
        <w:keepNext w:val="0"/>
        <w:keepLines/>
        <w:pageBreakBefore w:val="0"/>
        <w:widowControl w:val="0"/>
        <w:numPr>
          <w:ilvl w:val="0"/>
          <w:numId w:val="0"/>
        </w:numPr>
        <w:spacing w:before="0" w:after="0" w:line="288" w:lineRule="auto"/>
        <w:ind w:left="0" w:right="0" w:firstLine="708"/>
        <w:jc w:val="both"/>
        <w:outlineLvl w:val="9"/>
        <w:rPr>
          <w:rFonts w:ascii="Calibri" w:eastAsia="Calibri" w:hAnsi="Calibri" w:cs="Calibri"/>
          <w:b w:val="0"/>
          <w:i w:val="0"/>
          <w:color w:val="000000"/>
          <w:sz w:val="20"/>
          <w:u w:val="none"/>
        </w:rPr>
      </w:pPr>
      <w:bookmarkEnd w:id="281"/>
    </w:p>
    <w:p>
      <w:pPr>
        <w:pStyle w:val="Normal-wk"/>
        <w:keepNext w:val="0"/>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32.2.1.-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Activos por segmentos.</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p>
    <w:tbl>
      <w:tblPr>
        <w:tblW w:w="1212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080"/>
        <w:gridCol w:w="1005"/>
        <w:gridCol w:w="1005"/>
        <w:gridCol w:w="1005"/>
        <w:gridCol w:w="1005"/>
        <w:gridCol w:w="1005"/>
        <w:gridCol w:w="1005"/>
        <w:gridCol w:w="1005"/>
        <w:gridCol w:w="1005"/>
      </w:tblGrid>
      <w:tr>
        <w:tblPrEx>
          <w:tblW w:w="12120" w:type="dxa"/>
          <w:tblInd w:w="1417" w:type="dxa"/>
          <w:tblLayout w:type="fixed"/>
        </w:tblPrEx>
        <w:trPr>
          <w:cantSplit/>
          <w:trHeight w:hRule="auto" w:val="0"/>
          <w:tblHeader/>
        </w:trPr>
        <w:tc>
          <w:tcPr>
            <w:tcW w:w="408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ACTIVOS</w:t>
            </w:r>
          </w:p>
        </w:tc>
        <w:tc>
          <w:tcPr>
            <w:tcW w:w="2010"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Eléctrico Chile</w:t>
            </w:r>
          </w:p>
        </w:tc>
        <w:tc>
          <w:tcPr>
            <w:tcW w:w="2010"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Servicios</w:t>
            </w:r>
          </w:p>
        </w:tc>
        <w:tc>
          <w:tcPr>
            <w:tcW w:w="2010"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Ajustes de consolidación</w:t>
            </w:r>
          </w:p>
        </w:tc>
        <w:tc>
          <w:tcPr>
            <w:tcW w:w="201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Consolidado</w:t>
            </w:r>
          </w:p>
        </w:tc>
      </w:tr>
      <w:tr>
        <w:tblPrEx>
          <w:tblW w:w="12120" w:type="dxa"/>
          <w:tblInd w:w="1417" w:type="dxa"/>
          <w:tblLayout w:type="fixed"/>
        </w:tblPrEx>
        <w:trPr>
          <w:cantSplit/>
          <w:trHeight w:hRule="auto" w:val="0"/>
          <w:tblHeader/>
        </w:trPr>
        <w:tc>
          <w:tcPr>
            <w:tcW w:w="4080" w:type="dxa"/>
            <w:vMerge/>
            <w:tcBorders>
              <w:top w:val="nil"/>
              <w:left w:val="single" w:sz="2" w:space="0" w:color="000000"/>
              <w:bottom w:val="nil"/>
              <w:right w:val="nil"/>
            </w:tcBorders>
          </w:tcPr>
          <w:p>
            <w:pPr>
              <w:keepNext/>
              <w:pageBreakBefore w:val="0"/>
            </w:pP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30-06-2026</w:t>
            </w:r>
          </w:p>
        </w:tc>
        <w:tc>
          <w:tcPr>
            <w:tcW w:w="10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31-12-2025</w:t>
            </w: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30-06-2026</w:t>
            </w:r>
          </w:p>
        </w:tc>
        <w:tc>
          <w:tcPr>
            <w:tcW w:w="10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31-12-2025</w:t>
            </w: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30-06-2026</w:t>
            </w:r>
          </w:p>
        </w:tc>
        <w:tc>
          <w:tcPr>
            <w:tcW w:w="10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31-12-2025</w:t>
            </w: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30-06-2026</w:t>
            </w:r>
          </w:p>
        </w:tc>
        <w:tc>
          <w:tcPr>
            <w:tcW w:w="100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31-12-2025</w:t>
            </w:r>
          </w:p>
        </w:tc>
      </w:tr>
      <w:tr>
        <w:tblPrEx>
          <w:tblW w:w="12120" w:type="dxa"/>
          <w:tblInd w:w="1417" w:type="dxa"/>
          <w:tblLayout w:type="fixed"/>
        </w:tblPrEx>
        <w:trPr>
          <w:cantSplit/>
          <w:trHeight w:hRule="auto" w:val="0"/>
          <w:tblHeader/>
        </w:trPr>
        <w:tc>
          <w:tcPr>
            <w:tcW w:w="4080" w:type="dxa"/>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100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r>
      <w:tr>
        <w:tblPrEx>
          <w:tblW w:w="12120" w:type="dxa"/>
          <w:tblInd w:w="1417" w:type="dxa"/>
          <w:tblLayout w:type="fixed"/>
        </w:tblPrEx>
        <w:trPr>
          <w:cantSplit/>
          <w:trHeight w:hRule="exact" w:val="60"/>
          <w:tblHeader/>
        </w:trPr>
        <w:tc>
          <w:tcPr>
            <w:tcW w:w="40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12120" w:type="dxa"/>
          <w:tblInd w:w="1417" w:type="dxa"/>
          <w:tblLayout w:type="fixed"/>
        </w:tblPrEx>
        <w:trPr>
          <w:cantSplit/>
          <w:trHeight w:hRule="auto" w:val="0"/>
          <w:tblHeader/>
        </w:trPr>
        <w:tc>
          <w:tcPr>
            <w:tcW w:w="4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ACTIVOS CORRIENTES</w:t>
            </w:r>
          </w:p>
        </w:tc>
        <w:tc>
          <w:tcPr>
            <w:tcW w:w="100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2120" w:type="dxa"/>
          <w:tblInd w:w="1417" w:type="dxa"/>
          <w:tblLayout w:type="fixed"/>
        </w:tblPrEx>
        <w:trPr>
          <w:cantSplit/>
          <w:trHeight w:hRule="auto" w:val="0"/>
          <w:tblHeader/>
        </w:trPr>
        <w:tc>
          <w:tcPr>
            <w:tcW w:w="4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Efectivo y equivalentes al efectivo.</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894.117</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787.831</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1005" w:type="dxa"/>
            <w:tcBorders>
              <w:top w:val="single" w:sz="2" w:space="0" w:color="000000"/>
              <w:left w:val="single" w:sz="4" w:space="0" w:color="FFFFFF"/>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1.681.948</w:t>
            </w:r>
          </w:p>
        </w:tc>
      </w:tr>
      <w:tr>
        <w:tblPrEx>
          <w:tblW w:w="12120" w:type="dxa"/>
          <w:tblInd w:w="1417" w:type="dxa"/>
          <w:tblLayout w:type="fixed"/>
        </w:tblPrEx>
        <w:trPr>
          <w:cantSplit/>
          <w:trHeight w:hRule="auto" w:val="0"/>
          <w:tblHeader/>
        </w:trPr>
        <w:tc>
          <w:tcPr>
            <w:tcW w:w="4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Otros activos financieros corrientes.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18.720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1005" w:type="dxa"/>
            <w:tcBorders>
              <w:top w:val="single" w:sz="4" w:space="0" w:color="FFFFFF"/>
              <w:left w:val="single" w:sz="4" w:space="0" w:color="FFFFFF"/>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18.720</w:t>
            </w:r>
          </w:p>
        </w:tc>
      </w:tr>
      <w:tr>
        <w:tblPrEx>
          <w:tblW w:w="12120" w:type="dxa"/>
          <w:tblInd w:w="1417" w:type="dxa"/>
          <w:tblLayout w:type="fixed"/>
        </w:tblPrEx>
        <w:trPr>
          <w:cantSplit/>
          <w:trHeight w:hRule="auto" w:val="0"/>
        </w:trPr>
        <w:tc>
          <w:tcPr>
            <w:tcW w:w="4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Otros activos no financieros corrientes.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1.622.662</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42.363</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1005" w:type="dxa"/>
            <w:tcBorders>
              <w:top w:val="single" w:sz="4" w:space="0" w:color="FFFFFF"/>
              <w:left w:val="single" w:sz="4" w:space="0" w:color="FFFFFF"/>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1.665.025</w:t>
            </w:r>
          </w:p>
        </w:tc>
      </w:tr>
      <w:tr>
        <w:tblPrEx>
          <w:tblW w:w="12120" w:type="dxa"/>
          <w:tblInd w:w="1417" w:type="dxa"/>
          <w:tblLayout w:type="fixed"/>
        </w:tblPrEx>
        <w:trPr>
          <w:cantSplit/>
          <w:trHeight w:hRule="auto" w:val="0"/>
        </w:trPr>
        <w:tc>
          <w:tcPr>
            <w:tcW w:w="4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Deudores comerciales y otras cuentas por cobrar corrientes.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51.069.187</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4.334.868</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1005" w:type="dxa"/>
            <w:tcBorders>
              <w:top w:val="single" w:sz="4" w:space="0" w:color="FFFFFF"/>
              <w:left w:val="single" w:sz="4" w:space="0" w:color="FFFFFF"/>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55.404.055</w:t>
            </w:r>
          </w:p>
        </w:tc>
      </w:tr>
      <w:tr>
        <w:tblPrEx>
          <w:tblW w:w="12120" w:type="dxa"/>
          <w:tblInd w:w="1417" w:type="dxa"/>
          <w:tblLayout w:type="fixed"/>
        </w:tblPrEx>
        <w:trPr>
          <w:cantSplit/>
          <w:trHeight w:hRule="auto" w:val="0"/>
        </w:trPr>
        <w:tc>
          <w:tcPr>
            <w:tcW w:w="4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Cuentas por cobrar a entidades relacionadas, corrientes.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41.919.606</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4.994.080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(7.990.546)</w:t>
            </w:r>
          </w:p>
        </w:tc>
        <w:tc>
          <w:tcPr>
            <w:tcW w:w="100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1005" w:type="dxa"/>
            <w:tcBorders>
              <w:top w:val="single" w:sz="4" w:space="0" w:color="FFFFFF"/>
              <w:left w:val="single" w:sz="4" w:space="0" w:color="FFFFFF"/>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38.923.140</w:t>
            </w:r>
          </w:p>
        </w:tc>
      </w:tr>
      <w:tr>
        <w:tblPrEx>
          <w:tblW w:w="12120" w:type="dxa"/>
          <w:tblInd w:w="1417" w:type="dxa"/>
          <w:tblLayout w:type="fixed"/>
        </w:tblPrEx>
        <w:trPr>
          <w:cantSplit/>
          <w:trHeight w:hRule="auto" w:val="0"/>
        </w:trPr>
        <w:tc>
          <w:tcPr>
            <w:tcW w:w="4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Inventarios corrientes.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14.061.757</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1005" w:type="dxa"/>
            <w:tcBorders>
              <w:top w:val="single" w:sz="4" w:space="0" w:color="FFFFFF"/>
              <w:left w:val="single" w:sz="4" w:space="0" w:color="FFFFFF"/>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14.061.757</w:t>
            </w:r>
          </w:p>
        </w:tc>
      </w:tr>
      <w:tr>
        <w:tblPrEx>
          <w:tblW w:w="12120" w:type="dxa"/>
          <w:tblInd w:w="1417" w:type="dxa"/>
          <w:tblLayout w:type="fixed"/>
        </w:tblPrEx>
        <w:trPr>
          <w:cantSplit/>
          <w:trHeight w:hRule="auto" w:val="0"/>
        </w:trPr>
        <w:tc>
          <w:tcPr>
            <w:tcW w:w="4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Activos por impuestos corrientes.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312.556</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(312.556)</w:t>
            </w:r>
          </w:p>
        </w:tc>
        <w:tc>
          <w:tcPr>
            <w:tcW w:w="1005" w:type="dxa"/>
            <w:tcBorders>
              <w:top w:val="single" w:sz="4" w:space="0" w:color="FFFFFF"/>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1005" w:type="dxa"/>
            <w:tcBorders>
              <w:top w:val="single" w:sz="4" w:space="0" w:color="FFFFFF"/>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r>
      <w:tr>
        <w:tblPrEx>
          <w:tblW w:w="12120" w:type="dxa"/>
          <w:tblInd w:w="1417" w:type="dxa"/>
          <w:tblLayout w:type="fixed"/>
        </w:tblPrEx>
        <w:trPr>
          <w:cantSplit/>
          <w:trHeight w:hRule="auto" w:val="0"/>
        </w:trPr>
        <w:tc>
          <w:tcPr>
            <w:tcW w:w="40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2120" w:type="dxa"/>
          <w:tblInd w:w="1417" w:type="dxa"/>
          <w:tblLayout w:type="fixed"/>
        </w:tblPrEx>
        <w:trPr>
          <w:cantSplit/>
          <w:trHeight w:hRule="exact" w:val="225"/>
        </w:trPr>
        <w:tc>
          <w:tcPr>
            <w:tcW w:w="4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Activos corrientes totales</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95.836.848</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24.220.899</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(8.303.102)</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111.754.645</w:t>
            </w:r>
          </w:p>
        </w:tc>
      </w:tr>
      <w:tr>
        <w:tblPrEx>
          <w:tblW w:w="12120" w:type="dxa"/>
          <w:tblInd w:w="1417" w:type="dxa"/>
          <w:tblLayout w:type="fixed"/>
        </w:tblPrEx>
        <w:trPr>
          <w:cantSplit/>
          <w:trHeight w:hRule="auto" w:val="0"/>
        </w:trPr>
        <w:tc>
          <w:tcPr>
            <w:tcW w:w="40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12120" w:type="dxa"/>
          <w:tblInd w:w="1417" w:type="dxa"/>
          <w:tblLayout w:type="fixed"/>
        </w:tblPrEx>
        <w:trPr>
          <w:cantSplit/>
          <w:trHeight w:hRule="exact" w:val="225"/>
        </w:trPr>
        <w:tc>
          <w:tcPr>
            <w:tcW w:w="4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ACTIVOS NO CORRIENTES</w:t>
            </w:r>
          </w:p>
        </w:tc>
        <w:tc>
          <w:tcPr>
            <w:tcW w:w="100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2120" w:type="dxa"/>
          <w:tblInd w:w="1417" w:type="dxa"/>
          <w:tblLayout w:type="fixed"/>
        </w:tblPrEx>
        <w:trPr>
          <w:cantSplit/>
          <w:trHeight w:hRule="auto" w:val="0"/>
        </w:trPr>
        <w:tc>
          <w:tcPr>
            <w:tcW w:w="4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Otros activos financieros no corrientes.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247.069</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1005" w:type="dxa"/>
            <w:tcBorders>
              <w:top w:val="single" w:sz="2" w:space="0" w:color="000000"/>
              <w:left w:val="single" w:sz="4" w:space="0" w:color="FFFFFF"/>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247.069</w:t>
            </w:r>
          </w:p>
        </w:tc>
      </w:tr>
      <w:tr>
        <w:tblPrEx>
          <w:tblW w:w="12120" w:type="dxa"/>
          <w:tblInd w:w="1417" w:type="dxa"/>
          <w:tblLayout w:type="fixed"/>
        </w:tblPrEx>
        <w:trPr>
          <w:cantSplit/>
          <w:trHeight w:hRule="exact" w:val="225"/>
        </w:trPr>
        <w:tc>
          <w:tcPr>
            <w:tcW w:w="4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Cuentas por cobrar no corrientes.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16.428</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1005" w:type="dxa"/>
            <w:tcBorders>
              <w:top w:val="single" w:sz="4" w:space="0" w:color="FFFFFF"/>
              <w:left w:val="single" w:sz="4" w:space="0" w:color="FFFFFF"/>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16.428</w:t>
            </w:r>
          </w:p>
        </w:tc>
      </w:tr>
      <w:tr>
        <w:tblPrEx>
          <w:tblW w:w="12120" w:type="dxa"/>
          <w:tblInd w:w="1417" w:type="dxa"/>
          <w:tblLayout w:type="fixed"/>
        </w:tblPrEx>
        <w:trPr>
          <w:cantSplit/>
          <w:trHeight w:hRule="auto" w:val="0"/>
        </w:trPr>
        <w:tc>
          <w:tcPr>
            <w:tcW w:w="4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Inversiones contabilizadas utilizando el método de la participación.</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19.426.003</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(19.426.003)</w:t>
            </w:r>
          </w:p>
        </w:tc>
        <w:tc>
          <w:tcPr>
            <w:tcW w:w="100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1005" w:type="dxa"/>
            <w:tcBorders>
              <w:top w:val="single" w:sz="4" w:space="0" w:color="FFFFFF"/>
              <w:left w:val="single" w:sz="4" w:space="0" w:color="FFFFFF"/>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r>
      <w:tr>
        <w:tblPrEx>
          <w:tblW w:w="12120" w:type="dxa"/>
          <w:tblInd w:w="1417" w:type="dxa"/>
          <w:tblLayout w:type="fixed"/>
        </w:tblPrEx>
        <w:trPr>
          <w:cantSplit/>
          <w:trHeight w:hRule="exact" w:val="225"/>
        </w:trPr>
        <w:tc>
          <w:tcPr>
            <w:tcW w:w="4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Activos intangibles distintos de la plusvalía.</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249.070.947</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53.552</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1005" w:type="dxa"/>
            <w:tcBorders>
              <w:top w:val="single" w:sz="4" w:space="0" w:color="FFFFFF"/>
              <w:left w:val="single" w:sz="4" w:space="0" w:color="FFFFFF"/>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249.124.499</w:t>
            </w:r>
          </w:p>
        </w:tc>
      </w:tr>
      <w:tr>
        <w:tblPrEx>
          <w:tblW w:w="12120" w:type="dxa"/>
          <w:tblInd w:w="1417" w:type="dxa"/>
          <w:tblLayout w:type="fixed"/>
        </w:tblPrEx>
        <w:trPr>
          <w:cantSplit/>
          <w:trHeight w:hRule="auto" w:val="0"/>
        </w:trPr>
        <w:tc>
          <w:tcPr>
            <w:tcW w:w="4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Plusvalía.</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61.388.000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1005" w:type="dxa"/>
            <w:tcBorders>
              <w:top w:val="single" w:sz="4" w:space="0" w:color="FFFFFF"/>
              <w:left w:val="single" w:sz="4" w:space="0" w:color="FFFFFF"/>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61.388.000</w:t>
            </w:r>
          </w:p>
        </w:tc>
      </w:tr>
      <w:tr>
        <w:tblPrEx>
          <w:tblW w:w="12120" w:type="dxa"/>
          <w:tblInd w:w="1417" w:type="dxa"/>
          <w:tblLayout w:type="fixed"/>
        </w:tblPrEx>
        <w:trPr>
          <w:cantSplit/>
          <w:trHeight w:hRule="auto" w:val="0"/>
        </w:trPr>
        <w:tc>
          <w:tcPr>
            <w:tcW w:w="4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Propiedades, planta y equipo.</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872.089.507</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6.094.410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1005" w:type="dxa"/>
            <w:tcBorders>
              <w:top w:val="single" w:sz="4" w:space="0" w:color="FFFFFF"/>
              <w:left w:val="single" w:sz="4" w:space="0" w:color="FFFFFF"/>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878.183.917</w:t>
            </w:r>
          </w:p>
        </w:tc>
      </w:tr>
      <w:tr>
        <w:tblPrEx>
          <w:tblW w:w="12120" w:type="dxa"/>
          <w:tblInd w:w="1417" w:type="dxa"/>
          <w:tblLayout w:type="fixed"/>
        </w:tblPrEx>
        <w:trPr>
          <w:cantSplit/>
          <w:trHeight w:hRule="auto" w:val="0"/>
        </w:trPr>
        <w:tc>
          <w:tcPr>
            <w:tcW w:w="4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Propiedad de inversión.</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14.927.470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1005" w:type="dxa"/>
            <w:tcBorders>
              <w:top w:val="single" w:sz="4" w:space="0" w:color="FFFFFF"/>
              <w:left w:val="single" w:sz="4" w:space="0" w:color="FFFFFF"/>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14.927.470</w:t>
            </w:r>
          </w:p>
        </w:tc>
      </w:tr>
      <w:tr>
        <w:tblPrEx>
          <w:tblW w:w="12120" w:type="dxa"/>
          <w:tblInd w:w="1417" w:type="dxa"/>
          <w:tblLayout w:type="fixed"/>
        </w:tblPrEx>
        <w:trPr>
          <w:cantSplit/>
          <w:trHeight w:hRule="auto" w:val="0"/>
        </w:trPr>
        <w:tc>
          <w:tcPr>
            <w:tcW w:w="4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Activos por derecho de uso</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577.789</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1005" w:type="dxa"/>
            <w:tcBorders>
              <w:top w:val="single" w:sz="4" w:space="0" w:color="FFFFFF"/>
              <w:left w:val="single" w:sz="4" w:space="0" w:color="FFFFFF"/>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577.789</w:t>
            </w:r>
          </w:p>
        </w:tc>
      </w:tr>
      <w:tr>
        <w:tblPrEx>
          <w:tblW w:w="12120" w:type="dxa"/>
          <w:tblInd w:w="1417" w:type="dxa"/>
          <w:tblLayout w:type="fixed"/>
        </w:tblPrEx>
        <w:trPr>
          <w:cantSplit/>
          <w:trHeight w:hRule="auto" w:val="0"/>
        </w:trPr>
        <w:tc>
          <w:tcPr>
            <w:tcW w:w="4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Activos por impuestos diferidos.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618.449</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316.763</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4" w:space="0" w:color="FFFFFF"/>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1005" w:type="dxa"/>
            <w:tcBorders>
              <w:top w:val="single" w:sz="4" w:space="0" w:color="FFFFFF"/>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935.212</w:t>
            </w:r>
          </w:p>
        </w:tc>
      </w:tr>
      <w:tr>
        <w:tblPrEx>
          <w:tblW w:w="12120" w:type="dxa"/>
          <w:tblInd w:w="1417" w:type="dxa"/>
          <w:tblLayout w:type="fixed"/>
        </w:tblPrEx>
        <w:trPr>
          <w:cantSplit/>
          <w:trHeight w:hRule="auto" w:val="0"/>
        </w:trPr>
        <w:tc>
          <w:tcPr>
            <w:tcW w:w="40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2120" w:type="dxa"/>
          <w:tblInd w:w="1417" w:type="dxa"/>
          <w:tblLayout w:type="fixed"/>
        </w:tblPrEx>
        <w:trPr>
          <w:cantSplit/>
          <w:trHeight w:hRule="auto" w:val="0"/>
        </w:trPr>
        <w:tc>
          <w:tcPr>
            <w:tcW w:w="4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Activos no corrientes totales</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1.218.361.662</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6.464.725</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(19.426.003)</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1.205.400.384</w:t>
            </w:r>
          </w:p>
        </w:tc>
      </w:tr>
      <w:tr>
        <w:tblPrEx>
          <w:tblW w:w="12120" w:type="dxa"/>
          <w:tblInd w:w="1417" w:type="dxa"/>
          <w:tblLayout w:type="fixed"/>
        </w:tblPrEx>
        <w:trPr>
          <w:cantSplit/>
          <w:trHeight w:hRule="auto" w:val="0"/>
        </w:trPr>
        <w:tc>
          <w:tcPr>
            <w:tcW w:w="40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2120" w:type="dxa"/>
          <w:tblInd w:w="1417" w:type="dxa"/>
          <w:tblLayout w:type="fixed"/>
        </w:tblPrEx>
        <w:trPr>
          <w:cantSplit/>
          <w:trHeight w:hRule="auto" w:val="0"/>
        </w:trPr>
        <w:tc>
          <w:tcPr>
            <w:tcW w:w="4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2"/>
                <w:u w:val="none"/>
              </w:rPr>
              <w:t>TOTAL DE ACTIVOS</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1.314.198.510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30.685.624</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(27.729.105)</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0</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1.317.155.029</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32.2.2.-</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Pasivos y Patrimonio por segmentos.</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p>
    <w:tbl>
      <w:tblPr>
        <w:tblW w:w="121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110"/>
        <w:gridCol w:w="1005"/>
        <w:gridCol w:w="1005"/>
        <w:gridCol w:w="1005"/>
        <w:gridCol w:w="1005"/>
        <w:gridCol w:w="1005"/>
        <w:gridCol w:w="1005"/>
        <w:gridCol w:w="1005"/>
        <w:gridCol w:w="1005"/>
      </w:tblGrid>
      <w:tr>
        <w:tblPrEx>
          <w:tblW w:w="12150" w:type="dxa"/>
          <w:tblInd w:w="1417" w:type="dxa"/>
          <w:tblLayout w:type="fixed"/>
        </w:tblPrEx>
        <w:trPr>
          <w:cantSplit/>
          <w:trHeight w:hRule="auto" w:val="0"/>
          <w:tblHeader/>
        </w:trPr>
        <w:tc>
          <w:tcPr>
            <w:tcW w:w="411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PASIVOS</w:t>
            </w:r>
          </w:p>
        </w:tc>
        <w:tc>
          <w:tcPr>
            <w:tcW w:w="2010"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Eléctrico Chile</w:t>
            </w:r>
          </w:p>
        </w:tc>
        <w:tc>
          <w:tcPr>
            <w:tcW w:w="2010"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Servicios</w:t>
            </w:r>
          </w:p>
        </w:tc>
        <w:tc>
          <w:tcPr>
            <w:tcW w:w="2010"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Ajustes de consolidación</w:t>
            </w:r>
          </w:p>
        </w:tc>
        <w:tc>
          <w:tcPr>
            <w:tcW w:w="201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Consolidado</w:t>
            </w:r>
          </w:p>
        </w:tc>
      </w:tr>
      <w:tr>
        <w:tblPrEx>
          <w:tblW w:w="12150" w:type="dxa"/>
          <w:tblInd w:w="1417" w:type="dxa"/>
          <w:tblLayout w:type="fixed"/>
        </w:tblPrEx>
        <w:trPr>
          <w:cantSplit/>
          <w:trHeight w:hRule="auto" w:val="0"/>
          <w:tblHeader/>
        </w:trPr>
        <w:tc>
          <w:tcPr>
            <w:tcW w:w="4110" w:type="dxa"/>
            <w:vMerge/>
            <w:tcBorders>
              <w:top w:val="nil"/>
              <w:left w:val="single" w:sz="2" w:space="0" w:color="000000"/>
              <w:bottom w:val="nil"/>
              <w:right w:val="nil"/>
            </w:tcBorders>
          </w:tcPr>
          <w:p>
            <w:pPr>
              <w:keepNext/>
              <w:pageBreakBefore w:val="0"/>
            </w:pP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30-06-2026</w:t>
            </w:r>
          </w:p>
        </w:tc>
        <w:tc>
          <w:tcPr>
            <w:tcW w:w="10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31-12-2025</w:t>
            </w: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30-06-2026</w:t>
            </w:r>
          </w:p>
        </w:tc>
        <w:tc>
          <w:tcPr>
            <w:tcW w:w="10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31-12-2025</w:t>
            </w: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30-06-2026</w:t>
            </w:r>
          </w:p>
        </w:tc>
        <w:tc>
          <w:tcPr>
            <w:tcW w:w="10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31-12-2025</w:t>
            </w: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30-06-2026</w:t>
            </w:r>
          </w:p>
        </w:tc>
        <w:tc>
          <w:tcPr>
            <w:tcW w:w="100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31-12-2025</w:t>
            </w:r>
          </w:p>
        </w:tc>
      </w:tr>
      <w:tr>
        <w:tblPrEx>
          <w:tblW w:w="12150" w:type="dxa"/>
          <w:tblInd w:w="1417" w:type="dxa"/>
          <w:tblLayout w:type="fixed"/>
        </w:tblPrEx>
        <w:trPr>
          <w:cantSplit/>
          <w:trHeight w:hRule="auto" w:val="0"/>
          <w:tblHeader/>
        </w:trPr>
        <w:tc>
          <w:tcPr>
            <w:tcW w:w="4110" w:type="dxa"/>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100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r>
      <w:tr>
        <w:tblPrEx>
          <w:tblW w:w="12150" w:type="dxa"/>
          <w:tblInd w:w="1417" w:type="dxa"/>
          <w:tblLayout w:type="fixed"/>
        </w:tblPrEx>
        <w:trPr>
          <w:cantSplit/>
          <w:trHeight w:hRule="exact" w:val="60"/>
          <w:tblHeader/>
        </w:trPr>
        <w:tc>
          <w:tcPr>
            <w:tcW w:w="411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12150" w:type="dxa"/>
          <w:tblInd w:w="1417" w:type="dxa"/>
          <w:tblLayout w:type="fixed"/>
        </w:tblPrEx>
        <w:trPr>
          <w:cantSplit/>
          <w:trHeight w:hRule="auto" w:val="0"/>
          <w:tblHeader/>
        </w:trPr>
        <w:tc>
          <w:tcPr>
            <w:tcW w:w="411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PASIVOS CORRIENTES</w:t>
            </w:r>
          </w:p>
        </w:tc>
        <w:tc>
          <w:tcPr>
            <w:tcW w:w="100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2150" w:type="dxa"/>
          <w:tblInd w:w="1417" w:type="dxa"/>
          <w:tblLayout w:type="fixed"/>
        </w:tblPrEx>
        <w:trPr>
          <w:cantSplit/>
          <w:trHeight w:hRule="auto" w:val="0"/>
          <w:tblHeader/>
        </w:trPr>
        <w:tc>
          <w:tcPr>
            <w:tcW w:w="411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Otros pasivos financieros corrientes.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431.377.862</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1005" w:type="dxa"/>
            <w:tcBorders>
              <w:top w:val="single" w:sz="2" w:space="0" w:color="000000"/>
              <w:left w:val="single" w:sz="4" w:space="0" w:color="FFFFFF"/>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431.377.862</w:t>
            </w:r>
          </w:p>
        </w:tc>
      </w:tr>
      <w:tr>
        <w:tblPrEx>
          <w:tblW w:w="12150" w:type="dxa"/>
          <w:tblInd w:w="1417" w:type="dxa"/>
          <w:tblLayout w:type="fixed"/>
        </w:tblPrEx>
        <w:trPr>
          <w:cantSplit/>
          <w:trHeight w:hRule="auto" w:val="0"/>
          <w:tblHeader/>
        </w:trPr>
        <w:tc>
          <w:tcPr>
            <w:tcW w:w="411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Pasivos por arrendamientos corrientes.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339.577</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1005" w:type="dxa"/>
            <w:tcBorders>
              <w:top w:val="single" w:sz="4" w:space="0" w:color="FFFFFF"/>
              <w:left w:val="single" w:sz="4" w:space="0" w:color="FFFFFF"/>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339.577</w:t>
            </w:r>
          </w:p>
        </w:tc>
      </w:tr>
      <w:tr>
        <w:tblPrEx>
          <w:tblW w:w="12150" w:type="dxa"/>
          <w:tblInd w:w="1417" w:type="dxa"/>
          <w:tblLayout w:type="fixed"/>
        </w:tblPrEx>
        <w:trPr>
          <w:cantSplit/>
          <w:trHeight w:hRule="auto" w:val="0"/>
        </w:trPr>
        <w:tc>
          <w:tcPr>
            <w:tcW w:w="411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Cuentas por pagar comerciales y otras cuentas por pagar</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35.525.801</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7.167.136</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(20.474)</w:t>
            </w:r>
          </w:p>
        </w:tc>
        <w:tc>
          <w:tcPr>
            <w:tcW w:w="100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1005" w:type="dxa"/>
            <w:tcBorders>
              <w:top w:val="single" w:sz="4" w:space="0" w:color="FFFFFF"/>
              <w:left w:val="single" w:sz="4" w:space="0" w:color="FFFFFF"/>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42.672.463</w:t>
            </w:r>
          </w:p>
        </w:tc>
      </w:tr>
      <w:tr>
        <w:tblPrEx>
          <w:tblW w:w="12150" w:type="dxa"/>
          <w:tblInd w:w="1417" w:type="dxa"/>
          <w:tblLayout w:type="fixed"/>
        </w:tblPrEx>
        <w:trPr>
          <w:cantSplit/>
          <w:trHeight w:hRule="auto" w:val="0"/>
        </w:trPr>
        <w:tc>
          <w:tcPr>
            <w:tcW w:w="411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Cuentas por pagar a entidades relacionadas, corrientes.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22.023.399</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7.290.626</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(7.970.073)</w:t>
            </w:r>
          </w:p>
        </w:tc>
        <w:tc>
          <w:tcPr>
            <w:tcW w:w="100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1005" w:type="dxa"/>
            <w:tcBorders>
              <w:top w:val="single" w:sz="4" w:space="0" w:color="FFFFFF"/>
              <w:left w:val="single" w:sz="4" w:space="0" w:color="FFFFFF"/>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21.343.952</w:t>
            </w:r>
          </w:p>
        </w:tc>
      </w:tr>
      <w:tr>
        <w:tblPrEx>
          <w:tblW w:w="12150" w:type="dxa"/>
          <w:tblInd w:w="1417" w:type="dxa"/>
          <w:tblLayout w:type="fixed"/>
        </w:tblPrEx>
        <w:trPr>
          <w:cantSplit/>
          <w:trHeight w:hRule="auto" w:val="0"/>
        </w:trPr>
        <w:tc>
          <w:tcPr>
            <w:tcW w:w="411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Otras provisiones a corto plazo.</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6.789.317</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1005" w:type="dxa"/>
            <w:tcBorders>
              <w:top w:val="single" w:sz="4" w:space="0" w:color="FFFFFF"/>
              <w:left w:val="single" w:sz="4" w:space="0" w:color="FFFFFF"/>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6.789.317</w:t>
            </w:r>
          </w:p>
        </w:tc>
      </w:tr>
      <w:tr>
        <w:tblPrEx>
          <w:tblW w:w="12150" w:type="dxa"/>
          <w:tblInd w:w="1417" w:type="dxa"/>
          <w:tblLayout w:type="fixed"/>
        </w:tblPrEx>
        <w:trPr>
          <w:cantSplit/>
          <w:trHeight w:hRule="auto" w:val="0"/>
        </w:trPr>
        <w:tc>
          <w:tcPr>
            <w:tcW w:w="411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Pasivos por impuestos corrientes.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5.929.071</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497.700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(312.556)</w:t>
            </w:r>
          </w:p>
        </w:tc>
        <w:tc>
          <w:tcPr>
            <w:tcW w:w="100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1005" w:type="dxa"/>
            <w:tcBorders>
              <w:top w:val="single" w:sz="4" w:space="0" w:color="FFFFFF"/>
              <w:left w:val="single" w:sz="4" w:space="0" w:color="FFFFFF"/>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6.114.215</w:t>
            </w:r>
          </w:p>
        </w:tc>
      </w:tr>
      <w:tr>
        <w:tblPrEx>
          <w:tblW w:w="12150" w:type="dxa"/>
          <w:tblInd w:w="1417" w:type="dxa"/>
          <w:tblLayout w:type="fixed"/>
        </w:tblPrEx>
        <w:trPr>
          <w:cantSplit/>
          <w:trHeight w:hRule="auto" w:val="0"/>
        </w:trPr>
        <w:tc>
          <w:tcPr>
            <w:tcW w:w="411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Otros pasivos no financieros corrientes.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548.150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4" w:space="0" w:color="FFFFFF"/>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1005" w:type="dxa"/>
            <w:tcBorders>
              <w:top w:val="single" w:sz="4" w:space="0" w:color="FFFFFF"/>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548.150</w:t>
            </w:r>
          </w:p>
        </w:tc>
      </w:tr>
      <w:tr>
        <w:tblPrEx>
          <w:tblW w:w="12150" w:type="dxa"/>
          <w:tblInd w:w="1417" w:type="dxa"/>
          <w:tblLayout w:type="fixed"/>
        </w:tblPrEx>
        <w:trPr>
          <w:cantSplit/>
          <w:trHeight w:hRule="auto" w:val="0"/>
        </w:trPr>
        <w:tc>
          <w:tcPr>
            <w:tcW w:w="411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2150" w:type="dxa"/>
          <w:tblInd w:w="1417" w:type="dxa"/>
          <w:tblLayout w:type="fixed"/>
        </w:tblPrEx>
        <w:trPr>
          <w:cantSplit/>
          <w:trHeight w:hRule="exact" w:val="225"/>
        </w:trPr>
        <w:tc>
          <w:tcPr>
            <w:tcW w:w="411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Pasivos corrientes totales</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502.533.177</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14.955.462</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(8.303.103)</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509.185.536</w:t>
            </w:r>
          </w:p>
        </w:tc>
      </w:tr>
      <w:tr>
        <w:tblPrEx>
          <w:tblW w:w="12150" w:type="dxa"/>
          <w:tblInd w:w="1417" w:type="dxa"/>
          <w:tblLayout w:type="fixed"/>
        </w:tblPrEx>
        <w:trPr>
          <w:cantSplit/>
          <w:trHeight w:hRule="auto" w:val="0"/>
        </w:trPr>
        <w:tc>
          <w:tcPr>
            <w:tcW w:w="411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12150" w:type="dxa"/>
          <w:tblInd w:w="1417" w:type="dxa"/>
          <w:tblLayout w:type="fixed"/>
        </w:tblPrEx>
        <w:trPr>
          <w:cantSplit/>
          <w:trHeight w:hRule="exact" w:val="225"/>
        </w:trPr>
        <w:tc>
          <w:tcPr>
            <w:tcW w:w="411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PASIVOS NO CORRIENTES</w:t>
            </w:r>
          </w:p>
        </w:tc>
        <w:tc>
          <w:tcPr>
            <w:tcW w:w="100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2150" w:type="dxa"/>
          <w:tblInd w:w="1417" w:type="dxa"/>
          <w:tblLayout w:type="fixed"/>
        </w:tblPrEx>
        <w:trPr>
          <w:cantSplit/>
          <w:trHeight w:hRule="auto" w:val="0"/>
        </w:trPr>
        <w:tc>
          <w:tcPr>
            <w:tcW w:w="411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Otros pasivos financieros no corrientes.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182.063.373</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1005" w:type="dxa"/>
            <w:tcBorders>
              <w:top w:val="single" w:sz="2" w:space="0" w:color="000000"/>
              <w:left w:val="single" w:sz="4" w:space="0" w:color="FFFFFF"/>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182.063.373</w:t>
            </w:r>
          </w:p>
        </w:tc>
      </w:tr>
      <w:tr>
        <w:tblPrEx>
          <w:tblW w:w="12150" w:type="dxa"/>
          <w:tblInd w:w="1417" w:type="dxa"/>
          <w:tblLayout w:type="fixed"/>
        </w:tblPrEx>
        <w:trPr>
          <w:cantSplit/>
          <w:trHeight w:hRule="exact" w:val="225"/>
        </w:trPr>
        <w:tc>
          <w:tcPr>
            <w:tcW w:w="411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Pasivos por arrendamientos no corrientes.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371.576</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1005" w:type="dxa"/>
            <w:tcBorders>
              <w:top w:val="single" w:sz="4" w:space="0" w:color="FFFFFF"/>
              <w:left w:val="single" w:sz="4" w:space="0" w:color="FFFFFF"/>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371.576</w:t>
            </w:r>
          </w:p>
        </w:tc>
      </w:tr>
      <w:tr>
        <w:tblPrEx>
          <w:tblW w:w="12150" w:type="dxa"/>
          <w:tblInd w:w="1417" w:type="dxa"/>
          <w:tblLayout w:type="fixed"/>
        </w:tblPrEx>
        <w:trPr>
          <w:cantSplit/>
          <w:trHeight w:hRule="auto" w:val="0"/>
        </w:trPr>
        <w:tc>
          <w:tcPr>
            <w:tcW w:w="411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Cuentas por pagar no corrientes.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1.274.601</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1005" w:type="dxa"/>
            <w:tcBorders>
              <w:top w:val="single" w:sz="4" w:space="0" w:color="FFFFFF"/>
              <w:left w:val="single" w:sz="4" w:space="0" w:color="FFFFFF"/>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1.274.601</w:t>
            </w:r>
          </w:p>
        </w:tc>
      </w:tr>
      <w:tr>
        <w:tblPrEx>
          <w:tblW w:w="12150" w:type="dxa"/>
          <w:tblInd w:w="1417" w:type="dxa"/>
          <w:tblLayout w:type="fixed"/>
        </w:tblPrEx>
        <w:trPr>
          <w:cantSplit/>
          <w:trHeight w:hRule="exact" w:val="225"/>
        </w:trPr>
        <w:tc>
          <w:tcPr>
            <w:tcW w:w="411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Cuentas por pagar a entidades relacionadas, no corrientes.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91.118.000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1005" w:type="dxa"/>
            <w:tcBorders>
              <w:top w:val="single" w:sz="4" w:space="0" w:color="FFFFFF"/>
              <w:left w:val="single" w:sz="4" w:space="0" w:color="FFFFFF"/>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91.118.000</w:t>
            </w:r>
          </w:p>
        </w:tc>
      </w:tr>
      <w:tr>
        <w:tblPrEx>
          <w:tblW w:w="12150" w:type="dxa"/>
          <w:tblInd w:w="1417" w:type="dxa"/>
          <w:tblLayout w:type="fixed"/>
        </w:tblPrEx>
        <w:trPr>
          <w:cantSplit/>
          <w:trHeight w:hRule="auto" w:val="0"/>
        </w:trPr>
        <w:tc>
          <w:tcPr>
            <w:tcW w:w="411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Pasivo por impuestos diferidos.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74.665.845</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1005" w:type="dxa"/>
            <w:tcBorders>
              <w:top w:val="single" w:sz="4" w:space="0" w:color="FFFFFF"/>
              <w:left w:val="single" w:sz="4" w:space="0" w:color="FFFFFF"/>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74.665.845</w:t>
            </w:r>
          </w:p>
        </w:tc>
      </w:tr>
      <w:tr>
        <w:tblPrEx>
          <w:tblW w:w="12150" w:type="dxa"/>
          <w:tblInd w:w="1417" w:type="dxa"/>
          <w:tblLayout w:type="fixed"/>
        </w:tblPrEx>
        <w:trPr>
          <w:cantSplit/>
          <w:trHeight w:hRule="auto" w:val="0"/>
        </w:trPr>
        <w:tc>
          <w:tcPr>
            <w:tcW w:w="411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Provisiones no corrientes por beneficios a los empleados.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1.114.182</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923.945</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4" w:space="0" w:color="FFFFFF"/>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1005" w:type="dxa"/>
            <w:tcBorders>
              <w:top w:val="single" w:sz="4" w:space="0" w:color="FFFFFF"/>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2.038.127</w:t>
            </w:r>
          </w:p>
        </w:tc>
      </w:tr>
      <w:tr>
        <w:tblPrEx>
          <w:tblW w:w="12150" w:type="dxa"/>
          <w:tblInd w:w="1417" w:type="dxa"/>
          <w:tblLayout w:type="fixed"/>
        </w:tblPrEx>
        <w:trPr>
          <w:cantSplit/>
          <w:trHeight w:hRule="auto" w:val="0"/>
        </w:trPr>
        <w:tc>
          <w:tcPr>
            <w:tcW w:w="411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2150" w:type="dxa"/>
          <w:tblInd w:w="1417" w:type="dxa"/>
          <w:tblLayout w:type="fixed"/>
        </w:tblPrEx>
        <w:trPr>
          <w:cantSplit/>
          <w:trHeight w:hRule="auto" w:val="0"/>
        </w:trPr>
        <w:tc>
          <w:tcPr>
            <w:tcW w:w="411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Pasivos no corrientes totales</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350.607.577</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923.945</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351.531.522</w:t>
            </w:r>
          </w:p>
        </w:tc>
      </w:tr>
      <w:tr>
        <w:tblPrEx>
          <w:tblW w:w="12150" w:type="dxa"/>
          <w:tblInd w:w="1417" w:type="dxa"/>
          <w:tblLayout w:type="fixed"/>
        </w:tblPrEx>
        <w:trPr>
          <w:cantSplit/>
          <w:trHeight w:hRule="auto" w:val="0"/>
        </w:trPr>
        <w:tc>
          <w:tcPr>
            <w:tcW w:w="411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2150" w:type="dxa"/>
          <w:tblInd w:w="1417" w:type="dxa"/>
          <w:tblLayout w:type="fixed"/>
        </w:tblPrEx>
        <w:trPr>
          <w:cantSplit/>
          <w:trHeight w:hRule="auto" w:val="0"/>
        </w:trPr>
        <w:tc>
          <w:tcPr>
            <w:tcW w:w="411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TOTAL DE PASIVOS</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853.140.754</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15.879.407</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(8.303.103)</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860.717.058</w:t>
            </w:r>
          </w:p>
        </w:tc>
      </w:tr>
      <w:tr>
        <w:tblPrEx>
          <w:tblW w:w="12150" w:type="dxa"/>
          <w:tblInd w:w="1417" w:type="dxa"/>
          <w:tblLayout w:type="fixed"/>
        </w:tblPrEx>
        <w:trPr>
          <w:cantSplit/>
          <w:trHeight w:hRule="auto" w:val="0"/>
        </w:trPr>
        <w:tc>
          <w:tcPr>
            <w:tcW w:w="411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12150" w:type="dxa"/>
          <w:tblInd w:w="1417" w:type="dxa"/>
          <w:tblLayout w:type="fixed"/>
        </w:tblPrEx>
        <w:trPr>
          <w:cantSplit/>
          <w:trHeight w:hRule="auto" w:val="0"/>
        </w:trPr>
        <w:tc>
          <w:tcPr>
            <w:tcW w:w="411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PATRIMONIO</w:t>
            </w:r>
          </w:p>
        </w:tc>
        <w:tc>
          <w:tcPr>
            <w:tcW w:w="100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2150" w:type="dxa"/>
          <w:tblInd w:w="1417" w:type="dxa"/>
          <w:tblLayout w:type="fixed"/>
        </w:tblPrEx>
        <w:trPr>
          <w:cantSplit/>
          <w:trHeight w:hRule="auto" w:val="0"/>
        </w:trPr>
        <w:tc>
          <w:tcPr>
            <w:tcW w:w="411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Capital emitido y pagado.</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307.681.134</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3.333.729</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(4.833.729)</w:t>
            </w:r>
          </w:p>
        </w:tc>
        <w:tc>
          <w:tcPr>
            <w:tcW w:w="1005"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1005" w:type="dxa"/>
            <w:tcBorders>
              <w:top w:val="single" w:sz="2" w:space="0" w:color="000000"/>
              <w:left w:val="single" w:sz="4" w:space="0" w:color="FFFFFF"/>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306.181.134</w:t>
            </w:r>
          </w:p>
        </w:tc>
      </w:tr>
      <w:tr>
        <w:tblPrEx>
          <w:tblW w:w="12150" w:type="dxa"/>
          <w:tblInd w:w="1417" w:type="dxa"/>
          <w:tblLayout w:type="fixed"/>
        </w:tblPrEx>
        <w:trPr>
          <w:cantSplit/>
          <w:trHeight w:hRule="auto" w:val="0"/>
        </w:trPr>
        <w:tc>
          <w:tcPr>
            <w:tcW w:w="411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Ganancias (pérdidas) acumuladas.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141.519.168</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11.320.179</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(15.216.051)</w:t>
            </w:r>
          </w:p>
        </w:tc>
        <w:tc>
          <w:tcPr>
            <w:tcW w:w="100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1005" w:type="dxa"/>
            <w:tcBorders>
              <w:top w:val="single" w:sz="4" w:space="0" w:color="FFFFFF"/>
              <w:left w:val="single" w:sz="4" w:space="0" w:color="FFFFFF"/>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137.623.296</w:t>
            </w:r>
          </w:p>
        </w:tc>
      </w:tr>
      <w:tr>
        <w:tblPrEx>
          <w:tblW w:w="12150" w:type="dxa"/>
          <w:tblInd w:w="1417" w:type="dxa"/>
          <w:tblLayout w:type="fixed"/>
        </w:tblPrEx>
        <w:trPr>
          <w:cantSplit/>
          <w:trHeight w:hRule="exact" w:val="225"/>
        </w:trPr>
        <w:tc>
          <w:tcPr>
            <w:tcW w:w="411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Primas de emisión.</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954</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(954)</w:t>
            </w:r>
          </w:p>
        </w:tc>
        <w:tc>
          <w:tcPr>
            <w:tcW w:w="100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1005" w:type="dxa"/>
            <w:tcBorders>
              <w:top w:val="single" w:sz="4" w:space="0" w:color="FFFFFF"/>
              <w:left w:val="single" w:sz="4" w:space="0" w:color="FFFFFF"/>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r>
      <w:tr>
        <w:tblPrEx>
          <w:tblW w:w="12150" w:type="dxa"/>
          <w:tblInd w:w="1417" w:type="dxa"/>
          <w:tblLayout w:type="fixed"/>
        </w:tblPrEx>
        <w:trPr>
          <w:cantSplit/>
          <w:trHeight w:hRule="auto" w:val="0"/>
        </w:trPr>
        <w:tc>
          <w:tcPr>
            <w:tcW w:w="411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Otras reservas.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11.857.454</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(503.167)</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493.120</w:t>
            </w:r>
          </w:p>
        </w:tc>
        <w:tc>
          <w:tcPr>
            <w:tcW w:w="1005" w:type="dxa"/>
            <w:tcBorders>
              <w:top w:val="single" w:sz="4" w:space="0" w:color="FFFFFF"/>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1005" w:type="dxa"/>
            <w:tcBorders>
              <w:top w:val="single" w:sz="4" w:space="0" w:color="FFFFFF"/>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11.847.407</w:t>
            </w:r>
          </w:p>
        </w:tc>
      </w:tr>
      <w:tr>
        <w:tblPrEx>
          <w:tblW w:w="12150" w:type="dxa"/>
          <w:tblInd w:w="1417" w:type="dxa"/>
          <w:tblLayout w:type="fixed"/>
        </w:tblPrEx>
        <w:trPr>
          <w:cantSplit/>
          <w:trHeight w:hRule="exact" w:val="60"/>
        </w:trPr>
        <w:tc>
          <w:tcPr>
            <w:tcW w:w="411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2150" w:type="dxa"/>
          <w:tblInd w:w="1417" w:type="dxa"/>
          <w:tblLayout w:type="fixed"/>
        </w:tblPrEx>
        <w:trPr>
          <w:cantSplit/>
          <w:trHeight w:hRule="auto" w:val="0"/>
        </w:trPr>
        <w:tc>
          <w:tcPr>
            <w:tcW w:w="411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Patrimonio  atribuible a los propietarios de la controladora</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461.057.756</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14.151.695</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(19.557.614)</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455.651.837</w:t>
            </w:r>
          </w:p>
        </w:tc>
      </w:tr>
      <w:tr>
        <w:tblPrEx>
          <w:tblW w:w="12150" w:type="dxa"/>
          <w:tblInd w:w="1417" w:type="dxa"/>
          <w:tblLayout w:type="fixed"/>
        </w:tblPrEx>
        <w:trPr>
          <w:cantSplit/>
          <w:trHeight w:hRule="exact" w:val="60"/>
        </w:trPr>
        <w:tc>
          <w:tcPr>
            <w:tcW w:w="4110" w:type="dxa"/>
            <w:tcBorders>
              <w:top w:val="single" w:sz="2" w:space="0" w:color="000000"/>
              <w:left w:val="single" w:sz="8" w:space="0" w:color="D9D9D9"/>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single" w:sz="8" w:space="0" w:color="D9D9D9"/>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single" w:sz="8" w:space="0" w:color="D9D9D9"/>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single" w:sz="8" w:space="0" w:color="D9D9D9"/>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single" w:sz="8" w:space="0" w:color="D9D9D9"/>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single" w:sz="8" w:space="0" w:color="D9D9D9"/>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single" w:sz="8" w:space="0" w:color="D9D9D9"/>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single" w:sz="8" w:space="0" w:color="D9D9D9"/>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single" w:sz="8" w:space="0" w:color="D9D9D9"/>
              <w:bottom w:val="single" w:sz="2" w:space="0" w:color="000000"/>
              <w:right w:val="single" w:sz="8" w:space="0" w:color="D9D9D9"/>
            </w:tcBorders>
            <w:tcMar>
              <w:top w:w="0" w:type="dxa"/>
              <w:left w:w="0" w:type="dxa"/>
              <w:bottom w:w="0" w:type="dxa"/>
              <w:right w:w="0" w:type="dxa"/>
            </w:tcMar>
            <w:vAlign w:val="bottom"/>
          </w:tcPr>
          <w:p>
            <w:pPr>
              <w:keepNext/>
              <w:pageBreakBefore w:val="0"/>
              <w:spacing w:before="0" w:after="0"/>
            </w:pPr>
          </w:p>
        </w:tc>
      </w:tr>
      <w:tr>
        <w:tblPrEx>
          <w:tblW w:w="12150" w:type="dxa"/>
          <w:tblInd w:w="1417" w:type="dxa"/>
          <w:tblLayout w:type="fixed"/>
        </w:tblPrEx>
        <w:trPr>
          <w:cantSplit/>
          <w:trHeight w:hRule="auto" w:val="0"/>
        </w:trPr>
        <w:tc>
          <w:tcPr>
            <w:tcW w:w="411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Participaciones no controladoras.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654.522</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131.612</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786.134</w:t>
            </w:r>
          </w:p>
        </w:tc>
      </w:tr>
      <w:tr>
        <w:tblPrEx>
          <w:tblW w:w="12150" w:type="dxa"/>
          <w:tblInd w:w="1417" w:type="dxa"/>
          <w:tblLayout w:type="fixed"/>
        </w:tblPrEx>
        <w:trPr>
          <w:cantSplit/>
          <w:trHeight w:hRule="auto" w:val="0"/>
        </w:trPr>
        <w:tc>
          <w:tcPr>
            <w:tcW w:w="411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2150" w:type="dxa"/>
          <w:tblInd w:w="1417" w:type="dxa"/>
          <w:tblLayout w:type="fixed"/>
        </w:tblPrEx>
        <w:trPr>
          <w:cantSplit/>
          <w:trHeight w:hRule="auto" w:val="0"/>
        </w:trPr>
        <w:tc>
          <w:tcPr>
            <w:tcW w:w="411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Patrimonio total</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461.057.756</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14.806.217</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(19.426.002)</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456.437.971</w:t>
            </w:r>
          </w:p>
        </w:tc>
      </w:tr>
      <w:tr>
        <w:tblPrEx>
          <w:tblW w:w="12150" w:type="dxa"/>
          <w:tblInd w:w="1417" w:type="dxa"/>
          <w:tblLayout w:type="fixed"/>
        </w:tblPrEx>
        <w:trPr>
          <w:cantSplit/>
          <w:trHeight w:hRule="auto" w:val="0"/>
        </w:trPr>
        <w:tc>
          <w:tcPr>
            <w:tcW w:w="411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2150" w:type="dxa"/>
          <w:tblInd w:w="1417" w:type="dxa"/>
          <w:tblLayout w:type="fixed"/>
        </w:tblPrEx>
        <w:trPr>
          <w:cantSplit/>
          <w:trHeight w:hRule="auto" w:val="0"/>
        </w:trPr>
        <w:tc>
          <w:tcPr>
            <w:tcW w:w="411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2"/>
                <w:u w:val="none"/>
              </w:rPr>
              <w:t>TOTAL DE PASIVOS Y PATRIMONIO</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1.314.198.510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30.685.624</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(27.729.105)</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0</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1.317.155.029</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headerReference w:type="default" r:id="rId53"/>
          <w:footerReference w:type="default" r:id="rId54"/>
          <w:type w:val="continuous"/>
          <w:pgSz w:w="15840" w:h="12240" w:orient="landscape"/>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282" w:name="Section145"/>
      <w:bookmarkEnd w:id="282"/>
      <w:bookmarkStart w:id="283" w:name="b234dde8dc3d44f1b9e045b55769629f"/>
      <w:r>
        <w:rPr>
          <w:rFonts w:ascii="Calibri" w:eastAsia="Calibri" w:hAnsi="Calibri" w:cs="Calibri"/>
          <w:b/>
          <w:i w:val="0"/>
          <w:color w:val="000000"/>
          <w:sz w:val="20"/>
          <w:u w:val="none"/>
        </w:rPr>
        <w:t>32.3.-</w:t>
      </w:r>
      <w:r>
        <w:rPr>
          <w:rFonts w:ascii="Calibri" w:eastAsia="Calibri" w:hAnsi="Calibri" w:cs="Calibri"/>
          <w:b/>
          <w:i w:val="0"/>
          <w:color w:val="000000"/>
          <w:sz w:val="20"/>
          <w:u w:val="none"/>
        </w:rPr>
        <w:tab/>
      </w:r>
      <w:r>
        <w:rPr>
          <w:rFonts w:ascii="Calibri" w:eastAsia="Calibri" w:hAnsi="Calibri" w:cs="Calibri"/>
          <w:b/>
          <w:i w:val="0"/>
          <w:color w:val="000000"/>
          <w:sz w:val="20"/>
          <w:u w:val="none"/>
        </w:rPr>
        <w:t>Cuadros de resultados por segmentos.</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283"/>
    </w:p>
    <w:tbl>
      <w:tblPr>
        <w:tblW w:w="13245"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965"/>
        <w:gridCol w:w="705"/>
        <w:gridCol w:w="705"/>
        <w:gridCol w:w="705"/>
        <w:gridCol w:w="705"/>
        <w:gridCol w:w="705"/>
        <w:gridCol w:w="705"/>
        <w:gridCol w:w="705"/>
        <w:gridCol w:w="705"/>
        <w:gridCol w:w="705"/>
        <w:gridCol w:w="705"/>
        <w:gridCol w:w="705"/>
        <w:gridCol w:w="705"/>
        <w:gridCol w:w="705"/>
        <w:gridCol w:w="705"/>
        <w:gridCol w:w="705"/>
        <w:gridCol w:w="705"/>
      </w:tblGrid>
      <w:tr>
        <w:tblPrEx>
          <w:tblW w:w="13245" w:type="dxa"/>
          <w:tblInd w:w="11" w:type="dxa"/>
          <w:tblLayout w:type="fixed"/>
        </w:tblPrEx>
        <w:trPr>
          <w:cantSplit/>
          <w:trHeight w:hRule="exact" w:val="225"/>
          <w:tblHeader/>
        </w:trPr>
        <w:tc>
          <w:tcPr>
            <w:tcW w:w="1965"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ESTADO DE RESULTADOS POR FUNCIÓN</w:t>
            </w:r>
          </w:p>
        </w:tc>
        <w:tc>
          <w:tcPr>
            <w:tcW w:w="2820" w:type="dxa"/>
            <w:gridSpan w:val="4"/>
            <w:tcBorders>
              <w:top w:val="single" w:sz="2" w:space="0" w:color="000000"/>
              <w:left w:val="nil"/>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Eléctrico Chile</w:t>
            </w:r>
          </w:p>
        </w:tc>
        <w:tc>
          <w:tcPr>
            <w:tcW w:w="2820" w:type="dxa"/>
            <w:gridSpan w:val="4"/>
            <w:tcBorders>
              <w:top w:val="single" w:sz="2" w:space="0" w:color="000000"/>
              <w:left w:val="single" w:sz="4" w:space="0" w:color="FFFFFF"/>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Servicios</w:t>
            </w:r>
          </w:p>
        </w:tc>
        <w:tc>
          <w:tcPr>
            <w:tcW w:w="2820" w:type="dxa"/>
            <w:gridSpan w:val="4"/>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Ajustes de consolidación</w:t>
            </w:r>
          </w:p>
        </w:tc>
        <w:tc>
          <w:tcPr>
            <w:tcW w:w="2820" w:type="dxa"/>
            <w:gridSpan w:val="4"/>
            <w:tcBorders>
              <w:top w:val="single" w:sz="2" w:space="0" w:color="000000"/>
              <w:left w:val="nil"/>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Consolidado</w:t>
            </w:r>
          </w:p>
        </w:tc>
      </w:tr>
      <w:tr>
        <w:tblPrEx>
          <w:tblW w:w="13245" w:type="dxa"/>
          <w:tblInd w:w="11" w:type="dxa"/>
          <w:tblLayout w:type="fixed"/>
        </w:tblPrEx>
        <w:trPr>
          <w:cantSplit/>
          <w:trHeight w:hRule="exact" w:val="225"/>
          <w:tblHeader/>
        </w:trPr>
        <w:tc>
          <w:tcPr>
            <w:tcW w:w="1965" w:type="dxa"/>
            <w:vMerge/>
            <w:tcBorders>
              <w:top w:val="nil"/>
              <w:left w:val="single" w:sz="2" w:space="0" w:color="000000"/>
              <w:bottom w:val="nil"/>
              <w:right w:val="nil"/>
            </w:tcBorders>
          </w:tcPr>
          <w:p>
            <w:pPr>
              <w:keepNext/>
              <w:pageBreakBefore w:val="0"/>
            </w:pPr>
          </w:p>
        </w:tc>
        <w:tc>
          <w:tcPr>
            <w:tcW w:w="7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01-01-2026</w:t>
            </w:r>
          </w:p>
        </w:tc>
        <w:tc>
          <w:tcPr>
            <w:tcW w:w="7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01-01-2025</w:t>
            </w:r>
          </w:p>
        </w:tc>
        <w:tc>
          <w:tcPr>
            <w:tcW w:w="7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01-04-2026</w:t>
            </w:r>
          </w:p>
        </w:tc>
        <w:tc>
          <w:tcPr>
            <w:tcW w:w="705" w:type="dxa"/>
            <w:tcBorders>
              <w:top w:val="single" w:sz="4" w:space="0" w:color="FFFFFF"/>
              <w:left w:val="single" w:sz="8"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01-04-2025</w:t>
            </w:r>
          </w:p>
        </w:tc>
        <w:tc>
          <w:tcPr>
            <w:tcW w:w="7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01-01-2026</w:t>
            </w:r>
          </w:p>
        </w:tc>
        <w:tc>
          <w:tcPr>
            <w:tcW w:w="7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01-01-2025</w:t>
            </w:r>
          </w:p>
        </w:tc>
        <w:tc>
          <w:tcPr>
            <w:tcW w:w="7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01-04-2026</w:t>
            </w:r>
          </w:p>
        </w:tc>
        <w:tc>
          <w:tcPr>
            <w:tcW w:w="705" w:type="dxa"/>
            <w:tcBorders>
              <w:top w:val="single" w:sz="4" w:space="0" w:color="FFFFFF"/>
              <w:left w:val="single" w:sz="8"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01-04-2025</w:t>
            </w:r>
          </w:p>
        </w:tc>
        <w:tc>
          <w:tcPr>
            <w:tcW w:w="7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01-01-2026</w:t>
            </w:r>
          </w:p>
        </w:tc>
        <w:tc>
          <w:tcPr>
            <w:tcW w:w="7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01-01-2025</w:t>
            </w:r>
          </w:p>
        </w:tc>
        <w:tc>
          <w:tcPr>
            <w:tcW w:w="7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01-04-2026</w:t>
            </w:r>
          </w:p>
        </w:tc>
        <w:tc>
          <w:tcPr>
            <w:tcW w:w="705" w:type="dxa"/>
            <w:tcBorders>
              <w:top w:val="single" w:sz="4" w:space="0" w:color="FFFFFF"/>
              <w:left w:val="single" w:sz="8"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01-04-2025</w:t>
            </w:r>
          </w:p>
        </w:tc>
        <w:tc>
          <w:tcPr>
            <w:tcW w:w="7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01-01-2026</w:t>
            </w:r>
          </w:p>
        </w:tc>
        <w:tc>
          <w:tcPr>
            <w:tcW w:w="7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01-01-2025</w:t>
            </w:r>
          </w:p>
        </w:tc>
        <w:tc>
          <w:tcPr>
            <w:tcW w:w="705" w:type="dxa"/>
            <w:tcBorders>
              <w:top w:val="single" w:sz="8" w:space="0" w:color="FFFFFF"/>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01-04-2026</w:t>
            </w:r>
          </w:p>
        </w:tc>
        <w:tc>
          <w:tcPr>
            <w:tcW w:w="705" w:type="dxa"/>
            <w:tcBorders>
              <w:top w:val="single" w:sz="8" w:space="0" w:color="FFFFFF"/>
              <w:left w:val="single" w:sz="8"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01-04-2025</w:t>
            </w:r>
          </w:p>
        </w:tc>
      </w:tr>
      <w:tr>
        <w:tblPrEx>
          <w:tblW w:w="13245" w:type="dxa"/>
          <w:tblInd w:w="11" w:type="dxa"/>
          <w:tblLayout w:type="fixed"/>
        </w:tblPrEx>
        <w:trPr>
          <w:cantSplit/>
          <w:trHeight w:hRule="exact" w:val="225"/>
          <w:tblHeader/>
        </w:trPr>
        <w:tc>
          <w:tcPr>
            <w:tcW w:w="1965" w:type="dxa"/>
            <w:vMerge/>
            <w:tcBorders>
              <w:top w:val="nil"/>
              <w:left w:val="single" w:sz="2" w:space="0" w:color="000000"/>
              <w:bottom w:val="nil"/>
              <w:right w:val="nil"/>
            </w:tcBorders>
          </w:tcPr>
          <w:p>
            <w:pPr>
              <w:keepNext/>
              <w:pageBreakBefore w:val="0"/>
            </w:pPr>
          </w:p>
        </w:tc>
        <w:tc>
          <w:tcPr>
            <w:tcW w:w="7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30-06-2026</w:t>
            </w:r>
          </w:p>
        </w:tc>
        <w:tc>
          <w:tcPr>
            <w:tcW w:w="7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30-06-2025</w:t>
            </w:r>
          </w:p>
        </w:tc>
        <w:tc>
          <w:tcPr>
            <w:tcW w:w="7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30-06-2026</w:t>
            </w:r>
          </w:p>
        </w:tc>
        <w:tc>
          <w:tcPr>
            <w:tcW w:w="705" w:type="dxa"/>
            <w:tcBorders>
              <w:top w:val="nil"/>
              <w:left w:val="single" w:sz="8"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30-06-2025</w:t>
            </w:r>
          </w:p>
        </w:tc>
        <w:tc>
          <w:tcPr>
            <w:tcW w:w="7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30-06-2026</w:t>
            </w:r>
          </w:p>
        </w:tc>
        <w:tc>
          <w:tcPr>
            <w:tcW w:w="7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30-06-2025</w:t>
            </w:r>
          </w:p>
        </w:tc>
        <w:tc>
          <w:tcPr>
            <w:tcW w:w="7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30-06-2026</w:t>
            </w:r>
          </w:p>
        </w:tc>
        <w:tc>
          <w:tcPr>
            <w:tcW w:w="705" w:type="dxa"/>
            <w:tcBorders>
              <w:top w:val="nil"/>
              <w:left w:val="single" w:sz="8"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30-06-2025</w:t>
            </w:r>
          </w:p>
        </w:tc>
        <w:tc>
          <w:tcPr>
            <w:tcW w:w="7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30-06-2026</w:t>
            </w:r>
          </w:p>
        </w:tc>
        <w:tc>
          <w:tcPr>
            <w:tcW w:w="7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30-06-2025</w:t>
            </w:r>
          </w:p>
        </w:tc>
        <w:tc>
          <w:tcPr>
            <w:tcW w:w="7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30-06-2026</w:t>
            </w:r>
          </w:p>
        </w:tc>
        <w:tc>
          <w:tcPr>
            <w:tcW w:w="705" w:type="dxa"/>
            <w:tcBorders>
              <w:top w:val="nil"/>
              <w:left w:val="single" w:sz="8"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30-06-2025</w:t>
            </w:r>
          </w:p>
        </w:tc>
        <w:tc>
          <w:tcPr>
            <w:tcW w:w="7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30-06-2026</w:t>
            </w:r>
          </w:p>
        </w:tc>
        <w:tc>
          <w:tcPr>
            <w:tcW w:w="7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30-06-2025</w:t>
            </w:r>
          </w:p>
        </w:tc>
        <w:tc>
          <w:tcPr>
            <w:tcW w:w="705" w:type="dxa"/>
            <w:tcBorders>
              <w:top w:val="nil"/>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30-06-2026</w:t>
            </w:r>
          </w:p>
        </w:tc>
        <w:tc>
          <w:tcPr>
            <w:tcW w:w="705" w:type="dxa"/>
            <w:tcBorders>
              <w:top w:val="nil"/>
              <w:left w:val="single" w:sz="8"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30-06-2025</w:t>
            </w:r>
          </w:p>
        </w:tc>
      </w:tr>
      <w:tr>
        <w:tblPrEx>
          <w:tblW w:w="13245" w:type="dxa"/>
          <w:tblInd w:w="11" w:type="dxa"/>
          <w:tblLayout w:type="fixed"/>
        </w:tblPrEx>
        <w:trPr>
          <w:cantSplit/>
          <w:trHeight w:hRule="exact" w:val="225"/>
          <w:tblHeader/>
        </w:trPr>
        <w:tc>
          <w:tcPr>
            <w:tcW w:w="1965" w:type="dxa"/>
            <w:vMerge/>
            <w:tcBorders>
              <w:top w:val="nil"/>
              <w:left w:val="single" w:sz="2" w:space="0" w:color="000000"/>
              <w:bottom w:val="single" w:sz="2" w:space="0" w:color="000000"/>
              <w:right w:val="nil"/>
            </w:tcBorders>
          </w:tcPr>
          <w:p>
            <w:pPr>
              <w:keepNext/>
              <w:pageBreakBefore w:val="0"/>
            </w:pPr>
          </w:p>
        </w:tc>
        <w:tc>
          <w:tcPr>
            <w:tcW w:w="7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M$</w:t>
            </w:r>
          </w:p>
        </w:tc>
        <w:tc>
          <w:tcPr>
            <w:tcW w:w="7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M$</w:t>
            </w:r>
          </w:p>
        </w:tc>
        <w:tc>
          <w:tcPr>
            <w:tcW w:w="7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M$</w:t>
            </w:r>
          </w:p>
        </w:tc>
        <w:tc>
          <w:tcPr>
            <w:tcW w:w="705" w:type="dxa"/>
            <w:tcBorders>
              <w:top w:val="nil"/>
              <w:left w:val="single" w:sz="8"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M$</w:t>
            </w:r>
          </w:p>
        </w:tc>
        <w:tc>
          <w:tcPr>
            <w:tcW w:w="7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M$</w:t>
            </w:r>
          </w:p>
        </w:tc>
        <w:tc>
          <w:tcPr>
            <w:tcW w:w="7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M$</w:t>
            </w:r>
          </w:p>
        </w:tc>
        <w:tc>
          <w:tcPr>
            <w:tcW w:w="7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M$</w:t>
            </w:r>
          </w:p>
        </w:tc>
        <w:tc>
          <w:tcPr>
            <w:tcW w:w="705" w:type="dxa"/>
            <w:tcBorders>
              <w:top w:val="nil"/>
              <w:left w:val="single" w:sz="8"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M$</w:t>
            </w:r>
          </w:p>
        </w:tc>
        <w:tc>
          <w:tcPr>
            <w:tcW w:w="7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M$</w:t>
            </w:r>
          </w:p>
        </w:tc>
        <w:tc>
          <w:tcPr>
            <w:tcW w:w="7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M$</w:t>
            </w:r>
          </w:p>
        </w:tc>
        <w:tc>
          <w:tcPr>
            <w:tcW w:w="7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M$</w:t>
            </w:r>
          </w:p>
        </w:tc>
        <w:tc>
          <w:tcPr>
            <w:tcW w:w="705" w:type="dxa"/>
            <w:tcBorders>
              <w:top w:val="nil"/>
              <w:left w:val="single" w:sz="8"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M$</w:t>
            </w:r>
          </w:p>
        </w:tc>
        <w:tc>
          <w:tcPr>
            <w:tcW w:w="7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M$</w:t>
            </w:r>
          </w:p>
        </w:tc>
        <w:tc>
          <w:tcPr>
            <w:tcW w:w="7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M$</w:t>
            </w:r>
          </w:p>
        </w:tc>
        <w:tc>
          <w:tcPr>
            <w:tcW w:w="705" w:type="dxa"/>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M$</w:t>
            </w:r>
          </w:p>
        </w:tc>
        <w:tc>
          <w:tcPr>
            <w:tcW w:w="705" w:type="dxa"/>
            <w:tcBorders>
              <w:top w:val="nil"/>
              <w:left w:val="single" w:sz="8"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M$</w:t>
            </w:r>
          </w:p>
        </w:tc>
      </w:tr>
      <w:tr>
        <w:tblPrEx>
          <w:tblW w:w="13245" w:type="dxa"/>
          <w:tblInd w:w="11" w:type="dxa"/>
          <w:tblLayout w:type="fixed"/>
        </w:tblPrEx>
        <w:trPr>
          <w:cantSplit/>
          <w:trHeight w:hRule="exact" w:val="60"/>
          <w:tblHeader/>
        </w:trPr>
        <w:tc>
          <w:tcPr>
            <w:tcW w:w="19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3245" w:type="dxa"/>
          <w:tblInd w:w="11" w:type="dxa"/>
          <w:tblLayout w:type="fixed"/>
        </w:tblPrEx>
        <w:trPr>
          <w:cantSplit/>
          <w:trHeight w:hRule="exact" w:val="225"/>
          <w:tblHeader/>
        </w:trPr>
        <w:tc>
          <w:tcPr>
            <w:tcW w:w="19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1"/>
                <w:u w:val="none"/>
              </w:rPr>
              <w:t>Ingresos de actividades ordinarias.</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108.516.884</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(55.095.179)</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54.939.498</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26.343.149</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(9.447.301)</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14.364.178</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(968.941)</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470.713</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(673.685)</w:t>
            </w:r>
          </w:p>
        </w:tc>
        <w:tc>
          <w:tcPr>
            <w:tcW w:w="705"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0</w:t>
            </w:r>
          </w:p>
        </w:tc>
        <w:tc>
          <w:tcPr>
            <w:tcW w:w="705" w:type="dxa"/>
            <w:tcBorders>
              <w:top w:val="single" w:sz="2" w:space="0" w:color="000000"/>
              <w:left w:val="single" w:sz="4" w:space="0" w:color="FFFFFF"/>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133.891.092</w:t>
            </w:r>
          </w:p>
        </w:tc>
        <w:tc>
          <w:tcPr>
            <w:tcW w:w="7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(64.071.767)</w:t>
            </w:r>
          </w:p>
        </w:tc>
        <w:tc>
          <w:tcPr>
            <w:tcW w:w="7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68.629.991</w:t>
            </w:r>
          </w:p>
        </w:tc>
      </w:tr>
      <w:tr>
        <w:tblPrEx>
          <w:tblW w:w="13245" w:type="dxa"/>
          <w:tblInd w:w="11" w:type="dxa"/>
          <w:tblLayout w:type="fixed"/>
        </w:tblPrEx>
        <w:trPr>
          <w:cantSplit/>
          <w:trHeight w:hRule="exact" w:val="225"/>
          <w:tblHeader/>
        </w:trPr>
        <w:tc>
          <w:tcPr>
            <w:tcW w:w="19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1"/>
                <w:u w:val="none"/>
              </w:rPr>
              <w:t>Costo de ventas.</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(44.101.044)</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22.719.574</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(22.995.752)</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(21.606.077)</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7.267.767</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(11.748.205)</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977.474</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(475.407)</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678.600</w:t>
            </w:r>
          </w:p>
        </w:tc>
        <w:tc>
          <w:tcPr>
            <w:tcW w:w="70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0</w:t>
            </w:r>
          </w:p>
        </w:tc>
        <w:tc>
          <w:tcPr>
            <w:tcW w:w="705" w:type="dxa"/>
            <w:tcBorders>
              <w:top w:val="single" w:sz="4" w:space="0" w:color="FFFFFF"/>
              <w:left w:val="single" w:sz="4" w:space="0" w:color="FFFFFF"/>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(64.729.647)</w:t>
            </w:r>
          </w:p>
        </w:tc>
        <w:tc>
          <w:tcPr>
            <w:tcW w:w="7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29.511.934</w:t>
            </w:r>
          </w:p>
        </w:tc>
        <w:tc>
          <w:tcPr>
            <w:tcW w:w="7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(34.065.357)</w:t>
            </w:r>
          </w:p>
        </w:tc>
      </w:tr>
      <w:tr>
        <w:tblPrEx>
          <w:tblW w:w="13245" w:type="dxa"/>
          <w:tblInd w:w="11" w:type="dxa"/>
          <w:tblLayout w:type="fixed"/>
        </w:tblPrEx>
        <w:trPr>
          <w:cantSplit/>
          <w:trHeight w:hRule="exact" w:val="225"/>
          <w:tblHeader/>
        </w:trPr>
        <w:tc>
          <w:tcPr>
            <w:tcW w:w="19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1"/>
                <w:u w:val="none"/>
              </w:rPr>
              <w:t>Ganancia bruta</w:t>
            </w:r>
          </w:p>
        </w:tc>
        <w:tc>
          <w:tcPr>
            <w:tcW w:w="7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0</w:t>
            </w:r>
          </w:p>
        </w:tc>
        <w:tc>
          <w:tcPr>
            <w:tcW w:w="7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64.415.840</w:t>
            </w:r>
          </w:p>
        </w:tc>
        <w:tc>
          <w:tcPr>
            <w:tcW w:w="7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(32.375.605)</w:t>
            </w:r>
          </w:p>
        </w:tc>
        <w:tc>
          <w:tcPr>
            <w:tcW w:w="705" w:type="dxa"/>
            <w:tcBorders>
              <w:top w:val="single" w:sz="2" w:space="0" w:color="000000"/>
              <w:left w:val="single" w:sz="8"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31.943.746</w:t>
            </w:r>
          </w:p>
        </w:tc>
        <w:tc>
          <w:tcPr>
            <w:tcW w:w="7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0</w:t>
            </w:r>
          </w:p>
        </w:tc>
        <w:tc>
          <w:tcPr>
            <w:tcW w:w="7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4.737.072</w:t>
            </w:r>
          </w:p>
        </w:tc>
        <w:tc>
          <w:tcPr>
            <w:tcW w:w="7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(2.179.534)</w:t>
            </w:r>
          </w:p>
        </w:tc>
        <w:tc>
          <w:tcPr>
            <w:tcW w:w="705" w:type="dxa"/>
            <w:tcBorders>
              <w:top w:val="single" w:sz="2" w:space="0" w:color="000000"/>
              <w:left w:val="single" w:sz="8"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2.615.973</w:t>
            </w:r>
          </w:p>
        </w:tc>
        <w:tc>
          <w:tcPr>
            <w:tcW w:w="7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0</w:t>
            </w:r>
          </w:p>
        </w:tc>
        <w:tc>
          <w:tcPr>
            <w:tcW w:w="7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8.533</w:t>
            </w:r>
          </w:p>
        </w:tc>
        <w:tc>
          <w:tcPr>
            <w:tcW w:w="7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(4.694)</w:t>
            </w:r>
          </w:p>
        </w:tc>
        <w:tc>
          <w:tcPr>
            <w:tcW w:w="705" w:type="dxa"/>
            <w:tcBorders>
              <w:top w:val="single" w:sz="2" w:space="0" w:color="000000"/>
              <w:left w:val="single" w:sz="8"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4.915</w:t>
            </w:r>
          </w:p>
        </w:tc>
        <w:tc>
          <w:tcPr>
            <w:tcW w:w="705" w:type="dxa"/>
            <w:tcBorders>
              <w:top w:val="single" w:sz="4" w:space="0" w:color="FFFFFF"/>
              <w:left w:val="single" w:sz="4" w:space="0" w:color="FFFFFF"/>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0</w:t>
            </w:r>
          </w:p>
        </w:tc>
        <w:tc>
          <w:tcPr>
            <w:tcW w:w="705" w:type="dxa"/>
            <w:tcBorders>
              <w:top w:val="single" w:sz="4" w:space="0" w:color="FFFFFF"/>
              <w:left w:val="single" w:sz="4" w:space="0" w:color="FFFFFF"/>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69.161.445</w:t>
            </w:r>
          </w:p>
        </w:tc>
        <w:tc>
          <w:tcPr>
            <w:tcW w:w="705" w:type="dxa"/>
            <w:tcBorders>
              <w:top w:val="single" w:sz="2" w:space="0" w:color="000000"/>
              <w:left w:val="single" w:sz="4" w:space="0" w:color="FFFFFF"/>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(34.559.833)</w:t>
            </w:r>
          </w:p>
        </w:tc>
        <w:tc>
          <w:tcPr>
            <w:tcW w:w="705" w:type="dxa"/>
            <w:tcBorders>
              <w:top w:val="single" w:sz="2" w:space="0" w:color="000000"/>
              <w:left w:val="single" w:sz="4" w:space="0" w:color="FFFFFF"/>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34.564.634</w:t>
            </w:r>
          </w:p>
        </w:tc>
      </w:tr>
      <w:tr>
        <w:tblPrEx>
          <w:tblW w:w="13245" w:type="dxa"/>
          <w:tblInd w:w="11" w:type="dxa"/>
          <w:tblLayout w:type="fixed"/>
        </w:tblPrEx>
        <w:trPr>
          <w:cantSplit/>
          <w:trHeight w:hRule="exact" w:val="225"/>
        </w:trPr>
        <w:tc>
          <w:tcPr>
            <w:tcW w:w="19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1"/>
                <w:u w:val="none"/>
              </w:rPr>
              <w:t>Otros ingresos.</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786.165</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(391.456)</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394.515</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(36.627)</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23.666</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(15.494)</w:t>
            </w:r>
          </w:p>
        </w:tc>
        <w:tc>
          <w:tcPr>
            <w:tcW w:w="70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0</w:t>
            </w:r>
          </w:p>
        </w:tc>
        <w:tc>
          <w:tcPr>
            <w:tcW w:w="705" w:type="dxa"/>
            <w:tcBorders>
              <w:top w:val="single" w:sz="4" w:space="0" w:color="FFFFFF"/>
              <w:left w:val="single" w:sz="4" w:space="0" w:color="FFFFFF"/>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749.538</w:t>
            </w:r>
          </w:p>
        </w:tc>
        <w:tc>
          <w:tcPr>
            <w:tcW w:w="705" w:type="dxa"/>
            <w:tcBorders>
              <w:top w:val="single" w:sz="4" w:space="0" w:color="FFFFFF"/>
              <w:left w:val="single" w:sz="4" w:space="0" w:color="FFFFFF"/>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(367.790)</w:t>
            </w:r>
          </w:p>
        </w:tc>
        <w:tc>
          <w:tcPr>
            <w:tcW w:w="705" w:type="dxa"/>
            <w:tcBorders>
              <w:top w:val="single" w:sz="4" w:space="0" w:color="FFFFFF"/>
              <w:left w:val="single" w:sz="4" w:space="0" w:color="FFFFFF"/>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379.021</w:t>
            </w:r>
          </w:p>
        </w:tc>
      </w:tr>
      <w:tr>
        <w:tblPrEx>
          <w:tblW w:w="13245" w:type="dxa"/>
          <w:tblInd w:w="11" w:type="dxa"/>
          <w:tblLayout w:type="fixed"/>
        </w:tblPrEx>
        <w:trPr>
          <w:cantSplit/>
          <w:trHeight w:hRule="exact" w:val="225"/>
        </w:trPr>
        <w:tc>
          <w:tcPr>
            <w:tcW w:w="19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1"/>
                <w:u w:val="none"/>
              </w:rPr>
              <w:t>Gasto de administración.</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(16.294.076)</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7.963.315</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(8.158.174)</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(2.194.505)</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1.022.532</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(1.093.551)</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26.972</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(18.052)</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9.976</w:t>
            </w:r>
          </w:p>
        </w:tc>
        <w:tc>
          <w:tcPr>
            <w:tcW w:w="70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0</w:t>
            </w:r>
          </w:p>
        </w:tc>
        <w:tc>
          <w:tcPr>
            <w:tcW w:w="705" w:type="dxa"/>
            <w:tcBorders>
              <w:top w:val="single" w:sz="4" w:space="0" w:color="FFFFFF"/>
              <w:left w:val="single" w:sz="4" w:space="0" w:color="FFFFFF"/>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(18.461.609)</w:t>
            </w:r>
          </w:p>
        </w:tc>
        <w:tc>
          <w:tcPr>
            <w:tcW w:w="705" w:type="dxa"/>
            <w:tcBorders>
              <w:top w:val="single" w:sz="4" w:space="0" w:color="FFFFFF"/>
              <w:left w:val="single" w:sz="4" w:space="0" w:color="FFFFFF"/>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8.967.795</w:t>
            </w:r>
          </w:p>
        </w:tc>
        <w:tc>
          <w:tcPr>
            <w:tcW w:w="705" w:type="dxa"/>
            <w:tcBorders>
              <w:top w:val="single" w:sz="4" w:space="0" w:color="FFFFFF"/>
              <w:left w:val="single" w:sz="4" w:space="0" w:color="FFFFFF"/>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(9.241.749)</w:t>
            </w:r>
          </w:p>
        </w:tc>
      </w:tr>
      <w:tr>
        <w:tblPrEx>
          <w:tblW w:w="13245" w:type="dxa"/>
          <w:tblInd w:w="11" w:type="dxa"/>
          <w:tblLayout w:type="fixed"/>
        </w:tblPrEx>
        <w:trPr>
          <w:cantSplit/>
          <w:trHeight w:hRule="exact" w:val="525"/>
        </w:trPr>
        <w:tc>
          <w:tcPr>
            <w:tcW w:w="19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1"/>
                <w:u w:val="none"/>
              </w:rPr>
              <w:t>Deterioro de valor de ganancias y reversión de pérdidas por deterioro de valor (pérdidas por deterioro de valor) determinado de acuerdo con la NIIF 9.</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(18.302)</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100.346</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68.193</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0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0</w:t>
            </w:r>
          </w:p>
        </w:tc>
        <w:tc>
          <w:tcPr>
            <w:tcW w:w="705" w:type="dxa"/>
            <w:tcBorders>
              <w:top w:val="single" w:sz="4" w:space="0" w:color="FFFFFF"/>
              <w:left w:val="single" w:sz="4" w:space="0" w:color="FFFFFF"/>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(18.302)</w:t>
            </w:r>
          </w:p>
        </w:tc>
        <w:tc>
          <w:tcPr>
            <w:tcW w:w="705" w:type="dxa"/>
            <w:tcBorders>
              <w:top w:val="single" w:sz="4" w:space="0" w:color="FFFFFF"/>
              <w:left w:val="single" w:sz="4" w:space="0" w:color="FFFFFF"/>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100.346</w:t>
            </w:r>
          </w:p>
        </w:tc>
        <w:tc>
          <w:tcPr>
            <w:tcW w:w="705" w:type="dxa"/>
            <w:tcBorders>
              <w:top w:val="single" w:sz="4" w:space="0" w:color="FFFFFF"/>
              <w:left w:val="single" w:sz="4" w:space="0" w:color="FFFFFF"/>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68.193</w:t>
            </w:r>
          </w:p>
        </w:tc>
      </w:tr>
      <w:tr>
        <w:tblPrEx>
          <w:tblW w:w="13245" w:type="dxa"/>
          <w:tblInd w:w="11" w:type="dxa"/>
          <w:tblLayout w:type="fixed"/>
        </w:tblPrEx>
        <w:trPr>
          <w:cantSplit/>
          <w:trHeight w:hRule="exact" w:val="225"/>
        </w:trPr>
        <w:tc>
          <w:tcPr>
            <w:tcW w:w="19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1"/>
                <w:u w:val="none"/>
              </w:rPr>
              <w:t>Otras ganancias (pérdidas).</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4.788.486</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329.632</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1.846.862</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5.626</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4.331</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5.602</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1.122</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(920)</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603</w:t>
            </w:r>
          </w:p>
        </w:tc>
        <w:tc>
          <w:tcPr>
            <w:tcW w:w="70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0</w:t>
            </w:r>
          </w:p>
        </w:tc>
        <w:tc>
          <w:tcPr>
            <w:tcW w:w="705" w:type="dxa"/>
            <w:tcBorders>
              <w:top w:val="single" w:sz="4" w:space="0" w:color="FFFFFF"/>
              <w:left w:val="single" w:sz="4" w:space="0" w:color="FFFFFF"/>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4.795.234</w:t>
            </w:r>
          </w:p>
        </w:tc>
        <w:tc>
          <w:tcPr>
            <w:tcW w:w="705" w:type="dxa"/>
            <w:tcBorders>
              <w:top w:val="single" w:sz="4" w:space="0" w:color="FFFFFF"/>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333.043</w:t>
            </w:r>
          </w:p>
        </w:tc>
        <w:tc>
          <w:tcPr>
            <w:tcW w:w="705" w:type="dxa"/>
            <w:tcBorders>
              <w:top w:val="single" w:sz="4" w:space="0" w:color="FFFFFF"/>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1.853.067</w:t>
            </w:r>
          </w:p>
        </w:tc>
      </w:tr>
      <w:tr>
        <w:tblPrEx>
          <w:tblW w:w="13245" w:type="dxa"/>
          <w:tblInd w:w="11" w:type="dxa"/>
          <w:tblLayout w:type="fixed"/>
        </w:tblPrEx>
        <w:trPr>
          <w:cantSplit/>
          <w:trHeight w:hRule="exact" w:val="315"/>
        </w:trPr>
        <w:tc>
          <w:tcPr>
            <w:tcW w:w="19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1"/>
                <w:u w:val="none"/>
              </w:rPr>
              <w:t>Ganancias (pérdidas) de actividades operacionales.</w:t>
            </w:r>
          </w:p>
        </w:tc>
        <w:tc>
          <w:tcPr>
            <w:tcW w:w="7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0</w:t>
            </w:r>
          </w:p>
        </w:tc>
        <w:tc>
          <w:tcPr>
            <w:tcW w:w="7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53.678.113</w:t>
            </w:r>
          </w:p>
        </w:tc>
        <w:tc>
          <w:tcPr>
            <w:tcW w:w="7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(24.373.768)</w:t>
            </w:r>
          </w:p>
        </w:tc>
        <w:tc>
          <w:tcPr>
            <w:tcW w:w="705" w:type="dxa"/>
            <w:tcBorders>
              <w:top w:val="single" w:sz="2" w:space="0" w:color="000000"/>
              <w:left w:val="single" w:sz="8"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26.095.142</w:t>
            </w:r>
          </w:p>
        </w:tc>
        <w:tc>
          <w:tcPr>
            <w:tcW w:w="7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0</w:t>
            </w:r>
          </w:p>
        </w:tc>
        <w:tc>
          <w:tcPr>
            <w:tcW w:w="7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2.548.193</w:t>
            </w:r>
          </w:p>
        </w:tc>
        <w:tc>
          <w:tcPr>
            <w:tcW w:w="7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(1.152.671)</w:t>
            </w:r>
          </w:p>
        </w:tc>
        <w:tc>
          <w:tcPr>
            <w:tcW w:w="705" w:type="dxa"/>
            <w:tcBorders>
              <w:top w:val="single" w:sz="2" w:space="0" w:color="000000"/>
              <w:left w:val="single" w:sz="8"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1.528.024</w:t>
            </w:r>
          </w:p>
        </w:tc>
        <w:tc>
          <w:tcPr>
            <w:tcW w:w="7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0</w:t>
            </w:r>
          </w:p>
        </w:tc>
        <w:tc>
          <w:tcPr>
            <w:tcW w:w="7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0</w:t>
            </w:r>
          </w:p>
        </w:tc>
        <w:tc>
          <w:tcPr>
            <w:tcW w:w="7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0</w:t>
            </w:r>
          </w:p>
        </w:tc>
        <w:tc>
          <w:tcPr>
            <w:tcW w:w="705" w:type="dxa"/>
            <w:tcBorders>
              <w:top w:val="single" w:sz="2" w:space="0" w:color="000000"/>
              <w:left w:val="single" w:sz="8"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0</w:t>
            </w:r>
          </w:p>
        </w:tc>
        <w:tc>
          <w:tcPr>
            <w:tcW w:w="705" w:type="dxa"/>
            <w:tcBorders>
              <w:top w:val="single" w:sz="4" w:space="0" w:color="FFFFFF"/>
              <w:left w:val="single" w:sz="4" w:space="0" w:color="FFFFFF"/>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0</w:t>
            </w:r>
          </w:p>
        </w:tc>
        <w:tc>
          <w:tcPr>
            <w:tcW w:w="705" w:type="dxa"/>
            <w:tcBorders>
              <w:top w:val="single" w:sz="4" w:space="0" w:color="FFFFFF"/>
              <w:left w:val="single" w:sz="4" w:space="0" w:color="FFFFFF"/>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56.226.306</w:t>
            </w:r>
          </w:p>
        </w:tc>
        <w:tc>
          <w:tcPr>
            <w:tcW w:w="7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(25.526.439)</w:t>
            </w:r>
          </w:p>
        </w:tc>
        <w:tc>
          <w:tcPr>
            <w:tcW w:w="7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27.623.166</w:t>
            </w:r>
          </w:p>
        </w:tc>
      </w:tr>
      <w:tr>
        <w:tblPrEx>
          <w:tblW w:w="13245" w:type="dxa"/>
          <w:tblInd w:w="11" w:type="dxa"/>
          <w:tblLayout w:type="fixed"/>
        </w:tblPrEx>
        <w:trPr>
          <w:cantSplit/>
          <w:trHeight w:hRule="exact" w:val="225"/>
        </w:trPr>
        <w:tc>
          <w:tcPr>
            <w:tcW w:w="19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1"/>
                <w:u w:val="none"/>
              </w:rPr>
              <w:t>Ingresos financieros.</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2.907.277</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(1.587.989)</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1.511.532</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24.323</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(1.818)</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21.843</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(391.220)</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96.619</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(184.471)</w:t>
            </w:r>
          </w:p>
        </w:tc>
        <w:tc>
          <w:tcPr>
            <w:tcW w:w="70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0</w:t>
            </w:r>
          </w:p>
        </w:tc>
        <w:tc>
          <w:tcPr>
            <w:tcW w:w="705" w:type="dxa"/>
            <w:tcBorders>
              <w:top w:val="single" w:sz="4" w:space="0" w:color="FFFFFF"/>
              <w:left w:val="single" w:sz="4" w:space="0" w:color="FFFFFF"/>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2.540.380</w:t>
            </w:r>
          </w:p>
        </w:tc>
        <w:tc>
          <w:tcPr>
            <w:tcW w:w="705" w:type="dxa"/>
            <w:tcBorders>
              <w:top w:val="single" w:sz="2" w:space="0" w:color="000000"/>
              <w:left w:val="single" w:sz="4" w:space="0" w:color="FFFFFF"/>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(1.493.188)</w:t>
            </w:r>
          </w:p>
        </w:tc>
        <w:tc>
          <w:tcPr>
            <w:tcW w:w="705" w:type="dxa"/>
            <w:tcBorders>
              <w:top w:val="single" w:sz="2" w:space="0" w:color="000000"/>
              <w:left w:val="single" w:sz="4" w:space="0" w:color="FFFFFF"/>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1.348.904</w:t>
            </w:r>
          </w:p>
        </w:tc>
      </w:tr>
      <w:tr>
        <w:tblPrEx>
          <w:tblW w:w="13245" w:type="dxa"/>
          <w:tblInd w:w="11" w:type="dxa"/>
          <w:tblLayout w:type="fixed"/>
        </w:tblPrEx>
        <w:trPr>
          <w:cantSplit/>
          <w:trHeight w:hRule="exact" w:val="225"/>
        </w:trPr>
        <w:tc>
          <w:tcPr>
            <w:tcW w:w="19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1"/>
                <w:u w:val="none"/>
              </w:rPr>
              <w:t>Costos financieros.</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(19.530.043)</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9.296.023</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(9.904.634)</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(355.713)</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131.001</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(180.463)</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391.220</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(96.619)</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184.471</w:t>
            </w:r>
          </w:p>
        </w:tc>
        <w:tc>
          <w:tcPr>
            <w:tcW w:w="70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0</w:t>
            </w:r>
          </w:p>
        </w:tc>
        <w:tc>
          <w:tcPr>
            <w:tcW w:w="705" w:type="dxa"/>
            <w:tcBorders>
              <w:top w:val="single" w:sz="4" w:space="0" w:color="FFFFFF"/>
              <w:left w:val="single" w:sz="4" w:space="0" w:color="FFFFFF"/>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(19.494.536)</w:t>
            </w:r>
          </w:p>
        </w:tc>
        <w:tc>
          <w:tcPr>
            <w:tcW w:w="705" w:type="dxa"/>
            <w:tcBorders>
              <w:top w:val="single" w:sz="4" w:space="0" w:color="FFFFFF"/>
              <w:left w:val="single" w:sz="4" w:space="0" w:color="FFFFFF"/>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9.330.405</w:t>
            </w:r>
          </w:p>
        </w:tc>
        <w:tc>
          <w:tcPr>
            <w:tcW w:w="705" w:type="dxa"/>
            <w:tcBorders>
              <w:top w:val="single" w:sz="4" w:space="0" w:color="FFFFFF"/>
              <w:left w:val="single" w:sz="4" w:space="0" w:color="FFFFFF"/>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(9.900.626)</w:t>
            </w:r>
          </w:p>
        </w:tc>
      </w:tr>
      <w:tr>
        <w:tblPrEx>
          <w:tblW w:w="13245" w:type="dxa"/>
          <w:tblInd w:w="11" w:type="dxa"/>
          <w:tblLayout w:type="fixed"/>
        </w:tblPrEx>
        <w:trPr>
          <w:cantSplit/>
          <w:trHeight w:hRule="exact" w:val="525"/>
        </w:trPr>
        <w:tc>
          <w:tcPr>
            <w:tcW w:w="19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1"/>
                <w:u w:val="none"/>
              </w:rPr>
              <w:t>Participación en ganancia (pérdida) de asociadas y negocios conjuntos que se contabilicen utilizando el método de la participación.</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2.335.004</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(1.123.219)</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1.334.845</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(2.335.004)</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1.123.219</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(1.334.845)</w:t>
            </w:r>
          </w:p>
        </w:tc>
        <w:tc>
          <w:tcPr>
            <w:tcW w:w="70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0</w:t>
            </w:r>
          </w:p>
        </w:tc>
        <w:tc>
          <w:tcPr>
            <w:tcW w:w="705" w:type="dxa"/>
            <w:tcBorders>
              <w:top w:val="single" w:sz="4" w:space="0" w:color="FFFFFF"/>
              <w:left w:val="single" w:sz="4" w:space="0" w:color="FFFFFF"/>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0</w:t>
            </w:r>
          </w:p>
        </w:tc>
        <w:tc>
          <w:tcPr>
            <w:tcW w:w="705" w:type="dxa"/>
            <w:tcBorders>
              <w:top w:val="single" w:sz="4" w:space="0" w:color="FFFFFF"/>
              <w:left w:val="single" w:sz="4" w:space="0" w:color="FFFFFF"/>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0</w:t>
            </w:r>
          </w:p>
        </w:tc>
        <w:tc>
          <w:tcPr>
            <w:tcW w:w="705" w:type="dxa"/>
            <w:tcBorders>
              <w:top w:val="single" w:sz="4" w:space="0" w:color="FFFFFF"/>
              <w:left w:val="single" w:sz="4" w:space="0" w:color="FFFFFF"/>
              <w:bottom w:val="single" w:sz="4" w:space="0" w:color="FFFFFF"/>
              <w:right w:val="single" w:sz="4" w:space="0" w:color="FFFFFF"/>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0</w:t>
            </w:r>
          </w:p>
        </w:tc>
      </w:tr>
      <w:tr>
        <w:tblPrEx>
          <w:tblW w:w="13245" w:type="dxa"/>
          <w:tblInd w:w="11" w:type="dxa"/>
          <w:tblLayout w:type="fixed"/>
        </w:tblPrEx>
        <w:trPr>
          <w:cantSplit/>
          <w:trHeight w:hRule="exact" w:val="315"/>
        </w:trPr>
        <w:tc>
          <w:tcPr>
            <w:tcW w:w="19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1"/>
                <w:u w:val="none"/>
              </w:rPr>
              <w:t>Ganancias (pérdidas) de cambio en moneda extranjera.</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5.634.707</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1.645.187</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(416.578)</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(6.300)</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28.146</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5.661</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0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0</w:t>
            </w:r>
          </w:p>
        </w:tc>
        <w:tc>
          <w:tcPr>
            <w:tcW w:w="705" w:type="dxa"/>
            <w:tcBorders>
              <w:top w:val="single" w:sz="4" w:space="0" w:color="FFFFFF"/>
              <w:left w:val="single" w:sz="4" w:space="0" w:color="FFFFFF"/>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5.628.407</w:t>
            </w:r>
          </w:p>
        </w:tc>
        <w:tc>
          <w:tcPr>
            <w:tcW w:w="705" w:type="dxa"/>
            <w:tcBorders>
              <w:top w:val="single" w:sz="4" w:space="0" w:color="FFFFFF"/>
              <w:left w:val="single" w:sz="4" w:space="0" w:color="FFFFFF"/>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1.673.333</w:t>
            </w:r>
          </w:p>
        </w:tc>
        <w:tc>
          <w:tcPr>
            <w:tcW w:w="705" w:type="dxa"/>
            <w:tcBorders>
              <w:top w:val="single" w:sz="4" w:space="0" w:color="FFFFFF"/>
              <w:left w:val="single" w:sz="4" w:space="0" w:color="FFFFFF"/>
              <w:bottom w:val="single" w:sz="4" w:space="0" w:color="FFFFFF"/>
              <w:right w:val="single" w:sz="4" w:space="0" w:color="FFFFFF"/>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(410.917)</w:t>
            </w:r>
          </w:p>
        </w:tc>
      </w:tr>
      <w:tr>
        <w:tblPrEx>
          <w:tblW w:w="13245" w:type="dxa"/>
          <w:tblInd w:w="11" w:type="dxa"/>
          <w:tblLayout w:type="fixed"/>
        </w:tblPrEx>
        <w:trPr>
          <w:cantSplit/>
          <w:trHeight w:hRule="exact" w:val="225"/>
        </w:trPr>
        <w:tc>
          <w:tcPr>
            <w:tcW w:w="19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1"/>
                <w:u w:val="none"/>
              </w:rPr>
              <w:t>Resultados por unidades de reajuste.</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(4.947.779)</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259.942</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(1.808.742)</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1.679</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1.111</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1.115</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0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0</w:t>
            </w:r>
          </w:p>
        </w:tc>
        <w:tc>
          <w:tcPr>
            <w:tcW w:w="705" w:type="dxa"/>
            <w:tcBorders>
              <w:top w:val="single" w:sz="4" w:space="0" w:color="FFFFFF"/>
              <w:left w:val="single" w:sz="4" w:space="0" w:color="FFFFFF"/>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(4.946.100)</w:t>
            </w:r>
          </w:p>
        </w:tc>
        <w:tc>
          <w:tcPr>
            <w:tcW w:w="705" w:type="dxa"/>
            <w:tcBorders>
              <w:top w:val="single" w:sz="4" w:space="0" w:color="FFFFFF"/>
              <w:left w:val="single" w:sz="4" w:space="0" w:color="FFFFFF"/>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261.053</w:t>
            </w:r>
          </w:p>
        </w:tc>
        <w:tc>
          <w:tcPr>
            <w:tcW w:w="705" w:type="dxa"/>
            <w:tcBorders>
              <w:top w:val="single" w:sz="4" w:space="0" w:color="FFFFFF"/>
              <w:left w:val="single" w:sz="4" w:space="0" w:color="FFFFFF"/>
              <w:bottom w:val="single" w:sz="4" w:space="0" w:color="FFFFFF"/>
              <w:right w:val="single" w:sz="4" w:space="0" w:color="FFFFFF"/>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(1.807.627)</w:t>
            </w:r>
          </w:p>
        </w:tc>
      </w:tr>
      <w:tr>
        <w:tblPrEx>
          <w:tblW w:w="13245" w:type="dxa"/>
          <w:tblInd w:w="11" w:type="dxa"/>
          <w:tblLayout w:type="fixed"/>
        </w:tblPrEx>
        <w:trPr>
          <w:cantSplit/>
          <w:trHeight w:hRule="exact" w:val="225"/>
        </w:trPr>
        <w:tc>
          <w:tcPr>
            <w:tcW w:w="19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1"/>
                <w:u w:val="none"/>
              </w:rPr>
              <w:t>Ganancia (pérdida) antes de impuesto</w:t>
            </w:r>
          </w:p>
        </w:tc>
        <w:tc>
          <w:tcPr>
            <w:tcW w:w="7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0</w:t>
            </w:r>
          </w:p>
        </w:tc>
        <w:tc>
          <w:tcPr>
            <w:tcW w:w="7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40.077.279</w:t>
            </w:r>
          </w:p>
        </w:tc>
        <w:tc>
          <w:tcPr>
            <w:tcW w:w="7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(15.883.824)</w:t>
            </w:r>
          </w:p>
        </w:tc>
        <w:tc>
          <w:tcPr>
            <w:tcW w:w="705" w:type="dxa"/>
            <w:tcBorders>
              <w:top w:val="single" w:sz="2" w:space="0" w:color="000000"/>
              <w:left w:val="single" w:sz="8"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16.811.565</w:t>
            </w:r>
          </w:p>
        </w:tc>
        <w:tc>
          <w:tcPr>
            <w:tcW w:w="7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0</w:t>
            </w:r>
          </w:p>
        </w:tc>
        <w:tc>
          <w:tcPr>
            <w:tcW w:w="7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2.212.182</w:t>
            </w:r>
          </w:p>
        </w:tc>
        <w:tc>
          <w:tcPr>
            <w:tcW w:w="7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(994.231)</w:t>
            </w:r>
          </w:p>
        </w:tc>
        <w:tc>
          <w:tcPr>
            <w:tcW w:w="705" w:type="dxa"/>
            <w:tcBorders>
              <w:top w:val="single" w:sz="2" w:space="0" w:color="000000"/>
              <w:left w:val="single" w:sz="8"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1.376.180</w:t>
            </w:r>
          </w:p>
        </w:tc>
        <w:tc>
          <w:tcPr>
            <w:tcW w:w="7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0</w:t>
            </w:r>
          </w:p>
        </w:tc>
        <w:tc>
          <w:tcPr>
            <w:tcW w:w="7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(2.335.004)</w:t>
            </w:r>
          </w:p>
        </w:tc>
        <w:tc>
          <w:tcPr>
            <w:tcW w:w="7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1.123.219</w:t>
            </w:r>
          </w:p>
        </w:tc>
        <w:tc>
          <w:tcPr>
            <w:tcW w:w="705" w:type="dxa"/>
            <w:tcBorders>
              <w:top w:val="single" w:sz="2" w:space="0" w:color="000000"/>
              <w:left w:val="single" w:sz="8"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(1.334.845)</w:t>
            </w:r>
          </w:p>
        </w:tc>
        <w:tc>
          <w:tcPr>
            <w:tcW w:w="705" w:type="dxa"/>
            <w:tcBorders>
              <w:top w:val="single" w:sz="4" w:space="0" w:color="FFFFFF"/>
              <w:left w:val="single" w:sz="4" w:space="0" w:color="FFFFFF"/>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0</w:t>
            </w:r>
          </w:p>
        </w:tc>
        <w:tc>
          <w:tcPr>
            <w:tcW w:w="705" w:type="dxa"/>
            <w:tcBorders>
              <w:top w:val="single" w:sz="4" w:space="0" w:color="FFFFFF"/>
              <w:left w:val="single" w:sz="4" w:space="0" w:color="FFFFFF"/>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39.954.457</w:t>
            </w:r>
          </w:p>
        </w:tc>
        <w:tc>
          <w:tcPr>
            <w:tcW w:w="705" w:type="dxa"/>
            <w:tcBorders>
              <w:top w:val="single" w:sz="4" w:space="0" w:color="FFFFFF"/>
              <w:left w:val="single" w:sz="4" w:space="0" w:color="FFFFFF"/>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(15.754.836)</w:t>
            </w:r>
          </w:p>
        </w:tc>
        <w:tc>
          <w:tcPr>
            <w:tcW w:w="705" w:type="dxa"/>
            <w:tcBorders>
              <w:top w:val="single" w:sz="4" w:space="0" w:color="FFFFFF"/>
              <w:left w:val="single" w:sz="4" w:space="0" w:color="FFFFFF"/>
              <w:bottom w:val="single" w:sz="4" w:space="0" w:color="FFFFFF"/>
              <w:right w:val="single" w:sz="4" w:space="0" w:color="FFFFFF"/>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16.852.900</w:t>
            </w:r>
          </w:p>
        </w:tc>
      </w:tr>
      <w:tr>
        <w:tblPrEx>
          <w:tblW w:w="13245" w:type="dxa"/>
          <w:tblInd w:w="11" w:type="dxa"/>
          <w:tblLayout w:type="fixed"/>
        </w:tblPrEx>
        <w:trPr>
          <w:cantSplit/>
          <w:trHeight w:hRule="exact" w:val="315"/>
        </w:trPr>
        <w:tc>
          <w:tcPr>
            <w:tcW w:w="19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1"/>
                <w:u w:val="none"/>
              </w:rPr>
              <w:t>Beneficio (gasto) por impuestos a las ganancias.</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(9.872.988)</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4.052.582</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(4.465.989)</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(441.963)</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285.005</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(315.426)</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05" w:type="dxa"/>
            <w:tcBorders>
              <w:top w:val="single" w:sz="4" w:space="0" w:color="FFFFFF"/>
              <w:left w:val="single" w:sz="4" w:space="0" w:color="FFFFFF"/>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0</w:t>
            </w:r>
          </w:p>
        </w:tc>
        <w:tc>
          <w:tcPr>
            <w:tcW w:w="705" w:type="dxa"/>
            <w:tcBorders>
              <w:top w:val="single" w:sz="4" w:space="0" w:color="FFFFFF"/>
              <w:left w:val="single" w:sz="4" w:space="0" w:color="FFFFFF"/>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(10.314.951)</w:t>
            </w:r>
          </w:p>
        </w:tc>
        <w:tc>
          <w:tcPr>
            <w:tcW w:w="705" w:type="dxa"/>
            <w:tcBorders>
              <w:top w:val="single" w:sz="4" w:space="0" w:color="FFFFFF"/>
              <w:left w:val="single" w:sz="4" w:space="0" w:color="FFFFFF"/>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4.337.587</w:t>
            </w:r>
          </w:p>
        </w:tc>
        <w:tc>
          <w:tcPr>
            <w:tcW w:w="705" w:type="dxa"/>
            <w:tcBorders>
              <w:top w:val="single" w:sz="4" w:space="0" w:color="FFFFFF"/>
              <w:left w:val="single" w:sz="4" w:space="0" w:color="FFFFFF"/>
              <w:bottom w:val="single" w:sz="4" w:space="0" w:color="FFFFFF"/>
              <w:right w:val="single" w:sz="4" w:space="0" w:color="FFFFFF"/>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(4.781.415)</w:t>
            </w:r>
          </w:p>
        </w:tc>
      </w:tr>
      <w:tr>
        <w:tblPrEx>
          <w:tblW w:w="13245" w:type="dxa"/>
          <w:tblInd w:w="11" w:type="dxa"/>
          <w:tblLayout w:type="fixed"/>
        </w:tblPrEx>
        <w:trPr>
          <w:cantSplit/>
          <w:trHeight w:hRule="exact" w:val="225"/>
        </w:trPr>
        <w:tc>
          <w:tcPr>
            <w:tcW w:w="19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1"/>
                <w:u w:val="none"/>
              </w:rPr>
              <w:t>Ganancia (pérdida)</w:t>
            </w:r>
          </w:p>
        </w:tc>
        <w:tc>
          <w:tcPr>
            <w:tcW w:w="7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0</w:t>
            </w:r>
          </w:p>
        </w:tc>
        <w:tc>
          <w:tcPr>
            <w:tcW w:w="7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30.204.291</w:t>
            </w:r>
          </w:p>
        </w:tc>
        <w:tc>
          <w:tcPr>
            <w:tcW w:w="7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(11.831.242)</w:t>
            </w:r>
          </w:p>
        </w:tc>
        <w:tc>
          <w:tcPr>
            <w:tcW w:w="705" w:type="dxa"/>
            <w:tcBorders>
              <w:top w:val="single" w:sz="2" w:space="0" w:color="000000"/>
              <w:left w:val="single" w:sz="8"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12.345.576</w:t>
            </w:r>
          </w:p>
        </w:tc>
        <w:tc>
          <w:tcPr>
            <w:tcW w:w="7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0</w:t>
            </w:r>
          </w:p>
        </w:tc>
        <w:tc>
          <w:tcPr>
            <w:tcW w:w="7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1.770.219</w:t>
            </w:r>
          </w:p>
        </w:tc>
        <w:tc>
          <w:tcPr>
            <w:tcW w:w="7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(709.226)</w:t>
            </w:r>
          </w:p>
        </w:tc>
        <w:tc>
          <w:tcPr>
            <w:tcW w:w="705" w:type="dxa"/>
            <w:tcBorders>
              <w:top w:val="single" w:sz="2" w:space="0" w:color="000000"/>
              <w:left w:val="single" w:sz="8"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1.060.754</w:t>
            </w:r>
          </w:p>
        </w:tc>
        <w:tc>
          <w:tcPr>
            <w:tcW w:w="7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0</w:t>
            </w:r>
          </w:p>
        </w:tc>
        <w:tc>
          <w:tcPr>
            <w:tcW w:w="7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(2.335.004)</w:t>
            </w:r>
          </w:p>
        </w:tc>
        <w:tc>
          <w:tcPr>
            <w:tcW w:w="7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1.123.219</w:t>
            </w:r>
          </w:p>
        </w:tc>
        <w:tc>
          <w:tcPr>
            <w:tcW w:w="705" w:type="dxa"/>
            <w:tcBorders>
              <w:top w:val="single" w:sz="2" w:space="0" w:color="000000"/>
              <w:left w:val="single" w:sz="8"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(1.334.845)</w:t>
            </w:r>
          </w:p>
        </w:tc>
        <w:tc>
          <w:tcPr>
            <w:tcW w:w="705" w:type="dxa"/>
            <w:tcBorders>
              <w:top w:val="single" w:sz="4" w:space="0" w:color="FFFFFF"/>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0</w:t>
            </w:r>
          </w:p>
        </w:tc>
        <w:tc>
          <w:tcPr>
            <w:tcW w:w="705" w:type="dxa"/>
            <w:tcBorders>
              <w:top w:val="single" w:sz="4" w:space="0" w:color="FFFFFF"/>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29.639.506</w:t>
            </w:r>
          </w:p>
        </w:tc>
        <w:tc>
          <w:tcPr>
            <w:tcW w:w="705" w:type="dxa"/>
            <w:tcBorders>
              <w:top w:val="single" w:sz="4" w:space="0" w:color="FFFFFF"/>
              <w:left w:val="single" w:sz="4" w:space="0" w:color="FFFFFF"/>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(11.417.249)</w:t>
            </w:r>
          </w:p>
        </w:tc>
        <w:tc>
          <w:tcPr>
            <w:tcW w:w="705" w:type="dxa"/>
            <w:tcBorders>
              <w:top w:val="single" w:sz="4" w:space="0" w:color="FFFFFF"/>
              <w:left w:val="single" w:sz="4" w:space="0" w:color="FFFFFF"/>
              <w:bottom w:val="single" w:sz="4" w:space="0" w:color="FFFFFF"/>
              <w:right w:val="single" w:sz="4" w:space="0" w:color="FFFFFF"/>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12.071.485</w:t>
            </w:r>
          </w:p>
        </w:tc>
      </w:tr>
      <w:tr>
        <w:tblPrEx>
          <w:tblW w:w="13245" w:type="dxa"/>
          <w:tblInd w:w="11" w:type="dxa"/>
          <w:tblLayout w:type="fixed"/>
        </w:tblPrEx>
        <w:trPr>
          <w:cantSplit/>
          <w:trHeight w:hRule="exact" w:val="60"/>
        </w:trPr>
        <w:tc>
          <w:tcPr>
            <w:tcW w:w="19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7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7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7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7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7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7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7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7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7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7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7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7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7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705" w:type="dxa"/>
            <w:tcBorders>
              <w:top w:val="single" w:sz="4" w:space="0" w:color="FFFFFF"/>
              <w:left w:val="nil"/>
              <w:bottom w:val="nil"/>
              <w:right w:val="nil"/>
            </w:tcBorders>
            <w:tcMar>
              <w:top w:w="0" w:type="dxa"/>
              <w:left w:w="0" w:type="dxa"/>
              <w:bottom w:w="0" w:type="dxa"/>
              <w:right w:w="0" w:type="dxa"/>
            </w:tcMar>
            <w:vAlign w:val="bottom"/>
          </w:tcPr>
          <w:p>
            <w:pPr>
              <w:keepNext/>
              <w:pageBreakBefore w:val="0"/>
              <w:spacing w:before="0" w:after="0"/>
            </w:pPr>
          </w:p>
        </w:tc>
        <w:tc>
          <w:tcPr>
            <w:tcW w:w="705" w:type="dxa"/>
            <w:tcBorders>
              <w:top w:val="single" w:sz="4" w:space="0" w:color="FFFFFF"/>
              <w:left w:val="nil"/>
              <w:bottom w:val="nil"/>
              <w:right w:val="nil"/>
            </w:tcBorders>
            <w:tcMar>
              <w:top w:w="0" w:type="dxa"/>
              <w:left w:w="0" w:type="dxa"/>
              <w:bottom w:w="0" w:type="dxa"/>
              <w:right w:w="0" w:type="dxa"/>
            </w:tcMar>
            <w:vAlign w:val="bottom"/>
          </w:tcPr>
          <w:p>
            <w:pPr>
              <w:keepNext/>
              <w:pageBreakBefore w:val="0"/>
              <w:spacing w:before="0" w:after="0"/>
            </w:pPr>
          </w:p>
        </w:tc>
      </w:tr>
      <w:tr>
        <w:tblPrEx>
          <w:tblW w:w="13245" w:type="dxa"/>
          <w:tblInd w:w="11" w:type="dxa"/>
          <w:tblLayout w:type="fixed"/>
        </w:tblPrEx>
        <w:trPr>
          <w:cantSplit/>
          <w:trHeight w:hRule="exact" w:val="225"/>
        </w:trPr>
        <w:tc>
          <w:tcPr>
            <w:tcW w:w="19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1"/>
                <w:u w:val="none"/>
              </w:rPr>
              <w:t>Ganancia (pérdida) atribuible a</w:t>
            </w:r>
          </w:p>
        </w:tc>
        <w:tc>
          <w:tcPr>
            <w:tcW w:w="70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0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05" w:type="dxa"/>
            <w:tcBorders>
              <w:top w:val="nil"/>
              <w:left w:val="nil"/>
              <w:bottom w:val="single" w:sz="4" w:space="0" w:color="FFFFFF"/>
              <w:right w:val="nil"/>
            </w:tcBorders>
            <w:tcMar>
              <w:top w:w="0" w:type="dxa"/>
              <w:left w:w="0" w:type="dxa"/>
              <w:bottom w:w="0" w:type="dxa"/>
              <w:right w:w="0" w:type="dxa"/>
            </w:tcMar>
            <w:vAlign w:val="bottom"/>
          </w:tcPr>
          <w:p>
            <w:pPr>
              <w:keepNext/>
              <w:pageBreakBefore w:val="0"/>
              <w:spacing w:before="0" w:after="0"/>
            </w:pPr>
          </w:p>
        </w:tc>
        <w:tc>
          <w:tcPr>
            <w:tcW w:w="705" w:type="dxa"/>
            <w:tcBorders>
              <w:top w:val="nil"/>
              <w:left w:val="nil"/>
              <w:bottom w:val="single" w:sz="4" w:space="0" w:color="FFFFFF"/>
              <w:right w:val="nil"/>
            </w:tcBorders>
            <w:tcMar>
              <w:top w:w="0" w:type="dxa"/>
              <w:left w:w="0" w:type="dxa"/>
              <w:bottom w:w="0" w:type="dxa"/>
              <w:right w:w="0" w:type="dxa"/>
            </w:tcMar>
            <w:vAlign w:val="bottom"/>
          </w:tcPr>
          <w:p>
            <w:pPr>
              <w:keepNext/>
              <w:pageBreakBefore w:val="0"/>
              <w:spacing w:before="0" w:after="0"/>
            </w:pPr>
          </w:p>
        </w:tc>
      </w:tr>
      <w:tr>
        <w:tblPrEx>
          <w:tblW w:w="13245" w:type="dxa"/>
          <w:tblInd w:w="11" w:type="dxa"/>
          <w:tblLayout w:type="fixed"/>
        </w:tblPrEx>
        <w:trPr>
          <w:cantSplit/>
          <w:trHeight w:hRule="exact" w:val="315"/>
        </w:trPr>
        <w:tc>
          <w:tcPr>
            <w:tcW w:w="19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1"/>
                <w:u w:val="none"/>
              </w:rPr>
              <w:t>Ganancia (pérdida) atribuible a los propietarios de la controladora.</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30.204.291</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(11.831.242)</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12.345.576</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1.744.928</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(679.875)</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1.039.245</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(2.351.231)</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1.129.542</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(1.344.509)</w:t>
            </w:r>
          </w:p>
        </w:tc>
        <w:tc>
          <w:tcPr>
            <w:tcW w:w="705"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0</w:t>
            </w:r>
          </w:p>
        </w:tc>
        <w:tc>
          <w:tcPr>
            <w:tcW w:w="705" w:type="dxa"/>
            <w:tcBorders>
              <w:top w:val="single" w:sz="2" w:space="0" w:color="000000"/>
              <w:left w:val="single" w:sz="4" w:space="0" w:color="FFFFFF"/>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29.597.988</w:t>
            </w:r>
          </w:p>
        </w:tc>
        <w:tc>
          <w:tcPr>
            <w:tcW w:w="705" w:type="dxa"/>
            <w:tcBorders>
              <w:top w:val="single" w:sz="4" w:space="0" w:color="FFFFFF"/>
              <w:left w:val="single" w:sz="4" w:space="0" w:color="FFFFFF"/>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(11.381.575)</w:t>
            </w:r>
          </w:p>
        </w:tc>
        <w:tc>
          <w:tcPr>
            <w:tcW w:w="705" w:type="dxa"/>
            <w:tcBorders>
              <w:top w:val="single" w:sz="4" w:space="0" w:color="FFFFFF"/>
              <w:left w:val="single" w:sz="4" w:space="0" w:color="FFFFFF"/>
              <w:bottom w:val="single" w:sz="4" w:space="0" w:color="FFFFFF"/>
              <w:right w:val="single" w:sz="4" w:space="0" w:color="FFFFFF"/>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12.040.312</w:t>
            </w:r>
          </w:p>
        </w:tc>
      </w:tr>
      <w:tr>
        <w:tblPrEx>
          <w:tblW w:w="13245" w:type="dxa"/>
          <w:tblInd w:w="11" w:type="dxa"/>
          <w:tblLayout w:type="fixed"/>
        </w:tblPrEx>
        <w:trPr>
          <w:cantSplit/>
          <w:trHeight w:hRule="exact" w:val="315"/>
        </w:trPr>
        <w:tc>
          <w:tcPr>
            <w:tcW w:w="19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1"/>
                <w:u w:val="none"/>
              </w:rPr>
              <w:t>Ganancia (pérdida) atribuible a participaciones no controladoras.</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25.291</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(29.351)</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21.509</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16.227</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(6.323)</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9.664</w:t>
            </w:r>
          </w:p>
        </w:tc>
        <w:tc>
          <w:tcPr>
            <w:tcW w:w="705" w:type="dxa"/>
            <w:tcBorders>
              <w:top w:val="single" w:sz="4" w:space="0" w:color="FFFFFF"/>
              <w:left w:val="single" w:sz="4" w:space="0" w:color="FFFFFF"/>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0</w:t>
            </w:r>
          </w:p>
        </w:tc>
        <w:tc>
          <w:tcPr>
            <w:tcW w:w="705" w:type="dxa"/>
            <w:tcBorders>
              <w:top w:val="single" w:sz="4" w:space="0" w:color="FFFFFF"/>
              <w:left w:val="single" w:sz="4" w:space="0" w:color="FFFFFF"/>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41.518</w:t>
            </w:r>
          </w:p>
        </w:tc>
        <w:tc>
          <w:tcPr>
            <w:tcW w:w="705" w:type="dxa"/>
            <w:tcBorders>
              <w:top w:val="single" w:sz="4" w:space="0" w:color="FFFFFF"/>
              <w:left w:val="single" w:sz="4" w:space="0" w:color="FFFFFF"/>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(35.674)</w:t>
            </w:r>
          </w:p>
        </w:tc>
        <w:tc>
          <w:tcPr>
            <w:tcW w:w="705" w:type="dxa"/>
            <w:tcBorders>
              <w:top w:val="single" w:sz="4" w:space="0" w:color="FFFFFF"/>
              <w:left w:val="single" w:sz="4" w:space="0" w:color="FFFFFF"/>
              <w:bottom w:val="single" w:sz="4" w:space="0" w:color="FFFFFF"/>
              <w:right w:val="single" w:sz="4" w:space="0" w:color="FFFFFF"/>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31.173</w:t>
            </w:r>
          </w:p>
        </w:tc>
      </w:tr>
      <w:tr>
        <w:tblPrEx>
          <w:tblW w:w="13245" w:type="dxa"/>
          <w:tblInd w:w="11" w:type="dxa"/>
          <w:tblLayout w:type="fixed"/>
        </w:tblPrEx>
        <w:trPr>
          <w:cantSplit/>
          <w:trHeight w:hRule="exact" w:val="225"/>
        </w:trPr>
        <w:tc>
          <w:tcPr>
            <w:tcW w:w="19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1"/>
                <w:u w:val="none"/>
              </w:rPr>
              <w:t>Ganancia (pérdida)</w:t>
            </w:r>
          </w:p>
        </w:tc>
        <w:tc>
          <w:tcPr>
            <w:tcW w:w="7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0</w:t>
            </w:r>
          </w:p>
        </w:tc>
        <w:tc>
          <w:tcPr>
            <w:tcW w:w="7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30.204.291</w:t>
            </w:r>
          </w:p>
        </w:tc>
        <w:tc>
          <w:tcPr>
            <w:tcW w:w="7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(11.831.242)</w:t>
            </w:r>
          </w:p>
        </w:tc>
        <w:tc>
          <w:tcPr>
            <w:tcW w:w="705" w:type="dxa"/>
            <w:tcBorders>
              <w:top w:val="single" w:sz="2" w:space="0" w:color="000000"/>
              <w:left w:val="single" w:sz="8"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12.345.576</w:t>
            </w:r>
          </w:p>
        </w:tc>
        <w:tc>
          <w:tcPr>
            <w:tcW w:w="7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0</w:t>
            </w:r>
          </w:p>
        </w:tc>
        <w:tc>
          <w:tcPr>
            <w:tcW w:w="7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1.770.219</w:t>
            </w:r>
          </w:p>
        </w:tc>
        <w:tc>
          <w:tcPr>
            <w:tcW w:w="7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(709.226)</w:t>
            </w:r>
          </w:p>
        </w:tc>
        <w:tc>
          <w:tcPr>
            <w:tcW w:w="705" w:type="dxa"/>
            <w:tcBorders>
              <w:top w:val="single" w:sz="2" w:space="0" w:color="000000"/>
              <w:left w:val="single" w:sz="8"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1.060.754</w:t>
            </w:r>
          </w:p>
        </w:tc>
        <w:tc>
          <w:tcPr>
            <w:tcW w:w="7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0</w:t>
            </w:r>
          </w:p>
        </w:tc>
        <w:tc>
          <w:tcPr>
            <w:tcW w:w="7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(2.335.004)</w:t>
            </w:r>
          </w:p>
        </w:tc>
        <w:tc>
          <w:tcPr>
            <w:tcW w:w="7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1.123.219</w:t>
            </w:r>
          </w:p>
        </w:tc>
        <w:tc>
          <w:tcPr>
            <w:tcW w:w="705" w:type="dxa"/>
            <w:tcBorders>
              <w:top w:val="single" w:sz="2" w:space="0" w:color="000000"/>
              <w:left w:val="single" w:sz="8"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(1.334.845)</w:t>
            </w:r>
          </w:p>
        </w:tc>
        <w:tc>
          <w:tcPr>
            <w:tcW w:w="705" w:type="dxa"/>
            <w:tcBorders>
              <w:top w:val="single" w:sz="4" w:space="0" w:color="FFFFFF"/>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0</w:t>
            </w:r>
          </w:p>
        </w:tc>
        <w:tc>
          <w:tcPr>
            <w:tcW w:w="705" w:type="dxa"/>
            <w:tcBorders>
              <w:top w:val="single" w:sz="4" w:space="0" w:color="FFFFFF"/>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29.639.506</w:t>
            </w:r>
          </w:p>
        </w:tc>
        <w:tc>
          <w:tcPr>
            <w:tcW w:w="705" w:type="dxa"/>
            <w:tcBorders>
              <w:top w:val="single" w:sz="4" w:space="0" w:color="FFFFFF"/>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(11.417.249)</w:t>
            </w:r>
          </w:p>
        </w:tc>
        <w:tc>
          <w:tcPr>
            <w:tcW w:w="705" w:type="dxa"/>
            <w:tcBorders>
              <w:top w:val="single" w:sz="4" w:space="0" w:color="FFFFFF"/>
              <w:left w:val="single" w:sz="8"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12.071.485</w:t>
            </w:r>
          </w:p>
        </w:tc>
      </w:tr>
      <w:tr>
        <w:tblPrEx>
          <w:tblW w:w="13245" w:type="dxa"/>
          <w:tblInd w:w="11" w:type="dxa"/>
          <w:tblLayout w:type="fixed"/>
        </w:tblPrEx>
        <w:trPr>
          <w:cantSplit/>
          <w:trHeight w:hRule="exact" w:val="60"/>
        </w:trPr>
        <w:tc>
          <w:tcPr>
            <w:tcW w:w="19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7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7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7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7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7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7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7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7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7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7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7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7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7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7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7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13245" w:type="dxa"/>
          <w:tblInd w:w="11" w:type="dxa"/>
          <w:tblLayout w:type="fixed"/>
        </w:tblPrEx>
        <w:trPr>
          <w:cantSplit/>
          <w:trHeight w:hRule="exact" w:val="225"/>
        </w:trPr>
        <w:tc>
          <w:tcPr>
            <w:tcW w:w="19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p>
        </w:tc>
        <w:tc>
          <w:tcPr>
            <w:tcW w:w="70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05" w:type="dxa"/>
            <w:tcBorders>
              <w:top w:val="nil"/>
              <w:left w:val="nil"/>
              <w:bottom w:val="single" w:sz="4" w:space="0" w:color="FFFFFF"/>
              <w:right w:val="nil"/>
            </w:tcBorders>
            <w:tcMar>
              <w:top w:w="0" w:type="dxa"/>
              <w:left w:w="0" w:type="dxa"/>
              <w:bottom w:w="0" w:type="dxa"/>
              <w:right w:w="0" w:type="dxa"/>
            </w:tcMar>
            <w:vAlign w:val="bottom"/>
          </w:tcPr>
          <w:p>
            <w:pPr>
              <w:keepNext/>
              <w:pageBreakBefore w:val="0"/>
              <w:spacing w:before="0" w:after="0"/>
            </w:pPr>
          </w:p>
        </w:tc>
        <w:tc>
          <w:tcPr>
            <w:tcW w:w="705" w:type="dxa"/>
            <w:tcBorders>
              <w:top w:val="nil"/>
              <w:left w:val="nil"/>
              <w:bottom w:val="single" w:sz="4" w:space="0" w:color="FFFFFF"/>
              <w:right w:val="nil"/>
            </w:tcBorders>
            <w:tcMar>
              <w:top w:w="0" w:type="dxa"/>
              <w:left w:w="0" w:type="dxa"/>
              <w:bottom w:w="0" w:type="dxa"/>
              <w:right w:w="0" w:type="dxa"/>
            </w:tcMar>
            <w:vAlign w:val="bottom"/>
          </w:tcPr>
          <w:p>
            <w:pPr>
              <w:keepNext/>
              <w:pageBreakBefore w:val="0"/>
              <w:spacing w:before="0" w:after="0"/>
            </w:pPr>
          </w:p>
        </w:tc>
      </w:tr>
      <w:tr>
        <w:tblPrEx>
          <w:tblW w:w="13245" w:type="dxa"/>
          <w:tblInd w:w="11" w:type="dxa"/>
          <w:tblLayout w:type="fixed"/>
        </w:tblPrEx>
        <w:trPr>
          <w:cantSplit/>
          <w:trHeight w:hRule="exact" w:val="225"/>
        </w:trPr>
        <w:tc>
          <w:tcPr>
            <w:tcW w:w="19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1"/>
                <w:u w:val="none"/>
              </w:rPr>
              <w:t>Depreciación y retiros.</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15.096.536</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(8.081.894)</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7.556.216</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168.335</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(117.641)</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92.782</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05"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0</w:t>
            </w:r>
          </w:p>
        </w:tc>
        <w:tc>
          <w:tcPr>
            <w:tcW w:w="705" w:type="dxa"/>
            <w:tcBorders>
              <w:top w:val="single" w:sz="2" w:space="0" w:color="000000"/>
              <w:left w:val="single" w:sz="4" w:space="0" w:color="FFFFFF"/>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15.264.871</w:t>
            </w:r>
          </w:p>
        </w:tc>
        <w:tc>
          <w:tcPr>
            <w:tcW w:w="705" w:type="dxa"/>
            <w:tcBorders>
              <w:top w:val="single" w:sz="4" w:space="0" w:color="FFFFFF"/>
              <w:left w:val="single" w:sz="4" w:space="0" w:color="FFFFFF"/>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(8.199.535)</w:t>
            </w:r>
          </w:p>
        </w:tc>
        <w:tc>
          <w:tcPr>
            <w:tcW w:w="705" w:type="dxa"/>
            <w:tcBorders>
              <w:top w:val="single" w:sz="4" w:space="0" w:color="FFFFFF"/>
              <w:left w:val="single" w:sz="4" w:space="0" w:color="FFFFFF"/>
              <w:bottom w:val="single" w:sz="4" w:space="0" w:color="FFFFFF"/>
              <w:right w:val="single" w:sz="4" w:space="0" w:color="FFFFFF"/>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7.648.998</w:t>
            </w:r>
          </w:p>
        </w:tc>
      </w:tr>
      <w:tr>
        <w:tblPrEx>
          <w:tblW w:w="13245" w:type="dxa"/>
          <w:tblInd w:w="11" w:type="dxa"/>
          <w:tblLayout w:type="fixed"/>
        </w:tblPrEx>
        <w:trPr>
          <w:cantSplit/>
          <w:trHeight w:hRule="exact" w:val="225"/>
        </w:trPr>
        <w:tc>
          <w:tcPr>
            <w:tcW w:w="19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1"/>
                <w:u w:val="none"/>
              </w:rPr>
              <w:t>Amortización.</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843.229</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(417.548)</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425.072</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7.650</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(3.825)</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3.825</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05" w:type="dxa"/>
            <w:tcBorders>
              <w:top w:val="single" w:sz="4" w:space="0" w:color="FFFFFF"/>
              <w:left w:val="single" w:sz="4" w:space="0" w:color="FFFFFF"/>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0</w:t>
            </w:r>
          </w:p>
        </w:tc>
        <w:tc>
          <w:tcPr>
            <w:tcW w:w="705" w:type="dxa"/>
            <w:tcBorders>
              <w:top w:val="single" w:sz="4" w:space="0" w:color="FFFFFF"/>
              <w:left w:val="single" w:sz="4" w:space="0" w:color="FFFFFF"/>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850.879</w:t>
            </w:r>
          </w:p>
        </w:tc>
        <w:tc>
          <w:tcPr>
            <w:tcW w:w="705" w:type="dxa"/>
            <w:tcBorders>
              <w:top w:val="single" w:sz="4" w:space="0" w:color="FFFFFF"/>
              <w:left w:val="single" w:sz="4" w:space="0" w:color="FFFFFF"/>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(421.373)</w:t>
            </w:r>
          </w:p>
        </w:tc>
        <w:tc>
          <w:tcPr>
            <w:tcW w:w="705" w:type="dxa"/>
            <w:tcBorders>
              <w:top w:val="single" w:sz="4" w:space="0" w:color="FFFFFF"/>
              <w:left w:val="single" w:sz="4" w:space="0" w:color="FFFFFF"/>
              <w:bottom w:val="single" w:sz="4" w:space="0" w:color="FFFFFF"/>
              <w:right w:val="single" w:sz="4" w:space="0" w:color="FFFFFF"/>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428.897</w:t>
            </w:r>
          </w:p>
        </w:tc>
      </w:tr>
      <w:tr>
        <w:tblPrEx>
          <w:tblW w:w="13245" w:type="dxa"/>
          <w:tblInd w:w="11" w:type="dxa"/>
          <w:tblLayout w:type="fixed"/>
        </w:tblPrEx>
        <w:trPr>
          <w:cantSplit/>
          <w:trHeight w:hRule="exact" w:val="225"/>
        </w:trPr>
        <w:tc>
          <w:tcPr>
            <w:tcW w:w="19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1"/>
                <w:u w:val="none"/>
              </w:rPr>
              <w:t>EBITDA</w:t>
            </w:r>
          </w:p>
        </w:tc>
        <w:tc>
          <w:tcPr>
            <w:tcW w:w="7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1"/>
                <w:u w:val="none"/>
              </w:rPr>
              <w:t>0</w:t>
            </w:r>
          </w:p>
        </w:tc>
        <w:tc>
          <w:tcPr>
            <w:tcW w:w="7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1"/>
                <w:u w:val="none"/>
              </w:rPr>
              <w:t>69.617.878</w:t>
            </w:r>
          </w:p>
        </w:tc>
        <w:tc>
          <w:tcPr>
            <w:tcW w:w="7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1"/>
                <w:u w:val="none"/>
              </w:rPr>
              <w:t>(32.873.210)</w:t>
            </w:r>
          </w:p>
        </w:tc>
        <w:tc>
          <w:tcPr>
            <w:tcW w:w="705" w:type="dxa"/>
            <w:tcBorders>
              <w:top w:val="single" w:sz="2" w:space="0" w:color="000000"/>
              <w:left w:val="single" w:sz="8"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1"/>
                <w:u w:val="none"/>
              </w:rPr>
              <w:t>34.076.430</w:t>
            </w:r>
          </w:p>
        </w:tc>
        <w:tc>
          <w:tcPr>
            <w:tcW w:w="7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1"/>
                <w:u w:val="none"/>
              </w:rPr>
              <w:t>0</w:t>
            </w:r>
          </w:p>
        </w:tc>
        <w:tc>
          <w:tcPr>
            <w:tcW w:w="7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1"/>
                <w:u w:val="none"/>
              </w:rPr>
              <w:t>2.724.178</w:t>
            </w:r>
          </w:p>
        </w:tc>
        <w:tc>
          <w:tcPr>
            <w:tcW w:w="7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1"/>
                <w:u w:val="none"/>
              </w:rPr>
              <w:t>(1.274.137)</w:t>
            </w:r>
          </w:p>
        </w:tc>
        <w:tc>
          <w:tcPr>
            <w:tcW w:w="705" w:type="dxa"/>
            <w:tcBorders>
              <w:top w:val="single" w:sz="2" w:space="0" w:color="000000"/>
              <w:left w:val="single" w:sz="8"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1"/>
                <w:u w:val="none"/>
              </w:rPr>
              <w:t>(1.274.137)</w:t>
            </w:r>
          </w:p>
        </w:tc>
        <w:tc>
          <w:tcPr>
            <w:tcW w:w="7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1"/>
                <w:u w:val="none"/>
              </w:rPr>
              <w:t>0</w:t>
            </w:r>
          </w:p>
        </w:tc>
        <w:tc>
          <w:tcPr>
            <w:tcW w:w="7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1"/>
                <w:u w:val="none"/>
              </w:rPr>
              <w:t>0</w:t>
            </w:r>
          </w:p>
        </w:tc>
        <w:tc>
          <w:tcPr>
            <w:tcW w:w="7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1"/>
                <w:u w:val="none"/>
              </w:rPr>
              <w:t>0</w:t>
            </w:r>
          </w:p>
        </w:tc>
        <w:tc>
          <w:tcPr>
            <w:tcW w:w="705" w:type="dxa"/>
            <w:tcBorders>
              <w:top w:val="single" w:sz="2" w:space="0" w:color="000000"/>
              <w:left w:val="single" w:sz="8"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1"/>
                <w:u w:val="none"/>
              </w:rPr>
              <w:t>0</w:t>
            </w:r>
          </w:p>
        </w:tc>
        <w:tc>
          <w:tcPr>
            <w:tcW w:w="705" w:type="dxa"/>
            <w:tcBorders>
              <w:top w:val="single" w:sz="4" w:space="0" w:color="FFFFFF"/>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1"/>
                <w:u w:val="none"/>
              </w:rPr>
              <w:t>0</w:t>
            </w:r>
          </w:p>
        </w:tc>
        <w:tc>
          <w:tcPr>
            <w:tcW w:w="705" w:type="dxa"/>
            <w:tcBorders>
              <w:top w:val="single" w:sz="4" w:space="0" w:color="FFFFFF"/>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1"/>
                <w:u w:val="none"/>
              </w:rPr>
              <w:t>72.342.056</w:t>
            </w:r>
          </w:p>
        </w:tc>
        <w:tc>
          <w:tcPr>
            <w:tcW w:w="705" w:type="dxa"/>
            <w:tcBorders>
              <w:top w:val="single" w:sz="4" w:space="0" w:color="FFFFFF"/>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1"/>
                <w:u w:val="none"/>
              </w:rPr>
              <w:t>(34.147.347)</w:t>
            </w:r>
          </w:p>
        </w:tc>
        <w:tc>
          <w:tcPr>
            <w:tcW w:w="705" w:type="dxa"/>
            <w:tcBorders>
              <w:top w:val="single" w:sz="4" w:space="0" w:color="FFFFFF"/>
              <w:left w:val="single" w:sz="8"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1"/>
                <w:u w:val="none"/>
              </w:rPr>
              <w:t>35.701.061</w:t>
            </w:r>
          </w:p>
        </w:tc>
      </w:tr>
    </w:tbl>
    <w:p>
      <w:pPr>
        <w:keepNext w:val="0"/>
        <w:keepLines/>
        <w:pageBreakBefore w:val="0"/>
        <w:widowControl w:val="0"/>
        <w:numPr>
          <w:ilvl w:val="0"/>
          <w:numId w:val="0"/>
        </w:numPr>
        <w:spacing w:before="0" w:after="0" w:line="288" w:lineRule="auto"/>
        <w:ind w:left="720" w:right="0" w:firstLine="72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720" w:right="0" w:firstLine="720"/>
        <w:jc w:val="both"/>
        <w:outlineLvl w:val="9"/>
        <w:rPr>
          <w:rFonts w:ascii="Calibri" w:eastAsia="Calibri" w:hAnsi="Calibri" w:cs="Calibri"/>
          <w:b w:val="0"/>
          <w:i w:val="0"/>
          <w:sz w:val="20"/>
        </w:rPr>
        <w:sectPr>
          <w:type w:val="continuous"/>
          <w:pgSz w:w="15840" w:h="12240" w:orient="landscape"/>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709" w:right="0" w:firstLine="0"/>
        <w:jc w:val="both"/>
        <w:outlineLvl w:val="1"/>
        <w:rPr>
          <w:rFonts w:ascii="Times New Roman" w:eastAsia="Times New Roman" w:hAnsi="Times New Roman" w:cs="Times New Roman"/>
          <w:b/>
          <w:i w:val="0"/>
          <w:color w:val="000000"/>
          <w:sz w:val="24"/>
          <w:u w:val="none"/>
        </w:rPr>
      </w:pPr>
      <w:bookmarkStart w:id="284" w:name="Section146"/>
      <w:bookmarkEnd w:id="284"/>
      <w:bookmarkStart w:id="285" w:name="3b823ca6bf724cc7a25ab09ec2c55e79"/>
      <w:r>
        <w:rPr>
          <w:rFonts w:ascii="Calibri" w:eastAsia="Calibri" w:hAnsi="Calibri" w:cs="Calibri"/>
          <w:b/>
          <w:i w:val="0"/>
          <w:color w:val="000000"/>
          <w:sz w:val="20"/>
          <w:u w:val="none"/>
        </w:rPr>
        <w:t>32.4.-</w:t>
      </w:r>
      <w:r>
        <w:rPr>
          <w:rFonts w:ascii="Calibri" w:eastAsia="Calibri" w:hAnsi="Calibri" w:cs="Calibri"/>
          <w:b/>
          <w:i w:val="0"/>
          <w:color w:val="000000"/>
          <w:sz w:val="20"/>
          <w:u w:val="none"/>
        </w:rPr>
        <w:tab/>
      </w:r>
      <w:r>
        <w:rPr>
          <w:rFonts w:ascii="Calibri" w:eastAsia="Calibri" w:hAnsi="Calibri" w:cs="Calibri"/>
          <w:b/>
          <w:i w:val="0"/>
          <w:color w:val="000000"/>
          <w:sz w:val="20"/>
          <w:u w:val="none"/>
        </w:rPr>
        <w:t>Flujos de efectivo por segmento por método directo.</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285"/>
    </w:p>
    <w:tbl>
      <w:tblPr>
        <w:tblW w:w="11445"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245"/>
        <w:gridCol w:w="900"/>
        <w:gridCol w:w="900"/>
        <w:gridCol w:w="900"/>
        <w:gridCol w:w="900"/>
        <w:gridCol w:w="900"/>
        <w:gridCol w:w="900"/>
        <w:gridCol w:w="900"/>
        <w:gridCol w:w="900"/>
      </w:tblGrid>
      <w:tr>
        <w:tblPrEx>
          <w:tblW w:w="11445" w:type="dxa"/>
          <w:tblInd w:w="1417" w:type="dxa"/>
          <w:tblLayout w:type="fixed"/>
        </w:tblPrEx>
        <w:trPr>
          <w:cantSplit/>
          <w:trHeight w:hRule="auto" w:val="0"/>
        </w:trPr>
        <w:tc>
          <w:tcPr>
            <w:tcW w:w="4245"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ESTADO DE FLUJO DE EFECTIVO POR MÉTODO DIRECTO</w:t>
            </w:r>
          </w:p>
        </w:tc>
        <w:tc>
          <w:tcPr>
            <w:tcW w:w="1800"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Eléctrico Chile</w:t>
            </w:r>
          </w:p>
        </w:tc>
        <w:tc>
          <w:tcPr>
            <w:tcW w:w="1800"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Servicios</w:t>
            </w:r>
          </w:p>
        </w:tc>
        <w:tc>
          <w:tcPr>
            <w:tcW w:w="1800" w:type="dxa"/>
            <w:gridSpan w:val="2"/>
            <w:tcBorders>
              <w:top w:val="single" w:sz="2" w:space="0" w:color="000000"/>
              <w:left w:val="nil"/>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Ajustes de consolidación</w:t>
            </w:r>
          </w:p>
        </w:tc>
        <w:tc>
          <w:tcPr>
            <w:tcW w:w="1800" w:type="dxa"/>
            <w:gridSpan w:val="2"/>
            <w:tcBorders>
              <w:top w:val="single" w:sz="2" w:space="0" w:color="000000"/>
              <w:left w:val="single" w:sz="4" w:space="0" w:color="FFFFFF"/>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Consolidado</w:t>
            </w:r>
          </w:p>
        </w:tc>
      </w:tr>
      <w:tr>
        <w:tblPrEx>
          <w:tblW w:w="11445" w:type="dxa"/>
          <w:tblInd w:w="1417" w:type="dxa"/>
          <w:tblLayout w:type="fixed"/>
        </w:tblPrEx>
        <w:trPr>
          <w:cantSplit/>
          <w:trHeight w:hRule="auto" w:val="0"/>
        </w:trPr>
        <w:tc>
          <w:tcPr>
            <w:tcW w:w="4245" w:type="dxa"/>
            <w:vMerge/>
            <w:tcBorders>
              <w:top w:val="nil"/>
              <w:left w:val="single" w:sz="2" w:space="0" w:color="000000"/>
              <w:bottom w:val="nil"/>
              <w:right w:val="nil"/>
            </w:tcBorders>
          </w:tcPr>
          <w:p>
            <w:pPr>
              <w:keepNext/>
              <w:pageBreakBefore w:val="0"/>
            </w:pPr>
          </w:p>
        </w:tc>
        <w:tc>
          <w:tcPr>
            <w:tcW w:w="9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01-01-2026</w:t>
            </w:r>
          </w:p>
        </w:tc>
        <w:tc>
          <w:tcPr>
            <w:tcW w:w="9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01-01-2025</w:t>
            </w:r>
          </w:p>
        </w:tc>
        <w:tc>
          <w:tcPr>
            <w:tcW w:w="9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01-01-2026</w:t>
            </w:r>
          </w:p>
        </w:tc>
        <w:tc>
          <w:tcPr>
            <w:tcW w:w="9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01-01-2025</w:t>
            </w:r>
          </w:p>
        </w:tc>
        <w:tc>
          <w:tcPr>
            <w:tcW w:w="9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01-01-2026</w:t>
            </w:r>
          </w:p>
        </w:tc>
        <w:tc>
          <w:tcPr>
            <w:tcW w:w="9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01-01-2025</w:t>
            </w:r>
          </w:p>
        </w:tc>
        <w:tc>
          <w:tcPr>
            <w:tcW w:w="9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01-01-2026</w:t>
            </w:r>
          </w:p>
        </w:tc>
        <w:tc>
          <w:tcPr>
            <w:tcW w:w="9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01-01-2025</w:t>
            </w:r>
          </w:p>
        </w:tc>
      </w:tr>
      <w:tr>
        <w:tblPrEx>
          <w:tblW w:w="11445" w:type="dxa"/>
          <w:tblInd w:w="1417" w:type="dxa"/>
          <w:tblLayout w:type="fixed"/>
        </w:tblPrEx>
        <w:trPr>
          <w:cantSplit/>
          <w:trHeight w:hRule="auto" w:val="0"/>
        </w:trPr>
        <w:tc>
          <w:tcPr>
            <w:tcW w:w="4245" w:type="dxa"/>
            <w:vMerge/>
            <w:tcBorders>
              <w:top w:val="nil"/>
              <w:left w:val="single" w:sz="2" w:space="0" w:color="000000"/>
              <w:bottom w:val="nil"/>
              <w:right w:val="nil"/>
            </w:tcBorders>
          </w:tcPr>
          <w:p>
            <w:pPr>
              <w:keepNext/>
              <w:pageBreakBefore w:val="0"/>
            </w:pPr>
          </w:p>
        </w:tc>
        <w:tc>
          <w:tcPr>
            <w:tcW w:w="9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30-06-2026</w:t>
            </w:r>
          </w:p>
        </w:tc>
        <w:tc>
          <w:tcPr>
            <w:tcW w:w="9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30-06-2025</w:t>
            </w:r>
          </w:p>
        </w:tc>
        <w:tc>
          <w:tcPr>
            <w:tcW w:w="9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30-06-2026</w:t>
            </w:r>
          </w:p>
        </w:tc>
        <w:tc>
          <w:tcPr>
            <w:tcW w:w="9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30-06-2025</w:t>
            </w:r>
          </w:p>
        </w:tc>
        <w:tc>
          <w:tcPr>
            <w:tcW w:w="9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30-06-2026</w:t>
            </w:r>
          </w:p>
        </w:tc>
        <w:tc>
          <w:tcPr>
            <w:tcW w:w="9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30-06-2025</w:t>
            </w:r>
          </w:p>
        </w:tc>
        <w:tc>
          <w:tcPr>
            <w:tcW w:w="9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30-06-2026</w:t>
            </w:r>
          </w:p>
        </w:tc>
        <w:tc>
          <w:tcPr>
            <w:tcW w:w="900"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30-06-2025</w:t>
            </w:r>
          </w:p>
        </w:tc>
      </w:tr>
      <w:tr>
        <w:tblPrEx>
          <w:tblW w:w="11445" w:type="dxa"/>
          <w:tblInd w:w="1417" w:type="dxa"/>
          <w:tblLayout w:type="fixed"/>
        </w:tblPrEx>
        <w:trPr>
          <w:cantSplit/>
          <w:trHeight w:hRule="auto" w:val="0"/>
        </w:trPr>
        <w:tc>
          <w:tcPr>
            <w:tcW w:w="4245" w:type="dxa"/>
            <w:vMerge/>
            <w:tcBorders>
              <w:top w:val="nil"/>
              <w:left w:val="single" w:sz="2" w:space="0" w:color="000000"/>
              <w:bottom w:val="single" w:sz="2" w:space="0" w:color="000000"/>
              <w:right w:val="nil"/>
            </w:tcBorders>
          </w:tcPr>
          <w:p>
            <w:pPr>
              <w:pageBreakBefore w:val="0"/>
            </w:pP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i w:val="0"/>
                <w:color w:val="FFFFFF"/>
                <w:sz w:val="12"/>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i w:val="0"/>
                <w:color w:val="FFFFFF"/>
                <w:sz w:val="12"/>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i w:val="0"/>
                <w:color w:val="FFFFFF"/>
                <w:sz w:val="12"/>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i w:val="0"/>
                <w:color w:val="FFFFFF"/>
                <w:sz w:val="12"/>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i w:val="0"/>
                <w:color w:val="FFFFFF"/>
                <w:sz w:val="12"/>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i w:val="0"/>
                <w:color w:val="FFFFFF"/>
                <w:sz w:val="12"/>
                <w:u w:val="none"/>
              </w:rPr>
              <w:t>M$</w:t>
            </w:r>
          </w:p>
        </w:tc>
        <w:tc>
          <w:tcPr>
            <w:tcW w:w="900" w:type="dxa"/>
            <w:tcBorders>
              <w:top w:val="nil"/>
              <w:left w:val="single" w:sz="4" w:space="0" w:color="FFFFFF"/>
              <w:bottom w:val="single" w:sz="4" w:space="0" w:color="FFFFFF"/>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i w:val="0"/>
                <w:color w:val="FFFFFF"/>
                <w:sz w:val="12"/>
                <w:u w:val="none"/>
              </w:rPr>
              <w:t>M$</w:t>
            </w:r>
          </w:p>
        </w:tc>
        <w:tc>
          <w:tcPr>
            <w:tcW w:w="900" w:type="dxa"/>
            <w:tcBorders>
              <w:top w:val="nil"/>
              <w:left w:val="single" w:sz="4" w:space="0" w:color="FFFFFF"/>
              <w:bottom w:val="single" w:sz="4" w:space="0" w:color="FFFFFF"/>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i w:val="0"/>
                <w:color w:val="FFFFFF"/>
                <w:sz w:val="12"/>
                <w:u w:val="none"/>
              </w:rPr>
              <w:t>M$</w:t>
            </w:r>
          </w:p>
        </w:tc>
      </w:tr>
      <w:tr>
        <w:tblPrEx>
          <w:tblW w:w="11445" w:type="dxa"/>
          <w:tblInd w:w="1417" w:type="dxa"/>
          <w:tblLayout w:type="fixed"/>
        </w:tblPrEx>
        <w:trPr>
          <w:cantSplit/>
          <w:trHeight w:hRule="auto" w:val="0"/>
        </w:trPr>
        <w:tc>
          <w:tcPr>
            <w:tcW w:w="42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2"/>
                <w:u w:val="none"/>
              </w:rPr>
              <w:t xml:space="preserve"> Flujos de efectivo netos procedentes de (utilizados en) actividades de operación.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84.136.868</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5.823.180</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(6.077.617)</w:t>
            </w:r>
          </w:p>
        </w:tc>
        <w:tc>
          <w:tcPr>
            <w:tcW w:w="90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0</w:t>
            </w:r>
          </w:p>
        </w:tc>
        <w:tc>
          <w:tcPr>
            <w:tcW w:w="900" w:type="dxa"/>
            <w:tcBorders>
              <w:top w:val="single" w:sz="4" w:space="0" w:color="FFFFFF"/>
              <w:left w:val="single" w:sz="4" w:space="0" w:color="FFFFFF"/>
              <w:bottom w:val="single" w:sz="4" w:space="0" w:color="FFFFFF"/>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83.882.431</w:t>
            </w:r>
          </w:p>
        </w:tc>
      </w:tr>
      <w:tr>
        <w:tblPrEx>
          <w:tblW w:w="11445" w:type="dxa"/>
          <w:tblInd w:w="1417" w:type="dxa"/>
          <w:tblLayout w:type="fixed"/>
        </w:tblPrEx>
        <w:trPr>
          <w:cantSplit/>
          <w:trHeight w:hRule="auto" w:val="0"/>
        </w:trPr>
        <w:tc>
          <w:tcPr>
            <w:tcW w:w="42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2"/>
                <w:u w:val="none"/>
              </w:rPr>
              <w:t xml:space="preserve"> Flujos de efectivo netos procedentes de (utilizados en) actividades de inversión.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(45.392.075)</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(5.610.269)</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2.003.172</w:t>
            </w:r>
          </w:p>
        </w:tc>
        <w:tc>
          <w:tcPr>
            <w:tcW w:w="90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0</w:t>
            </w:r>
          </w:p>
        </w:tc>
        <w:tc>
          <w:tcPr>
            <w:tcW w:w="900" w:type="dxa"/>
            <w:tcBorders>
              <w:top w:val="single" w:sz="4" w:space="0" w:color="FFFFFF"/>
              <w:left w:val="single" w:sz="4" w:space="0" w:color="FFFFFF"/>
              <w:bottom w:val="single" w:sz="4" w:space="0" w:color="FFFFFF"/>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(48.999.172)</w:t>
            </w:r>
          </w:p>
        </w:tc>
      </w:tr>
      <w:tr>
        <w:tblPrEx>
          <w:tblW w:w="11445" w:type="dxa"/>
          <w:tblInd w:w="1417" w:type="dxa"/>
          <w:tblLayout w:type="fixed"/>
        </w:tblPrEx>
        <w:trPr>
          <w:cantSplit/>
          <w:trHeight w:hRule="auto" w:val="0"/>
        </w:trPr>
        <w:tc>
          <w:tcPr>
            <w:tcW w:w="42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2"/>
                <w:u w:val="none"/>
              </w:rPr>
              <w:t xml:space="preserve"> Flujos de efectivo netos procedentes de (utilizados en) actividades de financiación.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(39.486.085)</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(2.275.292)</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4.074.445</w:t>
            </w:r>
          </w:p>
        </w:tc>
        <w:tc>
          <w:tcPr>
            <w:tcW w:w="90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0</w:t>
            </w:r>
          </w:p>
        </w:tc>
        <w:tc>
          <w:tcPr>
            <w:tcW w:w="900" w:type="dxa"/>
            <w:tcBorders>
              <w:top w:val="single" w:sz="4" w:space="0" w:color="FFFFFF"/>
              <w:left w:val="single" w:sz="4" w:space="0" w:color="FFFFFF"/>
              <w:bottom w:val="single" w:sz="4" w:space="0" w:color="FFFFFF"/>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(37.686.932)</w:t>
            </w:r>
          </w:p>
        </w:tc>
      </w:tr>
      <w:tr>
        <w:tblPrEx>
          <w:tblW w:w="11445" w:type="dxa"/>
          <w:tblInd w:w="1417" w:type="dxa"/>
          <w:tblLayout w:type="fixed"/>
        </w:tblPrEx>
        <w:trPr>
          <w:cantSplit/>
          <w:trHeight w:hRule="auto" w:val="0"/>
        </w:trPr>
        <w:tc>
          <w:tcPr>
            <w:tcW w:w="42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2"/>
                <w:u w:val="none"/>
              </w:rPr>
              <w:t>Incremento (disminución) neto de efectivo y equivalentes al efectivo, antes del efecto de los cambios en la tasa de cambio</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(741.292)</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(2.062.381)</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0</w:t>
            </w:r>
          </w:p>
        </w:tc>
        <w:tc>
          <w:tcPr>
            <w:tcW w:w="900" w:type="dxa"/>
            <w:tcBorders>
              <w:top w:val="single" w:sz="4" w:space="0" w:color="FFFFFF"/>
              <w:left w:val="single" w:sz="4" w:space="0" w:color="FFFFFF"/>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0</w:t>
            </w:r>
          </w:p>
        </w:tc>
        <w:tc>
          <w:tcPr>
            <w:tcW w:w="900" w:type="dxa"/>
            <w:tcBorders>
              <w:top w:val="single" w:sz="4" w:space="0" w:color="FFFFFF"/>
              <w:left w:val="single" w:sz="4" w:space="0" w:color="FFFFFF"/>
              <w:bottom w:val="single" w:sz="4" w:space="0" w:color="FFFFFF"/>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(2.803.673)</w:t>
            </w:r>
          </w:p>
        </w:tc>
      </w:tr>
      <w:tr>
        <w:tblPrEx>
          <w:tblW w:w="11445" w:type="dxa"/>
          <w:tblInd w:w="1417" w:type="dxa"/>
          <w:tblLayout w:type="fixed"/>
        </w:tblPrEx>
        <w:trPr>
          <w:cantSplit/>
          <w:trHeight w:hRule="auto" w:val="0"/>
        </w:trPr>
        <w:tc>
          <w:tcPr>
            <w:tcW w:w="42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2"/>
                <w:u w:val="none"/>
              </w:rPr>
              <w:t xml:space="preserve"> Efectos de la variación en la tasa de cambio sobre el efectivo y equivalentes al efectivo.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(20.454)</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90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0</w:t>
            </w:r>
          </w:p>
        </w:tc>
        <w:tc>
          <w:tcPr>
            <w:tcW w:w="900" w:type="dxa"/>
            <w:tcBorders>
              <w:top w:val="single" w:sz="4" w:space="0" w:color="FFFFFF"/>
              <w:left w:val="single" w:sz="4" w:space="0" w:color="FFFFFF"/>
              <w:bottom w:val="single" w:sz="4" w:space="0" w:color="FFFFFF"/>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(20.454)</w:t>
            </w:r>
          </w:p>
        </w:tc>
      </w:tr>
      <w:tr>
        <w:tblPrEx>
          <w:tblW w:w="11445" w:type="dxa"/>
          <w:tblInd w:w="1417" w:type="dxa"/>
          <w:tblLayout w:type="fixed"/>
        </w:tblPrEx>
        <w:trPr>
          <w:cantSplit/>
          <w:trHeight w:hRule="auto" w:val="0"/>
        </w:trPr>
        <w:tc>
          <w:tcPr>
            <w:tcW w:w="42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2"/>
                <w:u w:val="none"/>
              </w:rPr>
              <w:t>Incremento (disminución) neto de efectivo y equivalentes al efectivo</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(741.292)</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(2.082.835)</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0</w:t>
            </w:r>
          </w:p>
        </w:tc>
        <w:tc>
          <w:tcPr>
            <w:tcW w:w="900" w:type="dxa"/>
            <w:tcBorders>
              <w:top w:val="single" w:sz="4" w:space="0" w:color="FFFFFF"/>
              <w:left w:val="single" w:sz="4" w:space="0" w:color="FFFFFF"/>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0</w:t>
            </w:r>
          </w:p>
        </w:tc>
        <w:tc>
          <w:tcPr>
            <w:tcW w:w="900" w:type="dxa"/>
            <w:tcBorders>
              <w:top w:val="single" w:sz="4" w:space="0" w:color="FFFFFF"/>
              <w:left w:val="single" w:sz="4" w:space="0" w:color="FFFFFF"/>
              <w:bottom w:val="single" w:sz="4" w:space="0" w:color="FFFFFF"/>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(2.824.127)</w:t>
            </w:r>
          </w:p>
        </w:tc>
      </w:tr>
      <w:tr>
        <w:tblPrEx>
          <w:tblW w:w="11445" w:type="dxa"/>
          <w:tblInd w:w="1417" w:type="dxa"/>
          <w:tblLayout w:type="fixed"/>
        </w:tblPrEx>
        <w:trPr>
          <w:cantSplit/>
          <w:trHeight w:hRule="auto" w:val="0"/>
        </w:trPr>
        <w:tc>
          <w:tcPr>
            <w:tcW w:w="42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2"/>
                <w:u w:val="none"/>
              </w:rPr>
              <w:t xml:space="preserve"> Efectivo y equivalentes al efectivo al principio del periodo o ejercicio.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1.627.542</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3.324.141</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90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0</w:t>
            </w:r>
          </w:p>
        </w:tc>
        <w:tc>
          <w:tcPr>
            <w:tcW w:w="900" w:type="dxa"/>
            <w:tcBorders>
              <w:top w:val="single" w:sz="4" w:space="0" w:color="FFFFFF"/>
              <w:left w:val="single" w:sz="4" w:space="0" w:color="FFFFFF"/>
              <w:bottom w:val="single" w:sz="4" w:space="0" w:color="FFFFFF"/>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4.951.683</w:t>
            </w:r>
          </w:p>
        </w:tc>
      </w:tr>
      <w:tr>
        <w:tblPrEx>
          <w:tblW w:w="11445" w:type="dxa"/>
          <w:tblInd w:w="1417" w:type="dxa"/>
          <w:tblLayout w:type="fixed"/>
        </w:tblPrEx>
        <w:trPr>
          <w:cantSplit/>
          <w:trHeight w:hRule="auto" w:val="0"/>
        </w:trPr>
        <w:tc>
          <w:tcPr>
            <w:tcW w:w="42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2"/>
                <w:u w:val="none"/>
              </w:rPr>
              <w:t>Efectivo y equivalentes al efectivo al final del periodo o ejercicio</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886.250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1.241.306</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0</w:t>
            </w:r>
          </w:p>
        </w:tc>
        <w:tc>
          <w:tcPr>
            <w:tcW w:w="900" w:type="dxa"/>
            <w:tcBorders>
              <w:top w:val="single" w:sz="4" w:space="0" w:color="FFFFFF"/>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0</w:t>
            </w:r>
          </w:p>
        </w:tc>
        <w:tc>
          <w:tcPr>
            <w:tcW w:w="900" w:type="dxa"/>
            <w:tcBorders>
              <w:top w:val="single" w:sz="4" w:space="0" w:color="FFFFFF"/>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2.127.556</w:t>
            </w:r>
          </w:p>
        </w:tc>
      </w:tr>
    </w:tbl>
    <w:p>
      <w:pPr>
        <w:keepNext/>
        <w:keepLines/>
        <w:pageBreakBefore w:val="0"/>
        <w:widowControl w:val="0"/>
        <w:numPr>
          <w:ilvl w:val="0"/>
          <w:numId w:val="0"/>
        </w:numPr>
        <w:tabs>
          <w:tab w:val="left" w:pos="700"/>
        </w:tabs>
        <w:spacing w:before="0" w:after="0" w:line="288" w:lineRule="auto"/>
        <w:ind w:left="720" w:right="0" w:firstLine="720"/>
        <w:jc w:val="both"/>
        <w:outlineLvl w:val="9"/>
        <w:rPr>
          <w:rFonts w:ascii="Calibri" w:eastAsia="Calibri" w:hAnsi="Calibri" w:cs="Calibri"/>
          <w:b w:val="0"/>
          <w:i w:val="0"/>
          <w:sz w:val="20"/>
        </w:rPr>
      </w:pPr>
    </w:p>
    <w:p>
      <w:pPr>
        <w:keepNext/>
        <w:keepLines/>
        <w:pageBreakBefore w:val="0"/>
        <w:widowControl w:val="0"/>
        <w:numPr>
          <w:ilvl w:val="0"/>
          <w:numId w:val="0"/>
        </w:numPr>
        <w:tabs>
          <w:tab w:val="left" w:pos="700"/>
        </w:tabs>
        <w:spacing w:before="0" w:after="0" w:line="288" w:lineRule="auto"/>
        <w:ind w:left="720" w:right="0" w:firstLine="720"/>
        <w:jc w:val="both"/>
        <w:outlineLvl w:val="9"/>
        <w:rPr>
          <w:rFonts w:ascii="Calibri" w:eastAsia="Calibri" w:hAnsi="Calibri" w:cs="Calibri"/>
          <w:b w:val="0"/>
          <w:i w:val="0"/>
          <w:sz w:val="20"/>
        </w:rPr>
        <w:sectPr>
          <w:type w:val="continuous"/>
          <w:pgSz w:w="15840" w:h="12240" w:orient="landscape"/>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both"/>
        <w:outlineLvl w:val="0"/>
        <w:rPr>
          <w:rFonts w:ascii="Cambria" w:eastAsia="Cambria" w:hAnsi="Cambria" w:cs="Cambria"/>
          <w:b/>
          <w:i w:val="0"/>
          <w:color w:val="365F91"/>
          <w:sz w:val="28"/>
          <w:u w:val="none"/>
        </w:rPr>
      </w:pPr>
      <w:bookmarkStart w:id="286" w:name="Section147"/>
      <w:bookmarkEnd w:id="286"/>
      <w:bookmarkStart w:id="287" w:name="667cd21d58c347cf994a0ba9fa4625f1"/>
      <w:r>
        <w:rPr>
          <w:rFonts w:ascii="Calibri" w:eastAsia="Calibri" w:hAnsi="Calibri" w:cs="Calibri"/>
          <w:b/>
          <w:i w:val="0"/>
          <w:color w:val="000000"/>
          <w:sz w:val="20"/>
          <w:u w:val="none"/>
        </w:rPr>
        <w:t>33.-</w:t>
      </w:r>
      <w:r>
        <w:rPr>
          <w:rFonts w:ascii="Calibri" w:eastAsia="Calibri" w:hAnsi="Calibri" w:cs="Calibri"/>
          <w:b/>
          <w:i w:val="0"/>
          <w:color w:val="000000"/>
          <w:sz w:val="20"/>
          <w:u w:val="none"/>
        </w:rPr>
        <w:tab/>
      </w:r>
      <w:r>
        <w:rPr>
          <w:rFonts w:ascii="Calibri" w:eastAsia="Calibri" w:hAnsi="Calibri" w:cs="Calibri"/>
          <w:b/>
          <w:i w:val="0"/>
          <w:color w:val="000000"/>
          <w:sz w:val="20"/>
          <w:u w:val="none"/>
        </w:rPr>
        <w:t>SALDOS EN MONEDA EXTRANJERA.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87"/>
    </w:p>
    <w:p>
      <w:pPr>
        <w:keepNext w:val="0"/>
        <w:keepLines/>
        <w:pageBreakBefore w:val="0"/>
        <w:widowControl w:val="0"/>
        <w:numPr>
          <w:ilvl w:val="0"/>
          <w:numId w:val="0"/>
        </w:numPr>
        <w:spacing w:before="0" w:after="0" w:line="288" w:lineRule="auto"/>
        <w:ind w:left="0" w:right="0" w:firstLine="0"/>
        <w:jc w:val="both"/>
        <w:outlineLvl w:val="9"/>
        <w:sectPr>
          <w:pgSz w:w="15840" w:h="12240" w:orient="landscape"/>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288" w:name="Section148"/>
      <w:bookmarkEnd w:id="288"/>
      <w:bookmarkStart w:id="289" w:name="71475316b03c40ac924a133f5c755a21"/>
      <w:r>
        <w:rPr>
          <w:rFonts w:ascii="Calibri" w:eastAsia="Calibri" w:hAnsi="Calibri" w:cs="Calibri"/>
          <w:b/>
          <w:i w:val="0"/>
          <w:color w:val="000000"/>
          <w:sz w:val="20"/>
          <w:u w:val="none"/>
        </w:rPr>
        <w:t>33.1.-</w:t>
      </w:r>
      <w:r>
        <w:rPr>
          <w:rFonts w:ascii="Calibri" w:eastAsia="Calibri" w:hAnsi="Calibri" w:cs="Calibri"/>
          <w:b/>
          <w:i w:val="0"/>
          <w:color w:val="000000"/>
          <w:sz w:val="20"/>
          <w:u w:val="none"/>
        </w:rPr>
        <w:tab/>
      </w:r>
      <w:r>
        <w:rPr>
          <w:rFonts w:ascii="Calibri" w:eastAsia="Calibri" w:hAnsi="Calibri" w:cs="Calibri"/>
          <w:b/>
          <w:i w:val="0"/>
          <w:color w:val="000000"/>
          <w:sz w:val="20"/>
          <w:u w:val="none"/>
        </w:rPr>
        <w:t>Resumen de saldos en moneda extranjera.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89"/>
    </w:p>
    <w:p>
      <w:pPr>
        <w:pStyle w:val="Normal-wk"/>
        <w:keepNext w:val="0"/>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Saldos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p>
    <w:tbl>
      <w:tblPr>
        <w:tblW w:w="1209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025"/>
        <w:gridCol w:w="765"/>
        <w:gridCol w:w="900"/>
        <w:gridCol w:w="900"/>
        <w:gridCol w:w="900"/>
        <w:gridCol w:w="900"/>
        <w:gridCol w:w="900"/>
        <w:gridCol w:w="900"/>
        <w:gridCol w:w="900"/>
      </w:tblGrid>
      <w:tr>
        <w:tblPrEx>
          <w:tblW w:w="12090" w:type="dxa"/>
          <w:tblInd w:w="1417" w:type="dxa"/>
          <w:tblLayout w:type="fixed"/>
        </w:tblPrEx>
        <w:trPr>
          <w:cantSplit/>
          <w:trHeight w:hRule="auto" w:val="0"/>
        </w:trPr>
        <w:tc>
          <w:tcPr>
            <w:tcW w:w="502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Resumen moneda extranjera</w:t>
            </w:r>
          </w:p>
        </w:tc>
        <w:tc>
          <w:tcPr>
            <w:tcW w:w="765" w:type="dxa"/>
            <w:vMerge w:val="restart"/>
            <w:tcBorders>
              <w:top w:val="single" w:sz="2" w:space="0" w:color="000000"/>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Tipo de moneda de origen</w:t>
            </w:r>
          </w:p>
        </w:tc>
        <w:tc>
          <w:tcPr>
            <w:tcW w:w="900"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Monto expresado en moneda de presentación de la entidad informante</w:t>
            </w:r>
          </w:p>
        </w:tc>
        <w:tc>
          <w:tcPr>
            <w:tcW w:w="2700" w:type="dxa"/>
            <w:gridSpan w:val="3"/>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Corrientes</w:t>
            </w:r>
          </w:p>
        </w:tc>
        <w:tc>
          <w:tcPr>
            <w:tcW w:w="1800" w:type="dxa"/>
            <w:gridSpan w:val="2"/>
            <w:tcBorders>
              <w:top w:val="single" w:sz="2" w:space="0" w:color="000000"/>
              <w:left w:val="nil"/>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No corrientes</w:t>
            </w:r>
          </w:p>
        </w:tc>
        <w:tc>
          <w:tcPr>
            <w:tcW w:w="9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Total</w:t>
            </w:r>
          </w:p>
        </w:tc>
      </w:tr>
      <w:tr>
        <w:tblPrEx>
          <w:tblW w:w="12090" w:type="dxa"/>
          <w:tblInd w:w="1417" w:type="dxa"/>
          <w:tblLayout w:type="fixed"/>
        </w:tblPrEx>
        <w:trPr>
          <w:cantSplit/>
          <w:trHeight w:hRule="auto" w:val="0"/>
        </w:trPr>
        <w:tc>
          <w:tcPr>
            <w:tcW w:w="5025" w:type="dxa"/>
            <w:vMerge/>
            <w:tcBorders>
              <w:top w:val="nil"/>
              <w:left w:val="single" w:sz="2" w:space="0" w:color="000000"/>
              <w:bottom w:val="nil"/>
              <w:right w:val="nil"/>
            </w:tcBorders>
          </w:tcPr>
          <w:p>
            <w:pPr>
              <w:keepNext/>
              <w:pageBreakBefore w:val="0"/>
            </w:pPr>
          </w:p>
        </w:tc>
        <w:tc>
          <w:tcPr>
            <w:tcW w:w="765" w:type="dxa"/>
            <w:vMerge/>
            <w:tcBorders>
              <w:top w:val="nil"/>
              <w:left w:val="single" w:sz="4" w:space="0" w:color="FFFFFF"/>
              <w:bottom w:val="nil"/>
              <w:right w:val="single" w:sz="4" w:space="0" w:color="FFFFFF"/>
            </w:tcBorders>
          </w:tcPr>
          <w:p>
            <w:pPr>
              <w:keepNext/>
              <w:pageBreakBefore w:val="0"/>
            </w:pPr>
          </w:p>
        </w:tc>
        <w:tc>
          <w:tcPr>
            <w:tcW w:w="900" w:type="dxa"/>
            <w:vMerge/>
            <w:tcBorders>
              <w:top w:val="nil"/>
              <w:left w:val="nil"/>
              <w:bottom w:val="nil"/>
              <w:right w:val="nil"/>
            </w:tcBorders>
          </w:tcPr>
          <w:p>
            <w:pPr>
              <w:keepNext/>
              <w:pageBreakBefore w:val="0"/>
            </w:pPr>
          </w:p>
        </w:tc>
        <w:tc>
          <w:tcPr>
            <w:tcW w:w="9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Hasta 90 días</w:t>
            </w:r>
          </w:p>
        </w:tc>
        <w:tc>
          <w:tcPr>
            <w:tcW w:w="9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De 91 días a 1 año</w:t>
            </w:r>
          </w:p>
        </w:tc>
        <w:tc>
          <w:tcPr>
            <w:tcW w:w="9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Total corrientes</w:t>
            </w:r>
          </w:p>
        </w:tc>
        <w:tc>
          <w:tcPr>
            <w:tcW w:w="9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Más de 1 año a 3 años</w:t>
            </w:r>
          </w:p>
        </w:tc>
        <w:tc>
          <w:tcPr>
            <w:tcW w:w="9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Total no corrientes</w:t>
            </w:r>
          </w:p>
        </w:tc>
        <w:tc>
          <w:tcPr>
            <w:tcW w:w="900"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r>
      <w:tr>
        <w:tblPrEx>
          <w:tblW w:w="12090" w:type="dxa"/>
          <w:tblInd w:w="1417" w:type="dxa"/>
          <w:tblLayout w:type="fixed"/>
        </w:tblPrEx>
        <w:trPr>
          <w:cantSplit/>
          <w:trHeight w:hRule="auto" w:val="0"/>
        </w:trPr>
        <w:tc>
          <w:tcPr>
            <w:tcW w:w="5025" w:type="dxa"/>
            <w:vMerge/>
            <w:tcBorders>
              <w:top w:val="nil"/>
              <w:left w:val="single" w:sz="2" w:space="0" w:color="000000"/>
              <w:bottom w:val="single" w:sz="2" w:space="0" w:color="000000"/>
              <w:right w:val="nil"/>
            </w:tcBorders>
          </w:tcPr>
          <w:p>
            <w:pPr>
              <w:keepNext/>
              <w:pageBreakBefore w:val="0"/>
            </w:pPr>
          </w:p>
        </w:tc>
        <w:tc>
          <w:tcPr>
            <w:tcW w:w="765" w:type="dxa"/>
            <w:vMerge/>
            <w:tcBorders>
              <w:top w:val="nil"/>
              <w:left w:val="single" w:sz="4" w:space="0" w:color="FFFFFF"/>
              <w:bottom w:val="single" w:sz="2" w:space="0" w:color="000000"/>
              <w:right w:val="nil"/>
            </w:tcBorders>
          </w:tcPr>
          <w:p>
            <w:pPr>
              <w:keepNext/>
              <w:pageBreakBefore w:val="0"/>
            </w:pP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12090" w:type="dxa"/>
          <w:tblInd w:w="1417" w:type="dxa"/>
          <w:tblLayout w:type="fixed"/>
        </w:tblPrEx>
        <w:trPr>
          <w:cantSplit/>
          <w:trHeight w:hRule="exact" w:val="60"/>
        </w:trPr>
        <w:tc>
          <w:tcPr>
            <w:tcW w:w="50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2090" w:type="dxa"/>
          <w:tblInd w:w="1417" w:type="dxa"/>
          <w:tblLayout w:type="fixed"/>
        </w:tblPrEx>
        <w:trPr>
          <w:cantSplit/>
          <w:trHeight w:hRule="auto" w:val="0"/>
        </w:trPr>
        <w:tc>
          <w:tcPr>
            <w:tcW w:w="50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Activos corrientes.</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US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900" w:type="dxa"/>
            <w:tcBorders>
              <w:top w:val="single" w:sz="2" w:space="0" w:color="000000"/>
              <w:left w:val="single" w:sz="4" w:space="0" w:color="FFFFFF"/>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r>
      <w:tr>
        <w:tblPrEx>
          <w:tblW w:w="12090" w:type="dxa"/>
          <w:tblInd w:w="1417" w:type="dxa"/>
          <w:tblLayout w:type="fixed"/>
        </w:tblPrEx>
        <w:trPr>
          <w:cantSplit/>
          <w:trHeight w:hRule="exact" w:val="225"/>
        </w:trPr>
        <w:tc>
          <w:tcPr>
            <w:tcW w:w="50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43" w:after="30" w:line="240" w:lineRule="auto"/>
              <w:jc w:val="left"/>
            </w:pPr>
            <w:r>
              <w:rPr>
                <w:rFonts w:ascii="Calibri" w:eastAsia="Calibri" w:hAnsi="Calibri" w:cs="Calibri"/>
                <w:b w:val="0"/>
                <w:i w:val="0"/>
                <w:color w:val="000000"/>
                <w:sz w:val="14"/>
                <w:u w:val="none"/>
              </w:rPr>
              <w:t>Activos corrientes.</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EUR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4" w:space="0" w:color="FFFFFF"/>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4" w:space="0" w:color="FFFFFF"/>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900" w:type="dxa"/>
            <w:tcBorders>
              <w:top w:val="single" w:sz="4" w:space="0" w:color="FFFFFF"/>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r>
      <w:tr>
        <w:tblPrEx>
          <w:tblW w:w="12090" w:type="dxa"/>
          <w:tblInd w:w="1417" w:type="dxa"/>
          <w:tblLayout w:type="fixed"/>
        </w:tblPrEx>
        <w:trPr>
          <w:cantSplit/>
          <w:trHeight w:hRule="auto" w:val="0"/>
        </w:trPr>
        <w:tc>
          <w:tcPr>
            <w:tcW w:w="50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2090" w:type="dxa"/>
          <w:tblInd w:w="1417" w:type="dxa"/>
          <w:tblLayout w:type="fixed"/>
        </w:tblPrEx>
        <w:trPr>
          <w:cantSplit/>
          <w:trHeight w:hRule="auto" w:val="0"/>
        </w:trPr>
        <w:tc>
          <w:tcPr>
            <w:tcW w:w="50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i w:val="0"/>
                <w:color w:val="FFFFFF"/>
                <w:sz w:val="14"/>
                <w:u w:val="none"/>
              </w:rPr>
              <w:t>Total activos en moneda extranjera</w:t>
            </w:r>
          </w:p>
        </w:tc>
        <w:tc>
          <w:tcPr>
            <w:tcW w:w="765" w:type="dxa"/>
            <w:tcBorders>
              <w:top w:val="single" w:sz="2" w:space="0" w:color="000000"/>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 xml:space="preserve"> M/e </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9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r>
      <w:tr>
        <w:tblPrEx>
          <w:tblW w:w="12090" w:type="dxa"/>
          <w:tblInd w:w="1417" w:type="dxa"/>
          <w:tblLayout w:type="fixed"/>
        </w:tblPrEx>
        <w:trPr>
          <w:cantSplit/>
          <w:trHeight w:hRule="auto" w:val="0"/>
        </w:trPr>
        <w:tc>
          <w:tcPr>
            <w:tcW w:w="50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2090" w:type="dxa"/>
          <w:tblInd w:w="1417" w:type="dxa"/>
          <w:tblLayout w:type="fixed"/>
        </w:tblPrEx>
        <w:trPr>
          <w:cantSplit/>
          <w:trHeight w:hRule="auto" w:val="0"/>
        </w:trPr>
        <w:tc>
          <w:tcPr>
            <w:tcW w:w="50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Pasivos corrientes.</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US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82.996.190</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708.112</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82.288.078</w:t>
            </w:r>
          </w:p>
        </w:tc>
        <w:tc>
          <w:tcPr>
            <w:tcW w:w="900"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82.996.190</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900" w:type="dxa"/>
            <w:tcBorders>
              <w:top w:val="single" w:sz="2" w:space="0" w:color="000000"/>
              <w:left w:val="single" w:sz="4" w:space="0" w:color="FFFFFF"/>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82.996.190</w:t>
            </w:r>
          </w:p>
        </w:tc>
      </w:tr>
      <w:tr>
        <w:tblPrEx>
          <w:tblW w:w="12090" w:type="dxa"/>
          <w:tblInd w:w="1417" w:type="dxa"/>
          <w:tblLayout w:type="fixed"/>
        </w:tblPrEx>
        <w:trPr>
          <w:cantSplit/>
          <w:trHeight w:hRule="auto" w:val="0"/>
        </w:trPr>
        <w:tc>
          <w:tcPr>
            <w:tcW w:w="50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4"/>
                <w:u w:val="none"/>
              </w:rPr>
              <w:t>Pasivos corrientes.</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EUR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900" w:type="dxa"/>
            <w:tcBorders>
              <w:top w:val="single" w:sz="4" w:space="0" w:color="FFFFFF"/>
              <w:left w:val="single" w:sz="4" w:space="0" w:color="FFFFFF"/>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r>
      <w:tr>
        <w:tblPrEx>
          <w:tblW w:w="12090" w:type="dxa"/>
          <w:tblInd w:w="1417" w:type="dxa"/>
          <w:tblLayout w:type="fixed"/>
        </w:tblPrEx>
        <w:trPr>
          <w:cantSplit/>
          <w:trHeight w:hRule="auto" w:val="0"/>
        </w:trPr>
        <w:tc>
          <w:tcPr>
            <w:tcW w:w="50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4"/>
                <w:u w:val="none"/>
              </w:rPr>
              <w:t>Pasivos corrientes.</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CNH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32.157.082</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19.445.345</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12.711.737</w:t>
            </w:r>
          </w:p>
        </w:tc>
        <w:tc>
          <w:tcPr>
            <w:tcW w:w="900" w:type="dxa"/>
            <w:tcBorders>
              <w:top w:val="single" w:sz="4" w:space="0" w:color="FFFFFF"/>
              <w:left w:val="single" w:sz="2" w:space="0" w:color="000000"/>
              <w:bottom w:val="single" w:sz="8"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32.157.082</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4" w:space="0" w:color="FFFFFF"/>
              <w:left w:val="single" w:sz="2" w:space="0" w:color="000000"/>
              <w:bottom w:val="single" w:sz="8"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900" w:type="dxa"/>
            <w:tcBorders>
              <w:top w:val="single" w:sz="4" w:space="0" w:color="FFFFFF"/>
              <w:left w:val="single" w:sz="4" w:space="0" w:color="FFFFFF"/>
              <w:bottom w:val="single" w:sz="8"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32.157.082</w:t>
            </w:r>
          </w:p>
        </w:tc>
      </w:tr>
      <w:tr>
        <w:tblPrEx>
          <w:tblW w:w="12090" w:type="dxa"/>
          <w:tblInd w:w="1417" w:type="dxa"/>
          <w:tblLayout w:type="fixed"/>
        </w:tblPrEx>
        <w:trPr>
          <w:cantSplit/>
          <w:trHeight w:hRule="auto" w:val="0"/>
        </w:trPr>
        <w:tc>
          <w:tcPr>
            <w:tcW w:w="50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23" w:after="20" w:line="240" w:lineRule="auto"/>
              <w:jc w:val="left"/>
            </w:pPr>
            <w:r>
              <w:rPr>
                <w:rFonts w:ascii="Calibri" w:eastAsia="Calibri" w:hAnsi="Calibri" w:cs="Calibri"/>
                <w:b w:val="0"/>
                <w:i w:val="0"/>
                <w:color w:val="000000"/>
                <w:sz w:val="14"/>
                <w:u w:val="none"/>
              </w:rPr>
              <w:t>Pasivos no corrientes.</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CNH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10.506.735</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8" w:space="0" w:color="FFFFFF"/>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10.506.735</w:t>
            </w:r>
          </w:p>
        </w:tc>
        <w:tc>
          <w:tcPr>
            <w:tcW w:w="900" w:type="dxa"/>
            <w:tcBorders>
              <w:top w:val="single" w:sz="8" w:space="0" w:color="FFFFFF"/>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10.506.735</w:t>
            </w:r>
          </w:p>
        </w:tc>
        <w:tc>
          <w:tcPr>
            <w:tcW w:w="900" w:type="dxa"/>
            <w:tcBorders>
              <w:top w:val="single" w:sz="8" w:space="0" w:color="FFFFFF"/>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10.506.735</w:t>
            </w:r>
          </w:p>
        </w:tc>
      </w:tr>
      <w:tr>
        <w:tblPrEx>
          <w:tblW w:w="12090" w:type="dxa"/>
          <w:tblInd w:w="1417" w:type="dxa"/>
          <w:tblLayout w:type="fixed"/>
        </w:tblPrEx>
        <w:trPr>
          <w:cantSplit/>
          <w:trHeight w:hRule="auto" w:val="0"/>
        </w:trPr>
        <w:tc>
          <w:tcPr>
            <w:tcW w:w="50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2090" w:type="dxa"/>
          <w:tblInd w:w="1417" w:type="dxa"/>
          <w:tblLayout w:type="fixed"/>
        </w:tblPrEx>
        <w:trPr>
          <w:cantSplit/>
          <w:trHeight w:hRule="exact" w:val="225"/>
        </w:trPr>
        <w:tc>
          <w:tcPr>
            <w:tcW w:w="50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48" w:after="30" w:line="240" w:lineRule="auto"/>
              <w:jc w:val="left"/>
            </w:pPr>
            <w:r>
              <w:rPr>
                <w:rFonts w:ascii="Calibri" w:eastAsia="Calibri" w:hAnsi="Calibri" w:cs="Calibri"/>
                <w:b/>
                <w:i w:val="0"/>
                <w:color w:val="FFFFFF"/>
                <w:sz w:val="14"/>
                <w:u w:val="none"/>
              </w:rPr>
              <w:t>Total pasivos en moneda extranjera</w:t>
            </w:r>
          </w:p>
        </w:tc>
        <w:tc>
          <w:tcPr>
            <w:tcW w:w="765" w:type="dxa"/>
            <w:tcBorders>
              <w:top w:val="single" w:sz="2" w:space="0" w:color="000000"/>
              <w:left w:val="single" w:sz="4" w:space="0" w:color="FFFFFF"/>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i w:val="0"/>
                <w:color w:val="FFFFFF"/>
                <w:sz w:val="14"/>
                <w:u w:val="none"/>
              </w:rPr>
              <w:t xml:space="preserve"> M/e </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125.660.007</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20.153.457</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94.999.815</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115.153.272</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10.506.735</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10.506.735</w:t>
            </w:r>
          </w:p>
        </w:tc>
        <w:tc>
          <w:tcPr>
            <w:tcW w:w="9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125.660.007</w:t>
            </w:r>
          </w:p>
        </w:tc>
      </w:tr>
    </w:tbl>
    <w:p>
      <w:pPr>
        <w:keepNext w:val="0"/>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Saldos al </w:t>
      </w:r>
      <w:r>
        <w:rPr>
          <w:rFonts w:ascii="Calibri" w:eastAsia="Calibri" w:hAnsi="Calibri" w:cs="Calibri"/>
          <w:b w:val="0"/>
          <w:i w:val="0"/>
          <w:color w:val="000000"/>
          <w:sz w:val="20"/>
          <w:u w:val="none"/>
        </w:rPr>
        <w:t>31 de diciembre de 2025</w:t>
      </w:r>
      <w:r>
        <w:rPr>
          <w:rFonts w:ascii="Calibri" w:eastAsia="Calibri" w:hAnsi="Calibri" w:cs="Calibri"/>
          <w:b w:val="0"/>
          <w:i w:val="0"/>
          <w:sz w:val="20"/>
        </w:rPr>
        <w:t>.</w:t>
      </w:r>
    </w:p>
    <w:p>
      <w:pPr>
        <w:keepNext w:val="0"/>
        <w:keepLines/>
        <w:pageBreakBefore w:val="0"/>
        <w:widowControl w:val="0"/>
        <w:numPr>
          <w:ilvl w:val="0"/>
          <w:numId w:val="0"/>
        </w:numPr>
        <w:tabs>
          <w:tab w:val="left" w:pos="700"/>
        </w:tabs>
        <w:spacing w:before="0" w:after="0" w:line="288" w:lineRule="auto"/>
        <w:ind w:left="720" w:right="0" w:firstLine="0"/>
        <w:jc w:val="both"/>
        <w:outlineLvl w:val="9"/>
        <w:rPr>
          <w:rFonts w:ascii="Calibri" w:eastAsia="Calibri" w:hAnsi="Calibri" w:cs="Calibri"/>
          <w:b w:val="0"/>
          <w:i w:val="0"/>
          <w:color w:val="000000"/>
          <w:sz w:val="20"/>
          <w:u w:val="none"/>
        </w:rPr>
      </w:pPr>
    </w:p>
    <w:tbl>
      <w:tblPr>
        <w:tblW w:w="1209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025"/>
        <w:gridCol w:w="765"/>
        <w:gridCol w:w="900"/>
        <w:gridCol w:w="900"/>
        <w:gridCol w:w="900"/>
        <w:gridCol w:w="900"/>
        <w:gridCol w:w="900"/>
        <w:gridCol w:w="900"/>
        <w:gridCol w:w="900"/>
      </w:tblGrid>
      <w:tr>
        <w:tblPrEx>
          <w:tblW w:w="12090" w:type="dxa"/>
          <w:tblInd w:w="1417" w:type="dxa"/>
          <w:tblLayout w:type="fixed"/>
        </w:tblPrEx>
        <w:trPr>
          <w:cantSplit/>
          <w:trHeight w:hRule="auto" w:val="0"/>
        </w:trPr>
        <w:tc>
          <w:tcPr>
            <w:tcW w:w="5025"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Resumen moneda extranjera</w:t>
            </w:r>
          </w:p>
        </w:tc>
        <w:tc>
          <w:tcPr>
            <w:tcW w:w="765" w:type="dxa"/>
            <w:vMerge w:val="restart"/>
            <w:tcBorders>
              <w:top w:val="single" w:sz="2" w:space="0" w:color="000000"/>
              <w:left w:val="nil"/>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Tipo de moneda de origen</w:t>
            </w:r>
          </w:p>
        </w:tc>
        <w:tc>
          <w:tcPr>
            <w:tcW w:w="900" w:type="dxa"/>
            <w:vMerge w:val="restart"/>
            <w:tcBorders>
              <w:top w:val="single" w:sz="2" w:space="0" w:color="000000"/>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Monto expresado en moneda de presentación de la entidad informante</w:t>
            </w:r>
          </w:p>
        </w:tc>
        <w:tc>
          <w:tcPr>
            <w:tcW w:w="2700" w:type="dxa"/>
            <w:gridSpan w:val="3"/>
            <w:tcBorders>
              <w:top w:val="single" w:sz="2" w:space="0" w:color="000000"/>
              <w:left w:val="nil"/>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Corrientes</w:t>
            </w:r>
          </w:p>
        </w:tc>
        <w:tc>
          <w:tcPr>
            <w:tcW w:w="1800" w:type="dxa"/>
            <w:gridSpan w:val="2"/>
            <w:tcBorders>
              <w:top w:val="single" w:sz="2" w:space="0" w:color="000000"/>
              <w:left w:val="single" w:sz="4" w:space="0" w:color="FFFFFF"/>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No corrientes</w:t>
            </w:r>
          </w:p>
        </w:tc>
        <w:tc>
          <w:tcPr>
            <w:tcW w:w="9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Total</w:t>
            </w:r>
          </w:p>
        </w:tc>
      </w:tr>
      <w:tr>
        <w:tblPrEx>
          <w:tblW w:w="12090" w:type="dxa"/>
          <w:tblInd w:w="1417" w:type="dxa"/>
          <w:tblLayout w:type="fixed"/>
        </w:tblPrEx>
        <w:trPr>
          <w:cantSplit/>
          <w:trHeight w:hRule="auto" w:val="0"/>
        </w:trPr>
        <w:tc>
          <w:tcPr>
            <w:tcW w:w="5025" w:type="dxa"/>
            <w:vMerge/>
            <w:tcBorders>
              <w:top w:val="nil"/>
              <w:left w:val="single" w:sz="2" w:space="0" w:color="000000"/>
              <w:bottom w:val="nil"/>
              <w:right w:val="single" w:sz="4" w:space="0" w:color="FFFFFF"/>
            </w:tcBorders>
          </w:tcPr>
          <w:p>
            <w:pPr>
              <w:keepNext/>
              <w:pageBreakBefore w:val="0"/>
            </w:pPr>
          </w:p>
        </w:tc>
        <w:tc>
          <w:tcPr>
            <w:tcW w:w="765" w:type="dxa"/>
            <w:vMerge/>
            <w:tcBorders>
              <w:top w:val="nil"/>
              <w:left w:val="nil"/>
              <w:bottom w:val="nil"/>
              <w:right w:val="nil"/>
            </w:tcBorders>
          </w:tcPr>
          <w:p>
            <w:pPr>
              <w:keepNext/>
              <w:pageBreakBefore w:val="0"/>
            </w:pPr>
          </w:p>
        </w:tc>
        <w:tc>
          <w:tcPr>
            <w:tcW w:w="900" w:type="dxa"/>
            <w:vMerge/>
            <w:tcBorders>
              <w:top w:val="nil"/>
              <w:left w:val="single" w:sz="4" w:space="0" w:color="FFFFFF"/>
              <w:bottom w:val="nil"/>
              <w:right w:val="nil"/>
            </w:tcBorders>
          </w:tcPr>
          <w:p>
            <w:pPr>
              <w:keepNext/>
              <w:pageBreakBefore w:val="0"/>
            </w:pPr>
          </w:p>
        </w:tc>
        <w:tc>
          <w:tcPr>
            <w:tcW w:w="9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Hasta 90 días</w:t>
            </w:r>
          </w:p>
        </w:tc>
        <w:tc>
          <w:tcPr>
            <w:tcW w:w="9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De 91 días a 1 año</w:t>
            </w:r>
          </w:p>
        </w:tc>
        <w:tc>
          <w:tcPr>
            <w:tcW w:w="9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Total corrientes</w:t>
            </w:r>
          </w:p>
        </w:tc>
        <w:tc>
          <w:tcPr>
            <w:tcW w:w="9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Más de 1 año a 3 años</w:t>
            </w:r>
          </w:p>
        </w:tc>
        <w:tc>
          <w:tcPr>
            <w:tcW w:w="9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Total no corrientes</w:t>
            </w:r>
          </w:p>
        </w:tc>
        <w:tc>
          <w:tcPr>
            <w:tcW w:w="900"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31-12-2025</w:t>
            </w:r>
          </w:p>
        </w:tc>
      </w:tr>
      <w:tr>
        <w:tblPrEx>
          <w:tblW w:w="12090" w:type="dxa"/>
          <w:tblInd w:w="1417" w:type="dxa"/>
          <w:tblLayout w:type="fixed"/>
        </w:tblPrEx>
        <w:trPr>
          <w:cantSplit/>
          <w:trHeight w:hRule="auto" w:val="0"/>
        </w:trPr>
        <w:tc>
          <w:tcPr>
            <w:tcW w:w="5025" w:type="dxa"/>
            <w:vMerge/>
            <w:tcBorders>
              <w:top w:val="nil"/>
              <w:left w:val="single" w:sz="2" w:space="0" w:color="000000"/>
              <w:bottom w:val="single" w:sz="2" w:space="0" w:color="000000"/>
              <w:right w:val="single" w:sz="4" w:space="0" w:color="FFFFFF"/>
            </w:tcBorders>
          </w:tcPr>
          <w:p>
            <w:pPr>
              <w:keepNext/>
              <w:pageBreakBefore w:val="0"/>
            </w:pPr>
          </w:p>
        </w:tc>
        <w:tc>
          <w:tcPr>
            <w:tcW w:w="765" w:type="dxa"/>
            <w:vMerge/>
            <w:tcBorders>
              <w:top w:val="nil"/>
              <w:left w:val="nil"/>
              <w:bottom w:val="single" w:sz="2" w:space="0" w:color="000000"/>
              <w:right w:val="nil"/>
            </w:tcBorders>
          </w:tcPr>
          <w:p>
            <w:pPr>
              <w:keepNext/>
              <w:pageBreakBefore w:val="0"/>
            </w:pP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12090" w:type="dxa"/>
          <w:tblInd w:w="1417" w:type="dxa"/>
          <w:tblLayout w:type="fixed"/>
        </w:tblPrEx>
        <w:trPr>
          <w:cantSplit/>
          <w:trHeight w:hRule="exact" w:val="60"/>
        </w:trPr>
        <w:tc>
          <w:tcPr>
            <w:tcW w:w="50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2090" w:type="dxa"/>
          <w:tblInd w:w="1417" w:type="dxa"/>
          <w:tblLayout w:type="fixed"/>
        </w:tblPrEx>
        <w:trPr>
          <w:cantSplit/>
          <w:trHeight w:hRule="auto" w:val="0"/>
        </w:trPr>
        <w:tc>
          <w:tcPr>
            <w:tcW w:w="50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Activos corrientes.</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US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1.199.124</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1.199.124</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1.199.124</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900" w:type="dxa"/>
            <w:tcBorders>
              <w:top w:val="single" w:sz="2" w:space="0" w:color="000000"/>
              <w:left w:val="single" w:sz="4" w:space="0" w:color="FFFFFF"/>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1.199.124</w:t>
            </w:r>
          </w:p>
        </w:tc>
      </w:tr>
      <w:tr>
        <w:tblPrEx>
          <w:tblW w:w="12090" w:type="dxa"/>
          <w:tblInd w:w="1417" w:type="dxa"/>
          <w:tblLayout w:type="fixed"/>
        </w:tblPrEx>
        <w:trPr>
          <w:cantSplit/>
          <w:trHeight w:hRule="auto" w:val="0"/>
        </w:trPr>
        <w:tc>
          <w:tcPr>
            <w:tcW w:w="50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4"/>
                <w:u w:val="none"/>
              </w:rPr>
              <w:t>Activos corrientes.</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EUR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21.564</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21.564</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4" w:space="0" w:color="FFFFFF"/>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21.564</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4" w:space="0" w:color="FFFFFF"/>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900" w:type="dxa"/>
            <w:tcBorders>
              <w:top w:val="single" w:sz="4" w:space="0" w:color="FFFFFF"/>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21.564</w:t>
            </w:r>
          </w:p>
        </w:tc>
      </w:tr>
      <w:tr>
        <w:tblPrEx>
          <w:tblW w:w="12090" w:type="dxa"/>
          <w:tblInd w:w="1417" w:type="dxa"/>
          <w:tblLayout w:type="fixed"/>
        </w:tblPrEx>
        <w:trPr>
          <w:cantSplit/>
          <w:trHeight w:hRule="auto" w:val="0"/>
        </w:trPr>
        <w:tc>
          <w:tcPr>
            <w:tcW w:w="50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2090" w:type="dxa"/>
          <w:tblInd w:w="1417" w:type="dxa"/>
          <w:tblLayout w:type="fixed"/>
        </w:tblPrEx>
        <w:trPr>
          <w:cantSplit/>
          <w:trHeight w:hRule="auto" w:val="0"/>
        </w:trPr>
        <w:tc>
          <w:tcPr>
            <w:tcW w:w="50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i w:val="0"/>
                <w:color w:val="FFFFFF"/>
                <w:sz w:val="14"/>
                <w:u w:val="none"/>
              </w:rPr>
              <w:t>Total activos en moneda extranjera</w:t>
            </w:r>
          </w:p>
        </w:tc>
        <w:tc>
          <w:tcPr>
            <w:tcW w:w="765" w:type="dxa"/>
            <w:tcBorders>
              <w:top w:val="single" w:sz="2" w:space="0" w:color="000000"/>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 xml:space="preserve"> M/e </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1.220.688</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1.220.688</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1.220.688</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9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1.220.688</w:t>
            </w:r>
          </w:p>
        </w:tc>
      </w:tr>
      <w:tr>
        <w:tblPrEx>
          <w:tblW w:w="12090" w:type="dxa"/>
          <w:tblInd w:w="1417" w:type="dxa"/>
          <w:tblLayout w:type="fixed"/>
        </w:tblPrEx>
        <w:trPr>
          <w:cantSplit/>
          <w:trHeight w:hRule="auto" w:val="0"/>
        </w:trPr>
        <w:tc>
          <w:tcPr>
            <w:tcW w:w="50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2090" w:type="dxa"/>
          <w:tblInd w:w="1417" w:type="dxa"/>
          <w:tblLayout w:type="fixed"/>
        </w:tblPrEx>
        <w:trPr>
          <w:cantSplit/>
          <w:trHeight w:hRule="auto" w:val="0"/>
        </w:trPr>
        <w:tc>
          <w:tcPr>
            <w:tcW w:w="50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Pasivos corrientes.</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US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83.941.019</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1.367.094</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82.573.925</w:t>
            </w:r>
          </w:p>
        </w:tc>
        <w:tc>
          <w:tcPr>
            <w:tcW w:w="900"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83.941.019</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900" w:type="dxa"/>
            <w:tcBorders>
              <w:top w:val="single" w:sz="2" w:space="0" w:color="000000"/>
              <w:left w:val="single" w:sz="4" w:space="0" w:color="FFFFFF"/>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83.941.019</w:t>
            </w:r>
          </w:p>
        </w:tc>
      </w:tr>
      <w:tr>
        <w:tblPrEx>
          <w:tblW w:w="12090" w:type="dxa"/>
          <w:tblInd w:w="1417" w:type="dxa"/>
          <w:tblLayout w:type="fixed"/>
        </w:tblPrEx>
        <w:trPr>
          <w:cantSplit/>
          <w:trHeight w:hRule="auto" w:val="0"/>
        </w:trPr>
        <w:tc>
          <w:tcPr>
            <w:tcW w:w="50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4"/>
                <w:u w:val="none"/>
              </w:rPr>
              <w:t>Pasivos corrientes.</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EUR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2.617</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2.617</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2.617</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900" w:type="dxa"/>
            <w:tcBorders>
              <w:top w:val="single" w:sz="4" w:space="0" w:color="FFFFFF"/>
              <w:left w:val="single" w:sz="4" w:space="0" w:color="FFFFFF"/>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2.617</w:t>
            </w:r>
          </w:p>
        </w:tc>
      </w:tr>
      <w:tr>
        <w:tblPrEx>
          <w:tblW w:w="12090" w:type="dxa"/>
          <w:tblInd w:w="1417" w:type="dxa"/>
          <w:tblLayout w:type="fixed"/>
        </w:tblPrEx>
        <w:trPr>
          <w:cantSplit/>
          <w:trHeight w:hRule="auto" w:val="0"/>
        </w:trPr>
        <w:tc>
          <w:tcPr>
            <w:tcW w:w="50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4"/>
                <w:u w:val="none"/>
              </w:rPr>
              <w:t>Pasivos corrientes.</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CNH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30.781.594</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170.583</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30.611.011</w:t>
            </w:r>
          </w:p>
        </w:tc>
        <w:tc>
          <w:tcPr>
            <w:tcW w:w="90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30.781.594</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900" w:type="dxa"/>
            <w:tcBorders>
              <w:top w:val="single" w:sz="4" w:space="0" w:color="FFFFFF"/>
              <w:left w:val="single" w:sz="4" w:space="0" w:color="FFFFFF"/>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30.781.594</w:t>
            </w:r>
          </w:p>
        </w:tc>
      </w:tr>
      <w:tr>
        <w:tblPrEx>
          <w:tblW w:w="12090" w:type="dxa"/>
          <w:tblInd w:w="1417" w:type="dxa"/>
          <w:tblLayout w:type="fixed"/>
        </w:tblPrEx>
        <w:trPr>
          <w:cantSplit/>
          <w:trHeight w:hRule="auto" w:val="0"/>
        </w:trPr>
        <w:tc>
          <w:tcPr>
            <w:tcW w:w="50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4"/>
                <w:u w:val="none"/>
              </w:rPr>
              <w:t>Pasivos no corrientes.</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US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91.118.000</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91.118.000</w:t>
            </w:r>
          </w:p>
        </w:tc>
        <w:tc>
          <w:tcPr>
            <w:tcW w:w="90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91.118.000</w:t>
            </w:r>
          </w:p>
        </w:tc>
        <w:tc>
          <w:tcPr>
            <w:tcW w:w="900" w:type="dxa"/>
            <w:tcBorders>
              <w:top w:val="single" w:sz="4" w:space="0" w:color="FFFFFF"/>
              <w:left w:val="single" w:sz="4" w:space="0" w:color="FFFFFF"/>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91.118.000</w:t>
            </w:r>
          </w:p>
        </w:tc>
      </w:tr>
      <w:tr>
        <w:tblPrEx>
          <w:tblW w:w="12090" w:type="dxa"/>
          <w:tblInd w:w="1417" w:type="dxa"/>
          <w:tblLayout w:type="fixed"/>
        </w:tblPrEx>
        <w:trPr>
          <w:cantSplit/>
          <w:trHeight w:hRule="auto" w:val="0"/>
        </w:trPr>
        <w:tc>
          <w:tcPr>
            <w:tcW w:w="50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4"/>
                <w:u w:val="none"/>
              </w:rPr>
              <w:t>Pasivos no corrientes.</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CNH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11.088.989</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4" w:space="0" w:color="FFFFFF"/>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11.088.989</w:t>
            </w:r>
          </w:p>
        </w:tc>
        <w:tc>
          <w:tcPr>
            <w:tcW w:w="900" w:type="dxa"/>
            <w:tcBorders>
              <w:top w:val="single" w:sz="4" w:space="0" w:color="FFFFFF"/>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11.088.989</w:t>
            </w:r>
          </w:p>
        </w:tc>
        <w:tc>
          <w:tcPr>
            <w:tcW w:w="900" w:type="dxa"/>
            <w:tcBorders>
              <w:top w:val="single" w:sz="4" w:space="0" w:color="FFFFFF"/>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11.088.989</w:t>
            </w:r>
          </w:p>
        </w:tc>
      </w:tr>
      <w:tr>
        <w:tblPrEx>
          <w:tblW w:w="12090" w:type="dxa"/>
          <w:tblInd w:w="1417" w:type="dxa"/>
          <w:tblLayout w:type="fixed"/>
        </w:tblPrEx>
        <w:trPr>
          <w:cantSplit/>
          <w:trHeight w:hRule="exact" w:val="60"/>
        </w:trPr>
        <w:tc>
          <w:tcPr>
            <w:tcW w:w="50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2090" w:type="dxa"/>
          <w:tblInd w:w="1417" w:type="dxa"/>
          <w:tblLayout w:type="fixed"/>
        </w:tblPrEx>
        <w:trPr>
          <w:cantSplit/>
          <w:trHeight w:hRule="auto" w:val="0"/>
        </w:trPr>
        <w:tc>
          <w:tcPr>
            <w:tcW w:w="50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i w:val="0"/>
                <w:color w:val="FFFFFF"/>
                <w:sz w:val="14"/>
                <w:u w:val="none"/>
              </w:rPr>
              <w:t>Total pasivos en moneda extranjera</w:t>
            </w:r>
          </w:p>
        </w:tc>
        <w:tc>
          <w:tcPr>
            <w:tcW w:w="765" w:type="dxa"/>
            <w:tcBorders>
              <w:top w:val="single" w:sz="2" w:space="0" w:color="000000"/>
              <w:left w:val="single" w:sz="4" w:space="0" w:color="FFFFFF"/>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i w:val="0"/>
                <w:color w:val="FFFFFF"/>
                <w:sz w:val="14"/>
                <w:u w:val="none"/>
              </w:rPr>
              <w:t xml:space="preserve"> M/e </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216.932.219</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1.540.294</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113.184.936</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114.725.230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102.206.989</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102.206.989</w:t>
            </w:r>
          </w:p>
        </w:tc>
        <w:tc>
          <w:tcPr>
            <w:tcW w:w="9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216.932.219</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type w:val="continuous"/>
          <w:pgSz w:w="15840" w:h="12240" w:orient="landscape"/>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Calibri" w:eastAsia="Calibri" w:hAnsi="Calibri" w:cs="Calibri"/>
          <w:b/>
          <w:i w:val="0"/>
          <w:color w:val="000000"/>
          <w:sz w:val="20"/>
          <w:u w:val="none"/>
        </w:rPr>
      </w:pPr>
      <w:bookmarkStart w:id="290" w:name="Section149"/>
      <w:bookmarkEnd w:id="290"/>
      <w:bookmarkStart w:id="291" w:name="3d65a65240c74043ad085a6aa00d6007"/>
      <w:r>
        <w:rPr>
          <w:rFonts w:ascii="Calibri" w:eastAsia="Calibri" w:hAnsi="Calibri" w:cs="Calibri"/>
          <w:b/>
          <w:i w:val="0"/>
          <w:color w:val="000000"/>
          <w:sz w:val="20"/>
          <w:u w:val="none"/>
        </w:rPr>
        <w:t>33.2.-</w:t>
      </w:r>
      <w:r>
        <w:rPr>
          <w:rFonts w:ascii="Calibri" w:eastAsia="Calibri" w:hAnsi="Calibri" w:cs="Calibri"/>
          <w:b/>
          <w:i w:val="0"/>
          <w:color w:val="000000"/>
          <w:sz w:val="20"/>
          <w:u w:val="none"/>
        </w:rPr>
        <w:tab/>
      </w:r>
      <w:r>
        <w:rPr>
          <w:rFonts w:ascii="Calibri" w:eastAsia="Calibri" w:hAnsi="Calibri" w:cs="Calibri"/>
          <w:b/>
          <w:i w:val="0"/>
          <w:color w:val="000000"/>
          <w:sz w:val="20"/>
          <w:u w:val="none"/>
        </w:rPr>
        <w:t>Saldos en moneda extranjera, activos.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91"/>
    </w:p>
    <w:p>
      <w:pPr>
        <w:pStyle w:val="Normal-wk"/>
        <w:keepNext w:val="0"/>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Saldos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w:t>
      </w:r>
    </w:p>
    <w:p>
      <w:pPr>
        <w:pStyle w:val="Normal-wk"/>
        <w:keepNext w:val="0"/>
        <w:keepLines/>
        <w:pageBreakBefore w:val="0"/>
        <w:widowControl w:val="0"/>
        <w:numPr>
          <w:ilvl w:val="0"/>
          <w:numId w:val="0"/>
        </w:numPr>
        <w:tabs>
          <w:tab w:val="left" w:pos="700"/>
        </w:tabs>
        <w:spacing w:before="0" w:after="0" w:line="288" w:lineRule="auto"/>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ab/>
      </w:r>
    </w:p>
    <w:tbl>
      <w:tblPr>
        <w:tblW w:w="1209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055"/>
        <w:gridCol w:w="1005"/>
        <w:gridCol w:w="1005"/>
        <w:gridCol w:w="1005"/>
        <w:gridCol w:w="1005"/>
        <w:gridCol w:w="1005"/>
        <w:gridCol w:w="1005"/>
        <w:gridCol w:w="1005"/>
      </w:tblGrid>
      <w:tr>
        <w:tblPrEx>
          <w:tblW w:w="12090" w:type="dxa"/>
          <w:tblInd w:w="1417" w:type="dxa"/>
          <w:tblLayout w:type="fixed"/>
        </w:tblPrEx>
        <w:trPr>
          <w:cantSplit/>
          <w:trHeight w:hRule="auto" w:val="0"/>
          <w:tblHeader/>
        </w:trPr>
        <w:tc>
          <w:tcPr>
            <w:tcW w:w="505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Detalle moneda extranjera - activos corrientes y no corrientes</w:t>
            </w:r>
          </w:p>
        </w:tc>
        <w:tc>
          <w:tcPr>
            <w:tcW w:w="1005" w:type="dxa"/>
            <w:vMerge w:val="restart"/>
            <w:tcBorders>
              <w:top w:val="single" w:sz="2" w:space="0" w:color="000000"/>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Tipo de moneda de origen</w:t>
            </w:r>
          </w:p>
        </w:tc>
        <w:tc>
          <w:tcPr>
            <w:tcW w:w="100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Monto expresado en moneda de presentación de la entidad informante</w:t>
            </w:r>
          </w:p>
        </w:tc>
        <w:tc>
          <w:tcPr>
            <w:tcW w:w="2010"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Corrientes</w:t>
            </w:r>
          </w:p>
        </w:tc>
        <w:tc>
          <w:tcPr>
            <w:tcW w:w="2010" w:type="dxa"/>
            <w:gridSpan w:val="2"/>
            <w:tcBorders>
              <w:top w:val="single" w:sz="2" w:space="0" w:color="000000"/>
              <w:left w:val="nil"/>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No corrientes</w:t>
            </w:r>
          </w:p>
        </w:tc>
        <w:tc>
          <w:tcPr>
            <w:tcW w:w="1005"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Total activos</w:t>
            </w:r>
          </w:p>
        </w:tc>
      </w:tr>
      <w:tr>
        <w:tblPrEx>
          <w:tblW w:w="12090" w:type="dxa"/>
          <w:tblInd w:w="1417" w:type="dxa"/>
          <w:tblLayout w:type="fixed"/>
        </w:tblPrEx>
        <w:trPr>
          <w:cantSplit/>
          <w:trHeight w:hRule="auto" w:val="0"/>
          <w:tblHeader/>
        </w:trPr>
        <w:tc>
          <w:tcPr>
            <w:tcW w:w="5055" w:type="dxa"/>
            <w:vMerge/>
            <w:tcBorders>
              <w:top w:val="nil"/>
              <w:left w:val="single" w:sz="2" w:space="0" w:color="000000"/>
              <w:bottom w:val="nil"/>
              <w:right w:val="nil"/>
            </w:tcBorders>
          </w:tcPr>
          <w:p>
            <w:pPr>
              <w:keepNext/>
              <w:pageBreakBefore w:val="0"/>
            </w:pPr>
          </w:p>
        </w:tc>
        <w:tc>
          <w:tcPr>
            <w:tcW w:w="1005" w:type="dxa"/>
            <w:vMerge/>
            <w:tcBorders>
              <w:top w:val="nil"/>
              <w:left w:val="single" w:sz="4" w:space="0" w:color="FFFFFF"/>
              <w:bottom w:val="nil"/>
              <w:right w:val="single" w:sz="4" w:space="0" w:color="FFFFFF"/>
            </w:tcBorders>
          </w:tcPr>
          <w:p>
            <w:pPr>
              <w:keepNext/>
              <w:pageBreakBefore w:val="0"/>
            </w:pPr>
          </w:p>
        </w:tc>
        <w:tc>
          <w:tcPr>
            <w:tcW w:w="1005" w:type="dxa"/>
            <w:vMerge/>
            <w:tcBorders>
              <w:top w:val="nil"/>
              <w:left w:val="nil"/>
              <w:bottom w:val="nil"/>
              <w:right w:val="nil"/>
            </w:tcBorders>
          </w:tcPr>
          <w:p>
            <w:pPr>
              <w:keepNext/>
              <w:pageBreakBefore w:val="0"/>
            </w:pP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Hasta 90 días</w:t>
            </w:r>
          </w:p>
        </w:tc>
        <w:tc>
          <w:tcPr>
            <w:tcW w:w="10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Total corrientes</w:t>
            </w: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Más de 1 año a 3 años</w:t>
            </w:r>
          </w:p>
        </w:tc>
        <w:tc>
          <w:tcPr>
            <w:tcW w:w="10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Total no corrientes</w:t>
            </w:r>
          </w:p>
        </w:tc>
        <w:tc>
          <w:tcPr>
            <w:tcW w:w="1005"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r>
      <w:tr>
        <w:tblPrEx>
          <w:tblW w:w="12090" w:type="dxa"/>
          <w:tblInd w:w="1417" w:type="dxa"/>
          <w:tblLayout w:type="fixed"/>
        </w:tblPrEx>
        <w:trPr>
          <w:cantSplit/>
          <w:trHeight w:hRule="auto" w:val="0"/>
          <w:tblHeader/>
        </w:trPr>
        <w:tc>
          <w:tcPr>
            <w:tcW w:w="5055" w:type="dxa"/>
            <w:vMerge/>
            <w:tcBorders>
              <w:top w:val="nil"/>
              <w:left w:val="single" w:sz="2" w:space="0" w:color="000000"/>
              <w:bottom w:val="single" w:sz="2" w:space="0" w:color="000000"/>
              <w:right w:val="nil"/>
            </w:tcBorders>
          </w:tcPr>
          <w:p>
            <w:pPr>
              <w:keepNext/>
              <w:pageBreakBefore w:val="0"/>
            </w:pPr>
          </w:p>
        </w:tc>
        <w:tc>
          <w:tcPr>
            <w:tcW w:w="1005" w:type="dxa"/>
            <w:vMerge/>
            <w:tcBorders>
              <w:top w:val="nil"/>
              <w:left w:val="single" w:sz="4" w:space="0" w:color="FFFFFF"/>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12090" w:type="dxa"/>
          <w:tblInd w:w="1417" w:type="dxa"/>
          <w:tblLayout w:type="fixed"/>
        </w:tblPrEx>
        <w:trPr>
          <w:cantSplit/>
          <w:trHeight w:hRule="exact" w:val="60"/>
          <w:tblHeader/>
        </w:trPr>
        <w:tc>
          <w:tcPr>
            <w:tcW w:w="505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2090" w:type="dxa"/>
          <w:tblInd w:w="1417" w:type="dxa"/>
          <w:tblLayout w:type="fixed"/>
        </w:tblPrEx>
        <w:trPr>
          <w:cantSplit/>
          <w:trHeight w:hRule="auto" w:val="0"/>
          <w:tblHeader/>
        </w:trPr>
        <w:tc>
          <w:tcPr>
            <w:tcW w:w="50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Efectivo y equivalentes al efectivo.</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US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r>
      <w:tr>
        <w:tblPrEx>
          <w:tblW w:w="12090" w:type="dxa"/>
          <w:tblInd w:w="1417" w:type="dxa"/>
          <w:tblLayout w:type="fixed"/>
        </w:tblPrEx>
        <w:trPr>
          <w:cantSplit/>
          <w:trHeight w:hRule="auto" w:val="0"/>
        </w:trPr>
        <w:tc>
          <w:tcPr>
            <w:tcW w:w="50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Inventarios.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US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005" w:type="dxa"/>
            <w:tcBorders>
              <w:top w:val="single" w:sz="4" w:space="0" w:color="FFFFFF"/>
              <w:left w:val="single" w:sz="4" w:space="0" w:color="FFFFFF"/>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r>
      <w:tr>
        <w:tblPrEx>
          <w:tblW w:w="12090" w:type="dxa"/>
          <w:tblInd w:w="1417" w:type="dxa"/>
          <w:tblLayout w:type="fixed"/>
        </w:tblPrEx>
        <w:trPr>
          <w:cantSplit/>
          <w:trHeight w:hRule="auto" w:val="0"/>
        </w:trPr>
        <w:tc>
          <w:tcPr>
            <w:tcW w:w="50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Inventarios.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EUR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4" w:space="0" w:color="FFFFFF"/>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4" w:space="0" w:color="FFFFFF"/>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005" w:type="dxa"/>
            <w:tcBorders>
              <w:top w:val="single" w:sz="4" w:space="0" w:color="FFFFFF"/>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r>
      <w:tr>
        <w:tblPrEx>
          <w:tblW w:w="12090" w:type="dxa"/>
          <w:tblInd w:w="1417" w:type="dxa"/>
          <w:tblLayout w:type="fixed"/>
        </w:tblPrEx>
        <w:trPr>
          <w:cantSplit/>
          <w:trHeight w:hRule="auto" w:val="0"/>
        </w:trPr>
        <w:tc>
          <w:tcPr>
            <w:tcW w:w="505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2090" w:type="dxa"/>
          <w:tblInd w:w="1417" w:type="dxa"/>
          <w:tblLayout w:type="fixed"/>
        </w:tblPrEx>
        <w:trPr>
          <w:cantSplit/>
          <w:trHeight w:hRule="auto" w:val="0"/>
        </w:trPr>
        <w:tc>
          <w:tcPr>
            <w:tcW w:w="50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 xml:space="preserve"> Total activos en moneda extranjera </w:t>
            </w:r>
          </w:p>
        </w:tc>
        <w:tc>
          <w:tcPr>
            <w:tcW w:w="1005" w:type="dxa"/>
            <w:tcBorders>
              <w:top w:val="single" w:sz="2" w:space="0" w:color="000000"/>
              <w:left w:val="single" w:sz="4" w:space="0" w:color="FFFFFF"/>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i w:val="0"/>
                <w:color w:val="FFFFFF"/>
                <w:sz w:val="16"/>
                <w:u w:val="none"/>
              </w:rPr>
              <w:t xml:space="preserve"> M/e </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r>
    </w:tbl>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Saldos al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p>
    <w:tbl>
      <w:tblPr>
        <w:tblW w:w="1209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055"/>
        <w:gridCol w:w="1005"/>
        <w:gridCol w:w="1005"/>
        <w:gridCol w:w="1005"/>
        <w:gridCol w:w="1005"/>
        <w:gridCol w:w="1005"/>
        <w:gridCol w:w="1005"/>
        <w:gridCol w:w="1005"/>
      </w:tblGrid>
      <w:tr>
        <w:tblPrEx>
          <w:tblW w:w="12090" w:type="dxa"/>
          <w:tblInd w:w="1417" w:type="dxa"/>
          <w:tblLayout w:type="fixed"/>
        </w:tblPrEx>
        <w:trPr>
          <w:cantSplit/>
          <w:trHeight w:hRule="auto" w:val="0"/>
          <w:tblHeader/>
        </w:trPr>
        <w:tc>
          <w:tcPr>
            <w:tcW w:w="5055"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Detalle moneda extranjera - activos corrientes y no corrientes</w:t>
            </w:r>
          </w:p>
        </w:tc>
        <w:tc>
          <w:tcPr>
            <w:tcW w:w="1005" w:type="dxa"/>
            <w:vMerge w:val="restart"/>
            <w:tcBorders>
              <w:top w:val="single" w:sz="2" w:space="0" w:color="000000"/>
              <w:left w:val="nil"/>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Tipo de moneda de origen</w:t>
            </w:r>
          </w:p>
        </w:tc>
        <w:tc>
          <w:tcPr>
            <w:tcW w:w="1005" w:type="dxa"/>
            <w:vMerge w:val="restart"/>
            <w:tcBorders>
              <w:top w:val="single" w:sz="2" w:space="0" w:color="000000"/>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Monto expresado en moneda de presentación de la entidad informante</w:t>
            </w:r>
          </w:p>
        </w:tc>
        <w:tc>
          <w:tcPr>
            <w:tcW w:w="2010" w:type="dxa"/>
            <w:gridSpan w:val="2"/>
            <w:tcBorders>
              <w:top w:val="single" w:sz="2" w:space="0" w:color="000000"/>
              <w:left w:val="nil"/>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Corrientes</w:t>
            </w:r>
          </w:p>
        </w:tc>
        <w:tc>
          <w:tcPr>
            <w:tcW w:w="2010" w:type="dxa"/>
            <w:gridSpan w:val="2"/>
            <w:tcBorders>
              <w:top w:val="single" w:sz="2" w:space="0" w:color="000000"/>
              <w:left w:val="single" w:sz="4" w:space="0" w:color="FFFFFF"/>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No corrientes</w:t>
            </w:r>
          </w:p>
        </w:tc>
        <w:tc>
          <w:tcPr>
            <w:tcW w:w="1005"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Total activos</w:t>
            </w:r>
          </w:p>
        </w:tc>
      </w:tr>
      <w:tr>
        <w:tblPrEx>
          <w:tblW w:w="12090" w:type="dxa"/>
          <w:tblInd w:w="1417" w:type="dxa"/>
          <w:tblLayout w:type="fixed"/>
        </w:tblPrEx>
        <w:trPr>
          <w:cantSplit/>
          <w:trHeight w:hRule="exact" w:val="585"/>
          <w:tblHeader/>
        </w:trPr>
        <w:tc>
          <w:tcPr>
            <w:tcW w:w="5055" w:type="dxa"/>
            <w:vMerge/>
            <w:tcBorders>
              <w:top w:val="nil"/>
              <w:left w:val="single" w:sz="2" w:space="0" w:color="000000"/>
              <w:bottom w:val="nil"/>
              <w:right w:val="single" w:sz="4" w:space="0" w:color="FFFFFF"/>
            </w:tcBorders>
          </w:tcPr>
          <w:p>
            <w:pPr>
              <w:keepNext/>
              <w:pageBreakBefore w:val="0"/>
            </w:pPr>
          </w:p>
        </w:tc>
        <w:tc>
          <w:tcPr>
            <w:tcW w:w="1005" w:type="dxa"/>
            <w:vMerge/>
            <w:tcBorders>
              <w:top w:val="nil"/>
              <w:left w:val="nil"/>
              <w:bottom w:val="nil"/>
              <w:right w:val="nil"/>
            </w:tcBorders>
          </w:tcPr>
          <w:p>
            <w:pPr>
              <w:keepNext/>
              <w:pageBreakBefore w:val="0"/>
            </w:pPr>
          </w:p>
        </w:tc>
        <w:tc>
          <w:tcPr>
            <w:tcW w:w="1005" w:type="dxa"/>
            <w:vMerge/>
            <w:tcBorders>
              <w:top w:val="nil"/>
              <w:left w:val="single" w:sz="4" w:space="0" w:color="FFFFFF"/>
              <w:bottom w:val="nil"/>
              <w:right w:val="nil"/>
            </w:tcBorders>
          </w:tcPr>
          <w:p>
            <w:pPr>
              <w:keepNext/>
              <w:pageBreakBefore w:val="0"/>
            </w:pP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Hasta 90 días</w:t>
            </w:r>
          </w:p>
        </w:tc>
        <w:tc>
          <w:tcPr>
            <w:tcW w:w="10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Total corrientes</w:t>
            </w: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Más de 1 año a 3 años</w:t>
            </w:r>
          </w:p>
        </w:tc>
        <w:tc>
          <w:tcPr>
            <w:tcW w:w="10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Total no corrientes</w:t>
            </w:r>
          </w:p>
        </w:tc>
        <w:tc>
          <w:tcPr>
            <w:tcW w:w="1005"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12090" w:type="dxa"/>
          <w:tblInd w:w="1417" w:type="dxa"/>
          <w:tblLayout w:type="fixed"/>
        </w:tblPrEx>
        <w:trPr>
          <w:cantSplit/>
          <w:trHeight w:hRule="auto" w:val="0"/>
          <w:tblHeader/>
        </w:trPr>
        <w:tc>
          <w:tcPr>
            <w:tcW w:w="5055" w:type="dxa"/>
            <w:vMerge/>
            <w:tcBorders>
              <w:top w:val="nil"/>
              <w:left w:val="single" w:sz="2" w:space="0" w:color="000000"/>
              <w:bottom w:val="single" w:sz="2" w:space="0" w:color="000000"/>
              <w:right w:val="single" w:sz="4" w:space="0" w:color="FFFFFF"/>
            </w:tcBorders>
          </w:tcPr>
          <w:p>
            <w:pPr>
              <w:keepNext/>
              <w:pageBreakBefore w:val="0"/>
            </w:pPr>
          </w:p>
        </w:tc>
        <w:tc>
          <w:tcPr>
            <w:tcW w:w="1005" w:type="dxa"/>
            <w:vMerge/>
            <w:tcBorders>
              <w:top w:val="nil"/>
              <w:left w:val="nil"/>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12090" w:type="dxa"/>
          <w:tblInd w:w="1417" w:type="dxa"/>
          <w:tblLayout w:type="fixed"/>
        </w:tblPrEx>
        <w:trPr>
          <w:cantSplit/>
          <w:trHeight w:hRule="exact" w:val="60"/>
          <w:tblHeader/>
        </w:trPr>
        <w:tc>
          <w:tcPr>
            <w:tcW w:w="505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2090" w:type="dxa"/>
          <w:tblInd w:w="1417" w:type="dxa"/>
          <w:tblLayout w:type="fixed"/>
        </w:tblPrEx>
        <w:trPr>
          <w:cantSplit/>
          <w:trHeight w:hRule="auto" w:val="0"/>
          <w:tblHeader/>
        </w:trPr>
        <w:tc>
          <w:tcPr>
            <w:tcW w:w="50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Efectivo y equivalentes al efectivo.</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US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2.222</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2.222</w:t>
            </w:r>
          </w:p>
        </w:tc>
        <w:tc>
          <w:tcPr>
            <w:tcW w:w="1005"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2.222</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2.222</w:t>
            </w:r>
          </w:p>
        </w:tc>
      </w:tr>
      <w:tr>
        <w:tblPrEx>
          <w:tblW w:w="12090" w:type="dxa"/>
          <w:tblInd w:w="1417" w:type="dxa"/>
          <w:tblLayout w:type="fixed"/>
        </w:tblPrEx>
        <w:trPr>
          <w:cantSplit/>
          <w:trHeight w:hRule="auto" w:val="0"/>
        </w:trPr>
        <w:tc>
          <w:tcPr>
            <w:tcW w:w="50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Inventarios.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US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1.196.902</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1.196.902</w:t>
            </w:r>
          </w:p>
        </w:tc>
        <w:tc>
          <w:tcPr>
            <w:tcW w:w="100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1.196.902</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005" w:type="dxa"/>
            <w:tcBorders>
              <w:top w:val="single" w:sz="4" w:space="0" w:color="FFFFFF"/>
              <w:left w:val="single" w:sz="4" w:space="0" w:color="FFFFFF"/>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1.196.902</w:t>
            </w:r>
          </w:p>
        </w:tc>
      </w:tr>
      <w:tr>
        <w:tblPrEx>
          <w:tblW w:w="12090" w:type="dxa"/>
          <w:tblInd w:w="1417" w:type="dxa"/>
          <w:tblLayout w:type="fixed"/>
        </w:tblPrEx>
        <w:trPr>
          <w:cantSplit/>
          <w:trHeight w:hRule="auto" w:val="0"/>
        </w:trPr>
        <w:tc>
          <w:tcPr>
            <w:tcW w:w="50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Inventarios.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EUR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21.564</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21.564</w:t>
            </w:r>
          </w:p>
        </w:tc>
        <w:tc>
          <w:tcPr>
            <w:tcW w:w="1005" w:type="dxa"/>
            <w:tcBorders>
              <w:top w:val="single" w:sz="4" w:space="0" w:color="FFFFFF"/>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21.564</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4" w:space="0" w:color="FFFFFF"/>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005" w:type="dxa"/>
            <w:tcBorders>
              <w:top w:val="single" w:sz="4" w:space="0" w:color="FFFFFF"/>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21.564</w:t>
            </w:r>
          </w:p>
        </w:tc>
      </w:tr>
      <w:tr>
        <w:tblPrEx>
          <w:tblW w:w="12090" w:type="dxa"/>
          <w:tblInd w:w="1417" w:type="dxa"/>
          <w:tblLayout w:type="fixed"/>
        </w:tblPrEx>
        <w:trPr>
          <w:cantSplit/>
          <w:trHeight w:hRule="auto" w:val="0"/>
        </w:trPr>
        <w:tc>
          <w:tcPr>
            <w:tcW w:w="505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2090" w:type="dxa"/>
          <w:tblInd w:w="1417" w:type="dxa"/>
          <w:tblLayout w:type="fixed"/>
        </w:tblPrEx>
        <w:trPr>
          <w:cantSplit/>
          <w:trHeight w:hRule="auto" w:val="0"/>
        </w:trPr>
        <w:tc>
          <w:tcPr>
            <w:tcW w:w="50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 activos en moneda extranjera</w:t>
            </w:r>
          </w:p>
        </w:tc>
        <w:tc>
          <w:tcPr>
            <w:tcW w:w="1005" w:type="dxa"/>
            <w:tcBorders>
              <w:top w:val="single" w:sz="2" w:space="0" w:color="000000"/>
              <w:left w:val="single" w:sz="4" w:space="0" w:color="FFFFFF"/>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i w:val="0"/>
                <w:color w:val="FFFFFF"/>
                <w:sz w:val="16"/>
                <w:u w:val="none"/>
              </w:rPr>
              <w:t>M/e</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1.220.688</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1.220.688</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1.220.688</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1.220.688</w:t>
            </w:r>
          </w:p>
        </w:tc>
      </w:tr>
    </w:tbl>
    <w:p>
      <w:pPr>
        <w:keepNext w:val="0"/>
        <w:keepLines/>
        <w:pageBreakBefore w:val="0"/>
        <w:widowControl w:val="0"/>
        <w:numPr>
          <w:ilvl w:val="0"/>
          <w:numId w:val="0"/>
        </w:numPr>
        <w:spacing w:before="0" w:after="0" w:line="288" w:lineRule="auto"/>
        <w:ind w:left="1413" w:right="0" w:firstLine="3"/>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3" w:right="0" w:firstLine="3"/>
        <w:jc w:val="both"/>
        <w:outlineLvl w:val="9"/>
        <w:rPr>
          <w:rFonts w:ascii="Calibri" w:eastAsia="Calibri" w:hAnsi="Calibri" w:cs="Calibri"/>
          <w:b w:val="0"/>
          <w:i w:val="0"/>
          <w:color w:val="000000"/>
          <w:sz w:val="20"/>
          <w:u w:val="none"/>
        </w:rPr>
        <w:sectPr>
          <w:pgSz w:w="15840" w:h="12240" w:orient="landscape"/>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292" w:name="Section150"/>
      <w:bookmarkEnd w:id="292"/>
      <w:bookmarkStart w:id="293" w:name="14ad52c6ed3540cc9f22017a170424e6"/>
      <w:r>
        <w:rPr>
          <w:rFonts w:ascii="Calibri" w:eastAsia="Calibri" w:hAnsi="Calibri" w:cs="Calibri"/>
          <w:b/>
          <w:i w:val="0"/>
          <w:color w:val="000000"/>
          <w:sz w:val="20"/>
          <w:u w:val="none"/>
        </w:rPr>
        <w:t>33.3.-</w:t>
      </w:r>
      <w:r>
        <w:rPr>
          <w:rFonts w:ascii="Calibri" w:eastAsia="Calibri" w:hAnsi="Calibri" w:cs="Calibri"/>
          <w:b/>
          <w:i w:val="0"/>
          <w:color w:val="000000"/>
          <w:sz w:val="20"/>
          <w:u w:val="none"/>
        </w:rPr>
        <w:tab/>
      </w:r>
      <w:r>
        <w:rPr>
          <w:rFonts w:ascii="Calibri" w:eastAsia="Calibri" w:hAnsi="Calibri" w:cs="Calibri"/>
          <w:b/>
          <w:i w:val="0"/>
          <w:color w:val="000000"/>
          <w:sz w:val="20"/>
          <w:u w:val="none"/>
        </w:rPr>
        <w:t>Saldos en moneda extranjera, pasivos.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93"/>
    </w:p>
    <w:p>
      <w:pPr>
        <w:pStyle w:val="Normal-wk"/>
        <w:keepNext w:val="0"/>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Saldos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w:t>
      </w:r>
    </w:p>
    <w:p>
      <w:pPr>
        <w:keepNext w:val="0"/>
        <w:keepLines/>
        <w:pageBreakBefore w:val="0"/>
        <w:widowControl w:val="0"/>
        <w:numPr>
          <w:ilvl w:val="0"/>
          <w:numId w:val="0"/>
        </w:numPr>
        <w:tabs>
          <w:tab w:val="left" w:pos="700"/>
        </w:tabs>
        <w:spacing w:before="0" w:after="0" w:line="288" w:lineRule="auto"/>
        <w:ind w:left="851" w:right="0" w:firstLine="0"/>
        <w:jc w:val="both"/>
        <w:outlineLvl w:val="9"/>
        <w:rPr>
          <w:rFonts w:ascii="Calibri" w:eastAsia="Calibri" w:hAnsi="Calibri" w:cs="Calibri"/>
          <w:b/>
          <w:i w:val="0"/>
          <w:color w:val="000000"/>
          <w:sz w:val="20"/>
          <w:u w:val="none"/>
        </w:rPr>
      </w:pPr>
    </w:p>
    <w:tbl>
      <w:tblPr>
        <w:tblW w:w="1209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905"/>
        <w:gridCol w:w="600"/>
        <w:gridCol w:w="1185"/>
        <w:gridCol w:w="900"/>
        <w:gridCol w:w="900"/>
        <w:gridCol w:w="900"/>
        <w:gridCol w:w="900"/>
        <w:gridCol w:w="900"/>
        <w:gridCol w:w="900"/>
      </w:tblGrid>
      <w:tr>
        <w:tblPrEx>
          <w:tblW w:w="12090" w:type="dxa"/>
          <w:tblInd w:w="1417" w:type="dxa"/>
          <w:tblLayout w:type="fixed"/>
        </w:tblPrEx>
        <w:trPr>
          <w:cantSplit/>
          <w:trHeight w:hRule="auto" w:val="0"/>
          <w:tblHeader/>
        </w:trPr>
        <w:tc>
          <w:tcPr>
            <w:tcW w:w="490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Detalle moneda extranjera - pasivos corrientes y no corrientes</w:t>
            </w:r>
          </w:p>
        </w:tc>
        <w:tc>
          <w:tcPr>
            <w:tcW w:w="600" w:type="dxa"/>
            <w:vMerge w:val="restart"/>
            <w:tcBorders>
              <w:top w:val="single" w:sz="2" w:space="0" w:color="000000"/>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Tipo de moneda de origen</w:t>
            </w:r>
          </w:p>
        </w:tc>
        <w:tc>
          <w:tcPr>
            <w:tcW w:w="118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Monto expresado en moneda de presentación de la entidad informante</w:t>
            </w:r>
          </w:p>
        </w:tc>
        <w:tc>
          <w:tcPr>
            <w:tcW w:w="2700" w:type="dxa"/>
            <w:gridSpan w:val="3"/>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Corrientes</w:t>
            </w:r>
          </w:p>
        </w:tc>
        <w:tc>
          <w:tcPr>
            <w:tcW w:w="1800" w:type="dxa"/>
            <w:gridSpan w:val="2"/>
            <w:tcBorders>
              <w:top w:val="single" w:sz="2" w:space="0" w:color="000000"/>
              <w:left w:val="nil"/>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No corrientes</w:t>
            </w:r>
          </w:p>
        </w:tc>
        <w:tc>
          <w:tcPr>
            <w:tcW w:w="9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Total pasivos</w:t>
            </w:r>
          </w:p>
        </w:tc>
      </w:tr>
      <w:tr>
        <w:tblPrEx>
          <w:tblW w:w="12090" w:type="dxa"/>
          <w:tblInd w:w="1417" w:type="dxa"/>
          <w:tblLayout w:type="fixed"/>
        </w:tblPrEx>
        <w:trPr>
          <w:cantSplit/>
          <w:trHeight w:hRule="auto" w:val="0"/>
          <w:tblHeader/>
        </w:trPr>
        <w:tc>
          <w:tcPr>
            <w:tcW w:w="4905" w:type="dxa"/>
            <w:vMerge/>
            <w:tcBorders>
              <w:top w:val="nil"/>
              <w:left w:val="single" w:sz="2" w:space="0" w:color="000000"/>
              <w:bottom w:val="nil"/>
              <w:right w:val="nil"/>
            </w:tcBorders>
          </w:tcPr>
          <w:p>
            <w:pPr>
              <w:keepNext/>
              <w:pageBreakBefore w:val="0"/>
            </w:pPr>
          </w:p>
        </w:tc>
        <w:tc>
          <w:tcPr>
            <w:tcW w:w="600" w:type="dxa"/>
            <w:vMerge/>
            <w:tcBorders>
              <w:top w:val="nil"/>
              <w:left w:val="single" w:sz="4" w:space="0" w:color="FFFFFF"/>
              <w:bottom w:val="nil"/>
              <w:right w:val="single" w:sz="4" w:space="0" w:color="FFFFFF"/>
            </w:tcBorders>
          </w:tcPr>
          <w:p>
            <w:pPr>
              <w:keepNext/>
              <w:pageBreakBefore w:val="0"/>
            </w:pPr>
          </w:p>
        </w:tc>
        <w:tc>
          <w:tcPr>
            <w:tcW w:w="1185" w:type="dxa"/>
            <w:vMerge/>
            <w:tcBorders>
              <w:top w:val="nil"/>
              <w:left w:val="nil"/>
              <w:bottom w:val="nil"/>
              <w:right w:val="nil"/>
            </w:tcBorders>
          </w:tcPr>
          <w:p>
            <w:pPr>
              <w:keepNext/>
              <w:pageBreakBefore w:val="0"/>
            </w:pPr>
          </w:p>
        </w:tc>
        <w:tc>
          <w:tcPr>
            <w:tcW w:w="9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Hasta 90 días</w:t>
            </w:r>
          </w:p>
        </w:tc>
        <w:tc>
          <w:tcPr>
            <w:tcW w:w="9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De 91 días a 1 año</w:t>
            </w:r>
          </w:p>
        </w:tc>
        <w:tc>
          <w:tcPr>
            <w:tcW w:w="9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Total corrientes</w:t>
            </w:r>
          </w:p>
        </w:tc>
        <w:tc>
          <w:tcPr>
            <w:tcW w:w="9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Más de 1 año a 3 años</w:t>
            </w:r>
          </w:p>
        </w:tc>
        <w:tc>
          <w:tcPr>
            <w:tcW w:w="9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Total no corrientes</w:t>
            </w:r>
          </w:p>
        </w:tc>
        <w:tc>
          <w:tcPr>
            <w:tcW w:w="900"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r>
      <w:tr>
        <w:tblPrEx>
          <w:tblW w:w="12090" w:type="dxa"/>
          <w:tblInd w:w="1417" w:type="dxa"/>
          <w:tblLayout w:type="fixed"/>
        </w:tblPrEx>
        <w:trPr>
          <w:cantSplit/>
          <w:trHeight w:hRule="auto" w:val="0"/>
          <w:tblHeader/>
        </w:trPr>
        <w:tc>
          <w:tcPr>
            <w:tcW w:w="4905" w:type="dxa"/>
            <w:vMerge/>
            <w:tcBorders>
              <w:top w:val="nil"/>
              <w:left w:val="single" w:sz="2" w:space="0" w:color="000000"/>
              <w:bottom w:val="single" w:sz="2" w:space="0" w:color="000000"/>
              <w:right w:val="nil"/>
            </w:tcBorders>
          </w:tcPr>
          <w:p>
            <w:pPr>
              <w:keepNext/>
              <w:pageBreakBefore w:val="0"/>
            </w:pPr>
          </w:p>
        </w:tc>
        <w:tc>
          <w:tcPr>
            <w:tcW w:w="600" w:type="dxa"/>
            <w:vMerge/>
            <w:tcBorders>
              <w:top w:val="nil"/>
              <w:left w:val="single" w:sz="4" w:space="0" w:color="FFFFFF"/>
              <w:bottom w:val="single" w:sz="2" w:space="0" w:color="000000"/>
              <w:right w:val="nil"/>
            </w:tcBorders>
          </w:tcPr>
          <w:p>
            <w:pPr>
              <w:keepNext/>
              <w:pageBreakBefore w:val="0"/>
            </w:pPr>
          </w:p>
        </w:tc>
        <w:tc>
          <w:tcPr>
            <w:tcW w:w="118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12090" w:type="dxa"/>
          <w:tblInd w:w="1417" w:type="dxa"/>
          <w:tblLayout w:type="fixed"/>
        </w:tblPrEx>
        <w:trPr>
          <w:cantSplit/>
          <w:trHeight w:hRule="exact" w:val="60"/>
          <w:tblHeader/>
        </w:trPr>
        <w:tc>
          <w:tcPr>
            <w:tcW w:w="49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18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2090" w:type="dxa"/>
          <w:tblInd w:w="1417" w:type="dxa"/>
          <w:tblLayout w:type="fixed"/>
        </w:tblPrEx>
        <w:trPr>
          <w:cantSplit/>
          <w:trHeight w:hRule="auto" w:val="0"/>
          <w:tblHeader/>
        </w:trPr>
        <w:tc>
          <w:tcPr>
            <w:tcW w:w="4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Otros pasivos financieros.</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US $</w:t>
            </w:r>
          </w:p>
        </w:tc>
        <w:tc>
          <w:tcPr>
            <w:tcW w:w="11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82.996.190</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708.112</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82.288.078</w:t>
            </w:r>
          </w:p>
        </w:tc>
        <w:tc>
          <w:tcPr>
            <w:tcW w:w="900"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82.996.190</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900" w:type="dxa"/>
            <w:tcBorders>
              <w:top w:val="single" w:sz="2" w:space="0" w:color="000000"/>
              <w:left w:val="single" w:sz="4" w:space="0" w:color="FFFFFF"/>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82.996.190</w:t>
            </w:r>
          </w:p>
        </w:tc>
      </w:tr>
      <w:tr>
        <w:tblPrEx>
          <w:tblW w:w="12090" w:type="dxa"/>
          <w:tblInd w:w="1417" w:type="dxa"/>
          <w:tblLayout w:type="fixed"/>
        </w:tblPrEx>
        <w:trPr>
          <w:cantSplit/>
          <w:trHeight w:hRule="auto" w:val="0"/>
        </w:trPr>
        <w:tc>
          <w:tcPr>
            <w:tcW w:w="4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4"/>
                <w:u w:val="none"/>
              </w:rPr>
              <w:t>Otros pasivos financieros.</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CNH $</w:t>
            </w:r>
          </w:p>
        </w:tc>
        <w:tc>
          <w:tcPr>
            <w:tcW w:w="11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42.663.817</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19.445.345</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12.711.737</w:t>
            </w:r>
          </w:p>
        </w:tc>
        <w:tc>
          <w:tcPr>
            <w:tcW w:w="90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32.157.082</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10.506.735</w:t>
            </w:r>
          </w:p>
        </w:tc>
        <w:tc>
          <w:tcPr>
            <w:tcW w:w="90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10.506.735</w:t>
            </w:r>
          </w:p>
        </w:tc>
        <w:tc>
          <w:tcPr>
            <w:tcW w:w="900" w:type="dxa"/>
            <w:tcBorders>
              <w:top w:val="single" w:sz="4" w:space="0" w:color="FFFFFF"/>
              <w:left w:val="single" w:sz="4" w:space="0" w:color="FFFFFF"/>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42.663.817</w:t>
            </w:r>
          </w:p>
        </w:tc>
      </w:tr>
      <w:tr>
        <w:tblPrEx>
          <w:tblW w:w="12090" w:type="dxa"/>
          <w:tblInd w:w="1417" w:type="dxa"/>
          <w:tblLayout w:type="fixed"/>
        </w:tblPrEx>
        <w:trPr>
          <w:cantSplit/>
          <w:trHeight w:hRule="auto" w:val="0"/>
        </w:trPr>
        <w:tc>
          <w:tcPr>
            <w:tcW w:w="4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4"/>
                <w:u w:val="none"/>
              </w:rPr>
              <w:t>Cuentas por pagar comerciales y otras cuentas por pagar.</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US $</w:t>
            </w:r>
          </w:p>
        </w:tc>
        <w:tc>
          <w:tcPr>
            <w:tcW w:w="11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900" w:type="dxa"/>
            <w:tcBorders>
              <w:top w:val="single" w:sz="4" w:space="0" w:color="FFFFFF"/>
              <w:left w:val="single" w:sz="4" w:space="0" w:color="FFFFFF"/>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r>
      <w:tr>
        <w:tblPrEx>
          <w:tblW w:w="12090" w:type="dxa"/>
          <w:tblInd w:w="1417" w:type="dxa"/>
          <w:tblLayout w:type="fixed"/>
        </w:tblPrEx>
        <w:trPr>
          <w:cantSplit/>
          <w:trHeight w:hRule="auto" w:val="0"/>
        </w:trPr>
        <w:tc>
          <w:tcPr>
            <w:tcW w:w="4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4"/>
                <w:u w:val="none"/>
              </w:rPr>
              <w:t>Cuentas por pagar comerciales y otras cuentas por pagar.</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EUR $</w:t>
            </w:r>
          </w:p>
        </w:tc>
        <w:tc>
          <w:tcPr>
            <w:tcW w:w="11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900" w:type="dxa"/>
            <w:tcBorders>
              <w:top w:val="single" w:sz="4" w:space="0" w:color="FFFFFF"/>
              <w:left w:val="single" w:sz="4" w:space="0" w:color="FFFFFF"/>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r>
      <w:tr>
        <w:tblPrEx>
          <w:tblW w:w="12090" w:type="dxa"/>
          <w:tblInd w:w="1417" w:type="dxa"/>
          <w:tblLayout w:type="fixed"/>
        </w:tblPrEx>
        <w:trPr>
          <w:cantSplit/>
          <w:trHeight w:hRule="auto" w:val="0"/>
        </w:trPr>
        <w:tc>
          <w:tcPr>
            <w:tcW w:w="4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4"/>
                <w:u w:val="none"/>
              </w:rPr>
              <w:t>Cuentas por pagar a entidades relacionadas.</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US $</w:t>
            </w:r>
          </w:p>
        </w:tc>
        <w:tc>
          <w:tcPr>
            <w:tcW w:w="11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4" w:space="0" w:color="FFFFFF"/>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4" w:space="0" w:color="FFFFFF"/>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900" w:type="dxa"/>
            <w:tcBorders>
              <w:top w:val="single" w:sz="4" w:space="0" w:color="FFFFFF"/>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r>
      <w:tr>
        <w:tblPrEx>
          <w:tblW w:w="12090" w:type="dxa"/>
          <w:tblInd w:w="1417" w:type="dxa"/>
          <w:tblLayout w:type="fixed"/>
        </w:tblPrEx>
        <w:trPr>
          <w:cantSplit/>
          <w:trHeight w:hRule="auto" w:val="0"/>
        </w:trPr>
        <w:tc>
          <w:tcPr>
            <w:tcW w:w="49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18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2090" w:type="dxa"/>
          <w:tblInd w:w="1417" w:type="dxa"/>
          <w:tblLayout w:type="fixed"/>
        </w:tblPrEx>
        <w:trPr>
          <w:cantSplit/>
          <w:trHeight w:hRule="exact" w:val="225"/>
        </w:trPr>
        <w:tc>
          <w:tcPr>
            <w:tcW w:w="5505" w:type="dxa"/>
            <w:gridSpan w:val="2"/>
            <w:tcBorders>
              <w:top w:val="nil"/>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48" w:after="30" w:line="240" w:lineRule="auto"/>
              <w:jc w:val="left"/>
            </w:pPr>
            <w:r>
              <w:rPr>
                <w:rFonts w:ascii="Calibri" w:eastAsia="Calibri" w:hAnsi="Calibri" w:cs="Calibri"/>
                <w:b/>
                <w:i w:val="0"/>
                <w:color w:val="FFFFFF"/>
                <w:sz w:val="14"/>
                <w:u w:val="none"/>
              </w:rPr>
              <w:t>Total pasivos en moneda extranjera</w:t>
            </w:r>
          </w:p>
        </w:tc>
        <w:tc>
          <w:tcPr>
            <w:tcW w:w="118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125.660.007</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20.153.457</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94.999.815</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115.153.272</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10.506.735</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10.506.735</w:t>
            </w:r>
          </w:p>
        </w:tc>
        <w:tc>
          <w:tcPr>
            <w:tcW w:w="9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125.660.007</w:t>
            </w:r>
          </w:p>
        </w:tc>
      </w:tr>
    </w:tbl>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i w:val="0"/>
          <w:color w:val="000000"/>
          <w:sz w:val="20"/>
          <w:u w:val="none"/>
        </w:rPr>
      </w:pPr>
    </w:p>
    <w:p>
      <w:pPr>
        <w:pStyle w:val="Normal-wk"/>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Saldos al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1209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905"/>
        <w:gridCol w:w="600"/>
        <w:gridCol w:w="1185"/>
        <w:gridCol w:w="900"/>
        <w:gridCol w:w="900"/>
        <w:gridCol w:w="900"/>
        <w:gridCol w:w="900"/>
        <w:gridCol w:w="900"/>
        <w:gridCol w:w="900"/>
      </w:tblGrid>
      <w:tr>
        <w:tblPrEx>
          <w:tblW w:w="12090" w:type="dxa"/>
          <w:tblInd w:w="1417" w:type="dxa"/>
          <w:tblLayout w:type="fixed"/>
        </w:tblPrEx>
        <w:trPr>
          <w:cantSplit/>
          <w:trHeight w:hRule="auto" w:val="0"/>
          <w:tblHeader/>
        </w:trPr>
        <w:tc>
          <w:tcPr>
            <w:tcW w:w="4905"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Detalle moneda extranjera - pasivos corrientes y no corrientes</w:t>
            </w:r>
          </w:p>
        </w:tc>
        <w:tc>
          <w:tcPr>
            <w:tcW w:w="600" w:type="dxa"/>
            <w:vMerge w:val="restart"/>
            <w:tcBorders>
              <w:top w:val="single" w:sz="2" w:space="0" w:color="000000"/>
              <w:left w:val="nil"/>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Tipo de moneda de origen</w:t>
            </w:r>
          </w:p>
        </w:tc>
        <w:tc>
          <w:tcPr>
            <w:tcW w:w="1185" w:type="dxa"/>
            <w:vMerge w:val="restart"/>
            <w:tcBorders>
              <w:top w:val="single" w:sz="2" w:space="0" w:color="000000"/>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Monto expresado en moneda de presentación de la entidad informante</w:t>
            </w:r>
          </w:p>
        </w:tc>
        <w:tc>
          <w:tcPr>
            <w:tcW w:w="2700" w:type="dxa"/>
            <w:gridSpan w:val="3"/>
            <w:tcBorders>
              <w:top w:val="single" w:sz="2" w:space="0" w:color="000000"/>
              <w:left w:val="nil"/>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Corrientes</w:t>
            </w:r>
          </w:p>
        </w:tc>
        <w:tc>
          <w:tcPr>
            <w:tcW w:w="1800" w:type="dxa"/>
            <w:gridSpan w:val="2"/>
            <w:tcBorders>
              <w:top w:val="single" w:sz="2" w:space="0" w:color="000000"/>
              <w:left w:val="single" w:sz="4" w:space="0" w:color="FFFFFF"/>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No corrientes</w:t>
            </w:r>
          </w:p>
        </w:tc>
        <w:tc>
          <w:tcPr>
            <w:tcW w:w="9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Total pasivos</w:t>
            </w:r>
          </w:p>
        </w:tc>
      </w:tr>
      <w:tr>
        <w:tblPrEx>
          <w:tblW w:w="12090" w:type="dxa"/>
          <w:tblInd w:w="1417" w:type="dxa"/>
          <w:tblLayout w:type="fixed"/>
        </w:tblPrEx>
        <w:trPr>
          <w:cantSplit/>
          <w:trHeight w:hRule="auto" w:val="0"/>
          <w:tblHeader/>
        </w:trPr>
        <w:tc>
          <w:tcPr>
            <w:tcW w:w="4905" w:type="dxa"/>
            <w:vMerge/>
            <w:tcBorders>
              <w:top w:val="nil"/>
              <w:left w:val="single" w:sz="2" w:space="0" w:color="000000"/>
              <w:bottom w:val="nil"/>
              <w:right w:val="single" w:sz="4" w:space="0" w:color="FFFFFF"/>
            </w:tcBorders>
          </w:tcPr>
          <w:p>
            <w:pPr>
              <w:keepNext/>
              <w:pageBreakBefore w:val="0"/>
            </w:pPr>
          </w:p>
        </w:tc>
        <w:tc>
          <w:tcPr>
            <w:tcW w:w="600" w:type="dxa"/>
            <w:vMerge/>
            <w:tcBorders>
              <w:top w:val="nil"/>
              <w:left w:val="nil"/>
              <w:bottom w:val="nil"/>
              <w:right w:val="nil"/>
            </w:tcBorders>
          </w:tcPr>
          <w:p>
            <w:pPr>
              <w:keepNext/>
              <w:pageBreakBefore w:val="0"/>
            </w:pPr>
          </w:p>
        </w:tc>
        <w:tc>
          <w:tcPr>
            <w:tcW w:w="1185" w:type="dxa"/>
            <w:vMerge/>
            <w:tcBorders>
              <w:top w:val="nil"/>
              <w:left w:val="single" w:sz="4" w:space="0" w:color="FFFFFF"/>
              <w:bottom w:val="nil"/>
              <w:right w:val="nil"/>
            </w:tcBorders>
          </w:tcPr>
          <w:p>
            <w:pPr>
              <w:keepNext/>
              <w:pageBreakBefore w:val="0"/>
            </w:pPr>
          </w:p>
        </w:tc>
        <w:tc>
          <w:tcPr>
            <w:tcW w:w="9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Hasta 90 días</w:t>
            </w:r>
          </w:p>
        </w:tc>
        <w:tc>
          <w:tcPr>
            <w:tcW w:w="9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De 91 días a 1 año</w:t>
            </w:r>
          </w:p>
        </w:tc>
        <w:tc>
          <w:tcPr>
            <w:tcW w:w="9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Total corrientes</w:t>
            </w:r>
          </w:p>
        </w:tc>
        <w:tc>
          <w:tcPr>
            <w:tcW w:w="9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Más de 1 año a 3 años</w:t>
            </w:r>
          </w:p>
        </w:tc>
        <w:tc>
          <w:tcPr>
            <w:tcW w:w="9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Total no corrientes</w:t>
            </w:r>
          </w:p>
        </w:tc>
        <w:tc>
          <w:tcPr>
            <w:tcW w:w="900"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31-12-2025</w:t>
            </w:r>
          </w:p>
        </w:tc>
      </w:tr>
      <w:tr>
        <w:tblPrEx>
          <w:tblW w:w="12090" w:type="dxa"/>
          <w:tblInd w:w="1417" w:type="dxa"/>
          <w:tblLayout w:type="fixed"/>
        </w:tblPrEx>
        <w:trPr>
          <w:cantSplit/>
          <w:trHeight w:hRule="auto" w:val="0"/>
          <w:tblHeader/>
        </w:trPr>
        <w:tc>
          <w:tcPr>
            <w:tcW w:w="4905" w:type="dxa"/>
            <w:vMerge/>
            <w:tcBorders>
              <w:top w:val="nil"/>
              <w:left w:val="single" w:sz="2" w:space="0" w:color="000000"/>
              <w:bottom w:val="single" w:sz="2" w:space="0" w:color="000000"/>
              <w:right w:val="single" w:sz="4" w:space="0" w:color="FFFFFF"/>
            </w:tcBorders>
          </w:tcPr>
          <w:p>
            <w:pPr>
              <w:keepNext/>
              <w:pageBreakBefore w:val="0"/>
            </w:pPr>
          </w:p>
        </w:tc>
        <w:tc>
          <w:tcPr>
            <w:tcW w:w="600" w:type="dxa"/>
            <w:vMerge/>
            <w:tcBorders>
              <w:top w:val="nil"/>
              <w:left w:val="nil"/>
              <w:bottom w:val="single" w:sz="2" w:space="0" w:color="000000"/>
              <w:right w:val="nil"/>
            </w:tcBorders>
          </w:tcPr>
          <w:p>
            <w:pPr>
              <w:keepNext/>
              <w:pageBreakBefore w:val="0"/>
            </w:pPr>
          </w:p>
        </w:tc>
        <w:tc>
          <w:tcPr>
            <w:tcW w:w="118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12090" w:type="dxa"/>
          <w:tblInd w:w="1417" w:type="dxa"/>
          <w:tblLayout w:type="fixed"/>
        </w:tblPrEx>
        <w:trPr>
          <w:cantSplit/>
          <w:trHeight w:hRule="exact" w:val="60"/>
          <w:tblHeader/>
        </w:trPr>
        <w:tc>
          <w:tcPr>
            <w:tcW w:w="49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18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2090" w:type="dxa"/>
          <w:tblInd w:w="1417" w:type="dxa"/>
          <w:tblLayout w:type="fixed"/>
        </w:tblPrEx>
        <w:trPr>
          <w:cantSplit/>
          <w:trHeight w:hRule="auto" w:val="0"/>
          <w:tblHeader/>
        </w:trPr>
        <w:tc>
          <w:tcPr>
            <w:tcW w:w="4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Otros pasivos financieros.</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US $</w:t>
            </w:r>
          </w:p>
        </w:tc>
        <w:tc>
          <w:tcPr>
            <w:tcW w:w="11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83.356.766</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782.841</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82.573.925</w:t>
            </w:r>
          </w:p>
        </w:tc>
        <w:tc>
          <w:tcPr>
            <w:tcW w:w="900"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83.356.766</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900" w:type="dxa"/>
            <w:tcBorders>
              <w:top w:val="single" w:sz="2" w:space="0" w:color="000000"/>
              <w:left w:val="single" w:sz="4" w:space="0" w:color="FFFFFF"/>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83.356.766</w:t>
            </w:r>
          </w:p>
        </w:tc>
      </w:tr>
      <w:tr>
        <w:tblPrEx>
          <w:tblW w:w="12090" w:type="dxa"/>
          <w:tblInd w:w="1417" w:type="dxa"/>
          <w:tblLayout w:type="fixed"/>
        </w:tblPrEx>
        <w:trPr>
          <w:cantSplit/>
          <w:trHeight w:hRule="auto" w:val="0"/>
        </w:trPr>
        <w:tc>
          <w:tcPr>
            <w:tcW w:w="4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4"/>
                <w:u w:val="none"/>
              </w:rPr>
              <w:t>Otros pasivos financieros.</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CNH $</w:t>
            </w:r>
          </w:p>
        </w:tc>
        <w:tc>
          <w:tcPr>
            <w:tcW w:w="11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41.870.583</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170.583</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30.611.011</w:t>
            </w:r>
          </w:p>
        </w:tc>
        <w:tc>
          <w:tcPr>
            <w:tcW w:w="90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30.781.594</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11.088.989</w:t>
            </w:r>
          </w:p>
        </w:tc>
        <w:tc>
          <w:tcPr>
            <w:tcW w:w="90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11.088.989</w:t>
            </w:r>
          </w:p>
        </w:tc>
        <w:tc>
          <w:tcPr>
            <w:tcW w:w="900" w:type="dxa"/>
            <w:tcBorders>
              <w:top w:val="single" w:sz="4" w:space="0" w:color="FFFFFF"/>
              <w:left w:val="single" w:sz="4" w:space="0" w:color="FFFFFF"/>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41.870.583</w:t>
            </w:r>
          </w:p>
        </w:tc>
      </w:tr>
      <w:tr>
        <w:tblPrEx>
          <w:tblW w:w="12090" w:type="dxa"/>
          <w:tblInd w:w="1417" w:type="dxa"/>
          <w:tblLayout w:type="fixed"/>
        </w:tblPrEx>
        <w:trPr>
          <w:cantSplit/>
          <w:trHeight w:hRule="auto" w:val="0"/>
        </w:trPr>
        <w:tc>
          <w:tcPr>
            <w:tcW w:w="4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4"/>
                <w:u w:val="none"/>
              </w:rPr>
              <w:t>Cuentas por pagar comerciales y otras cuentas por pagar.</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US $</w:t>
            </w:r>
          </w:p>
        </w:tc>
        <w:tc>
          <w:tcPr>
            <w:tcW w:w="11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88.469</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88.469</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88.469</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900" w:type="dxa"/>
            <w:tcBorders>
              <w:top w:val="single" w:sz="4" w:space="0" w:color="FFFFFF"/>
              <w:left w:val="single" w:sz="4" w:space="0" w:color="FFFFFF"/>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88.469</w:t>
            </w:r>
          </w:p>
        </w:tc>
      </w:tr>
      <w:tr>
        <w:tblPrEx>
          <w:tblW w:w="12090" w:type="dxa"/>
          <w:tblInd w:w="1417" w:type="dxa"/>
          <w:tblLayout w:type="fixed"/>
        </w:tblPrEx>
        <w:trPr>
          <w:cantSplit/>
          <w:trHeight w:hRule="auto" w:val="0"/>
        </w:trPr>
        <w:tc>
          <w:tcPr>
            <w:tcW w:w="4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4"/>
                <w:u w:val="none"/>
              </w:rPr>
              <w:t>Cuentas por pagar comerciales y otras cuentas por pagar.</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EUR $</w:t>
            </w:r>
          </w:p>
        </w:tc>
        <w:tc>
          <w:tcPr>
            <w:tcW w:w="11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2.617</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2.617</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2.617</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900" w:type="dxa"/>
            <w:tcBorders>
              <w:top w:val="single" w:sz="4" w:space="0" w:color="FFFFFF"/>
              <w:left w:val="single" w:sz="4" w:space="0" w:color="FFFFFF"/>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2.617</w:t>
            </w:r>
          </w:p>
        </w:tc>
      </w:tr>
      <w:tr>
        <w:tblPrEx>
          <w:tblW w:w="12090" w:type="dxa"/>
          <w:tblInd w:w="1417" w:type="dxa"/>
          <w:tblLayout w:type="fixed"/>
        </w:tblPrEx>
        <w:trPr>
          <w:cantSplit/>
          <w:trHeight w:hRule="auto" w:val="0"/>
        </w:trPr>
        <w:tc>
          <w:tcPr>
            <w:tcW w:w="4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4"/>
                <w:u w:val="none"/>
              </w:rPr>
              <w:t>Cuentas por pagar a entidades relacionadas.</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US $</w:t>
            </w:r>
          </w:p>
        </w:tc>
        <w:tc>
          <w:tcPr>
            <w:tcW w:w="11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91.613.784</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495.784</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4" w:space="0" w:color="FFFFFF"/>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495.784</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91.118.000</w:t>
            </w:r>
          </w:p>
        </w:tc>
        <w:tc>
          <w:tcPr>
            <w:tcW w:w="900" w:type="dxa"/>
            <w:tcBorders>
              <w:top w:val="single" w:sz="4" w:space="0" w:color="FFFFFF"/>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91.118.000</w:t>
            </w:r>
          </w:p>
        </w:tc>
        <w:tc>
          <w:tcPr>
            <w:tcW w:w="900" w:type="dxa"/>
            <w:tcBorders>
              <w:top w:val="single" w:sz="4" w:space="0" w:color="FFFFFF"/>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91.613.784</w:t>
            </w:r>
          </w:p>
        </w:tc>
      </w:tr>
      <w:tr>
        <w:tblPrEx>
          <w:tblW w:w="12090" w:type="dxa"/>
          <w:tblInd w:w="1417" w:type="dxa"/>
          <w:tblLayout w:type="fixed"/>
        </w:tblPrEx>
        <w:trPr>
          <w:cantSplit/>
          <w:trHeight w:hRule="auto" w:val="0"/>
        </w:trPr>
        <w:tc>
          <w:tcPr>
            <w:tcW w:w="49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18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2090" w:type="dxa"/>
          <w:tblInd w:w="1417" w:type="dxa"/>
          <w:tblLayout w:type="fixed"/>
        </w:tblPrEx>
        <w:trPr>
          <w:cantSplit/>
          <w:trHeight w:hRule="auto" w:val="0"/>
        </w:trPr>
        <w:tc>
          <w:tcPr>
            <w:tcW w:w="5505" w:type="dxa"/>
            <w:gridSpan w:val="2"/>
            <w:tcBorders>
              <w:top w:val="nil"/>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i w:val="0"/>
                <w:color w:val="FFFFFF"/>
                <w:sz w:val="14"/>
                <w:u w:val="none"/>
              </w:rPr>
              <w:t>Total pasivos en moneda extranjera</w:t>
            </w:r>
          </w:p>
        </w:tc>
        <w:tc>
          <w:tcPr>
            <w:tcW w:w="118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216.932.219</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1.540.294</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113.184.936</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114.725.230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102.206.989</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102.206.989</w:t>
            </w:r>
          </w:p>
        </w:tc>
        <w:tc>
          <w:tcPr>
            <w:tcW w:w="9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216.932.219</w:t>
            </w:r>
          </w:p>
        </w:tc>
      </w:tr>
    </w:tbl>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
          <w:u w:val="none"/>
        </w:rPr>
      </w:pP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
          <w:u w:val="none"/>
        </w:rPr>
        <w:sectPr>
          <w:pgSz w:w="15840" w:h="12240" w:orient="landscape"/>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both"/>
        <w:outlineLvl w:val="0"/>
        <w:rPr>
          <w:rFonts w:ascii="Cambria" w:eastAsia="Cambria" w:hAnsi="Cambria" w:cs="Cambria"/>
          <w:b/>
          <w:i w:val="0"/>
          <w:color w:val="365F91"/>
          <w:sz w:val="28"/>
          <w:u w:val="none"/>
        </w:rPr>
      </w:pPr>
      <w:bookmarkStart w:id="294" w:name="Section151"/>
      <w:bookmarkEnd w:id="294"/>
      <w:bookmarkStart w:id="295" w:name="3499450e45c04ddfb91b420acec2be65"/>
      <w:r>
        <w:rPr>
          <w:rFonts w:ascii="Calibri" w:eastAsia="Calibri" w:hAnsi="Calibri" w:cs="Calibri"/>
          <w:b/>
          <w:i w:val="0"/>
          <w:color w:val="000000"/>
          <w:sz w:val="20"/>
          <w:u w:val="none"/>
        </w:rPr>
        <w:t>34.-</w:t>
      </w:r>
      <w:r>
        <w:rPr>
          <w:rFonts w:ascii="Calibri" w:eastAsia="Calibri" w:hAnsi="Calibri" w:cs="Calibri"/>
          <w:b/>
          <w:i w:val="0"/>
          <w:color w:val="000000"/>
          <w:sz w:val="20"/>
          <w:u w:val="none"/>
        </w:rPr>
        <w:tab/>
      </w:r>
      <w:r>
        <w:rPr>
          <w:rFonts w:ascii="Calibri" w:eastAsia="Calibri" w:hAnsi="Calibri" w:cs="Calibri"/>
          <w:b/>
          <w:i w:val="0"/>
          <w:color w:val="000000"/>
          <w:sz w:val="20"/>
          <w:u w:val="none"/>
        </w:rPr>
        <w:t>CONTINGENCIAS, JUICIOS Y OTROS.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95"/>
    </w:p>
    <w:p>
      <w:pPr>
        <w:keepNext w:val="0"/>
        <w:keepLines/>
        <w:pageBreakBefore w:val="0"/>
        <w:widowControl w:val="0"/>
        <w:numPr>
          <w:ilvl w:val="0"/>
          <w:numId w:val="0"/>
        </w:numPr>
        <w:spacing w:before="0" w:after="0" w:line="288" w:lineRule="auto"/>
        <w:ind w:left="0" w:right="0" w:firstLine="0"/>
        <w:jc w:val="both"/>
        <w:outlineLvl w:val="9"/>
        <w:sectPr>
          <w:headerReference w:type="default" r:id="rId55"/>
          <w:footerReference w:type="default" r:id="rId56"/>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296" w:name="Section152"/>
      <w:bookmarkEnd w:id="296"/>
      <w:bookmarkStart w:id="297" w:name="6d760d8858624331999cfb2031a4c1b2"/>
      <w:r>
        <w:rPr>
          <w:rFonts w:ascii="Calibri" w:eastAsia="Calibri" w:hAnsi="Calibri" w:cs="Calibri"/>
          <w:b/>
          <w:i w:val="0"/>
          <w:color w:val="000000"/>
          <w:sz w:val="20"/>
          <w:u w:val="none"/>
        </w:rPr>
        <w:t>34.1.-</w:t>
      </w:r>
      <w:r>
        <w:rPr>
          <w:rFonts w:ascii="Calibri" w:eastAsia="Calibri" w:hAnsi="Calibri" w:cs="Calibri"/>
          <w:b/>
          <w:i w:val="0"/>
          <w:color w:val="000000"/>
          <w:sz w:val="20"/>
          <w:u w:val="none"/>
        </w:rPr>
        <w:tab/>
      </w:r>
      <w:r>
        <w:rPr>
          <w:rFonts w:ascii="Calibri" w:eastAsia="Calibri" w:hAnsi="Calibri" w:cs="Calibri"/>
          <w:b/>
          <w:i w:val="0"/>
          <w:color w:val="000000"/>
          <w:sz w:val="20"/>
          <w:u w:val="none"/>
        </w:rPr>
        <w:t>Juicios y otras acciones legales.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bookmarkEnd w:id="297"/>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885"/>
        <w:gridCol w:w="1725"/>
        <w:gridCol w:w="165"/>
        <w:gridCol w:w="5775"/>
      </w:tblGrid>
      <w:tr>
        <w:tblPrEx>
          <w:tblW w:w="8550" w:type="dxa"/>
          <w:tblInd w:w="1417"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34.1.1.-</w:t>
            </w: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 xml:space="preserve">Nombre del Juicio </w:t>
            </w:r>
          </w:p>
        </w:tc>
        <w:tc>
          <w:tcPr>
            <w:tcW w:w="16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w:t>
            </w:r>
          </w:p>
        </w:tc>
        <w:tc>
          <w:tcPr>
            <w:tcW w:w="577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“Energías Ucuquer Dos S.A con CGE y CGET”.</w:t>
            </w:r>
          </w:p>
        </w:tc>
      </w:tr>
      <w:tr>
        <w:tblPrEx>
          <w:tblW w:w="8550"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Fecha</w:t>
            </w:r>
          </w:p>
        </w:tc>
        <w:tc>
          <w:tcPr>
            <w:tcW w:w="16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w:t>
            </w:r>
          </w:p>
        </w:tc>
        <w:tc>
          <w:tcPr>
            <w:tcW w:w="577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18 de mayo de 2023.</w:t>
            </w:r>
          </w:p>
        </w:tc>
      </w:tr>
      <w:tr>
        <w:tblPrEx>
          <w:tblW w:w="8550"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w:t>
            </w:r>
          </w:p>
        </w:tc>
        <w:tc>
          <w:tcPr>
            <w:tcW w:w="577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Tribunal de la Libre Competencia.</w:t>
            </w:r>
          </w:p>
        </w:tc>
      </w:tr>
      <w:tr>
        <w:tblPrEx>
          <w:tblW w:w="8550"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Rol N°</w:t>
            </w:r>
          </w:p>
        </w:tc>
        <w:tc>
          <w:tcPr>
            <w:tcW w:w="16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w:t>
            </w:r>
          </w:p>
        </w:tc>
        <w:tc>
          <w:tcPr>
            <w:tcW w:w="577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486-2023.</w:t>
            </w:r>
          </w:p>
        </w:tc>
      </w:tr>
      <w:tr>
        <w:tblPrEx>
          <w:tblW w:w="8550"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w:t>
            </w:r>
          </w:p>
        </w:tc>
        <w:tc>
          <w:tcPr>
            <w:tcW w:w="577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Libre Competencia.</w:t>
            </w:r>
          </w:p>
        </w:tc>
      </w:tr>
      <w:tr>
        <w:tblPrEx>
          <w:tblW w:w="8550"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w:t>
            </w:r>
          </w:p>
        </w:tc>
        <w:tc>
          <w:tcPr>
            <w:tcW w:w="577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M$ 912.795.</w:t>
            </w:r>
          </w:p>
        </w:tc>
      </w:tr>
      <w:tr>
        <w:tblPrEx>
          <w:tblW w:w="8550"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77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Etapa de prueba. A la espera de que la contraparte solicite un segundo llamado a absolver posiciones al representante legal de CGE y CGET. Una vez realizada dicha solicitud, o en el evento de que esta sea desistida por la contraparte, el Tribunal citará a las partes a la audiencia de vista de la causa. Con fecha 3 de junio de 2025 el Tribunal declara vencido el término probatorio y ordena traer los autos en relación. Se fija audiencia para la vista de la causa con fecha 27 de agosto de 2025 a las 9:30 horas. Causa se encuentra en estado de acuerdo desde 12 de noviembre de 2025.</w:t>
            </w:r>
          </w:p>
        </w:tc>
      </w:tr>
      <w:tr>
        <w:tblPrEx>
          <w:tblW w:w="8550"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775"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550" w:type="dxa"/>
          <w:tblInd w:w="1417"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34.1.2.-</w:t>
            </w: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 xml:space="preserve">Nombre del Juicio </w:t>
            </w:r>
          </w:p>
        </w:tc>
        <w:tc>
          <w:tcPr>
            <w:tcW w:w="16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w:t>
            </w:r>
          </w:p>
        </w:tc>
        <w:tc>
          <w:tcPr>
            <w:tcW w:w="577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“Fisco de Chile con CGE”.</w:t>
            </w:r>
          </w:p>
        </w:tc>
      </w:tr>
      <w:tr>
        <w:tblPrEx>
          <w:tblW w:w="8550"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Fecha</w:t>
            </w:r>
          </w:p>
        </w:tc>
        <w:tc>
          <w:tcPr>
            <w:tcW w:w="16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w:t>
            </w:r>
          </w:p>
        </w:tc>
        <w:tc>
          <w:tcPr>
            <w:tcW w:w="577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31 de agosto de 2023.</w:t>
            </w:r>
          </w:p>
        </w:tc>
      </w:tr>
      <w:tr>
        <w:tblPrEx>
          <w:tblW w:w="8550"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w:t>
            </w:r>
          </w:p>
        </w:tc>
        <w:tc>
          <w:tcPr>
            <w:tcW w:w="577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11° Juzgado Civil de Santiago.</w:t>
            </w:r>
          </w:p>
        </w:tc>
      </w:tr>
      <w:tr>
        <w:tblPrEx>
          <w:tblW w:w="8550"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Rol N°</w:t>
            </w:r>
          </w:p>
        </w:tc>
        <w:tc>
          <w:tcPr>
            <w:tcW w:w="16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w:t>
            </w:r>
          </w:p>
        </w:tc>
        <w:tc>
          <w:tcPr>
            <w:tcW w:w="577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13.213-2023.</w:t>
            </w:r>
          </w:p>
        </w:tc>
      </w:tr>
      <w:tr>
        <w:tblPrEx>
          <w:tblW w:w="8550"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w:t>
            </w:r>
          </w:p>
        </w:tc>
        <w:tc>
          <w:tcPr>
            <w:tcW w:w="577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Demanda de cobro de pesos por traslado de instalaciones.</w:t>
            </w:r>
          </w:p>
        </w:tc>
      </w:tr>
      <w:tr>
        <w:tblPrEx>
          <w:tblW w:w="8550"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w:t>
            </w:r>
          </w:p>
        </w:tc>
        <w:tc>
          <w:tcPr>
            <w:tcW w:w="577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M$ 311.547.</w:t>
            </w:r>
          </w:p>
        </w:tc>
      </w:tr>
      <w:tr>
        <w:tblPrEx>
          <w:tblW w:w="8550"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77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Con fecha 26 de septiembre de 2024 el tribunal dictó sentencia en favor del Fisco, CGE presentó apelación y casación, el Fisco también apeló. La causa se encuentra para conocimiento y resolución de la Ilustrísima Corte de Apelaciones de Santiago con el Rol de Ingreso Corte  N° 20.033-2024.  Con fecha 30 de enero de 2026 se confirmó la sentencia condenatoria, dictándose el cúmplase en primera instancia con fecha 3 de marzo de 2026.</w:t>
            </w:r>
          </w:p>
        </w:tc>
      </w:tr>
      <w:tr>
        <w:tblPrEx>
          <w:tblW w:w="8550"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775"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550" w:type="dxa"/>
          <w:tblInd w:w="1417"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34.1.3.-</w:t>
            </w: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 xml:space="preserve">Nombre del Juicio </w:t>
            </w:r>
          </w:p>
        </w:tc>
        <w:tc>
          <w:tcPr>
            <w:tcW w:w="16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w:t>
            </w:r>
          </w:p>
        </w:tc>
        <w:tc>
          <w:tcPr>
            <w:tcW w:w="577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“Cobra Brasil Servicios con CGET”.</w:t>
            </w:r>
          </w:p>
        </w:tc>
      </w:tr>
      <w:tr>
        <w:tblPrEx>
          <w:tblW w:w="8550"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Fecha</w:t>
            </w:r>
          </w:p>
        </w:tc>
        <w:tc>
          <w:tcPr>
            <w:tcW w:w="16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w:t>
            </w:r>
          </w:p>
        </w:tc>
        <w:tc>
          <w:tcPr>
            <w:tcW w:w="577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6 de noviembre de 2023.</w:t>
            </w:r>
          </w:p>
        </w:tc>
      </w:tr>
      <w:tr>
        <w:tblPrEx>
          <w:tblW w:w="8550"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w:t>
            </w:r>
          </w:p>
        </w:tc>
        <w:tc>
          <w:tcPr>
            <w:tcW w:w="577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CAM Santiago, árbitro Paulina Veloso.</w:t>
            </w:r>
          </w:p>
        </w:tc>
      </w:tr>
      <w:tr>
        <w:tblPrEx>
          <w:tblW w:w="8550"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Rol N°</w:t>
            </w:r>
          </w:p>
        </w:tc>
        <w:tc>
          <w:tcPr>
            <w:tcW w:w="16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w:t>
            </w:r>
          </w:p>
        </w:tc>
        <w:tc>
          <w:tcPr>
            <w:tcW w:w="577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5.708-2023.</w:t>
            </w:r>
          </w:p>
        </w:tc>
      </w:tr>
      <w:tr>
        <w:tblPrEx>
          <w:tblW w:w="8550"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77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Demanda de cumplimiento forzado de contrato con indemnización de perjuicios por el proyecto de ampliación Subestación Colchagua.</w:t>
            </w:r>
          </w:p>
        </w:tc>
      </w:tr>
      <w:tr>
        <w:tblPrEx>
          <w:tblW w:w="8550"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w:t>
            </w:r>
          </w:p>
        </w:tc>
        <w:tc>
          <w:tcPr>
            <w:tcW w:w="577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M$ 2.701.216.</w:t>
            </w:r>
          </w:p>
        </w:tc>
      </w:tr>
      <w:tr>
        <w:tblPrEx>
          <w:tblW w:w="8550"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77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Con fecha fecha 14 de enero de 2026 se emitió el laudo arbitral. La sentencia rechazó la demanda de  cumplimiento forzado e indemnización de perjuicios deducida por Cobra y declaró procedentes las multas reclamadas por CGET por incumplimientos del Hito Intermedio Multable (5%) y por el incumplimiento de la fecha de término (10%), declarándose que no hubo un incumplimiento de CGET por la retención del 15% del precio efectuada por concepto de multas en conformidad con los contratos. Por otra parte, Cobra presentó recurso de queja en contra de la sentencia definitiva, Rol N° 1601-2026.</w:t>
            </w:r>
          </w:p>
        </w:tc>
      </w:tr>
      <w:tr>
        <w:tblPrEx>
          <w:tblW w:w="8550"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775"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550"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775"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550"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775"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550" w:type="dxa"/>
          <w:tblInd w:w="1417"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34.1.4.-</w:t>
            </w: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w:t>
            </w:r>
          </w:p>
        </w:tc>
        <w:tc>
          <w:tcPr>
            <w:tcW w:w="577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“Cobra Brasil Servicios con CGET”.</w:t>
            </w:r>
          </w:p>
        </w:tc>
      </w:tr>
      <w:tr>
        <w:tblPrEx>
          <w:tblW w:w="8550"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Fecha</w:t>
            </w:r>
          </w:p>
        </w:tc>
        <w:tc>
          <w:tcPr>
            <w:tcW w:w="16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w:t>
            </w:r>
          </w:p>
        </w:tc>
        <w:tc>
          <w:tcPr>
            <w:tcW w:w="577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6 de noviembre de 2023.</w:t>
            </w:r>
          </w:p>
        </w:tc>
      </w:tr>
      <w:tr>
        <w:tblPrEx>
          <w:tblW w:w="8550"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w:t>
            </w:r>
          </w:p>
        </w:tc>
        <w:tc>
          <w:tcPr>
            <w:tcW w:w="577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CAM Santiago, árbitro Paulina Veloso.</w:t>
            </w:r>
          </w:p>
        </w:tc>
      </w:tr>
      <w:tr>
        <w:tblPrEx>
          <w:tblW w:w="8550"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Rol N°</w:t>
            </w:r>
          </w:p>
        </w:tc>
        <w:tc>
          <w:tcPr>
            <w:tcW w:w="16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w:t>
            </w:r>
          </w:p>
        </w:tc>
        <w:tc>
          <w:tcPr>
            <w:tcW w:w="577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5.709-2023.</w:t>
            </w:r>
          </w:p>
        </w:tc>
      </w:tr>
      <w:tr>
        <w:tblPrEx>
          <w:tblW w:w="8550"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77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Demanda de cumplimiento de forzado contrato con indemnización de perjuicios por el proyecto de ampliación Subestación Los Ángeles.</w:t>
            </w:r>
          </w:p>
        </w:tc>
      </w:tr>
      <w:tr>
        <w:tblPrEx>
          <w:tblW w:w="8550"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w:t>
            </w:r>
          </w:p>
        </w:tc>
        <w:tc>
          <w:tcPr>
            <w:tcW w:w="577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M$ 1.785.464.</w:t>
            </w:r>
          </w:p>
        </w:tc>
      </w:tr>
      <w:tr>
        <w:tblPrEx>
          <w:tblW w:w="8550"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77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Con fecha 14 de enero de 2026  se emitió el laudo arbitral. La sentencia rechazó la demanda de  cumplimiento forzado e indemnización de perjuicios deducida por Cobra y declaró procedentes las multas reclamadas por CGET por incumplimientos del Hito Intermedio Multable  (5%) y por el incumplimiento de la fecha  de término (10%), declarándose que no hubo un incumplimiento de CGET por la retención del 15% del precio efectuada por concepto de multas en conformidad con los contratos. Por otra parte,  Cobra presentó recurso de queja en contra de la sentencia definitiva, Rol N°  1601-2023.</w:t>
            </w:r>
          </w:p>
        </w:tc>
      </w:tr>
      <w:tr>
        <w:tblPrEx>
          <w:tblW w:w="8550"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775"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550" w:type="dxa"/>
          <w:tblInd w:w="1417"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34.1.5.-</w:t>
            </w: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w:t>
            </w:r>
          </w:p>
        </w:tc>
        <w:tc>
          <w:tcPr>
            <w:tcW w:w="577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“Cobra Brasil Servicios con CGET”.</w:t>
            </w:r>
          </w:p>
        </w:tc>
      </w:tr>
      <w:tr>
        <w:tblPrEx>
          <w:tblW w:w="8550"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Fecha</w:t>
            </w:r>
          </w:p>
        </w:tc>
        <w:tc>
          <w:tcPr>
            <w:tcW w:w="16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w:t>
            </w:r>
          </w:p>
        </w:tc>
        <w:tc>
          <w:tcPr>
            <w:tcW w:w="577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6 de noviembre de 2023.</w:t>
            </w:r>
          </w:p>
        </w:tc>
      </w:tr>
      <w:tr>
        <w:tblPrEx>
          <w:tblW w:w="8550"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w:t>
            </w:r>
          </w:p>
        </w:tc>
        <w:tc>
          <w:tcPr>
            <w:tcW w:w="577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CAM Santiago, árbitro Paulina Veloso.</w:t>
            </w:r>
          </w:p>
        </w:tc>
      </w:tr>
      <w:tr>
        <w:tblPrEx>
          <w:tblW w:w="8550"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Rol N°</w:t>
            </w:r>
          </w:p>
        </w:tc>
        <w:tc>
          <w:tcPr>
            <w:tcW w:w="16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w:t>
            </w:r>
          </w:p>
        </w:tc>
        <w:tc>
          <w:tcPr>
            <w:tcW w:w="577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5.710-2023.</w:t>
            </w:r>
          </w:p>
        </w:tc>
      </w:tr>
      <w:tr>
        <w:tblPrEx>
          <w:tblW w:w="8550"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77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Demanda de cumplimiento forzado de contrato con indemnización de perjuicios por el proyecto de ampliación Subestación Monterrico.</w:t>
            </w:r>
          </w:p>
        </w:tc>
      </w:tr>
      <w:tr>
        <w:tblPrEx>
          <w:tblW w:w="8550"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w:t>
            </w:r>
          </w:p>
        </w:tc>
        <w:tc>
          <w:tcPr>
            <w:tcW w:w="577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M$ 1.619.797.</w:t>
            </w:r>
          </w:p>
        </w:tc>
      </w:tr>
      <w:tr>
        <w:tblPrEx>
          <w:tblW w:w="8550"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77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Con fecha 14 de enero de 2026 se emitió el laudo arbitral. La sentencia rechazó la demanda de  cumplimiento forzado e indemnización de perjuicios deducida por Cobra y declaró procedentes las multas reclamadas por CGET por incumplimientos del Hito Intermedio Multable (5%) y por el incumplimiento de la fecha de término (10%), declarándose que no hubo un incumplimiento de CGET por la retención del 15%  del precio efectuada por concepto de multas en conformidad con los contratos. Por otra parte, Cobra presentó recurso de queja en contra de la sentencia definitiva, Rol N° 1602-2026.</w:t>
            </w:r>
          </w:p>
        </w:tc>
      </w:tr>
      <w:tr>
        <w:tblPrEx>
          <w:tblW w:w="8550"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775"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550" w:type="dxa"/>
          <w:tblInd w:w="1417"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 xml:space="preserve">34.1.6.- </w:t>
            </w: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w:t>
            </w:r>
          </w:p>
        </w:tc>
        <w:tc>
          <w:tcPr>
            <w:tcW w:w="577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“Cobra Brasil Servicios con CGET”.</w:t>
            </w:r>
          </w:p>
        </w:tc>
      </w:tr>
      <w:tr>
        <w:tblPrEx>
          <w:tblW w:w="8550"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Fecha</w:t>
            </w:r>
          </w:p>
        </w:tc>
        <w:tc>
          <w:tcPr>
            <w:tcW w:w="16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w:t>
            </w:r>
          </w:p>
        </w:tc>
        <w:tc>
          <w:tcPr>
            <w:tcW w:w="577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15 de marzo de 2024.</w:t>
            </w:r>
          </w:p>
        </w:tc>
      </w:tr>
      <w:tr>
        <w:tblPrEx>
          <w:tblW w:w="8550"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w:t>
            </w:r>
          </w:p>
        </w:tc>
        <w:tc>
          <w:tcPr>
            <w:tcW w:w="577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CAM Santiago, árbitro Paulo Montt Retting.</w:t>
            </w:r>
          </w:p>
        </w:tc>
      </w:tr>
      <w:tr>
        <w:tblPrEx>
          <w:tblW w:w="8550"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Rol N°</w:t>
            </w:r>
          </w:p>
        </w:tc>
        <w:tc>
          <w:tcPr>
            <w:tcW w:w="16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w:t>
            </w:r>
          </w:p>
        </w:tc>
        <w:tc>
          <w:tcPr>
            <w:tcW w:w="577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5.590-2022.</w:t>
            </w:r>
          </w:p>
        </w:tc>
      </w:tr>
      <w:tr>
        <w:tblPrEx>
          <w:tblW w:w="8550"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77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Demanda por 5 proyectos de ampliación Subestación Horcones, Subestación Molina, Subestación Santa Isabel, Subestación Centro y Subestación Victoria. Demanda de cumplimiento de contrato en el caso de Subestación Horcones, y de terminación de contrato en las demás, todas con indemnización de perjuicios.</w:t>
            </w:r>
          </w:p>
        </w:tc>
      </w:tr>
      <w:tr>
        <w:tblPrEx>
          <w:tblW w:w="8550"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w:t>
            </w:r>
          </w:p>
        </w:tc>
        <w:tc>
          <w:tcPr>
            <w:tcW w:w="577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M$ 17.509.650.</w:t>
            </w:r>
          </w:p>
        </w:tc>
      </w:tr>
      <w:tr>
        <w:tblPrEx>
          <w:tblW w:w="8550"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77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El Tribunal Arbitral con fecha 29 de julio de 2025 llamó a las partes a audiencia de conciliación. Con fecha 13 de agosto de 2025 la Árbitro formuló bases de arreglo para una eventual conciliación, las que están siendo analizadas por CGET. Citación a oír sentencia.</w:t>
            </w:r>
          </w:p>
        </w:tc>
      </w:tr>
      <w:tr>
        <w:tblPrEx>
          <w:tblW w:w="8550"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775"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550"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775"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550"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775"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550"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775"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550" w:type="dxa"/>
          <w:tblInd w:w="1417"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34.1.7.-</w:t>
            </w: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w:t>
            </w:r>
          </w:p>
        </w:tc>
        <w:tc>
          <w:tcPr>
            <w:tcW w:w="577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“Andes del Sur Servicios con CGET”.</w:t>
            </w:r>
          </w:p>
        </w:tc>
      </w:tr>
      <w:tr>
        <w:tblPrEx>
          <w:tblW w:w="8550"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Fecha</w:t>
            </w:r>
          </w:p>
        </w:tc>
        <w:tc>
          <w:tcPr>
            <w:tcW w:w="16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w:t>
            </w:r>
          </w:p>
        </w:tc>
        <w:tc>
          <w:tcPr>
            <w:tcW w:w="577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18 de junio de 2024.</w:t>
            </w:r>
          </w:p>
        </w:tc>
      </w:tr>
      <w:tr>
        <w:tblPrEx>
          <w:tblW w:w="8550"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w:t>
            </w:r>
          </w:p>
        </w:tc>
        <w:tc>
          <w:tcPr>
            <w:tcW w:w="577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CAM Santiago, árbitro Jaime Puyol.</w:t>
            </w:r>
          </w:p>
        </w:tc>
      </w:tr>
      <w:tr>
        <w:tblPrEx>
          <w:tblW w:w="8550"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Rol N°</w:t>
            </w:r>
          </w:p>
        </w:tc>
        <w:tc>
          <w:tcPr>
            <w:tcW w:w="16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w:t>
            </w:r>
          </w:p>
        </w:tc>
        <w:tc>
          <w:tcPr>
            <w:tcW w:w="577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5.848-2023.</w:t>
            </w:r>
          </w:p>
        </w:tc>
      </w:tr>
      <w:tr>
        <w:tblPrEx>
          <w:tblW w:w="8550"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77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Demanda de incumplimiento de contrato con indemnización de perjuicios por contrato para la ampliación de la Subestación Loreto.</w:t>
            </w:r>
          </w:p>
        </w:tc>
      </w:tr>
      <w:tr>
        <w:tblPrEx>
          <w:tblW w:w="8550"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w:t>
            </w:r>
          </w:p>
        </w:tc>
        <w:tc>
          <w:tcPr>
            <w:tcW w:w="577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M$ 1.582.958.</w:t>
            </w:r>
          </w:p>
        </w:tc>
      </w:tr>
      <w:tr>
        <w:tblPrEx>
          <w:tblW w:w="8550"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w:t>
            </w:r>
          </w:p>
        </w:tc>
        <w:tc>
          <w:tcPr>
            <w:tcW w:w="577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Etapa de prueba.</w:t>
            </w:r>
          </w:p>
        </w:tc>
      </w:tr>
      <w:tr>
        <w:tblPrEx>
          <w:tblW w:w="8550"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775"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550" w:type="dxa"/>
          <w:tblInd w:w="1417"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34.1.8.-</w:t>
            </w: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w:t>
            </w:r>
          </w:p>
        </w:tc>
        <w:tc>
          <w:tcPr>
            <w:tcW w:w="577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“Andes del Sur Servicios con CGET”.</w:t>
            </w:r>
          </w:p>
        </w:tc>
      </w:tr>
      <w:tr>
        <w:tblPrEx>
          <w:tblW w:w="8550"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Fecha</w:t>
            </w:r>
          </w:p>
        </w:tc>
        <w:tc>
          <w:tcPr>
            <w:tcW w:w="16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w:t>
            </w:r>
          </w:p>
        </w:tc>
        <w:tc>
          <w:tcPr>
            <w:tcW w:w="577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18 de junio de 2024.</w:t>
            </w:r>
          </w:p>
        </w:tc>
      </w:tr>
      <w:tr>
        <w:tblPrEx>
          <w:tblW w:w="8550"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w:t>
            </w:r>
          </w:p>
        </w:tc>
        <w:tc>
          <w:tcPr>
            <w:tcW w:w="577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CAM Santiago, árbitro Víctor Ríos.</w:t>
            </w:r>
          </w:p>
        </w:tc>
      </w:tr>
      <w:tr>
        <w:tblPrEx>
          <w:tblW w:w="8550"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Rol N°</w:t>
            </w:r>
          </w:p>
        </w:tc>
        <w:tc>
          <w:tcPr>
            <w:tcW w:w="16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w:t>
            </w:r>
          </w:p>
        </w:tc>
        <w:tc>
          <w:tcPr>
            <w:tcW w:w="577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5.845-2023.</w:t>
            </w:r>
          </w:p>
        </w:tc>
      </w:tr>
      <w:tr>
        <w:tblPrEx>
          <w:tblW w:w="8550"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77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Demanda de incumplimiento de contrato con indemnización de perjuicios por contrato para la ampliación de la Subestación Mandinga.</w:t>
            </w:r>
          </w:p>
        </w:tc>
      </w:tr>
      <w:tr>
        <w:tblPrEx>
          <w:tblW w:w="8550"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w:t>
            </w:r>
          </w:p>
        </w:tc>
        <w:tc>
          <w:tcPr>
            <w:tcW w:w="577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M$ 1.718.947.</w:t>
            </w:r>
          </w:p>
        </w:tc>
      </w:tr>
      <w:tr>
        <w:tblPrEx>
          <w:tblW w:w="8550"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w:t>
            </w:r>
          </w:p>
        </w:tc>
        <w:tc>
          <w:tcPr>
            <w:tcW w:w="577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Etapa de prueba.</w:t>
            </w:r>
          </w:p>
        </w:tc>
      </w:tr>
      <w:tr>
        <w:tblPrEx>
          <w:tblW w:w="8550"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775"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550" w:type="dxa"/>
          <w:tblInd w:w="1417"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34.1.9.-</w:t>
            </w: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w:t>
            </w:r>
          </w:p>
        </w:tc>
        <w:tc>
          <w:tcPr>
            <w:tcW w:w="577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“Andes del Sur Servicios con CGET”.</w:t>
            </w:r>
          </w:p>
        </w:tc>
      </w:tr>
      <w:tr>
        <w:tblPrEx>
          <w:tblW w:w="8550"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Fecha</w:t>
            </w:r>
          </w:p>
        </w:tc>
        <w:tc>
          <w:tcPr>
            <w:tcW w:w="16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w:t>
            </w:r>
          </w:p>
        </w:tc>
        <w:tc>
          <w:tcPr>
            <w:tcW w:w="577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18 de junio de 2024.</w:t>
            </w:r>
          </w:p>
        </w:tc>
      </w:tr>
      <w:tr>
        <w:tblPrEx>
          <w:tblW w:w="8550"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w:t>
            </w:r>
          </w:p>
        </w:tc>
        <w:tc>
          <w:tcPr>
            <w:tcW w:w="577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CAM Santiago, árbitro Carlos Molina.</w:t>
            </w:r>
          </w:p>
        </w:tc>
      </w:tr>
      <w:tr>
        <w:tblPrEx>
          <w:tblW w:w="8550"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Rol N°</w:t>
            </w:r>
          </w:p>
        </w:tc>
        <w:tc>
          <w:tcPr>
            <w:tcW w:w="16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w:t>
            </w:r>
          </w:p>
        </w:tc>
        <w:tc>
          <w:tcPr>
            <w:tcW w:w="577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5.844-2023.</w:t>
            </w:r>
          </w:p>
        </w:tc>
      </w:tr>
      <w:tr>
        <w:tblPrEx>
          <w:tblW w:w="8550"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77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Demanda de incumplimiento de contrato con indemnización de perjuicios por contrato para la ampliación de la Subestación Chocalán.</w:t>
            </w:r>
          </w:p>
        </w:tc>
      </w:tr>
      <w:tr>
        <w:tblPrEx>
          <w:tblW w:w="8550"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w:t>
            </w:r>
          </w:p>
        </w:tc>
        <w:tc>
          <w:tcPr>
            <w:tcW w:w="577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M$ 1.653.942.</w:t>
            </w:r>
          </w:p>
        </w:tc>
      </w:tr>
      <w:tr>
        <w:tblPrEx>
          <w:tblW w:w="8550"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w:t>
            </w:r>
          </w:p>
        </w:tc>
        <w:tc>
          <w:tcPr>
            <w:tcW w:w="577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Etapa de prueba.</w:t>
            </w:r>
          </w:p>
        </w:tc>
      </w:tr>
      <w:tr>
        <w:tblPrEx>
          <w:tblW w:w="8550"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775"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550" w:type="dxa"/>
          <w:tblInd w:w="1417"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34.1.10.-</w:t>
            </w: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w:t>
            </w:r>
          </w:p>
        </w:tc>
        <w:tc>
          <w:tcPr>
            <w:tcW w:w="577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“Andes del Sur Servicios con CGET”.</w:t>
            </w:r>
          </w:p>
        </w:tc>
      </w:tr>
      <w:tr>
        <w:tblPrEx>
          <w:tblW w:w="8550"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Fecha</w:t>
            </w:r>
          </w:p>
        </w:tc>
        <w:tc>
          <w:tcPr>
            <w:tcW w:w="16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w:t>
            </w:r>
          </w:p>
        </w:tc>
        <w:tc>
          <w:tcPr>
            <w:tcW w:w="577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18 de junio de 2024.</w:t>
            </w:r>
          </w:p>
        </w:tc>
      </w:tr>
      <w:tr>
        <w:tblPrEx>
          <w:tblW w:w="8550"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w:t>
            </w:r>
          </w:p>
        </w:tc>
        <w:tc>
          <w:tcPr>
            <w:tcW w:w="577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CAM Santiago, árbitro Cristián Boetsch.</w:t>
            </w:r>
          </w:p>
        </w:tc>
      </w:tr>
      <w:tr>
        <w:tblPrEx>
          <w:tblW w:w="8550"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Rol N°</w:t>
            </w:r>
          </w:p>
        </w:tc>
        <w:tc>
          <w:tcPr>
            <w:tcW w:w="16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w:t>
            </w:r>
          </w:p>
        </w:tc>
        <w:tc>
          <w:tcPr>
            <w:tcW w:w="577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5.928-2023.</w:t>
            </w:r>
          </w:p>
        </w:tc>
      </w:tr>
      <w:tr>
        <w:tblPrEx>
          <w:tblW w:w="8550"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77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Demanda de incumplimiento de contrato con indemnización de perjuicios por contrato para la ampliación de la Subestación San Clemente.</w:t>
            </w:r>
          </w:p>
        </w:tc>
      </w:tr>
      <w:tr>
        <w:tblPrEx>
          <w:tblW w:w="8550"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w:t>
            </w:r>
          </w:p>
        </w:tc>
        <w:tc>
          <w:tcPr>
            <w:tcW w:w="577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M$ 1.355.337.</w:t>
            </w:r>
          </w:p>
        </w:tc>
      </w:tr>
      <w:tr>
        <w:tblPrEx>
          <w:tblW w:w="8550"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w:t>
            </w:r>
          </w:p>
        </w:tc>
        <w:tc>
          <w:tcPr>
            <w:tcW w:w="577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Etapa de prueba.</w:t>
            </w:r>
          </w:p>
        </w:tc>
      </w:tr>
      <w:tr>
        <w:tblPrEx>
          <w:tblW w:w="8550"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775"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550" w:type="dxa"/>
          <w:tblInd w:w="1417" w:type="dxa"/>
          <w:tblLayout w:type="fixed"/>
        </w:tblPrEx>
        <w:trPr>
          <w:cantSplit/>
          <w:trHeight w:hRule="exact" w:val="345"/>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53" w:after="30" w:line="240" w:lineRule="auto"/>
              <w:jc w:val="left"/>
            </w:pPr>
            <w:r>
              <w:rPr>
                <w:rFonts w:ascii="Calibri" w:eastAsia="Calibri" w:hAnsi="Calibri" w:cs="Calibri"/>
                <w:b w:val="0"/>
                <w:i w:val="0"/>
                <w:color w:val="000000"/>
                <w:sz w:val="20"/>
                <w:u w:val="none"/>
              </w:rPr>
              <w:t>34.1.11.-</w:t>
            </w: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53" w:after="3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bottom"/>
          </w:tcPr>
          <w:p>
            <w:pPr>
              <w:pageBreakBefore w:val="0"/>
              <w:spacing w:before="53" w:after="30" w:line="240" w:lineRule="auto"/>
              <w:jc w:val="left"/>
            </w:pPr>
            <w:r>
              <w:rPr>
                <w:rFonts w:ascii="Calibri" w:eastAsia="Calibri" w:hAnsi="Calibri" w:cs="Calibri"/>
                <w:b w:val="0"/>
                <w:i w:val="0"/>
                <w:color w:val="000000"/>
                <w:sz w:val="20"/>
                <w:u w:val="none"/>
              </w:rPr>
              <w:t>:</w:t>
            </w:r>
          </w:p>
        </w:tc>
        <w:tc>
          <w:tcPr>
            <w:tcW w:w="5775" w:type="dxa"/>
            <w:tcBorders>
              <w:top w:val="nil"/>
              <w:left w:val="nil"/>
              <w:bottom w:val="nil"/>
              <w:right w:val="nil"/>
            </w:tcBorders>
            <w:tcMar>
              <w:top w:w="0" w:type="dxa"/>
              <w:left w:w="53" w:type="dxa"/>
              <w:bottom w:w="0" w:type="dxa"/>
              <w:right w:w="53" w:type="dxa"/>
            </w:tcMar>
            <w:vAlign w:val="bottom"/>
          </w:tcPr>
          <w:p>
            <w:pPr>
              <w:pageBreakBefore w:val="0"/>
              <w:spacing w:before="53" w:after="30" w:line="240" w:lineRule="auto"/>
              <w:jc w:val="left"/>
            </w:pPr>
            <w:r>
              <w:rPr>
                <w:rFonts w:ascii="Calibri" w:eastAsia="Calibri" w:hAnsi="Calibri" w:cs="Calibri"/>
                <w:b w:val="0"/>
                <w:i w:val="0"/>
                <w:color w:val="000000"/>
                <w:sz w:val="20"/>
                <w:u w:val="none"/>
              </w:rPr>
              <w:t>“Andes del Sur Servicios con CGET”.</w:t>
            </w:r>
          </w:p>
        </w:tc>
      </w:tr>
      <w:tr>
        <w:tblPrEx>
          <w:tblW w:w="8550" w:type="dxa"/>
          <w:tblInd w:w="1417" w:type="dxa"/>
          <w:tblLayout w:type="fixed"/>
        </w:tblPrEx>
        <w:trPr>
          <w:cantSplit/>
          <w:trHeight w:hRule="exact" w:val="345"/>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53" w:after="30" w:line="240" w:lineRule="auto"/>
              <w:jc w:val="left"/>
            </w:pPr>
            <w:r>
              <w:rPr>
                <w:rFonts w:ascii="Calibri" w:eastAsia="Calibri" w:hAnsi="Calibri" w:cs="Calibri"/>
                <w:b w:val="0"/>
                <w:i w:val="0"/>
                <w:color w:val="000000"/>
                <w:sz w:val="20"/>
                <w:u w:val="none"/>
              </w:rPr>
              <w:t>Fecha</w:t>
            </w:r>
          </w:p>
        </w:tc>
        <w:tc>
          <w:tcPr>
            <w:tcW w:w="165" w:type="dxa"/>
            <w:tcBorders>
              <w:top w:val="nil"/>
              <w:left w:val="nil"/>
              <w:bottom w:val="nil"/>
              <w:right w:val="nil"/>
            </w:tcBorders>
            <w:tcMar>
              <w:top w:w="0" w:type="dxa"/>
              <w:left w:w="53" w:type="dxa"/>
              <w:bottom w:w="0" w:type="dxa"/>
              <w:right w:w="53" w:type="dxa"/>
            </w:tcMar>
            <w:vAlign w:val="bottom"/>
          </w:tcPr>
          <w:p>
            <w:pPr>
              <w:pageBreakBefore w:val="0"/>
              <w:spacing w:before="53" w:after="30" w:line="240" w:lineRule="auto"/>
              <w:jc w:val="left"/>
            </w:pPr>
            <w:r>
              <w:rPr>
                <w:rFonts w:ascii="Calibri" w:eastAsia="Calibri" w:hAnsi="Calibri" w:cs="Calibri"/>
                <w:b w:val="0"/>
                <w:i w:val="0"/>
                <w:color w:val="000000"/>
                <w:sz w:val="20"/>
                <w:u w:val="none"/>
              </w:rPr>
              <w:t>:</w:t>
            </w:r>
          </w:p>
        </w:tc>
        <w:tc>
          <w:tcPr>
            <w:tcW w:w="5775" w:type="dxa"/>
            <w:tcBorders>
              <w:top w:val="nil"/>
              <w:left w:val="nil"/>
              <w:bottom w:val="nil"/>
              <w:right w:val="nil"/>
            </w:tcBorders>
            <w:tcMar>
              <w:top w:w="0" w:type="dxa"/>
              <w:left w:w="53" w:type="dxa"/>
              <w:bottom w:w="0" w:type="dxa"/>
              <w:right w:w="53" w:type="dxa"/>
            </w:tcMar>
            <w:vAlign w:val="bottom"/>
          </w:tcPr>
          <w:p>
            <w:pPr>
              <w:pageBreakBefore w:val="0"/>
              <w:spacing w:before="53" w:after="30" w:line="240" w:lineRule="auto"/>
              <w:jc w:val="left"/>
            </w:pPr>
            <w:r>
              <w:rPr>
                <w:rFonts w:ascii="Calibri" w:eastAsia="Calibri" w:hAnsi="Calibri" w:cs="Calibri"/>
                <w:b w:val="0"/>
                <w:i w:val="0"/>
                <w:color w:val="000000"/>
                <w:sz w:val="20"/>
                <w:u w:val="none"/>
              </w:rPr>
              <w:t>18 de junio de 2024.</w:t>
            </w:r>
          </w:p>
        </w:tc>
      </w:tr>
      <w:tr>
        <w:tblPrEx>
          <w:tblW w:w="8550" w:type="dxa"/>
          <w:tblInd w:w="1417" w:type="dxa"/>
          <w:tblLayout w:type="fixed"/>
        </w:tblPrEx>
        <w:trPr>
          <w:cantSplit/>
          <w:trHeight w:hRule="exact" w:val="345"/>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53" w:after="3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bottom"/>
          </w:tcPr>
          <w:p>
            <w:pPr>
              <w:pageBreakBefore w:val="0"/>
              <w:spacing w:before="53" w:after="30" w:line="240" w:lineRule="auto"/>
              <w:jc w:val="left"/>
            </w:pPr>
            <w:r>
              <w:rPr>
                <w:rFonts w:ascii="Calibri" w:eastAsia="Calibri" w:hAnsi="Calibri" w:cs="Calibri"/>
                <w:b w:val="0"/>
                <w:i w:val="0"/>
                <w:color w:val="000000"/>
                <w:sz w:val="20"/>
                <w:u w:val="none"/>
              </w:rPr>
              <w:t>:</w:t>
            </w:r>
          </w:p>
        </w:tc>
        <w:tc>
          <w:tcPr>
            <w:tcW w:w="5775" w:type="dxa"/>
            <w:tcBorders>
              <w:top w:val="nil"/>
              <w:left w:val="nil"/>
              <w:bottom w:val="nil"/>
              <w:right w:val="nil"/>
            </w:tcBorders>
            <w:tcMar>
              <w:top w:w="0" w:type="dxa"/>
              <w:left w:w="53" w:type="dxa"/>
              <w:bottom w:w="0" w:type="dxa"/>
              <w:right w:w="53" w:type="dxa"/>
            </w:tcMar>
            <w:vAlign w:val="bottom"/>
          </w:tcPr>
          <w:p>
            <w:pPr>
              <w:pageBreakBefore w:val="0"/>
              <w:spacing w:before="53" w:after="30" w:line="240" w:lineRule="auto"/>
              <w:jc w:val="left"/>
            </w:pPr>
            <w:r>
              <w:rPr>
                <w:rFonts w:ascii="Calibri" w:eastAsia="Calibri" w:hAnsi="Calibri" w:cs="Calibri"/>
                <w:b w:val="0"/>
                <w:i w:val="0"/>
                <w:color w:val="000000"/>
                <w:sz w:val="20"/>
                <w:u w:val="none"/>
              </w:rPr>
              <w:t>CAM Santiago, árbitro Jorge Granic.</w:t>
            </w:r>
          </w:p>
        </w:tc>
      </w:tr>
      <w:tr>
        <w:tblPrEx>
          <w:tblW w:w="8550" w:type="dxa"/>
          <w:tblInd w:w="1417" w:type="dxa"/>
          <w:tblLayout w:type="fixed"/>
        </w:tblPrEx>
        <w:trPr>
          <w:cantSplit/>
          <w:trHeight w:hRule="exact" w:val="345"/>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53" w:after="30" w:line="240" w:lineRule="auto"/>
              <w:jc w:val="left"/>
            </w:pPr>
            <w:r>
              <w:rPr>
                <w:rFonts w:ascii="Calibri" w:eastAsia="Calibri" w:hAnsi="Calibri" w:cs="Calibri"/>
                <w:b w:val="0"/>
                <w:i w:val="0"/>
                <w:color w:val="000000"/>
                <w:sz w:val="20"/>
                <w:u w:val="none"/>
              </w:rPr>
              <w:t>Rol N°</w:t>
            </w:r>
          </w:p>
        </w:tc>
        <w:tc>
          <w:tcPr>
            <w:tcW w:w="165" w:type="dxa"/>
            <w:tcBorders>
              <w:top w:val="nil"/>
              <w:left w:val="nil"/>
              <w:bottom w:val="nil"/>
              <w:right w:val="nil"/>
            </w:tcBorders>
            <w:tcMar>
              <w:top w:w="0" w:type="dxa"/>
              <w:left w:w="53" w:type="dxa"/>
              <w:bottom w:w="0" w:type="dxa"/>
              <w:right w:w="53" w:type="dxa"/>
            </w:tcMar>
            <w:vAlign w:val="bottom"/>
          </w:tcPr>
          <w:p>
            <w:pPr>
              <w:pageBreakBefore w:val="0"/>
              <w:spacing w:before="53" w:after="30" w:line="240" w:lineRule="auto"/>
              <w:jc w:val="left"/>
            </w:pPr>
            <w:r>
              <w:rPr>
                <w:rFonts w:ascii="Calibri" w:eastAsia="Calibri" w:hAnsi="Calibri" w:cs="Calibri"/>
                <w:b w:val="0"/>
                <w:i w:val="0"/>
                <w:color w:val="000000"/>
                <w:sz w:val="20"/>
                <w:u w:val="none"/>
              </w:rPr>
              <w:t>:</w:t>
            </w:r>
          </w:p>
        </w:tc>
        <w:tc>
          <w:tcPr>
            <w:tcW w:w="5775" w:type="dxa"/>
            <w:tcBorders>
              <w:top w:val="nil"/>
              <w:left w:val="nil"/>
              <w:bottom w:val="nil"/>
              <w:right w:val="nil"/>
            </w:tcBorders>
            <w:tcMar>
              <w:top w:w="0" w:type="dxa"/>
              <w:left w:w="53" w:type="dxa"/>
              <w:bottom w:w="0" w:type="dxa"/>
              <w:right w:w="53" w:type="dxa"/>
            </w:tcMar>
            <w:vAlign w:val="bottom"/>
          </w:tcPr>
          <w:p>
            <w:pPr>
              <w:pageBreakBefore w:val="0"/>
              <w:spacing w:before="53" w:after="30" w:line="240" w:lineRule="auto"/>
              <w:jc w:val="left"/>
            </w:pPr>
            <w:r>
              <w:rPr>
                <w:rFonts w:ascii="Calibri" w:eastAsia="Calibri" w:hAnsi="Calibri" w:cs="Calibri"/>
                <w:b w:val="0"/>
                <w:i w:val="0"/>
                <w:color w:val="000000"/>
                <w:sz w:val="20"/>
                <w:u w:val="none"/>
              </w:rPr>
              <w:t>5.851-2023.</w:t>
            </w:r>
          </w:p>
        </w:tc>
      </w:tr>
      <w:tr>
        <w:tblPrEx>
          <w:tblW w:w="8550"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77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Demanda de incumplimiento de contrato con indemnización de perjuicios por contrato para la ampliación de la Subestación San Clemente.</w:t>
            </w:r>
          </w:p>
        </w:tc>
      </w:tr>
      <w:tr>
        <w:tblPrEx>
          <w:tblW w:w="8550"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w:t>
            </w:r>
          </w:p>
        </w:tc>
        <w:tc>
          <w:tcPr>
            <w:tcW w:w="577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M$ 1.275.439.</w:t>
            </w:r>
          </w:p>
        </w:tc>
      </w:tr>
      <w:tr>
        <w:tblPrEx>
          <w:tblW w:w="8550"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w:t>
            </w:r>
          </w:p>
        </w:tc>
        <w:tc>
          <w:tcPr>
            <w:tcW w:w="577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Etapa de prueba.</w:t>
            </w:r>
          </w:p>
        </w:tc>
      </w:tr>
      <w:tr>
        <w:tblPrEx>
          <w:tblW w:w="8550" w:type="dxa"/>
          <w:tblInd w:w="1417"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34.1.12.-</w:t>
            </w: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w:t>
            </w:r>
          </w:p>
        </w:tc>
        <w:tc>
          <w:tcPr>
            <w:tcW w:w="577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“Andes del Sur Servicios con CGET”.</w:t>
            </w:r>
          </w:p>
        </w:tc>
      </w:tr>
      <w:tr>
        <w:tblPrEx>
          <w:tblW w:w="8550"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Fecha</w:t>
            </w:r>
          </w:p>
        </w:tc>
        <w:tc>
          <w:tcPr>
            <w:tcW w:w="16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w:t>
            </w:r>
          </w:p>
        </w:tc>
        <w:tc>
          <w:tcPr>
            <w:tcW w:w="577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18 de junio de 2024.</w:t>
            </w:r>
          </w:p>
        </w:tc>
      </w:tr>
      <w:tr>
        <w:tblPrEx>
          <w:tblW w:w="8550"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w:t>
            </w:r>
          </w:p>
        </w:tc>
        <w:tc>
          <w:tcPr>
            <w:tcW w:w="577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CAM Santiago, árbitro Pía Tavolari.</w:t>
            </w:r>
          </w:p>
        </w:tc>
      </w:tr>
      <w:tr>
        <w:tblPrEx>
          <w:tblW w:w="8550"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Rol N°</w:t>
            </w:r>
          </w:p>
        </w:tc>
        <w:tc>
          <w:tcPr>
            <w:tcW w:w="16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w:t>
            </w:r>
          </w:p>
        </w:tc>
        <w:tc>
          <w:tcPr>
            <w:tcW w:w="577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5.852-2023.</w:t>
            </w:r>
          </w:p>
        </w:tc>
      </w:tr>
      <w:tr>
        <w:tblPrEx>
          <w:tblW w:w="8550"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77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Demanda de incumplimiento de contrato con indemnización de perjuicios por contrato para la ampliación de la Subestación Linares.</w:t>
            </w:r>
          </w:p>
        </w:tc>
      </w:tr>
      <w:tr>
        <w:tblPrEx>
          <w:tblW w:w="8550"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w:t>
            </w:r>
          </w:p>
        </w:tc>
        <w:tc>
          <w:tcPr>
            <w:tcW w:w="577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M$ 4.720.585.</w:t>
            </w:r>
          </w:p>
        </w:tc>
      </w:tr>
      <w:tr>
        <w:tblPrEx>
          <w:tblW w:w="8550"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w:t>
            </w:r>
          </w:p>
        </w:tc>
        <w:tc>
          <w:tcPr>
            <w:tcW w:w="577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Etapa de prueba.</w:t>
            </w:r>
          </w:p>
        </w:tc>
      </w:tr>
      <w:tr>
        <w:tblPrEx>
          <w:tblW w:w="8550"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775"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550" w:type="dxa"/>
          <w:tblInd w:w="1417"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34.1.13.-</w:t>
            </w: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w:t>
            </w:r>
          </w:p>
        </w:tc>
        <w:tc>
          <w:tcPr>
            <w:tcW w:w="577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“Andes del Sur Servicios con CGET”.</w:t>
            </w:r>
          </w:p>
        </w:tc>
      </w:tr>
      <w:tr>
        <w:tblPrEx>
          <w:tblW w:w="8550"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Fecha</w:t>
            </w:r>
          </w:p>
        </w:tc>
        <w:tc>
          <w:tcPr>
            <w:tcW w:w="16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w:t>
            </w:r>
          </w:p>
        </w:tc>
        <w:tc>
          <w:tcPr>
            <w:tcW w:w="577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6 de julio de 2024.</w:t>
            </w:r>
          </w:p>
        </w:tc>
      </w:tr>
      <w:tr>
        <w:tblPrEx>
          <w:tblW w:w="8550"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w:t>
            </w:r>
          </w:p>
        </w:tc>
        <w:tc>
          <w:tcPr>
            <w:tcW w:w="577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CAM Santiago, árbitro Ramón Cifuentes.</w:t>
            </w:r>
          </w:p>
        </w:tc>
      </w:tr>
      <w:tr>
        <w:tblPrEx>
          <w:tblW w:w="8550"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Rol N°</w:t>
            </w:r>
          </w:p>
        </w:tc>
        <w:tc>
          <w:tcPr>
            <w:tcW w:w="16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w:t>
            </w:r>
          </w:p>
        </w:tc>
        <w:tc>
          <w:tcPr>
            <w:tcW w:w="577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5.863-2023.</w:t>
            </w:r>
          </w:p>
        </w:tc>
      </w:tr>
      <w:tr>
        <w:tblPrEx>
          <w:tblW w:w="8550"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77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both"/>
            </w:pPr>
            <w:r>
              <w:rPr>
                <w:rFonts w:ascii="Calibri" w:eastAsia="Calibri" w:hAnsi="Calibri" w:cs="Calibri"/>
                <w:b w:val="0"/>
                <w:i w:val="0"/>
                <w:color w:val="000000"/>
                <w:sz w:val="20"/>
                <w:u w:val="none"/>
              </w:rPr>
              <w:t>Demanda de incumplimiento de contrato con indemnización de perjuicios por contrato para la ampliación de la Subestación Fátima.</w:t>
            </w:r>
          </w:p>
        </w:tc>
      </w:tr>
      <w:tr>
        <w:tblPrEx>
          <w:tblW w:w="8550"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w:t>
            </w:r>
          </w:p>
        </w:tc>
        <w:tc>
          <w:tcPr>
            <w:tcW w:w="577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M$ 959.323.</w:t>
            </w:r>
          </w:p>
        </w:tc>
      </w:tr>
      <w:tr>
        <w:tblPrEx>
          <w:tblW w:w="8550"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w:t>
            </w:r>
          </w:p>
        </w:tc>
        <w:tc>
          <w:tcPr>
            <w:tcW w:w="577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Etapa de prueba.</w:t>
            </w:r>
          </w:p>
        </w:tc>
      </w:tr>
    </w:tbl>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 xml:space="preserve"> </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sz w:val="20"/>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9"/>
        <w:jc w:val="both"/>
        <w:outlineLvl w:val="1"/>
        <w:rPr>
          <w:rFonts w:ascii="Times New Roman" w:eastAsia="Times New Roman" w:hAnsi="Times New Roman" w:cs="Times New Roman"/>
          <w:b/>
          <w:i w:val="0"/>
          <w:color w:val="000000"/>
          <w:sz w:val="24"/>
          <w:u w:val="none"/>
        </w:rPr>
      </w:pPr>
      <w:bookmarkStart w:id="298" w:name="Section153"/>
      <w:bookmarkEnd w:id="298"/>
      <w:bookmarkStart w:id="299" w:name="428f025a3a9349748020dbe2f1825303"/>
      <w:r>
        <w:rPr>
          <w:rFonts w:ascii="Calibri" w:eastAsia="Calibri" w:hAnsi="Calibri" w:cs="Calibri"/>
          <w:b/>
          <w:i w:val="0"/>
          <w:color w:val="000000"/>
          <w:sz w:val="20"/>
          <w:u w:val="none"/>
        </w:rPr>
        <w:t>34.2.-</w:t>
      </w:r>
      <w:r>
        <w:rPr>
          <w:rFonts w:ascii="Calibri" w:eastAsia="Calibri" w:hAnsi="Calibri" w:cs="Calibri"/>
          <w:b/>
          <w:i w:val="0"/>
          <w:color w:val="000000"/>
          <w:sz w:val="20"/>
          <w:u w:val="none"/>
        </w:rPr>
        <w:tab/>
      </w:r>
      <w:r>
        <w:rPr>
          <w:rFonts w:ascii="Calibri" w:eastAsia="Calibri" w:hAnsi="Calibri" w:cs="Calibri"/>
          <w:b/>
          <w:i w:val="0"/>
          <w:color w:val="000000"/>
          <w:sz w:val="20"/>
          <w:u w:val="none"/>
        </w:rPr>
        <w:t>Sanciones administrativas.</w:t>
      </w:r>
    </w:p>
    <w:p>
      <w:pPr>
        <w:keepNext w:val="0"/>
        <w:keepLines/>
        <w:pageBreakBefore w:val="0"/>
        <w:widowControl w:val="0"/>
        <w:numPr>
          <w:ilvl w:val="0"/>
          <w:numId w:val="0"/>
        </w:numPr>
        <w:spacing w:before="0" w:after="0" w:line="288" w:lineRule="auto"/>
        <w:ind w:left="2269" w:right="0" w:hanging="851"/>
        <w:jc w:val="both"/>
        <w:outlineLvl w:val="9"/>
        <w:rPr>
          <w:rFonts w:ascii="Calibri" w:eastAsia="Calibri" w:hAnsi="Calibri" w:cs="Calibri"/>
          <w:b w:val="0"/>
          <w:i w:val="0"/>
          <w:color w:val="000000"/>
          <w:sz w:val="20"/>
          <w:u w:val="none"/>
        </w:rPr>
      </w:pPr>
      <w:bookmarkEnd w:id="299"/>
    </w:p>
    <w:p>
      <w:pPr>
        <w:pStyle w:val="Normal-wk"/>
        <w:keepNext w:val="0"/>
        <w:keepLines/>
        <w:pageBreakBefore w:val="0"/>
        <w:widowControl w:val="0"/>
        <w:numPr>
          <w:ilvl w:val="0"/>
          <w:numId w:val="0"/>
        </w:numPr>
        <w:tabs>
          <w:tab w:val="left" w:pos="700"/>
        </w:tabs>
        <w:spacing w:before="0" w:after="0" w:line="240" w:lineRule="exact"/>
        <w:ind w:left="2126" w:right="0" w:hanging="709"/>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34.2.1.-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 xml:space="preserve">Mediante Resolución Exenta de la Superintendencia de Electricidad y Combustible (SEC)              N° 12.270 de fecha 24 de mayo de 2022, la Superintendencia de Electricidad y Combustibles impuso una multa de 12.000 UTM: Desconexión forzada de S/E Victoria y línea Victoria – Traiguén, la cual afectó a 9.528 clientes. Con fecha 31 de mayo de 2022 se presentó ante Superintendencia de Electricidad y Combustible (SEC) recurso de reposición el cual se encuentra pendiente de resolución. </w:t>
      </w:r>
    </w:p>
    <w:p>
      <w:pPr>
        <w:keepNext w:val="0"/>
        <w:keepLines/>
        <w:pageBreakBefore w:val="0"/>
        <w:widowControl w:val="0"/>
        <w:numPr>
          <w:ilvl w:val="0"/>
          <w:numId w:val="0"/>
        </w:numPr>
        <w:tabs>
          <w:tab w:val="left" w:pos="700"/>
        </w:tabs>
        <w:spacing w:before="0" w:after="0" w:line="288" w:lineRule="auto"/>
        <w:ind w:left="2269" w:right="0" w:hanging="851"/>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40" w:lineRule="exact"/>
        <w:ind w:left="2126" w:right="0" w:hanging="709"/>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34.2.2.-</w:t>
      </w:r>
      <w:r>
        <w:rPr>
          <w:rFonts w:ascii="Calibri" w:eastAsia="Calibri" w:hAnsi="Calibri" w:cs="Calibri"/>
          <w:b w:val="0"/>
          <w:i w:val="0"/>
          <w:color w:val="000000"/>
          <w:sz w:val="20"/>
          <w:u w:val="none"/>
        </w:rPr>
        <w:tab/>
      </w:r>
      <w:r>
        <w:rPr>
          <w:rFonts w:ascii="Calibri" w:eastAsia="Calibri" w:hAnsi="Calibri" w:cs="Calibri"/>
          <w:b w:val="0"/>
          <w:i w:val="0"/>
          <w:sz w:val="20"/>
        </w:rPr>
        <w:t xml:space="preserve">Mediante Resolución Exenta de </w:t>
      </w:r>
      <w:r>
        <w:rPr>
          <w:rFonts w:ascii="Calibri" w:eastAsia="Calibri" w:hAnsi="Calibri" w:cs="Calibri"/>
          <w:b w:val="0"/>
          <w:i w:val="0"/>
          <w:color w:val="000000"/>
          <w:sz w:val="20"/>
          <w:u w:val="none"/>
        </w:rPr>
        <w:t>Superintendencia de Electricidad y Combustible (SEC)</w:t>
      </w:r>
      <w:r>
        <w:rPr>
          <w:rFonts w:ascii="Calibri" w:eastAsia="Calibri" w:hAnsi="Calibri" w:cs="Calibri"/>
          <w:b w:val="0"/>
          <w:i w:val="0"/>
          <w:sz w:val="20"/>
        </w:rPr>
        <w:t xml:space="preserve"> N° 26.111 de fecha 21 de junio de 2024, la Superintendencia de Electricidad y Combustibles impuso una multa de 16.000 UTM: Desconexión forzada en la línea de transmisión (LT) 110 kV Galleguillos - Caldera. Con fecha 28 de junio de 2024, se presentó ante la Superintendencia de Electricidad y Combustibles, recurso de reposición en contra de la sanción el que fue rechazado el día 11 de julio 2024 por Res. N° 36.361. Por lo anterior, con fecha 7 de agosto de 2024 se presentó un reclamo de ilegalidad ante la Corte de Apelaciones de Santiago, Rol N° 538-2024, el cual fue rechazado. Con fecha 15 de febrero de 2025 se presenta recurso de apelación ante la Corte Suprema, el cual es acogido con fecha 29 de enero de 2026 rebajando la multa a 10.000 UTM.</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40" w:lineRule="exact"/>
        <w:ind w:left="2126" w:right="0" w:hanging="709"/>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34.2.3.-</w:t>
      </w:r>
      <w:r>
        <w:rPr>
          <w:rFonts w:ascii="Calibri" w:eastAsia="Calibri" w:hAnsi="Calibri" w:cs="Calibri"/>
          <w:b w:val="0"/>
          <w:i w:val="0"/>
          <w:color w:val="000000"/>
          <w:sz w:val="20"/>
          <w:u w:val="none"/>
        </w:rPr>
        <w:tab/>
      </w:r>
      <w:r>
        <w:rPr>
          <w:rFonts w:ascii="Calibri" w:eastAsia="Calibri" w:hAnsi="Calibri" w:cs="Calibri"/>
          <w:b w:val="0"/>
          <w:i w:val="0"/>
          <w:sz w:val="20"/>
        </w:rPr>
        <w:t xml:space="preserve">Mediante Resolución Exenta de </w:t>
      </w:r>
      <w:r>
        <w:rPr>
          <w:rFonts w:ascii="Calibri" w:eastAsia="Calibri" w:hAnsi="Calibri" w:cs="Calibri"/>
          <w:b w:val="0"/>
          <w:i w:val="0"/>
          <w:color w:val="000000"/>
          <w:sz w:val="20"/>
          <w:u w:val="none"/>
        </w:rPr>
        <w:t>Superintendencia de Electricidad y Combustible (SEC)</w:t>
      </w:r>
      <w:r>
        <w:rPr>
          <w:rFonts w:ascii="Calibri" w:eastAsia="Calibri" w:hAnsi="Calibri" w:cs="Calibri"/>
          <w:b w:val="0"/>
          <w:i w:val="0"/>
          <w:sz w:val="20"/>
        </w:rPr>
        <w:t xml:space="preserve"> N° 31.423 de fecha 29 de marzo de 2025, la Superintendencia de Electricidad y Combustibles impuso una multa de 45.000 UTM: Apertura automática de los interruptores 52H2 de la S/E Quelentaro y 52H2 de S/E La Estrella. Con fecha 31 de marzo de 2025, se notifica la Resolución Exenta             N° 31.423, que sanciona a CGET con una multa de 45.000 UTM, con fecha 7 de abril de 2025, se presentó ante la Superintendencia de Electricidad y Combustibles</w:t>
      </w:r>
      <w:r>
        <w:rPr>
          <w:rFonts w:ascii="Calibri" w:eastAsia="Calibri" w:hAnsi="Calibri" w:cs="Calibri"/>
          <w:b w:val="0"/>
          <w:i w:val="0"/>
          <w:color w:val="000000"/>
          <w:sz w:val="20"/>
          <w:u w:val="none"/>
        </w:rPr>
        <w:t xml:space="preserve"> recurso de reposición en contra de esta, el cual se encuentra pendiente de resolución por la Superintendencia de Electricidad y Combustible.</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tabs>
          <w:tab w:val="left" w:pos="700"/>
        </w:tabs>
        <w:spacing w:before="0" w:after="0" w:line="240" w:lineRule="exact"/>
        <w:ind w:left="2126" w:right="0" w:hanging="709"/>
        <w:jc w:val="both"/>
        <w:outlineLvl w:val="9"/>
        <w:rPr>
          <w:rFonts w:ascii="Calibri" w:eastAsia="Calibri" w:hAnsi="Calibri" w:cs="Calibri"/>
          <w:b w:val="0"/>
          <w:i w:val="0"/>
          <w:color w:val="000000"/>
          <w:sz w:val="20"/>
          <w:u w:val="none"/>
        </w:rPr>
      </w:pPr>
      <w:r>
        <w:rPr>
          <w:rFonts w:ascii="Calibri" w:eastAsia="Calibri" w:hAnsi="Calibri" w:cs="Calibri"/>
          <w:b w:val="0"/>
          <w:i w:val="0"/>
          <w:sz w:val="20"/>
        </w:rPr>
        <w:t>34.2.4.-</w:t>
      </w:r>
      <w:r>
        <w:rPr>
          <w:rFonts w:ascii="Calibri" w:eastAsia="Calibri" w:hAnsi="Calibri" w:cs="Calibri"/>
          <w:b w:val="0"/>
          <w:i w:val="0"/>
          <w:color w:val="000000"/>
          <w:sz w:val="20"/>
          <w:u w:val="none"/>
        </w:rPr>
        <w:tab/>
      </w:r>
      <w:r>
        <w:rPr>
          <w:rFonts w:ascii="Calibri" w:eastAsia="Calibri" w:hAnsi="Calibri" w:cs="Calibri"/>
          <w:b w:val="0"/>
          <w:i w:val="0"/>
          <w:sz w:val="20"/>
        </w:rPr>
        <w:t xml:space="preserve">Mediante Resolución Exenta de </w:t>
      </w:r>
      <w:r>
        <w:rPr>
          <w:rFonts w:ascii="Calibri" w:eastAsia="Calibri" w:hAnsi="Calibri" w:cs="Calibri"/>
          <w:b w:val="0"/>
          <w:i w:val="0"/>
          <w:color w:val="000000"/>
          <w:sz w:val="20"/>
          <w:u w:val="none"/>
        </w:rPr>
        <w:t>Superintendencia de Electricidad y Combustible (SEC)</w:t>
      </w:r>
      <w:r>
        <w:rPr>
          <w:rFonts w:ascii="Calibri" w:eastAsia="Calibri" w:hAnsi="Calibri" w:cs="Calibri"/>
          <w:b w:val="0"/>
          <w:i w:val="0"/>
          <w:sz w:val="20"/>
        </w:rPr>
        <w:t xml:space="preserve"> N° 37.806 de fecha 24 de febrero de 2026, la Superintendencia de Electricidad y Combustibles impuso una multa de 60.000 UTM: El motivo de los  cargos y de la sanción comprende una supuesta falta de mantenimiento por CGET que habría gene</w:t>
      </w:r>
      <w:r>
        <w:rPr>
          <w:rFonts w:ascii="Calibri" w:eastAsia="Calibri" w:hAnsi="Calibri" w:cs="Calibri"/>
          <w:b w:val="0"/>
          <w:i w:val="0"/>
          <w:sz w:val="20"/>
        </w:rPr>
        <w:t>rado la indisponibilidad de los medios de respaldo de energía en algunas de las instalaciones y la pérdida transitoria de enlaces de comunicaciones de las empresas prestadoras de servicio, que a juicio de la SEC provocaron dificultades en la aplicación de los ERS y del PRS durante la ocurrencia del blackout del 25 de febrero de 2025. Con fecha 24 de febrero de 2026 se notifica la Resolución de multa y se interpone recurso de reposición con fecha 3 de marzo de 2026, el cual se encuentra pendiente de resolución.</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2126" w:right="0" w:firstLine="0"/>
        <w:jc w:val="both"/>
        <w:outlineLvl w:val="9"/>
        <w:sectPr>
          <w:type w:val="continuous"/>
          <w:pgSz w:w="12240" w:h="15840"/>
          <w:pgMar w:top="1134" w:right="1134" w:bottom="1134" w:left="1134" w:header="0" w:footer="425"/>
          <w:cols w:space="708"/>
        </w:sectPr>
      </w:pPr>
    </w:p>
    <w:p>
      <w:pPr>
        <w:pStyle w:val="Heading2-wk"/>
        <w:keepNext w:val="0"/>
        <w:keepLines/>
        <w:pageBreakBefore w:val="0"/>
        <w:widowControl w:val="0"/>
        <w:numPr>
          <w:ilvl w:val="0"/>
          <w:numId w:val="0"/>
        </w:numPr>
        <w:tabs>
          <w:tab w:val="left" w:pos="700"/>
        </w:tabs>
        <w:spacing w:before="0" w:after="0" w:line="288" w:lineRule="auto"/>
        <w:ind w:left="0" w:right="0" w:firstLine="709"/>
        <w:jc w:val="both"/>
        <w:outlineLvl w:val="1"/>
        <w:rPr>
          <w:rFonts w:ascii="Times New Roman" w:eastAsia="Times New Roman" w:hAnsi="Times New Roman" w:cs="Times New Roman"/>
          <w:b/>
          <w:i w:val="0"/>
          <w:color w:val="000000"/>
          <w:sz w:val="24"/>
          <w:u w:val="none"/>
        </w:rPr>
      </w:pPr>
      <w:bookmarkStart w:id="300" w:name="Section154"/>
      <w:bookmarkEnd w:id="300"/>
      <w:bookmarkStart w:id="301" w:name="7e222f15fc2547d0bc69686e606f7cdb"/>
      <w:r>
        <w:rPr>
          <w:rFonts w:ascii="Calibri" w:eastAsia="Calibri" w:hAnsi="Calibri" w:cs="Calibri"/>
          <w:b/>
          <w:i w:val="0"/>
          <w:color w:val="000000"/>
          <w:sz w:val="20"/>
          <w:u w:val="none"/>
        </w:rPr>
        <w:t>34.3.-</w:t>
      </w:r>
      <w:r>
        <w:rPr>
          <w:rFonts w:ascii="Calibri" w:eastAsia="Calibri" w:hAnsi="Calibri" w:cs="Calibri"/>
          <w:b/>
          <w:i w:val="0"/>
          <w:color w:val="000000"/>
          <w:sz w:val="20"/>
          <w:u w:val="none"/>
        </w:rPr>
        <w:tab/>
      </w:r>
      <w:r>
        <w:rPr>
          <w:rFonts w:ascii="Calibri" w:eastAsia="Calibri" w:hAnsi="Calibri" w:cs="Calibri"/>
          <w:b/>
          <w:i w:val="0"/>
          <w:color w:val="000000"/>
          <w:sz w:val="20"/>
          <w:u w:val="none"/>
        </w:rPr>
        <w:t xml:space="preserve">Sanciones.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bookmarkEnd w:id="301"/>
    </w:p>
    <w:p>
      <w:pPr>
        <w:pStyle w:val="Normal-wk"/>
        <w:keepNext w:val="0"/>
        <w:keepLines/>
        <w:pageBreakBefore w:val="0"/>
        <w:widowControl w:val="0"/>
        <w:numPr>
          <w:ilvl w:val="0"/>
          <w:numId w:val="0"/>
        </w:numPr>
        <w:tabs>
          <w:tab w:val="left" w:pos="700"/>
        </w:tabs>
        <w:spacing w:before="0" w:after="0" w:line="240" w:lineRule="exact"/>
        <w:ind w:left="708" w:right="0" w:firstLine="708"/>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34.3.1.-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De la Comisión para el Mercado Financiero.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CGE Transmisión S.A, sus subsidiarias, los Directores y Ejecutivos de las empresas que componen el Grupo, no han sido sancionados por la Comisión para el Mercado Financiero durante el período terminado al </w:t>
      </w:r>
      <w:r>
        <w:rPr>
          <w:rFonts w:ascii="Calibri" w:eastAsia="Calibri" w:hAnsi="Calibri" w:cs="Calibri"/>
          <w:b w:val="0"/>
          <w:i w:val="0"/>
          <w:color w:val="000000"/>
          <w:sz w:val="20"/>
          <w:u w:val="none"/>
        </w:rPr>
        <w:t>30 de junio de 2026</w:t>
      </w:r>
      <w:r>
        <w:rPr>
          <w:rFonts w:ascii="Calibri" w:eastAsia="Calibri" w:hAnsi="Calibri" w:cs="Calibri"/>
          <w:b w:val="0"/>
          <w:i w:val="0"/>
          <w:sz w:val="20"/>
        </w:rPr>
        <w:t xml:space="preserve"> </w:t>
      </w:r>
      <w:r>
        <w:rPr>
          <w:rFonts w:ascii="Calibri" w:eastAsia="Calibri" w:hAnsi="Calibri" w:cs="Calibri"/>
          <w:b w:val="0"/>
          <w:i w:val="0"/>
          <w:color w:val="000000"/>
          <w:sz w:val="20"/>
          <w:u w:val="none"/>
        </w:rPr>
        <w:t xml:space="preserve">y el ejercicio terminado al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88" w:lineRule="auto"/>
        <w:ind w:left="708" w:right="0" w:firstLine="708"/>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34.3.2.-</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De otras autoridades administrativas.</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Los Directores y Ejecutivos no han sido sancionados por otras autoridades administrativas durante el período terminado al </w:t>
      </w:r>
      <w:r>
        <w:rPr>
          <w:rFonts w:ascii="Calibri" w:eastAsia="Calibri" w:hAnsi="Calibri" w:cs="Calibri"/>
          <w:b w:val="0"/>
          <w:i w:val="0"/>
          <w:color w:val="000000"/>
          <w:sz w:val="20"/>
          <w:u w:val="none"/>
        </w:rPr>
        <w:t>30 de junio de 2026</w:t>
      </w:r>
      <w:r>
        <w:rPr>
          <w:rFonts w:ascii="Calibri" w:eastAsia="Calibri" w:hAnsi="Calibri" w:cs="Calibri"/>
          <w:b w:val="0"/>
          <w:i w:val="0"/>
          <w:sz w:val="20"/>
        </w:rPr>
        <w:t xml:space="preserve"> </w:t>
      </w:r>
      <w:r>
        <w:rPr>
          <w:rFonts w:ascii="Calibri" w:eastAsia="Calibri" w:hAnsi="Calibri" w:cs="Calibri"/>
          <w:b w:val="0"/>
          <w:i w:val="0"/>
          <w:color w:val="000000"/>
          <w:sz w:val="20"/>
          <w:u w:val="none"/>
        </w:rPr>
        <w:t xml:space="preserve">y el ejercicio terminado al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Sociedad y subsidiarias, de acuerdo a lo enunciado en la Nota 34.2, ha sido sancionada por la Superintendencia de Electricidad y Combustibles.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709" w:right="0" w:firstLine="0"/>
        <w:jc w:val="both"/>
        <w:outlineLvl w:val="1"/>
        <w:rPr>
          <w:rFonts w:ascii="Times New Roman" w:eastAsia="Times New Roman" w:hAnsi="Times New Roman" w:cs="Times New Roman"/>
          <w:b/>
          <w:i w:val="0"/>
          <w:color w:val="000000"/>
          <w:sz w:val="24"/>
          <w:u w:val="none"/>
        </w:rPr>
      </w:pPr>
      <w:bookmarkStart w:id="302" w:name="Section155"/>
      <w:bookmarkEnd w:id="302"/>
      <w:bookmarkStart w:id="303" w:name="3f125f9685204a8b8312af0eaa0728f8"/>
      <w:r>
        <w:rPr>
          <w:rFonts w:ascii="Calibri" w:eastAsia="Calibri" w:hAnsi="Calibri" w:cs="Calibri"/>
          <w:b/>
          <w:i w:val="0"/>
          <w:color w:val="000000"/>
          <w:sz w:val="20"/>
          <w:u w:val="none"/>
        </w:rPr>
        <w:t>34.4.-</w:t>
      </w:r>
      <w:r>
        <w:rPr>
          <w:rFonts w:ascii="Calibri" w:eastAsia="Calibri" w:hAnsi="Calibri" w:cs="Calibri"/>
          <w:b/>
          <w:i w:val="0"/>
          <w:color w:val="000000"/>
          <w:sz w:val="20"/>
          <w:u w:val="none"/>
        </w:rPr>
        <w:tab/>
      </w:r>
      <w:r>
        <w:rPr>
          <w:rFonts w:ascii="Calibri" w:eastAsia="Calibri" w:hAnsi="Calibri" w:cs="Calibri"/>
          <w:b/>
          <w:i w:val="0"/>
          <w:color w:val="000000"/>
          <w:sz w:val="20"/>
          <w:u w:val="none"/>
        </w:rPr>
        <w:t>Restricciones.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303"/>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CGE Transmisión S.A. ha convenido con bancos, acreedores y tenedores de bonos los siguientes covenants financieros medidos sobre la base de los estados financieros consolidados:</w:t>
      </w:r>
    </w:p>
    <w:p>
      <w:pPr>
        <w:keepNext w:val="0"/>
        <w:keepLines/>
        <w:pageBreakBefore w:val="0"/>
        <w:widowControl w:val="0"/>
        <w:numPr>
          <w:ilvl w:val="0"/>
          <w:numId w:val="0"/>
        </w:numPr>
        <w:spacing w:before="0" w:after="0" w:line="288" w:lineRule="auto"/>
        <w:ind w:left="720"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105"/>
        <w:gridCol w:w="2445"/>
      </w:tblGrid>
      <w:tr>
        <w:tblPrEx>
          <w:tblW w:w="8550" w:type="dxa"/>
          <w:tblInd w:w="1417" w:type="dxa"/>
          <w:tblLayout w:type="fixed"/>
        </w:tblPrEx>
        <w:trPr>
          <w:cantSplit/>
          <w:trHeight w:hRule="auto" w:val="0"/>
        </w:trPr>
        <w:tc>
          <w:tcPr>
            <w:tcW w:w="610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Indice</w:t>
            </w:r>
          </w:p>
        </w:tc>
        <w:tc>
          <w:tcPr>
            <w:tcW w:w="2445" w:type="dxa"/>
            <w:tcBorders>
              <w:top w:val="single" w:sz="2" w:space="0" w:color="000000"/>
              <w:left w:val="single" w:sz="4" w:space="0" w:color="FFFFFF"/>
              <w:bottom w:val="single" w:sz="2" w:space="0" w:color="000000"/>
              <w:right w:val="single" w:sz="2" w:space="0" w:color="000000"/>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Factor</w:t>
            </w:r>
          </w:p>
        </w:tc>
      </w:tr>
      <w:tr>
        <w:tblPrEx>
          <w:tblW w:w="8550" w:type="dxa"/>
          <w:tblInd w:w="1417" w:type="dxa"/>
          <w:tblLayout w:type="fixed"/>
        </w:tblPrEx>
        <w:trPr>
          <w:cantSplit/>
          <w:trHeight w:hRule="auto" w:val="0"/>
        </w:trPr>
        <w:tc>
          <w:tcPr>
            <w:tcW w:w="61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Nivel de endeudamiento.</w:t>
            </w:r>
          </w:p>
        </w:tc>
        <w:tc>
          <w:tcPr>
            <w:tcW w:w="244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&lt; o = 7,0 veces</w:t>
            </w:r>
          </w:p>
        </w:tc>
      </w:tr>
      <w:tr>
        <w:tblPrEx>
          <w:tblW w:w="8550" w:type="dxa"/>
          <w:tblInd w:w="1417" w:type="dxa"/>
          <w:tblLayout w:type="fixed"/>
        </w:tblPrEx>
        <w:trPr>
          <w:cantSplit/>
          <w:trHeight w:hRule="auto" w:val="0"/>
        </w:trPr>
        <w:tc>
          <w:tcPr>
            <w:tcW w:w="61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Cobertura de Gastos Financieros.</w:t>
            </w:r>
          </w:p>
        </w:tc>
        <w:tc>
          <w:tcPr>
            <w:tcW w:w="244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&gt; 2,0 veces</w:t>
            </w:r>
          </w:p>
        </w:tc>
      </w:tr>
      <w:tr>
        <w:tblPrEx>
          <w:tblW w:w="8550" w:type="dxa"/>
          <w:tblInd w:w="1417" w:type="dxa"/>
          <w:tblLayout w:type="fixed"/>
        </w:tblPrEx>
        <w:trPr>
          <w:cantSplit/>
          <w:trHeight w:hRule="auto" w:val="0"/>
        </w:trPr>
        <w:tc>
          <w:tcPr>
            <w:tcW w:w="61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6"/>
                <w:u w:val="none"/>
              </w:rPr>
              <w:t>Razón de Endeudamiento.</w:t>
            </w:r>
          </w:p>
        </w:tc>
        <w:tc>
          <w:tcPr>
            <w:tcW w:w="244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6"/>
                <w:u w:val="none"/>
              </w:rPr>
              <w:t>&lt; o = 0,8 veces</w:t>
            </w:r>
          </w:p>
        </w:tc>
      </w:tr>
    </w:tbl>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88" w:lineRule="auto"/>
        <w:ind w:left="709" w:right="0" w:firstLine="709"/>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Estas restricciones se definen como:</w:t>
      </w:r>
    </w:p>
    <w:p>
      <w:pPr>
        <w:keepNext w:val="0"/>
        <w:keepLines/>
        <w:pageBreakBefore w:val="0"/>
        <w:widowControl w:val="0"/>
        <w:numPr>
          <w:ilvl w:val="0"/>
          <w:numId w:val="0"/>
        </w:numPr>
        <w:spacing w:before="0" w:after="0" w:line="288" w:lineRule="auto"/>
        <w:ind w:left="709" w:right="0" w:firstLine="709"/>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26"/>
        </w:numPr>
        <w:spacing w:before="0" w:after="0" w:line="288" w:lineRule="auto"/>
        <w:ind w:left="2126"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Serie de Bono: BTCGE-A</w:t>
      </w:r>
    </w:p>
    <w:p>
      <w:pPr>
        <w:pStyle w:val="Normal-wk"/>
        <w:keepNext w:val="0"/>
        <w:keepLines/>
        <w:pageBreakBefore w:val="0"/>
        <w:widowControl w:val="0"/>
        <w:numPr>
          <w:ilvl w:val="0"/>
          <w:numId w:val="27"/>
        </w:numPr>
        <w:spacing w:before="0" w:after="0" w:line="240" w:lineRule="exact"/>
        <w:ind w:left="2126"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Nivel de endeudamiento: calculado como la razón entre “Deuda Financiera Neta” y “EBITDA Ajustado Consolidado” definidas de la siguiente manera: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“Deuda Financiera Neta”:</w:t>
      </w:r>
    </w:p>
    <w:p>
      <w:pPr>
        <w:pStyle w:val="Normal-wk"/>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“Otros Pasivos Financieros Corrientes”</w:t>
      </w:r>
    </w:p>
    <w:p>
      <w:pPr>
        <w:pStyle w:val="Normal-wk"/>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“Otros Pasivos Financieros no Corrientes”</w:t>
      </w:r>
    </w:p>
    <w:p>
      <w:pPr>
        <w:pStyle w:val="Normal-wk"/>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 “Efectivo y Equivalentes al Efectivo”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“EBITDA Ajustado Consolidado”: </w:t>
      </w:r>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Suma de los últimos doce meses de: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 “Ingresos de Actividades Ordinarias” </w:t>
      </w:r>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“Otros ingresos, por función”</w:t>
      </w:r>
    </w:p>
    <w:p>
      <w:pPr>
        <w:pStyle w:val="Normal-wk"/>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 “Costo de ventas” </w:t>
      </w:r>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 “Gasto de administración” </w:t>
      </w:r>
    </w:p>
    <w:p>
      <w:pPr>
        <w:pStyle w:val="Normal-wk"/>
        <w:keepNext w:val="0"/>
        <w:keepLines/>
        <w:pageBreakBefore w:val="0"/>
        <w:widowControl w:val="0"/>
        <w:numPr>
          <w:ilvl w:val="0"/>
          <w:numId w:val="0"/>
        </w:numPr>
        <w:spacing w:before="0" w:after="0" w:line="240" w:lineRule="exact"/>
        <w:ind w:left="1842" w:right="0" w:hanging="425"/>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“Pérdidas por deterioro de valor /ganancias por deterioro de valor y reversión de pérdidas por deterioro de valor/ determinadas de acuerdo con la NIIF 9”</w:t>
      </w:r>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“Otros gastos, por función”</w:t>
      </w:r>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“Otras ganancias /pérdidas/”</w:t>
      </w:r>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“Depreciación y retiros”</w:t>
      </w:r>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 “Amortización de intangibles”, </w:t>
      </w: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Todo lo anterior multiplicado por la suma de uno más cincuenta por ciento de la Inflación Acumulada.</w:t>
      </w:r>
    </w:p>
    <w:p>
      <w:pPr>
        <w:keepNext w:val="0"/>
        <w:keepLines/>
        <w:pageBreakBefore w:val="0"/>
        <w:widowControl w:val="0"/>
        <w:numPr>
          <w:ilvl w:val="0"/>
          <w:numId w:val="0"/>
        </w:numPr>
        <w:spacing w:before="0" w:after="0" w:line="288" w:lineRule="auto"/>
        <w:ind w:left="1843"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Inflación Acumulada significará la variación que presente el Índice de Precios al Consumidor publicado por el Instituto Nacional de Estadísticas entre el décimo tercer mes anterior y el primer mes anterior a la fecha de cierre de los Estados Financieros consolidados. En el evento que el Instituto Nacional de Estadísticas agregara, sustituyera o eliminara el Índice de Precios al Consumidor, este será reemplazado por el nuevo indicador definido por el Instituto Nacional de Estadísticas o por la autoridad que sea competente y cuyo objeto sea medir la variación en el nivel de precios de la economía chilena entre dos periodos de tiempo.</w:t>
      </w: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27"/>
        </w:numPr>
        <w:spacing w:before="0" w:after="0" w:line="240" w:lineRule="exact"/>
        <w:ind w:left="1418" w:right="0" w:hanging="426"/>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Cobertura de Gastos Financieros: calculado como la relación “EBITDA Ajustado Consolidado” sobre “Gastos Financieros Netos”, definidas de la siguiente manera:</w:t>
      </w: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“EBITDA Ajustado Consolidado”: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720" w:right="0" w:firstLine="72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Suma de los últimos doce meses de: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 “Ingresos de Actividades Ordinarias” </w:t>
      </w: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“Otros ingresos, por función”</w:t>
      </w:r>
    </w:p>
    <w:p>
      <w:pPr>
        <w:pStyle w:val="Normal-wk"/>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 “Costo de ventas” </w:t>
      </w: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 “Gasto de administración” </w:t>
      </w: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“Pérdidas por deterioro de valor /ganancias por deterioro de valor y reversión de pérdidas por deterioro de valor/ determinadas de acuerdo con la NIIF 9”</w:t>
      </w: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“Otros gastos, por función”</w:t>
      </w: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“Otras ganancias /pérdidas/”</w:t>
      </w: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“Depreciación y retiros”</w:t>
      </w: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 “Amortización de intangibles”, </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Todo lo anterior multiplicado por la suma de uno más cincuenta por ciento de la Inflación Acumulada.</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Inflación Acumulada significará la variación que presente el Índice de Precios al Consumidor publicado por el Instituto Nacional de Estadísticas entre el décimo tercer mes anterior y el primer mes anterior a la fecha de cierre de los Estados Financieros. En el evento que el Instituto Nacional de Estadísticas agregara, sustituyera o eliminara el Índice de Precios al Consumidor, este será reemplazado por el nuevo indicador definido por el Instituto Nacional de Estadísticas o por la autoridad que sea competente y cuyo objeto sea medir la variación en el nivel de precios de la economía chilena entre dos periodos de tiempo.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“Gastos Financieros Netos”:</w:t>
      </w: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Suma de los últimos doce meses del valor absoluto de la partida de: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“Costos Financieros”</w:t>
      </w:r>
    </w:p>
    <w:p>
      <w:pPr>
        <w:pStyle w:val="Normal-wk"/>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 “Ingresos Financieros” </w:t>
      </w:r>
    </w:p>
    <w:p>
      <w:pPr>
        <w:keepNext w:val="0"/>
        <w:keepLines/>
        <w:pageBreakBefore w:val="0"/>
        <w:widowControl w:val="0"/>
        <w:numPr>
          <w:ilvl w:val="0"/>
          <w:numId w:val="0"/>
        </w:numPr>
        <w:spacing w:before="0" w:after="0" w:line="288" w:lineRule="auto"/>
        <w:ind w:left="156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27"/>
        </w:numPr>
        <w:spacing w:before="0" w:after="0" w:line="240" w:lineRule="exact"/>
        <w:ind w:left="1418" w:right="0" w:hanging="425"/>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Descripción de opción de rescate anticipado voluntario.</w:t>
      </w:r>
    </w:p>
    <w:p>
      <w:pPr>
        <w:keepNext w:val="0"/>
        <w:keepLines/>
        <w:pageBreakBefore w:val="0"/>
        <w:widowControl w:val="0"/>
        <w:numPr>
          <w:ilvl w:val="0"/>
          <w:numId w:val="0"/>
        </w:numPr>
        <w:spacing w:before="0" w:after="0" w:line="288" w:lineRule="auto"/>
        <w:ind w:left="709" w:right="0" w:hanging="425"/>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Serie de Bono: BTCGE-A: Si durante la vigencia de los Bonos emitidos con cargo a la Línea, el Emisor dejare de mantener al menos un setenta por ciento del Total Activos en alguno de los siguientes sectores: transmisión de electricidad y/o comercialización de electricidad, incluyendo para el cálculo de dicho porcentaje la cuenta "Efectivo y Equivalentes al Efectivo", la cuenta “Plusvalía” que pertenezcan a los referidos sectores y la cuenta “Activos Intangibles distintos de la Plusvalía” de los Estados Financieros Consolidados del Emisor.</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resultado de las principales restricciones de CGE Transmisión S.A. 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2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965"/>
        <w:gridCol w:w="1770"/>
        <w:gridCol w:w="1200"/>
        <w:gridCol w:w="900"/>
        <w:gridCol w:w="900"/>
        <w:gridCol w:w="1785"/>
      </w:tblGrid>
      <w:tr>
        <w:tblPrEx>
          <w:tblW w:w="8520" w:type="dxa"/>
          <w:tblInd w:w="1417" w:type="dxa"/>
          <w:tblLayout w:type="fixed"/>
        </w:tblPrEx>
        <w:trPr>
          <w:cantSplit/>
          <w:trHeight w:hRule="auto" w:val="0"/>
        </w:trPr>
        <w:tc>
          <w:tcPr>
            <w:tcW w:w="196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Indice</w:t>
            </w:r>
          </w:p>
        </w:tc>
        <w:tc>
          <w:tcPr>
            <w:tcW w:w="1770" w:type="dxa"/>
            <w:tcBorders>
              <w:top w:val="single" w:sz="2" w:space="0" w:color="000000"/>
              <w:left w:val="single" w:sz="4" w:space="0" w:color="FFFFFF"/>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Medición</w:t>
            </w:r>
          </w:p>
        </w:tc>
        <w:tc>
          <w:tcPr>
            <w:tcW w:w="1200" w:type="dxa"/>
            <w:tcBorders>
              <w:top w:val="single" w:sz="2" w:space="0" w:color="000000"/>
              <w:left w:val="single" w:sz="4" w:space="0" w:color="FFFFFF"/>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Factor</w:t>
            </w:r>
          </w:p>
        </w:tc>
        <w:tc>
          <w:tcPr>
            <w:tcW w:w="900" w:type="dxa"/>
            <w:tcBorders>
              <w:top w:val="single" w:sz="2" w:space="0" w:color="000000"/>
              <w:left w:val="single" w:sz="4" w:space="0" w:color="FFFFFF"/>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Resultado</w:t>
            </w:r>
          </w:p>
        </w:tc>
        <w:tc>
          <w:tcPr>
            <w:tcW w:w="900" w:type="dxa"/>
            <w:tcBorders>
              <w:top w:val="single" w:sz="2" w:space="0" w:color="000000"/>
              <w:left w:val="single" w:sz="4" w:space="0" w:color="FFFFFF"/>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Periodicidad de medición</w:t>
            </w:r>
          </w:p>
        </w:tc>
        <w:tc>
          <w:tcPr>
            <w:tcW w:w="1785" w:type="dxa"/>
            <w:tcBorders>
              <w:top w:val="single" w:sz="2" w:space="0" w:color="000000"/>
              <w:left w:val="single" w:sz="4" w:space="0" w:color="FFFFFF"/>
              <w:bottom w:val="single" w:sz="2" w:space="0" w:color="000000"/>
              <w:right w:val="single" w:sz="2" w:space="0" w:color="000000"/>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Procedencia</w:t>
            </w:r>
          </w:p>
        </w:tc>
      </w:tr>
      <w:tr>
        <w:tblPrEx>
          <w:tblW w:w="8520" w:type="dxa"/>
          <w:tblInd w:w="1417" w:type="dxa"/>
          <w:tblLayout w:type="fixed"/>
        </w:tblPrEx>
        <w:trPr>
          <w:cantSplit/>
          <w:trHeight w:hRule="auto" w:val="0"/>
        </w:trPr>
        <w:tc>
          <w:tcPr>
            <w:tcW w:w="19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Nivel de endeudamiento.</w:t>
            </w:r>
          </w:p>
        </w:tc>
        <w:tc>
          <w:tcPr>
            <w:tcW w:w="177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Deuda Financiera Neta / EBITDA Ajustado Consolidado</w:t>
            </w:r>
          </w:p>
        </w:tc>
        <w:tc>
          <w:tcPr>
            <w:tcW w:w="12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&lt; o = 7,0 veces</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4,2 Veces</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Trimestral</w:t>
            </w:r>
          </w:p>
        </w:tc>
        <w:tc>
          <w:tcPr>
            <w:tcW w:w="178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Bonos</w:t>
            </w:r>
          </w:p>
        </w:tc>
      </w:tr>
      <w:tr>
        <w:tblPrEx>
          <w:tblW w:w="8520" w:type="dxa"/>
          <w:tblInd w:w="1417" w:type="dxa"/>
          <w:tblLayout w:type="fixed"/>
        </w:tblPrEx>
        <w:trPr>
          <w:cantSplit/>
          <w:trHeight w:hRule="auto" w:val="0"/>
        </w:trPr>
        <w:tc>
          <w:tcPr>
            <w:tcW w:w="19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Cobertura de Gastos Financieros.</w:t>
            </w:r>
          </w:p>
        </w:tc>
        <w:tc>
          <w:tcPr>
            <w:tcW w:w="177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EBITDA Ajustado Consolidado/Gastos Financieros Netos</w:t>
            </w:r>
          </w:p>
        </w:tc>
        <w:tc>
          <w:tcPr>
            <w:tcW w:w="12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&gt; 2,0 veces</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4,33 Veces</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Trimestral</w:t>
            </w:r>
          </w:p>
        </w:tc>
        <w:tc>
          <w:tcPr>
            <w:tcW w:w="178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Bonos</w:t>
            </w:r>
          </w:p>
        </w:tc>
      </w:tr>
      <w:tr>
        <w:tblPrEx>
          <w:tblW w:w="8520" w:type="dxa"/>
          <w:tblInd w:w="1417" w:type="dxa"/>
          <w:tblLayout w:type="fixed"/>
        </w:tblPrEx>
        <w:trPr>
          <w:cantSplit/>
          <w:trHeight w:hRule="auto" w:val="0"/>
        </w:trPr>
        <w:tc>
          <w:tcPr>
            <w:tcW w:w="19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Razón de Endeudamiento.</w:t>
            </w:r>
          </w:p>
        </w:tc>
        <w:tc>
          <w:tcPr>
            <w:tcW w:w="177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Total Pasivos / Total Activos</w:t>
            </w:r>
          </w:p>
        </w:tc>
        <w:tc>
          <w:tcPr>
            <w:tcW w:w="12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&lt; o = 0,8 veces</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0,65 Veces</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Trimestral</w:t>
            </w:r>
          </w:p>
        </w:tc>
        <w:tc>
          <w:tcPr>
            <w:tcW w:w="178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China Development Bank</w:t>
            </w:r>
          </w:p>
        </w:tc>
      </w:tr>
      <w:tr>
        <w:tblPrEx>
          <w:tblW w:w="8520" w:type="dxa"/>
          <w:tblInd w:w="1417" w:type="dxa"/>
          <w:tblLayout w:type="fixed"/>
        </w:tblPrEx>
        <w:trPr>
          <w:cantSplit/>
          <w:trHeight w:hRule="exact" w:val="60"/>
        </w:trPr>
        <w:tc>
          <w:tcPr>
            <w:tcW w:w="19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77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78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20" w:type="dxa"/>
          <w:tblInd w:w="1417" w:type="dxa"/>
          <w:tblLayout w:type="fixed"/>
        </w:tblPrEx>
        <w:trPr>
          <w:cantSplit/>
          <w:trHeight w:hRule="auto" w:val="0"/>
        </w:trPr>
        <w:tc>
          <w:tcPr>
            <w:tcW w:w="3735" w:type="dxa"/>
            <w:gridSpan w:val="2"/>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Otros Resguardos: Causal de Rescate Anticipado Voluntario</w:t>
            </w:r>
          </w:p>
        </w:tc>
        <w:tc>
          <w:tcPr>
            <w:tcW w:w="120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78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20" w:type="dxa"/>
          <w:tblInd w:w="1417" w:type="dxa"/>
          <w:tblLayout w:type="fixed"/>
        </w:tblPrEx>
        <w:trPr>
          <w:cantSplit/>
          <w:trHeight w:hRule="exact" w:val="60"/>
        </w:trPr>
        <w:tc>
          <w:tcPr>
            <w:tcW w:w="196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77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78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20" w:type="dxa"/>
          <w:tblInd w:w="1417" w:type="dxa"/>
          <w:tblLayout w:type="fixed"/>
        </w:tblPrEx>
        <w:trPr>
          <w:cantSplit/>
          <w:trHeight w:hRule="auto" w:val="0"/>
        </w:trPr>
        <w:tc>
          <w:tcPr>
            <w:tcW w:w="19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line="240" w:lineRule="auto"/>
              <w:jc w:val="left"/>
            </w:pPr>
            <w:r>
              <w:rPr>
                <w:rFonts w:ascii="Calibri" w:eastAsia="Calibri" w:hAnsi="Calibri" w:cs="Calibri"/>
                <w:b w:val="0"/>
                <w:i w:val="0"/>
                <w:color w:val="000000"/>
                <w:sz w:val="16"/>
                <w:u w:val="none"/>
              </w:rPr>
              <w:t xml:space="preserve">Causal de Rescate </w:t>
            </w:r>
          </w:p>
          <w:p>
            <w:pPr>
              <w:spacing w:after="0" w:line="240" w:lineRule="auto"/>
              <w:jc w:val="left"/>
            </w:pPr>
            <w:r>
              <w:rPr>
                <w:rFonts w:ascii="Calibri" w:eastAsia="Calibri" w:hAnsi="Calibri" w:cs="Calibri"/>
                <w:b w:val="0"/>
                <w:i w:val="0"/>
                <w:color w:val="000000"/>
                <w:sz w:val="16"/>
                <w:u w:val="none"/>
              </w:rPr>
              <w:t>Anticipado Voluntario.</w:t>
            </w:r>
          </w:p>
        </w:tc>
        <w:tc>
          <w:tcPr>
            <w:tcW w:w="177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6"/>
                <w:u w:val="none"/>
              </w:rPr>
              <w:t>Activos en transmisión y distribución de electricidad</w:t>
            </w:r>
          </w:p>
        </w:tc>
        <w:tc>
          <w:tcPr>
            <w:tcW w:w="12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6"/>
                <w:u w:val="none"/>
              </w:rPr>
              <w:t>&gt; o = 70% de Activos Totales</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6"/>
                <w:u w:val="none"/>
              </w:rPr>
              <w:t xml:space="preserve"> 98,6% de los Activos Totales </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6"/>
                <w:u w:val="none"/>
              </w:rPr>
              <w:t>Trimestral</w:t>
            </w:r>
          </w:p>
        </w:tc>
        <w:tc>
          <w:tcPr>
            <w:tcW w:w="178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6"/>
                <w:u w:val="none"/>
              </w:rPr>
              <w:t>Bonos</w:t>
            </w:r>
          </w:p>
        </w:tc>
      </w:tr>
    </w:tbl>
    <w:p>
      <w:pPr>
        <w:keepNext w:val="0"/>
        <w:keepLines/>
        <w:pageBreakBefore w:val="0"/>
        <w:widowControl w:val="0"/>
        <w:numPr>
          <w:ilvl w:val="0"/>
          <w:numId w:val="0"/>
        </w:numPr>
        <w:spacing w:before="0" w:after="0" w:line="288" w:lineRule="auto"/>
        <w:ind w:left="709" w:right="0" w:firstLine="709"/>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Al cierre de los estados financieros consolidados intermedios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la Sociedad y todas sus subsidiarias se encuentran en cumplimiento de sus restricciones y compromisos financieros.</w:t>
      </w:r>
    </w:p>
    <w:p>
      <w:pPr>
        <w:keepNext w:val="0"/>
        <w:keepLines/>
        <w:pageBreakBefore w:val="0"/>
        <w:widowControl w:val="0"/>
        <w:numPr>
          <w:ilvl w:val="0"/>
          <w:numId w:val="0"/>
        </w:numPr>
        <w:spacing w:before="0" w:after="0" w:line="288" w:lineRule="auto"/>
        <w:ind w:left="1418" w:right="0" w:firstLine="7"/>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Con fecha 24 de septiembre de 2021, la Junta Extraordinaria de Accionista de Compañía General de Electricidad S.A., que aprobó la división social de sí misma en una sociedad continuadora y una nueva sociedad anónima abierta (CGE Transmisión S.A.).</w:t>
      </w: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En dicha ocasión también se aprobó que CGE Transmisión S.A. se constituya en aval y/o fiador y/o codeudor solidario de Compañía General de Electricidad S.A. respecto de todas y cada una de las obligaciones presentes o futuras derivadas y/o emanadas de los contratos de emisión de bonos actualmente vigentes, como asimismo de sus prórrogas, renovaciones, reprogramaciones, modificaciones, novaciones o sustituciones totales o parciales.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40" w:lineRule="exact"/>
        <w:ind w:left="709" w:right="0" w:hanging="709"/>
        <w:jc w:val="both"/>
        <w:outlineLvl w:val="0"/>
        <w:rPr>
          <w:rFonts w:ascii="Cambria" w:eastAsia="Cambria" w:hAnsi="Cambria" w:cs="Cambria"/>
          <w:b/>
          <w:i w:val="0"/>
          <w:color w:val="365F91"/>
          <w:sz w:val="28"/>
          <w:u w:val="none"/>
        </w:rPr>
      </w:pPr>
      <w:bookmarkStart w:id="304" w:name="Section156"/>
      <w:bookmarkEnd w:id="304"/>
      <w:bookmarkStart w:id="305" w:name="7aec82103e0f43e2ac44340c3ebbe8f7"/>
      <w:r>
        <w:rPr>
          <w:rFonts w:ascii="Calibri" w:eastAsia="Calibri" w:hAnsi="Calibri" w:cs="Calibri"/>
          <w:b/>
          <w:i w:val="0"/>
          <w:color w:val="000000"/>
          <w:sz w:val="20"/>
          <w:u w:val="none"/>
        </w:rPr>
        <w:t>35.-</w:t>
      </w:r>
      <w:r>
        <w:rPr>
          <w:rFonts w:ascii="Calibri" w:eastAsia="Calibri" w:hAnsi="Calibri" w:cs="Calibri"/>
          <w:b/>
          <w:i w:val="0"/>
          <w:color w:val="000000"/>
          <w:sz w:val="20"/>
          <w:u w:val="none"/>
        </w:rPr>
        <w:tab/>
      </w:r>
      <w:r>
        <w:rPr>
          <w:rFonts w:ascii="Calibri" w:eastAsia="Calibri" w:hAnsi="Calibri" w:cs="Calibri"/>
          <w:b/>
          <w:i w:val="0"/>
          <w:color w:val="000000"/>
          <w:sz w:val="20"/>
          <w:u w:val="none"/>
        </w:rPr>
        <w:t xml:space="preserve">GARANTÍAS COMPROMETIDAS CON TERCEROS, OTROS ACTIVOS Y PASIVOS CONTINGENTES Y OTROS COMPROMISOS.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bookmarkEnd w:id="305"/>
    </w:p>
    <w:p>
      <w:pPr>
        <w:pStyle w:val="Normal-wk"/>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Al cierre de los estados financieros consolidados intermedios por el período terminado al </w:t>
      </w:r>
      <w:r>
        <w:rPr>
          <w:rFonts w:ascii="Calibri" w:eastAsia="Calibri" w:hAnsi="Calibri" w:cs="Calibri"/>
          <w:b w:val="0"/>
          <w:i w:val="0"/>
          <w:color w:val="000000"/>
          <w:sz w:val="20"/>
          <w:u w:val="none"/>
        </w:rPr>
        <w:t>30 de junio de 2026</w:t>
      </w:r>
      <w:r>
        <w:rPr>
          <w:rFonts w:ascii="Calibri" w:eastAsia="Calibri" w:hAnsi="Calibri" w:cs="Calibri"/>
          <w:b w:val="0"/>
          <w:i w:val="0"/>
          <w:sz w:val="20"/>
        </w:rPr>
        <w:t xml:space="preserve"> y el ejercicio terminado al  </w:t>
      </w:r>
      <w:r>
        <w:rPr>
          <w:rFonts w:ascii="Calibri" w:eastAsia="Calibri" w:hAnsi="Calibri" w:cs="Calibri"/>
          <w:b w:val="0"/>
          <w:i w:val="0"/>
          <w:color w:val="000000"/>
          <w:sz w:val="20"/>
          <w:u w:val="none"/>
        </w:rPr>
        <w:t>31 de diciembre de 2025</w:t>
      </w:r>
      <w:r>
        <w:rPr>
          <w:rFonts w:ascii="Calibri" w:eastAsia="Calibri" w:hAnsi="Calibri" w:cs="Calibri"/>
          <w:b w:val="0"/>
          <w:i w:val="0"/>
          <w:sz w:val="20"/>
        </w:rPr>
        <w:t>,</w:t>
      </w:r>
      <w:r>
        <w:rPr>
          <w:rFonts w:ascii="Calibri" w:eastAsia="Calibri" w:hAnsi="Calibri" w:cs="Calibri"/>
          <w:b w:val="0"/>
          <w:i w:val="0"/>
          <w:color w:val="000000"/>
          <w:sz w:val="20"/>
          <w:u w:val="none"/>
        </w:rPr>
        <w:t xml:space="preserve"> la Sociedad y subsidiarias no registran garantías materiales comprometidas con terceros.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mbria" w:eastAsia="Cambria" w:hAnsi="Cambria" w:cs="Cambria"/>
          <w:b/>
          <w:i w:val="0"/>
          <w:color w:val="365F91"/>
          <w:sz w:val="28"/>
          <w:u w:val="none"/>
        </w:rPr>
      </w:pPr>
      <w:bookmarkStart w:id="306" w:name="Section157"/>
      <w:bookmarkEnd w:id="306"/>
    </w:p>
    <w:p>
      <w:pPr>
        <w:pStyle w:val="Heading1-wk"/>
        <w:keepNext/>
        <w:keepLines/>
        <w:pageBreakBefore/>
        <w:widowControl w:val="0"/>
        <w:numPr>
          <w:ilvl w:val="0"/>
          <w:numId w:val="0"/>
        </w:numPr>
        <w:tabs>
          <w:tab w:val="left" w:pos="700"/>
        </w:tabs>
        <w:spacing w:before="0" w:after="0" w:line="200" w:lineRule="exact"/>
        <w:ind w:left="0" w:right="0" w:firstLine="0"/>
        <w:jc w:val="left"/>
        <w:outlineLvl w:val="0"/>
        <w:rPr>
          <w:rFonts w:ascii="Cambria" w:eastAsia="Cambria" w:hAnsi="Cambria" w:cs="Cambria"/>
          <w:b/>
          <w:i w:val="0"/>
          <w:color w:val="365F91"/>
          <w:sz w:val="28"/>
          <w:u w:val="none"/>
        </w:rPr>
      </w:pPr>
      <w:bookmarkStart w:id="307" w:name="9a3b1e82ff1a4288bd3ffca501ffc0b9"/>
      <w:r>
        <w:rPr>
          <w:rFonts w:ascii="Calibri" w:eastAsia="Calibri" w:hAnsi="Calibri" w:cs="Calibri"/>
          <w:b/>
          <w:i w:val="0"/>
          <w:color w:val="000000"/>
          <w:sz w:val="20"/>
          <w:u w:val="none"/>
        </w:rPr>
        <w:t>36.-</w:t>
      </w:r>
      <w:r>
        <w:rPr>
          <w:rFonts w:ascii="Calibri" w:eastAsia="Calibri" w:hAnsi="Calibri" w:cs="Calibri"/>
          <w:b/>
          <w:i w:val="0"/>
          <w:color w:val="000000"/>
          <w:sz w:val="20"/>
          <w:u w:val="none"/>
        </w:rPr>
        <w:tab/>
      </w:r>
      <w:r>
        <w:rPr>
          <w:rFonts w:ascii="Calibri" w:eastAsia="Calibri" w:hAnsi="Calibri" w:cs="Calibri"/>
          <w:b/>
          <w:i w:val="0"/>
          <w:color w:val="000000"/>
          <w:sz w:val="20"/>
          <w:u w:val="none"/>
        </w:rPr>
        <w:t>DISTRIBUCIÓN DEL PERSONAL.</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307"/>
    </w:p>
    <w:p>
      <w:pPr>
        <w:pStyle w:val="Normal-wk"/>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distribución de personal de CGE Transmisión S.A. y subsidiarias por el período terminado al </w:t>
      </w:r>
      <w:r>
        <w:rPr>
          <w:rFonts w:ascii="Calibri" w:eastAsia="Calibri" w:hAnsi="Calibri" w:cs="Calibri"/>
          <w:b w:val="0"/>
          <w:i w:val="0"/>
          <w:color w:val="000000"/>
          <w:sz w:val="20"/>
          <w:u w:val="none"/>
        </w:rPr>
        <w:t>30 de junio de 2026</w:t>
      </w:r>
      <w:r>
        <w:rPr>
          <w:rFonts w:ascii="Calibri" w:eastAsia="Calibri" w:hAnsi="Calibri" w:cs="Calibri"/>
          <w:b w:val="0"/>
          <w:i w:val="0"/>
          <w:sz w:val="20"/>
        </w:rPr>
        <w:t xml:space="preserve"> y el ejercicio terminado al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 xml:space="preserve"> es la siguiente: </w:t>
      </w:r>
    </w:p>
    <w:p>
      <w:pPr>
        <w:keepNext w:val="0"/>
        <w:keepLines/>
        <w:pageBreakBefore w:val="0"/>
        <w:widowControl w:val="0"/>
        <w:numPr>
          <w:ilvl w:val="0"/>
          <w:numId w:val="0"/>
        </w:numPr>
        <w:tabs>
          <w:tab w:val="left" w:pos="700"/>
        </w:tabs>
        <w:spacing w:before="0" w:after="0" w:line="288" w:lineRule="auto"/>
        <w:ind w:left="709" w:right="0" w:firstLine="0"/>
        <w:jc w:val="both"/>
        <w:outlineLvl w:val="9"/>
        <w:rPr>
          <w:rFonts w:ascii="Calibri" w:eastAsia="Calibri" w:hAnsi="Calibri" w:cs="Calibri"/>
          <w:b w:val="0"/>
          <w:i w:val="0"/>
          <w:color w:val="000000"/>
          <w:sz w:val="20"/>
          <w:u w:val="none"/>
        </w:rPr>
      </w:pPr>
    </w:p>
    <w:tbl>
      <w:tblPr>
        <w:tblW w:w="9240"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765"/>
        <w:gridCol w:w="1095"/>
        <w:gridCol w:w="1095"/>
        <w:gridCol w:w="1095"/>
        <w:gridCol w:w="1095"/>
        <w:gridCol w:w="1095"/>
      </w:tblGrid>
      <w:tr>
        <w:tblPrEx>
          <w:tblW w:w="9240" w:type="dxa"/>
          <w:tblInd w:w="709" w:type="dxa"/>
          <w:tblLayout w:type="fixed"/>
        </w:tblPrEx>
        <w:trPr>
          <w:cantSplit/>
          <w:trHeight w:hRule="auto" w:val="0"/>
        </w:trPr>
        <w:tc>
          <w:tcPr>
            <w:tcW w:w="3765"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 xml:space="preserve"> Área </w:t>
            </w:r>
          </w:p>
        </w:tc>
        <w:tc>
          <w:tcPr>
            <w:tcW w:w="4380" w:type="dxa"/>
            <w:gridSpan w:val="4"/>
            <w:tcBorders>
              <w:top w:val="single" w:sz="2" w:space="0" w:color="000000"/>
              <w:left w:val="nil"/>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095" w:type="dxa"/>
            <w:vMerge w:val="restart"/>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 xml:space="preserve"> Promedio del ejercicio </w:t>
            </w:r>
          </w:p>
        </w:tc>
      </w:tr>
      <w:tr>
        <w:tblPrEx>
          <w:tblW w:w="9240" w:type="dxa"/>
          <w:tblInd w:w="709" w:type="dxa"/>
          <w:tblLayout w:type="fixed"/>
        </w:tblPrEx>
        <w:trPr>
          <w:cantSplit/>
          <w:trHeight w:hRule="auto" w:val="0"/>
        </w:trPr>
        <w:tc>
          <w:tcPr>
            <w:tcW w:w="3765" w:type="dxa"/>
            <w:vMerge/>
            <w:tcBorders>
              <w:top w:val="nil"/>
              <w:left w:val="single" w:sz="2" w:space="0" w:color="000000"/>
              <w:bottom w:val="nil"/>
              <w:right w:val="single" w:sz="4" w:space="0" w:color="FFFFFF"/>
            </w:tcBorders>
          </w:tcPr>
          <w:p>
            <w:pPr>
              <w:keepNext/>
              <w:pageBreakBefore w:val="0"/>
            </w:pPr>
          </w:p>
        </w:tc>
        <w:tc>
          <w:tcPr>
            <w:tcW w:w="1095" w:type="dxa"/>
            <w:vMerge w:val="restart"/>
            <w:tcBorders>
              <w:top w:val="nil"/>
              <w:left w:val="nil"/>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 xml:space="preserve"> Gerentes y ejecutivos principales </w:t>
            </w:r>
          </w:p>
        </w:tc>
        <w:tc>
          <w:tcPr>
            <w:tcW w:w="1095" w:type="dxa"/>
            <w:vMerge w:val="restart"/>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 xml:space="preserve"> Profesionales y técnicos </w:t>
            </w:r>
          </w:p>
        </w:tc>
        <w:tc>
          <w:tcPr>
            <w:tcW w:w="1095" w:type="dxa"/>
            <w:vMerge w:val="restart"/>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 xml:space="preserve"> Trabajadores y otros </w:t>
            </w:r>
          </w:p>
        </w:tc>
        <w:tc>
          <w:tcPr>
            <w:tcW w:w="1095" w:type="dxa"/>
            <w:vMerge w:val="restart"/>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 xml:space="preserve"> Total </w:t>
            </w:r>
          </w:p>
        </w:tc>
        <w:tc>
          <w:tcPr>
            <w:tcW w:w="1095" w:type="dxa"/>
            <w:vMerge/>
            <w:tcBorders>
              <w:top w:val="nil"/>
              <w:left w:val="single" w:sz="4" w:space="0" w:color="FFFFFF"/>
              <w:bottom w:val="nil"/>
              <w:right w:val="single" w:sz="2" w:space="0" w:color="000000"/>
            </w:tcBorders>
          </w:tcPr>
          <w:p>
            <w:pPr>
              <w:keepNext/>
              <w:pageBreakBefore w:val="0"/>
            </w:pPr>
          </w:p>
        </w:tc>
      </w:tr>
      <w:tr>
        <w:tblPrEx>
          <w:tblW w:w="9240" w:type="dxa"/>
          <w:tblInd w:w="709" w:type="dxa"/>
          <w:tblLayout w:type="fixed"/>
        </w:tblPrEx>
        <w:trPr>
          <w:cantSplit/>
          <w:trHeight w:hRule="auto" w:val="0"/>
        </w:trPr>
        <w:tc>
          <w:tcPr>
            <w:tcW w:w="3765" w:type="dxa"/>
            <w:vMerge/>
            <w:tcBorders>
              <w:top w:val="nil"/>
              <w:left w:val="single" w:sz="2" w:space="0" w:color="000000"/>
              <w:bottom w:val="single" w:sz="2" w:space="0" w:color="000000"/>
              <w:right w:val="single" w:sz="4" w:space="0" w:color="FFFFFF"/>
            </w:tcBorders>
          </w:tcPr>
          <w:p>
            <w:pPr>
              <w:keepNext/>
              <w:pageBreakBefore w:val="0"/>
            </w:pPr>
          </w:p>
        </w:tc>
        <w:tc>
          <w:tcPr>
            <w:tcW w:w="1095" w:type="dxa"/>
            <w:vMerge/>
            <w:tcBorders>
              <w:top w:val="nil"/>
              <w:left w:val="nil"/>
              <w:bottom w:val="single" w:sz="2" w:space="0" w:color="000000"/>
              <w:right w:val="nil"/>
            </w:tcBorders>
          </w:tcPr>
          <w:p>
            <w:pPr>
              <w:keepNext/>
              <w:pageBreakBefore w:val="0"/>
            </w:pPr>
          </w:p>
        </w:tc>
        <w:tc>
          <w:tcPr>
            <w:tcW w:w="1095" w:type="dxa"/>
            <w:vMerge/>
            <w:tcBorders>
              <w:top w:val="nil"/>
              <w:left w:val="single" w:sz="4" w:space="0" w:color="FFFFFF"/>
              <w:bottom w:val="single" w:sz="2" w:space="0" w:color="000000"/>
              <w:right w:val="nil"/>
            </w:tcBorders>
          </w:tcPr>
          <w:p>
            <w:pPr>
              <w:keepNext/>
              <w:pageBreakBefore w:val="0"/>
            </w:pPr>
          </w:p>
        </w:tc>
        <w:tc>
          <w:tcPr>
            <w:tcW w:w="1095" w:type="dxa"/>
            <w:vMerge/>
            <w:tcBorders>
              <w:top w:val="nil"/>
              <w:left w:val="single" w:sz="4" w:space="0" w:color="FFFFFF"/>
              <w:bottom w:val="single" w:sz="2" w:space="0" w:color="000000"/>
              <w:right w:val="nil"/>
            </w:tcBorders>
          </w:tcPr>
          <w:p>
            <w:pPr>
              <w:keepNext/>
              <w:pageBreakBefore w:val="0"/>
            </w:pPr>
          </w:p>
        </w:tc>
        <w:tc>
          <w:tcPr>
            <w:tcW w:w="1095" w:type="dxa"/>
            <w:vMerge/>
            <w:tcBorders>
              <w:top w:val="nil"/>
              <w:left w:val="single" w:sz="4" w:space="0" w:color="FFFFFF"/>
              <w:bottom w:val="single" w:sz="2" w:space="0" w:color="000000"/>
              <w:right w:val="nil"/>
            </w:tcBorders>
          </w:tcPr>
          <w:p>
            <w:pPr>
              <w:keepNext/>
              <w:pageBreakBefore w:val="0"/>
            </w:pPr>
          </w:p>
        </w:tc>
        <w:tc>
          <w:tcPr>
            <w:tcW w:w="1095" w:type="dxa"/>
            <w:vMerge/>
            <w:tcBorders>
              <w:top w:val="nil"/>
              <w:left w:val="single" w:sz="4" w:space="0" w:color="FFFFFF"/>
              <w:bottom w:val="single" w:sz="2" w:space="0" w:color="000000"/>
              <w:right w:val="single" w:sz="2" w:space="0" w:color="000000"/>
            </w:tcBorders>
          </w:tcPr>
          <w:p>
            <w:pPr>
              <w:keepNext/>
              <w:pageBreakBefore w:val="0"/>
            </w:pPr>
          </w:p>
        </w:tc>
      </w:tr>
      <w:tr>
        <w:tblPrEx>
          <w:tblW w:w="9240" w:type="dxa"/>
          <w:tblInd w:w="709" w:type="dxa"/>
          <w:tblLayout w:type="fixed"/>
        </w:tblPrEx>
        <w:trPr>
          <w:cantSplit/>
          <w:trHeight w:hRule="exact" w:val="60"/>
        </w:trPr>
        <w:tc>
          <w:tcPr>
            <w:tcW w:w="37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240" w:type="dxa"/>
          <w:tblInd w:w="709" w:type="dxa"/>
          <w:tblLayout w:type="fixed"/>
        </w:tblPrEx>
        <w:trPr>
          <w:cantSplit/>
          <w:trHeight w:hRule="auto" w:val="0"/>
        </w:trPr>
        <w:tc>
          <w:tcPr>
            <w:tcW w:w="3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CGE Transmisión S.A.</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23</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127</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16</w:t>
            </w:r>
          </w:p>
        </w:tc>
        <w:tc>
          <w:tcPr>
            <w:tcW w:w="1095"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166</w:t>
            </w: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162</w:t>
            </w:r>
          </w:p>
        </w:tc>
      </w:tr>
      <w:tr>
        <w:tblPrEx>
          <w:tblW w:w="9240" w:type="dxa"/>
          <w:tblInd w:w="709" w:type="dxa"/>
          <w:tblLayout w:type="fixed"/>
        </w:tblPrEx>
        <w:trPr>
          <w:cantSplit/>
          <w:trHeight w:hRule="auto" w:val="0"/>
        </w:trPr>
        <w:tc>
          <w:tcPr>
            <w:tcW w:w="3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Transformadores Tusan S.A. y subsidiaria.</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0</w:t>
            </w: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9240" w:type="dxa"/>
          <w:tblInd w:w="709" w:type="dxa"/>
          <w:tblLayout w:type="fixed"/>
        </w:tblPrEx>
        <w:trPr>
          <w:cantSplit/>
          <w:trHeight w:hRule="auto" w:val="0"/>
        </w:trPr>
        <w:tc>
          <w:tcPr>
            <w:tcW w:w="3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CGE Comercializadora SpA.</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33</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4" w:space="0" w:color="FFFFFF"/>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37</w:t>
            </w: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38</w:t>
            </w:r>
          </w:p>
        </w:tc>
      </w:tr>
      <w:tr>
        <w:tblPrEx>
          <w:tblW w:w="9240" w:type="dxa"/>
          <w:tblInd w:w="709" w:type="dxa"/>
          <w:tblLayout w:type="fixed"/>
        </w:tblPrEx>
        <w:trPr>
          <w:cantSplit/>
          <w:trHeight w:hRule="exact" w:val="60"/>
        </w:trPr>
        <w:tc>
          <w:tcPr>
            <w:tcW w:w="37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240" w:type="dxa"/>
          <w:tblInd w:w="709" w:type="dxa"/>
          <w:tblLayout w:type="fixed"/>
        </w:tblPrEx>
        <w:trPr>
          <w:cantSplit/>
          <w:trHeight w:hRule="auto" w:val="0"/>
        </w:trPr>
        <w:tc>
          <w:tcPr>
            <w:tcW w:w="3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 xml:space="preserve"> Total </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27</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160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16</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203</w:t>
            </w:r>
          </w:p>
        </w:tc>
        <w:tc>
          <w:tcPr>
            <w:tcW w:w="10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200</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9240"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765"/>
        <w:gridCol w:w="1095"/>
        <w:gridCol w:w="1095"/>
        <w:gridCol w:w="1095"/>
        <w:gridCol w:w="1095"/>
        <w:gridCol w:w="1095"/>
      </w:tblGrid>
      <w:tr>
        <w:tblPrEx>
          <w:tblW w:w="9240" w:type="dxa"/>
          <w:tblInd w:w="709" w:type="dxa"/>
          <w:tblLayout w:type="fixed"/>
        </w:tblPrEx>
        <w:trPr>
          <w:cantSplit/>
          <w:trHeight w:hRule="auto" w:val="0"/>
        </w:trPr>
        <w:tc>
          <w:tcPr>
            <w:tcW w:w="3765"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 xml:space="preserve"> Área </w:t>
            </w:r>
          </w:p>
        </w:tc>
        <w:tc>
          <w:tcPr>
            <w:tcW w:w="4380" w:type="dxa"/>
            <w:gridSpan w:val="4"/>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c>
          <w:tcPr>
            <w:tcW w:w="1095" w:type="dxa"/>
            <w:vMerge w:val="restart"/>
            <w:tcBorders>
              <w:top w:val="single" w:sz="2" w:space="0" w:color="000000"/>
              <w:left w:val="nil"/>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 xml:space="preserve"> Promedio del ejercicio </w:t>
            </w:r>
          </w:p>
        </w:tc>
      </w:tr>
      <w:tr>
        <w:tblPrEx>
          <w:tblW w:w="9240" w:type="dxa"/>
          <w:tblInd w:w="709" w:type="dxa"/>
          <w:tblLayout w:type="fixed"/>
        </w:tblPrEx>
        <w:trPr>
          <w:cantSplit/>
          <w:trHeight w:hRule="auto" w:val="0"/>
        </w:trPr>
        <w:tc>
          <w:tcPr>
            <w:tcW w:w="3765" w:type="dxa"/>
            <w:vMerge/>
            <w:tcBorders>
              <w:top w:val="nil"/>
              <w:left w:val="single" w:sz="2" w:space="0" w:color="000000"/>
              <w:bottom w:val="nil"/>
              <w:right w:val="single" w:sz="4" w:space="0" w:color="FFFFFF"/>
            </w:tcBorders>
          </w:tcPr>
          <w:p>
            <w:pPr>
              <w:keepNext/>
              <w:pageBreakBefore w:val="0"/>
            </w:pPr>
          </w:p>
        </w:tc>
        <w:tc>
          <w:tcPr>
            <w:tcW w:w="1095" w:type="dxa"/>
            <w:vMerge w:val="restart"/>
            <w:tcBorders>
              <w:top w:val="nil"/>
              <w:left w:val="nil"/>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 xml:space="preserve"> Gerentes y ejecutivos principales </w:t>
            </w:r>
          </w:p>
        </w:tc>
        <w:tc>
          <w:tcPr>
            <w:tcW w:w="1095" w:type="dxa"/>
            <w:vMerge w:val="restart"/>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 xml:space="preserve"> Profesionales y técnicos </w:t>
            </w:r>
          </w:p>
        </w:tc>
        <w:tc>
          <w:tcPr>
            <w:tcW w:w="1095" w:type="dxa"/>
            <w:vMerge w:val="restart"/>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 xml:space="preserve"> Trabajadores y otros </w:t>
            </w:r>
          </w:p>
        </w:tc>
        <w:tc>
          <w:tcPr>
            <w:tcW w:w="1095" w:type="dxa"/>
            <w:vMerge w:val="restart"/>
            <w:tcBorders>
              <w:top w:val="nil"/>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 xml:space="preserve"> Total </w:t>
            </w:r>
          </w:p>
        </w:tc>
        <w:tc>
          <w:tcPr>
            <w:tcW w:w="1095" w:type="dxa"/>
            <w:vMerge/>
            <w:tcBorders>
              <w:top w:val="nil"/>
              <w:left w:val="nil"/>
              <w:bottom w:val="nil"/>
              <w:right w:val="single" w:sz="2" w:space="0" w:color="000000"/>
            </w:tcBorders>
          </w:tcPr>
          <w:p>
            <w:pPr>
              <w:keepNext/>
              <w:pageBreakBefore w:val="0"/>
            </w:pPr>
          </w:p>
        </w:tc>
      </w:tr>
      <w:tr>
        <w:tblPrEx>
          <w:tblW w:w="9240" w:type="dxa"/>
          <w:tblInd w:w="709" w:type="dxa"/>
          <w:tblLayout w:type="fixed"/>
        </w:tblPrEx>
        <w:trPr>
          <w:cantSplit/>
          <w:trHeight w:hRule="auto" w:val="0"/>
        </w:trPr>
        <w:tc>
          <w:tcPr>
            <w:tcW w:w="3765" w:type="dxa"/>
            <w:vMerge/>
            <w:tcBorders>
              <w:top w:val="nil"/>
              <w:left w:val="single" w:sz="2" w:space="0" w:color="000000"/>
              <w:bottom w:val="single" w:sz="2" w:space="0" w:color="000000"/>
              <w:right w:val="single" w:sz="4" w:space="0" w:color="FFFFFF"/>
            </w:tcBorders>
          </w:tcPr>
          <w:p>
            <w:pPr>
              <w:keepNext/>
              <w:pageBreakBefore w:val="0"/>
            </w:pPr>
          </w:p>
        </w:tc>
        <w:tc>
          <w:tcPr>
            <w:tcW w:w="1095" w:type="dxa"/>
            <w:vMerge/>
            <w:tcBorders>
              <w:top w:val="nil"/>
              <w:left w:val="nil"/>
              <w:bottom w:val="single" w:sz="2" w:space="0" w:color="000000"/>
              <w:right w:val="nil"/>
            </w:tcBorders>
          </w:tcPr>
          <w:p>
            <w:pPr>
              <w:keepNext/>
              <w:pageBreakBefore w:val="0"/>
            </w:pPr>
          </w:p>
        </w:tc>
        <w:tc>
          <w:tcPr>
            <w:tcW w:w="1095" w:type="dxa"/>
            <w:vMerge/>
            <w:tcBorders>
              <w:top w:val="nil"/>
              <w:left w:val="single" w:sz="4" w:space="0" w:color="FFFFFF"/>
              <w:bottom w:val="single" w:sz="2" w:space="0" w:color="000000"/>
              <w:right w:val="nil"/>
            </w:tcBorders>
          </w:tcPr>
          <w:p>
            <w:pPr>
              <w:keepNext/>
              <w:pageBreakBefore w:val="0"/>
            </w:pPr>
          </w:p>
        </w:tc>
        <w:tc>
          <w:tcPr>
            <w:tcW w:w="1095" w:type="dxa"/>
            <w:vMerge/>
            <w:tcBorders>
              <w:top w:val="nil"/>
              <w:left w:val="single" w:sz="4" w:space="0" w:color="FFFFFF"/>
              <w:bottom w:val="single" w:sz="2" w:space="0" w:color="000000"/>
              <w:right w:val="nil"/>
            </w:tcBorders>
          </w:tcPr>
          <w:p>
            <w:pPr>
              <w:keepNext/>
              <w:pageBreakBefore w:val="0"/>
            </w:pPr>
          </w:p>
        </w:tc>
        <w:tc>
          <w:tcPr>
            <w:tcW w:w="1095" w:type="dxa"/>
            <w:vMerge/>
            <w:tcBorders>
              <w:top w:val="nil"/>
              <w:left w:val="single" w:sz="4" w:space="0" w:color="FFFFFF"/>
              <w:bottom w:val="single" w:sz="2" w:space="0" w:color="000000"/>
              <w:right w:val="single" w:sz="4" w:space="0" w:color="FFFFFF"/>
            </w:tcBorders>
          </w:tcPr>
          <w:p>
            <w:pPr>
              <w:keepNext/>
              <w:pageBreakBefore w:val="0"/>
            </w:pPr>
          </w:p>
        </w:tc>
        <w:tc>
          <w:tcPr>
            <w:tcW w:w="1095" w:type="dxa"/>
            <w:vMerge/>
            <w:tcBorders>
              <w:top w:val="nil"/>
              <w:left w:val="nil"/>
              <w:bottom w:val="single" w:sz="2" w:space="0" w:color="000000"/>
              <w:right w:val="single" w:sz="2" w:space="0" w:color="000000"/>
            </w:tcBorders>
          </w:tcPr>
          <w:p>
            <w:pPr>
              <w:keepNext/>
              <w:pageBreakBefore w:val="0"/>
            </w:pPr>
          </w:p>
        </w:tc>
      </w:tr>
      <w:tr>
        <w:tblPrEx>
          <w:tblW w:w="9240" w:type="dxa"/>
          <w:tblInd w:w="709" w:type="dxa"/>
          <w:tblLayout w:type="fixed"/>
        </w:tblPrEx>
        <w:trPr>
          <w:cantSplit/>
          <w:trHeight w:hRule="exact" w:val="60"/>
        </w:trPr>
        <w:tc>
          <w:tcPr>
            <w:tcW w:w="37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240" w:type="dxa"/>
          <w:tblInd w:w="709" w:type="dxa"/>
          <w:tblLayout w:type="fixed"/>
        </w:tblPrEx>
        <w:trPr>
          <w:cantSplit/>
          <w:trHeight w:hRule="auto" w:val="0"/>
        </w:trPr>
        <w:tc>
          <w:tcPr>
            <w:tcW w:w="3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CGE Transmisión S.A.</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23</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119</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16</w:t>
            </w:r>
          </w:p>
        </w:tc>
        <w:tc>
          <w:tcPr>
            <w:tcW w:w="1095"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158</w:t>
            </w: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156</w:t>
            </w:r>
          </w:p>
        </w:tc>
      </w:tr>
      <w:tr>
        <w:tblPrEx>
          <w:tblW w:w="9240" w:type="dxa"/>
          <w:tblInd w:w="709" w:type="dxa"/>
          <w:tblLayout w:type="fixed"/>
        </w:tblPrEx>
        <w:trPr>
          <w:cantSplit/>
          <w:trHeight w:hRule="auto" w:val="0"/>
        </w:trPr>
        <w:tc>
          <w:tcPr>
            <w:tcW w:w="3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Transformadores Tusan S.A. y subsidiaria.</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44</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173</w:t>
            </w:r>
          </w:p>
        </w:tc>
        <w:tc>
          <w:tcPr>
            <w:tcW w:w="109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221</w:t>
            </w: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216</w:t>
            </w:r>
          </w:p>
        </w:tc>
      </w:tr>
      <w:tr>
        <w:tblPrEx>
          <w:tblW w:w="9240" w:type="dxa"/>
          <w:tblInd w:w="709" w:type="dxa"/>
          <w:tblLayout w:type="fixed"/>
        </w:tblPrEx>
        <w:trPr>
          <w:cantSplit/>
          <w:trHeight w:hRule="auto" w:val="0"/>
        </w:trPr>
        <w:tc>
          <w:tcPr>
            <w:tcW w:w="3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CGE Comercializadora SpA.</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5</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33</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4" w:space="0" w:color="FFFFFF"/>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38</w:t>
            </w: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40</w:t>
            </w:r>
          </w:p>
        </w:tc>
      </w:tr>
      <w:tr>
        <w:tblPrEx>
          <w:tblW w:w="9240" w:type="dxa"/>
          <w:tblInd w:w="709" w:type="dxa"/>
          <w:tblLayout w:type="fixed"/>
        </w:tblPrEx>
        <w:trPr>
          <w:cantSplit/>
          <w:trHeight w:hRule="exact" w:val="60"/>
        </w:trPr>
        <w:tc>
          <w:tcPr>
            <w:tcW w:w="37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240" w:type="dxa"/>
          <w:tblInd w:w="709" w:type="dxa"/>
          <w:tblLayout w:type="fixed"/>
        </w:tblPrEx>
        <w:trPr>
          <w:cantSplit/>
          <w:trHeight w:hRule="auto" w:val="0"/>
        </w:trPr>
        <w:tc>
          <w:tcPr>
            <w:tcW w:w="3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 xml:space="preserve"> Total </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32</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196</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189</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417</w:t>
            </w:r>
          </w:p>
        </w:tc>
        <w:tc>
          <w:tcPr>
            <w:tcW w:w="10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412</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left"/>
        <w:outlineLvl w:val="0"/>
        <w:rPr>
          <w:rFonts w:ascii="Cambria" w:eastAsia="Cambria" w:hAnsi="Cambria" w:cs="Cambria"/>
          <w:b/>
          <w:i w:val="0"/>
          <w:color w:val="365F91"/>
          <w:sz w:val="28"/>
          <w:u w:val="none"/>
        </w:rPr>
      </w:pPr>
      <w:bookmarkStart w:id="308" w:name="Section158"/>
      <w:bookmarkEnd w:id="308"/>
      <w:bookmarkStart w:id="309" w:name="9bd6d5d412374cdbbded833f530fb099"/>
      <w:r>
        <w:rPr>
          <w:rFonts w:ascii="Calibri" w:eastAsia="Calibri" w:hAnsi="Calibri" w:cs="Calibri"/>
          <w:b/>
          <w:i w:val="0"/>
          <w:color w:val="000000"/>
          <w:sz w:val="20"/>
          <w:u w:val="none"/>
        </w:rPr>
        <w:t>37.-</w:t>
      </w:r>
      <w:r>
        <w:rPr>
          <w:rFonts w:ascii="Calibri" w:eastAsia="Calibri" w:hAnsi="Calibri" w:cs="Calibri"/>
          <w:b/>
          <w:i w:val="0"/>
          <w:color w:val="000000"/>
          <w:sz w:val="20"/>
          <w:u w:val="none"/>
        </w:rPr>
        <w:tab/>
      </w:r>
      <w:r>
        <w:rPr>
          <w:rFonts w:ascii="Calibri" w:eastAsia="Calibri" w:hAnsi="Calibri" w:cs="Calibri"/>
          <w:b/>
          <w:i w:val="0"/>
          <w:color w:val="000000"/>
          <w:sz w:val="20"/>
          <w:u w:val="none"/>
        </w:rPr>
        <w:t>MEDIO AMBIENTE.</w:t>
      </w:r>
    </w:p>
    <w:p>
      <w:pPr>
        <w:keepNext w:val="0"/>
        <w:keepLines/>
        <w:pageBreakBefore w:val="0"/>
        <w:widowControl w:val="0"/>
        <w:numPr>
          <w:ilvl w:val="0"/>
          <w:numId w:val="0"/>
        </w:numPr>
        <w:spacing w:before="0" w:after="0" w:line="288" w:lineRule="auto"/>
        <w:ind w:left="0" w:right="48" w:firstLine="0"/>
        <w:jc w:val="both"/>
        <w:outlineLvl w:val="9"/>
        <w:rPr>
          <w:rFonts w:ascii="Calibri" w:eastAsia="Calibri" w:hAnsi="Calibri" w:cs="Calibri"/>
          <w:b w:val="0"/>
          <w:i w:val="0"/>
          <w:color w:val="000000"/>
          <w:sz w:val="20"/>
          <w:u w:val="none"/>
        </w:rPr>
      </w:pPr>
      <w:bookmarkEnd w:id="309"/>
    </w:p>
    <w:p>
      <w:pPr>
        <w:pStyle w:val="Normal-wk"/>
        <w:keepNext w:val="0"/>
        <w:keepLines/>
        <w:pageBreakBefore w:val="0"/>
        <w:widowControl w:val="0"/>
        <w:numPr>
          <w:ilvl w:val="0"/>
          <w:numId w:val="0"/>
        </w:numPr>
        <w:spacing w:before="0" w:after="0" w:line="240" w:lineRule="exact"/>
        <w:ind w:left="70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Sociedad y sus subsidiarias, participan en el mercado de la transmisión de energía eléctrica principalmente, y más allá de la naturaleza eminentemente eficiente del sector, hacen esfuerzos permanentes por mejorar su desempeño ambiental. A su vez, estas empresas cumplen y hacen seguimiento proactivo a la normativa ambiental de manera de cumplirla cabalmente en forma sostenida. Además de lo anterior, todos los proyectos eléctricos en que la empresa participa cumplen con la normativa y reglamentación existente sobre la materia, los cuales incluyen, en proyectos que así lo requieran, ser sometidos a procesos de calificación ambiental, mediante el Servicio de Evaluación Ambiental. En este mismo sentido, estas empresas han suscrito el compromiso de medir su huella de carbono, iniciativa tendiente a identificar los impactos ambientales, en materia de gases de efecto invernadero, detectar las fuentes de emisión y eventualmente comprometer planes de reducción.</w:t>
      </w:r>
    </w:p>
    <w:p>
      <w:pPr>
        <w:keepNext w:val="0"/>
        <w:keepLines/>
        <w:pageBreakBefore w:val="0"/>
        <w:widowControl w:val="0"/>
        <w:numPr>
          <w:ilvl w:val="0"/>
          <w:numId w:val="0"/>
        </w:numPr>
        <w:spacing w:before="0" w:after="0" w:line="288" w:lineRule="auto"/>
        <w:ind w:left="708" w:right="48"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708" w:right="48" w:firstLine="0"/>
        <w:jc w:val="both"/>
        <w:outlineLvl w:val="9"/>
        <w:sectPr>
          <w:type w:val="continuous"/>
          <w:pgSz w:w="12240" w:h="15840"/>
          <w:pgMar w:top="1134" w:right="1134" w:bottom="1134" w:left="1134" w:header="0" w:footer="425"/>
          <w:cols w:space="708"/>
        </w:sectPr>
      </w:pPr>
    </w:p>
    <w:p>
      <w:pPr>
        <w:pStyle w:val="Normal-wk"/>
        <w:keepNext w:val="0"/>
        <w:keepLines/>
        <w:pageBreakBefore w:val="0"/>
        <w:widowControl w:val="0"/>
        <w:numPr>
          <w:ilvl w:val="0"/>
          <w:numId w:val="0"/>
        </w:numPr>
        <w:spacing w:before="0" w:after="0" w:line="288" w:lineRule="auto"/>
        <w:ind w:left="708" w:right="0" w:firstLine="0"/>
        <w:jc w:val="both"/>
        <w:outlineLvl w:val="0"/>
        <w:rPr>
          <w:rFonts w:ascii="Calibri" w:eastAsia="Calibri" w:hAnsi="Calibri" w:cs="Calibri"/>
          <w:b w:val="0"/>
          <w:i w:val="0"/>
          <w:color w:val="000000"/>
          <w:sz w:val="20"/>
          <w:u w:val="none"/>
        </w:rPr>
      </w:pPr>
      <w:bookmarkStart w:id="310" w:name="Section159"/>
      <w:bookmarkEnd w:id="310"/>
      <w:r>
        <w:rPr>
          <w:rFonts w:ascii="Calibri" w:eastAsia="Calibri" w:hAnsi="Calibri" w:cs="Calibri"/>
          <w:b w:val="0"/>
          <w:i w:val="0"/>
          <w:color w:val="000000"/>
          <w:sz w:val="20"/>
          <w:u w:val="none"/>
        </w:rPr>
        <w:t xml:space="preserve">El siguiente es el detalle de los desembolsos efectuados relacionados con normas de medioambiente al </w:t>
      </w:r>
      <w:r>
        <w:rPr>
          <w:rFonts w:ascii="Calibri" w:eastAsia="Calibri" w:hAnsi="Calibri" w:cs="Calibri"/>
          <w:b w:val="0"/>
          <w:i w:val="0"/>
          <w:color w:val="000000"/>
          <w:sz w:val="20"/>
          <w:u w:val="none"/>
        </w:rPr>
        <w:t>30 de junio de 2026</w:t>
      </w:r>
      <w:r>
        <w:rPr>
          <w:rFonts w:ascii="Calibri" w:eastAsia="Calibri" w:hAnsi="Calibri" w:cs="Calibri"/>
          <w:b w:val="0"/>
          <w:i w:val="0"/>
          <w:sz w:val="20"/>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708"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70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720" w:right="0" w:firstLine="0"/>
        <w:jc w:val="both"/>
        <w:outlineLvl w:val="9"/>
        <w:rPr>
          <w:rFonts w:ascii="Calibri" w:eastAsia="Calibri" w:hAnsi="Calibri" w:cs="Calibri"/>
          <w:b w:val="0"/>
          <w:i w:val="0"/>
          <w:color w:val="000000"/>
          <w:sz w:val="20"/>
          <w:u w:val="none"/>
        </w:rPr>
      </w:pPr>
    </w:p>
    <w:tbl>
      <w:tblPr>
        <w:tblW w:w="12840"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785"/>
        <w:gridCol w:w="4035"/>
        <w:gridCol w:w="2265"/>
        <w:gridCol w:w="1005"/>
        <w:gridCol w:w="1545"/>
        <w:gridCol w:w="1005"/>
        <w:gridCol w:w="1200"/>
      </w:tblGrid>
      <w:tr>
        <w:tblPrEx>
          <w:tblW w:w="12840" w:type="dxa"/>
          <w:tblInd w:w="709" w:type="dxa"/>
          <w:tblLayout w:type="fixed"/>
        </w:tblPrEx>
        <w:trPr>
          <w:cantSplit/>
          <w:trHeight w:hRule="auto" w:val="0"/>
          <w:tblHeader/>
        </w:trPr>
        <w:tc>
          <w:tcPr>
            <w:tcW w:w="178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 xml:space="preserve">Identificación de la compañía que efectúa el desembolso </w:t>
            </w:r>
          </w:p>
        </w:tc>
        <w:tc>
          <w:tcPr>
            <w:tcW w:w="403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Nombre del proyecto</w:t>
            </w:r>
          </w:p>
        </w:tc>
        <w:tc>
          <w:tcPr>
            <w:tcW w:w="226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Concepto por el que se efectuó o efectuará el desembolso</w:t>
            </w:r>
          </w:p>
        </w:tc>
        <w:tc>
          <w:tcPr>
            <w:tcW w:w="100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Desembolso activo / gasto</w:t>
            </w:r>
          </w:p>
        </w:tc>
        <w:tc>
          <w:tcPr>
            <w:tcW w:w="154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Descripción del activo o Ítem de gasto</w:t>
            </w:r>
          </w:p>
        </w:tc>
        <w:tc>
          <w:tcPr>
            <w:tcW w:w="100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Monto del desembolso</w:t>
            </w:r>
          </w:p>
        </w:tc>
        <w:tc>
          <w:tcPr>
            <w:tcW w:w="1200" w:type="dxa"/>
            <w:vMerge w:val="restart"/>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Fecha de  los desembolsos  efectuados</w:t>
            </w:r>
          </w:p>
        </w:tc>
      </w:tr>
      <w:tr>
        <w:tblPrEx>
          <w:tblW w:w="12840" w:type="dxa"/>
          <w:tblInd w:w="709" w:type="dxa"/>
          <w:tblLayout w:type="fixed"/>
        </w:tblPrEx>
        <w:trPr>
          <w:cantSplit/>
          <w:trHeight w:hRule="auto" w:val="0"/>
          <w:tblHeader/>
        </w:trPr>
        <w:tc>
          <w:tcPr>
            <w:tcW w:w="1785" w:type="dxa"/>
            <w:vMerge/>
            <w:tcBorders>
              <w:top w:val="nil"/>
              <w:left w:val="single" w:sz="2" w:space="0" w:color="000000"/>
              <w:bottom w:val="single" w:sz="2" w:space="0" w:color="000000"/>
              <w:right w:val="nil"/>
            </w:tcBorders>
          </w:tcPr>
          <w:p>
            <w:pPr>
              <w:keepNext/>
              <w:pageBreakBefore w:val="0"/>
            </w:pPr>
          </w:p>
        </w:tc>
        <w:tc>
          <w:tcPr>
            <w:tcW w:w="4035" w:type="dxa"/>
            <w:vMerge/>
            <w:tcBorders>
              <w:top w:val="nil"/>
              <w:left w:val="single" w:sz="4" w:space="0" w:color="FFFFFF"/>
              <w:bottom w:val="single" w:sz="2" w:space="0" w:color="000000"/>
              <w:right w:val="nil"/>
            </w:tcBorders>
          </w:tcPr>
          <w:p>
            <w:pPr>
              <w:keepNext/>
              <w:pageBreakBefore w:val="0"/>
            </w:pPr>
          </w:p>
        </w:tc>
        <w:tc>
          <w:tcPr>
            <w:tcW w:w="2265" w:type="dxa"/>
            <w:vMerge/>
            <w:tcBorders>
              <w:top w:val="nil"/>
              <w:left w:val="single" w:sz="4" w:space="0" w:color="FFFFFF"/>
              <w:bottom w:val="single" w:sz="2" w:space="0" w:color="000000"/>
              <w:right w:val="nil"/>
            </w:tcBorders>
          </w:tcPr>
          <w:p>
            <w:pPr>
              <w:keepNext/>
              <w:pageBreakBefore w:val="0"/>
            </w:pPr>
          </w:p>
        </w:tc>
        <w:tc>
          <w:tcPr>
            <w:tcW w:w="1005" w:type="dxa"/>
            <w:vMerge/>
            <w:tcBorders>
              <w:top w:val="nil"/>
              <w:left w:val="single" w:sz="4" w:space="0" w:color="FFFFFF"/>
              <w:bottom w:val="single" w:sz="2" w:space="0" w:color="000000"/>
              <w:right w:val="nil"/>
            </w:tcBorders>
          </w:tcPr>
          <w:p>
            <w:pPr>
              <w:keepNext/>
              <w:pageBreakBefore w:val="0"/>
            </w:pPr>
          </w:p>
        </w:tc>
        <w:tc>
          <w:tcPr>
            <w:tcW w:w="1545" w:type="dxa"/>
            <w:vMerge/>
            <w:tcBorders>
              <w:top w:val="nil"/>
              <w:left w:val="single" w:sz="4" w:space="0" w:color="FFFFFF"/>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200" w:type="dxa"/>
            <w:vMerge/>
            <w:tcBorders>
              <w:top w:val="nil"/>
              <w:left w:val="single" w:sz="4" w:space="0" w:color="FFFFFF"/>
              <w:bottom w:val="single" w:sz="2" w:space="0" w:color="000000"/>
              <w:right w:val="single" w:sz="2" w:space="0" w:color="000000"/>
            </w:tcBorders>
          </w:tcPr>
          <w:p>
            <w:pPr>
              <w:keepNext/>
              <w:pageBreakBefore w:val="0"/>
            </w:pPr>
          </w:p>
        </w:tc>
      </w:tr>
      <w:tr>
        <w:tblPrEx>
          <w:tblW w:w="12840" w:type="dxa"/>
          <w:tblInd w:w="709" w:type="dxa"/>
          <w:tblLayout w:type="fixed"/>
        </w:tblPrEx>
        <w:trPr>
          <w:cantSplit/>
          <w:trHeight w:hRule="auto" w:val="0"/>
          <w:tblHeader/>
        </w:trPr>
        <w:tc>
          <w:tcPr>
            <w:tcW w:w="17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CGE Transmisión S.A.</w:t>
            </w:r>
          </w:p>
        </w:tc>
        <w:tc>
          <w:tcPr>
            <w:tcW w:w="40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Ampliación en S/E Pumahue</w:t>
            </w:r>
          </w:p>
        </w:tc>
        <w:tc>
          <w:tcPr>
            <w:tcW w:w="22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Hito N°4 (4%) Permisos Ambientales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Activo</w:t>
            </w:r>
          </w:p>
        </w:tc>
        <w:tc>
          <w:tcPr>
            <w:tcW w:w="15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Permisos ambientales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316.650</w:t>
            </w:r>
          </w:p>
        </w:tc>
        <w:tc>
          <w:tcPr>
            <w:tcW w:w="1200"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19-03-2026</w:t>
            </w:r>
          </w:p>
        </w:tc>
      </w:tr>
      <w:tr>
        <w:tblPrEx>
          <w:tblW w:w="12840" w:type="dxa"/>
          <w:tblInd w:w="709" w:type="dxa"/>
          <w:tblLayout w:type="fixed"/>
        </w:tblPrEx>
        <w:trPr>
          <w:cantSplit/>
          <w:trHeight w:hRule="auto" w:val="0"/>
          <w:tblHeader/>
        </w:trPr>
        <w:tc>
          <w:tcPr>
            <w:tcW w:w="17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CGE Transmisión S.A.</w:t>
            </w:r>
          </w:p>
        </w:tc>
        <w:tc>
          <w:tcPr>
            <w:tcW w:w="40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Ampliación en S/E Andalién (NTR ATMT)</w:t>
            </w:r>
          </w:p>
        </w:tc>
        <w:tc>
          <w:tcPr>
            <w:tcW w:w="22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Hito N°4 (4%) Permisos Ambientales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Activo</w:t>
            </w:r>
          </w:p>
        </w:tc>
        <w:tc>
          <w:tcPr>
            <w:tcW w:w="15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Permisos ambientales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376.468</w:t>
            </w:r>
          </w:p>
        </w:tc>
        <w:tc>
          <w:tcPr>
            <w:tcW w:w="1200"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26-01-2026</w:t>
            </w:r>
          </w:p>
        </w:tc>
      </w:tr>
      <w:tr>
        <w:tblPrEx>
          <w:tblW w:w="12840" w:type="dxa"/>
          <w:tblInd w:w="709" w:type="dxa"/>
          <w:tblLayout w:type="fixed"/>
        </w:tblPrEx>
        <w:trPr>
          <w:cantSplit/>
          <w:trHeight w:hRule="auto" w:val="0"/>
          <w:tblHeader/>
        </w:trPr>
        <w:tc>
          <w:tcPr>
            <w:tcW w:w="17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CGE Transmisión S.A.</w:t>
            </w:r>
          </w:p>
        </w:tc>
        <w:tc>
          <w:tcPr>
            <w:tcW w:w="40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Ampliación en S/E San Fernando 154 kV (NBP+BT)</w:t>
            </w:r>
          </w:p>
        </w:tc>
        <w:tc>
          <w:tcPr>
            <w:tcW w:w="22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Hito N°4 (5%) Permisos Ambientales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Activo</w:t>
            </w:r>
          </w:p>
        </w:tc>
        <w:tc>
          <w:tcPr>
            <w:tcW w:w="15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Permisos ambientales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200.433</w:t>
            </w:r>
          </w:p>
        </w:tc>
        <w:tc>
          <w:tcPr>
            <w:tcW w:w="1200"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26-03-2026</w:t>
            </w:r>
          </w:p>
        </w:tc>
      </w:tr>
      <w:tr>
        <w:tblPrEx>
          <w:tblW w:w="12840" w:type="dxa"/>
          <w:tblInd w:w="709" w:type="dxa"/>
          <w:tblLayout w:type="fixed"/>
        </w:tblPrEx>
        <w:trPr>
          <w:cantSplit/>
          <w:trHeight w:hRule="auto" w:val="0"/>
        </w:trPr>
        <w:tc>
          <w:tcPr>
            <w:tcW w:w="1785" w:type="dxa"/>
            <w:tcBorders>
              <w:top w:val="single" w:sz="2" w:space="0" w:color="000000"/>
              <w:left w:val="nil"/>
              <w:bottom w:val="nil"/>
              <w:right w:val="nil"/>
            </w:tcBorders>
            <w:tcMar>
              <w:top w:w="0" w:type="dxa"/>
              <w:left w:w="0" w:type="dxa"/>
              <w:bottom w:w="0" w:type="dxa"/>
              <w:right w:w="0" w:type="dxa"/>
            </w:tcMar>
            <w:vAlign w:val="bottom"/>
          </w:tcPr>
          <w:p>
            <w:pPr>
              <w:pageBreakBefore w:val="0"/>
              <w:spacing w:before="0" w:after="0"/>
            </w:pPr>
          </w:p>
        </w:tc>
        <w:tc>
          <w:tcPr>
            <w:tcW w:w="4035" w:type="dxa"/>
            <w:tcBorders>
              <w:top w:val="single" w:sz="2" w:space="0" w:color="000000"/>
              <w:left w:val="nil"/>
              <w:bottom w:val="nil"/>
              <w:right w:val="nil"/>
            </w:tcBorders>
            <w:tcMar>
              <w:top w:w="0" w:type="dxa"/>
              <w:left w:w="0" w:type="dxa"/>
              <w:bottom w:w="0" w:type="dxa"/>
              <w:right w:w="0" w:type="dxa"/>
            </w:tcMar>
            <w:vAlign w:val="bottom"/>
          </w:tcPr>
          <w:p>
            <w:pPr>
              <w:pageBreakBefore w:val="0"/>
              <w:spacing w:before="0" w:after="0"/>
            </w:pPr>
          </w:p>
        </w:tc>
        <w:tc>
          <w:tcPr>
            <w:tcW w:w="2265" w:type="dxa"/>
            <w:tcBorders>
              <w:top w:val="single" w:sz="2" w:space="0" w:color="000000"/>
              <w:left w:val="nil"/>
              <w:bottom w:val="nil"/>
              <w:right w:val="nil"/>
            </w:tcBorders>
            <w:tcMar>
              <w:top w:w="0" w:type="dxa"/>
              <w:left w:w="0" w:type="dxa"/>
              <w:bottom w:w="0" w:type="dxa"/>
              <w:right w:w="0" w:type="dxa"/>
            </w:tcMar>
            <w:vAlign w:val="bottom"/>
          </w:tcPr>
          <w:p>
            <w:pPr>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pageBreakBefore w:val="0"/>
              <w:spacing w:before="0" w:after="0"/>
            </w:pPr>
          </w:p>
        </w:tc>
        <w:tc>
          <w:tcPr>
            <w:tcW w:w="15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i w:val="0"/>
                <w:color w:val="FFFFFF"/>
                <w:sz w:val="14"/>
                <w:u w:val="none"/>
              </w:rPr>
              <w:t>Totales</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893.551</w:t>
            </w:r>
          </w:p>
        </w:tc>
        <w:tc>
          <w:tcPr>
            <w:tcW w:w="1200" w:type="dxa"/>
            <w:tcBorders>
              <w:top w:val="single" w:sz="2" w:space="0" w:color="000000"/>
              <w:left w:val="single" w:sz="2" w:space="0" w:color="000000"/>
              <w:bottom w:val="nil"/>
              <w:right w:val="nil"/>
            </w:tcBorders>
            <w:tcMar>
              <w:top w:w="0" w:type="dxa"/>
              <w:left w:w="0" w:type="dxa"/>
              <w:bottom w:w="0" w:type="dxa"/>
              <w:right w:w="0" w:type="dxa"/>
            </w:tcMar>
            <w:vAlign w:val="bottom"/>
          </w:tcPr>
          <w:p>
            <w:pPr>
              <w:pageBreakBefore w:val="0"/>
              <w:spacing w:before="0" w:after="0"/>
            </w:pPr>
          </w:p>
        </w:tc>
      </w:tr>
    </w:tbl>
    <w:p>
      <w:pPr>
        <w:keepNext w:val="0"/>
        <w:keepLines/>
        <w:pageBreakBefore w:val="0"/>
        <w:widowControl w:val="0"/>
        <w:numPr>
          <w:ilvl w:val="0"/>
          <w:numId w:val="0"/>
        </w:numPr>
        <w:spacing w:before="0" w:after="0" w:line="288" w:lineRule="auto"/>
        <w:ind w:left="567"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Al </w:t>
      </w:r>
      <w:r>
        <w:rPr>
          <w:rFonts w:ascii="Calibri" w:eastAsia="Calibri" w:hAnsi="Calibri" w:cs="Calibri"/>
          <w:b w:val="0"/>
          <w:i w:val="0"/>
          <w:color w:val="000000"/>
          <w:sz w:val="20"/>
          <w:u w:val="none"/>
        </w:rPr>
        <w:t>31 de diciembre de 2025</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12840"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755"/>
        <w:gridCol w:w="4065"/>
        <w:gridCol w:w="2265"/>
        <w:gridCol w:w="1005"/>
        <w:gridCol w:w="1545"/>
        <w:gridCol w:w="1005"/>
        <w:gridCol w:w="1200"/>
      </w:tblGrid>
      <w:tr>
        <w:tblPrEx>
          <w:tblW w:w="12840" w:type="dxa"/>
          <w:tblInd w:w="709" w:type="dxa"/>
          <w:tblLayout w:type="fixed"/>
        </w:tblPrEx>
        <w:trPr>
          <w:cantSplit/>
          <w:trHeight w:hRule="auto" w:val="0"/>
          <w:tblHeader/>
        </w:trPr>
        <w:tc>
          <w:tcPr>
            <w:tcW w:w="175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 xml:space="preserve">Identificación de la compañía que efectúa el desembolso </w:t>
            </w:r>
          </w:p>
        </w:tc>
        <w:tc>
          <w:tcPr>
            <w:tcW w:w="406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Nombre del proyecto</w:t>
            </w:r>
          </w:p>
        </w:tc>
        <w:tc>
          <w:tcPr>
            <w:tcW w:w="226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Concepto por el que se efectuó o efectuará el desembolso</w:t>
            </w:r>
          </w:p>
        </w:tc>
        <w:tc>
          <w:tcPr>
            <w:tcW w:w="100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Desembolso activo / gasto</w:t>
            </w:r>
          </w:p>
        </w:tc>
        <w:tc>
          <w:tcPr>
            <w:tcW w:w="154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Descripción del activo o Ítem de gasto</w:t>
            </w:r>
          </w:p>
        </w:tc>
        <w:tc>
          <w:tcPr>
            <w:tcW w:w="100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Monto del desembolso</w:t>
            </w:r>
          </w:p>
        </w:tc>
        <w:tc>
          <w:tcPr>
            <w:tcW w:w="1200" w:type="dxa"/>
            <w:vMerge w:val="restart"/>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Fecha cierta o estimada de los  desembolsos  efectuados</w:t>
            </w:r>
          </w:p>
        </w:tc>
      </w:tr>
      <w:tr>
        <w:tblPrEx>
          <w:tblW w:w="12840" w:type="dxa"/>
          <w:tblInd w:w="709" w:type="dxa"/>
          <w:tblLayout w:type="fixed"/>
        </w:tblPrEx>
        <w:trPr>
          <w:cantSplit/>
          <w:trHeight w:hRule="auto" w:val="0"/>
          <w:tblHeader/>
        </w:trPr>
        <w:tc>
          <w:tcPr>
            <w:tcW w:w="1755" w:type="dxa"/>
            <w:vMerge/>
            <w:tcBorders>
              <w:top w:val="nil"/>
              <w:left w:val="single" w:sz="2" w:space="0" w:color="000000"/>
              <w:bottom w:val="single" w:sz="2" w:space="0" w:color="000000"/>
              <w:right w:val="nil"/>
            </w:tcBorders>
          </w:tcPr>
          <w:p>
            <w:pPr>
              <w:keepNext/>
              <w:pageBreakBefore w:val="0"/>
            </w:pPr>
          </w:p>
        </w:tc>
        <w:tc>
          <w:tcPr>
            <w:tcW w:w="4065" w:type="dxa"/>
            <w:vMerge/>
            <w:tcBorders>
              <w:top w:val="nil"/>
              <w:left w:val="single" w:sz="4" w:space="0" w:color="FFFFFF"/>
              <w:bottom w:val="single" w:sz="2" w:space="0" w:color="000000"/>
              <w:right w:val="nil"/>
            </w:tcBorders>
          </w:tcPr>
          <w:p>
            <w:pPr>
              <w:keepNext/>
              <w:pageBreakBefore w:val="0"/>
            </w:pPr>
          </w:p>
        </w:tc>
        <w:tc>
          <w:tcPr>
            <w:tcW w:w="2265" w:type="dxa"/>
            <w:vMerge/>
            <w:tcBorders>
              <w:top w:val="nil"/>
              <w:left w:val="single" w:sz="4" w:space="0" w:color="FFFFFF"/>
              <w:bottom w:val="single" w:sz="2" w:space="0" w:color="000000"/>
              <w:right w:val="nil"/>
            </w:tcBorders>
          </w:tcPr>
          <w:p>
            <w:pPr>
              <w:keepNext/>
              <w:pageBreakBefore w:val="0"/>
            </w:pPr>
          </w:p>
        </w:tc>
        <w:tc>
          <w:tcPr>
            <w:tcW w:w="1005" w:type="dxa"/>
            <w:vMerge/>
            <w:tcBorders>
              <w:top w:val="nil"/>
              <w:left w:val="single" w:sz="4" w:space="0" w:color="FFFFFF"/>
              <w:bottom w:val="single" w:sz="2" w:space="0" w:color="000000"/>
              <w:right w:val="nil"/>
            </w:tcBorders>
          </w:tcPr>
          <w:p>
            <w:pPr>
              <w:keepNext/>
              <w:pageBreakBefore w:val="0"/>
            </w:pPr>
          </w:p>
        </w:tc>
        <w:tc>
          <w:tcPr>
            <w:tcW w:w="1545" w:type="dxa"/>
            <w:vMerge/>
            <w:tcBorders>
              <w:top w:val="nil"/>
              <w:left w:val="single" w:sz="4" w:space="0" w:color="FFFFFF"/>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200" w:type="dxa"/>
            <w:vMerge/>
            <w:tcBorders>
              <w:top w:val="nil"/>
              <w:left w:val="single" w:sz="4" w:space="0" w:color="FFFFFF"/>
              <w:bottom w:val="single" w:sz="2" w:space="0" w:color="000000"/>
              <w:right w:val="single" w:sz="2" w:space="0" w:color="000000"/>
            </w:tcBorders>
          </w:tcPr>
          <w:p>
            <w:pPr>
              <w:keepNext/>
              <w:pageBreakBefore w:val="0"/>
            </w:pPr>
          </w:p>
        </w:tc>
      </w:tr>
      <w:tr>
        <w:tblPrEx>
          <w:tblW w:w="12840" w:type="dxa"/>
          <w:tblInd w:w="709" w:type="dxa"/>
          <w:tblLayout w:type="fixed"/>
        </w:tblPrEx>
        <w:trPr>
          <w:cantSplit/>
          <w:trHeight w:hRule="auto" w:val="0"/>
          <w:tblHeader/>
        </w:trPr>
        <w:tc>
          <w:tcPr>
            <w:tcW w:w="17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CGE Transmisión S.A.</w:t>
            </w:r>
          </w:p>
        </w:tc>
        <w:tc>
          <w:tcPr>
            <w:tcW w:w="4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Aumento de Capacidad Línea 2x110 kV La Ruca – Ovalle</w:t>
            </w:r>
          </w:p>
        </w:tc>
        <w:tc>
          <w:tcPr>
            <w:tcW w:w="22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Hito N°4 (5%) Permisos Ambientales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Activo</w:t>
            </w:r>
          </w:p>
        </w:tc>
        <w:tc>
          <w:tcPr>
            <w:tcW w:w="15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Permisos ambientales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127.972</w:t>
            </w:r>
          </w:p>
        </w:tc>
        <w:tc>
          <w:tcPr>
            <w:tcW w:w="1200"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01-02-2025</w:t>
            </w:r>
          </w:p>
        </w:tc>
      </w:tr>
      <w:tr>
        <w:tblPrEx>
          <w:tblW w:w="12840" w:type="dxa"/>
          <w:tblInd w:w="709" w:type="dxa"/>
          <w:tblLayout w:type="fixed"/>
        </w:tblPrEx>
        <w:trPr>
          <w:cantSplit/>
          <w:trHeight w:hRule="auto" w:val="0"/>
          <w:tblHeader/>
        </w:trPr>
        <w:tc>
          <w:tcPr>
            <w:tcW w:w="17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CGE Transmisión S.A.</w:t>
            </w:r>
          </w:p>
        </w:tc>
        <w:tc>
          <w:tcPr>
            <w:tcW w:w="4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Ampliación en S/E Punta de Cortés (NTR ATAT)</w:t>
            </w:r>
          </w:p>
        </w:tc>
        <w:tc>
          <w:tcPr>
            <w:tcW w:w="22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Hito N°4 (5%) Permisos Ambientales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Activo</w:t>
            </w:r>
          </w:p>
        </w:tc>
        <w:tc>
          <w:tcPr>
            <w:tcW w:w="15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Permisos ambientales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434.203</w:t>
            </w:r>
          </w:p>
        </w:tc>
        <w:tc>
          <w:tcPr>
            <w:tcW w:w="1200"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28-07-2025</w:t>
            </w:r>
          </w:p>
        </w:tc>
      </w:tr>
      <w:tr>
        <w:tblPrEx>
          <w:tblW w:w="12840" w:type="dxa"/>
          <w:tblInd w:w="709" w:type="dxa"/>
          <w:tblLayout w:type="fixed"/>
        </w:tblPrEx>
        <w:trPr>
          <w:cantSplit/>
          <w:trHeight w:hRule="auto" w:val="0"/>
          <w:tblHeader/>
        </w:trPr>
        <w:tc>
          <w:tcPr>
            <w:tcW w:w="17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CGE Transmisión S.A.</w:t>
            </w:r>
          </w:p>
        </w:tc>
        <w:tc>
          <w:tcPr>
            <w:tcW w:w="4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Ampliación en S/E Rosario 66 kV (BS)</w:t>
            </w:r>
          </w:p>
        </w:tc>
        <w:tc>
          <w:tcPr>
            <w:tcW w:w="22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Hito N°4 (5%) Permisos Ambientales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Activo</w:t>
            </w:r>
          </w:p>
        </w:tc>
        <w:tc>
          <w:tcPr>
            <w:tcW w:w="15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Permisos ambientales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53.421</w:t>
            </w:r>
          </w:p>
        </w:tc>
        <w:tc>
          <w:tcPr>
            <w:tcW w:w="1200"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28-10-2025</w:t>
            </w:r>
          </w:p>
        </w:tc>
      </w:tr>
      <w:tr>
        <w:tblPrEx>
          <w:tblW w:w="12840" w:type="dxa"/>
          <w:tblInd w:w="709" w:type="dxa"/>
          <w:tblLayout w:type="fixed"/>
        </w:tblPrEx>
        <w:trPr>
          <w:cantSplit/>
          <w:trHeight w:hRule="auto" w:val="0"/>
        </w:trPr>
        <w:tc>
          <w:tcPr>
            <w:tcW w:w="17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CGE Transmisión S.A.</w:t>
            </w:r>
          </w:p>
        </w:tc>
        <w:tc>
          <w:tcPr>
            <w:tcW w:w="4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Ampliación S/E Las Cabras</w:t>
            </w:r>
          </w:p>
        </w:tc>
        <w:tc>
          <w:tcPr>
            <w:tcW w:w="22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Hito N°4 (5%) Permisos Ambientales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Activo</w:t>
            </w:r>
          </w:p>
        </w:tc>
        <w:tc>
          <w:tcPr>
            <w:tcW w:w="15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Permisos ambientales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225.795</w:t>
            </w:r>
          </w:p>
        </w:tc>
        <w:tc>
          <w:tcPr>
            <w:tcW w:w="1200"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04-12-2025</w:t>
            </w:r>
          </w:p>
        </w:tc>
      </w:tr>
      <w:tr>
        <w:tblPrEx>
          <w:tblW w:w="12840" w:type="dxa"/>
          <w:tblInd w:w="709" w:type="dxa"/>
          <w:tblLayout w:type="fixed"/>
        </w:tblPrEx>
        <w:trPr>
          <w:cantSplit/>
          <w:trHeight w:hRule="auto" w:val="0"/>
        </w:trPr>
        <w:tc>
          <w:tcPr>
            <w:tcW w:w="17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CGE Transmisión S.A.</w:t>
            </w:r>
          </w:p>
        </w:tc>
        <w:tc>
          <w:tcPr>
            <w:tcW w:w="4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Ampliación en S/E Panguilemo (NTR ATMT)</w:t>
            </w:r>
          </w:p>
        </w:tc>
        <w:tc>
          <w:tcPr>
            <w:tcW w:w="22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Hito N°4 (5%) Permisos Ambientales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Activo</w:t>
            </w:r>
          </w:p>
        </w:tc>
        <w:tc>
          <w:tcPr>
            <w:tcW w:w="15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Permisos ambientales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247.250</w:t>
            </w:r>
          </w:p>
        </w:tc>
        <w:tc>
          <w:tcPr>
            <w:tcW w:w="1200"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22-12-2025</w:t>
            </w:r>
          </w:p>
        </w:tc>
      </w:tr>
      <w:tr>
        <w:tblPrEx>
          <w:tblW w:w="12840" w:type="dxa"/>
          <w:tblInd w:w="709" w:type="dxa"/>
          <w:tblLayout w:type="fixed"/>
        </w:tblPrEx>
        <w:trPr>
          <w:cantSplit/>
          <w:trHeight w:hRule="auto" w:val="0"/>
        </w:trPr>
        <w:tc>
          <w:tcPr>
            <w:tcW w:w="17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CGE Transmisión S.A.</w:t>
            </w:r>
          </w:p>
        </w:tc>
        <w:tc>
          <w:tcPr>
            <w:tcW w:w="4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Ampliación en S/E Chimbarongo (NTR ATMT) y Seccionamiento Línea 1X66 kV San Fernando – Teno</w:t>
            </w:r>
          </w:p>
        </w:tc>
        <w:tc>
          <w:tcPr>
            <w:tcW w:w="22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Hito N°4 (5%) Permisos Ambientales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Activo</w:t>
            </w:r>
          </w:p>
        </w:tc>
        <w:tc>
          <w:tcPr>
            <w:tcW w:w="15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Permisos ambientales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320.695</w:t>
            </w:r>
          </w:p>
        </w:tc>
        <w:tc>
          <w:tcPr>
            <w:tcW w:w="1200"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04-12-2025</w:t>
            </w:r>
          </w:p>
        </w:tc>
      </w:tr>
      <w:tr>
        <w:tblPrEx>
          <w:tblW w:w="12840" w:type="dxa"/>
          <w:tblInd w:w="709" w:type="dxa"/>
          <w:tblLayout w:type="fixed"/>
        </w:tblPrEx>
        <w:trPr>
          <w:cantSplit/>
          <w:trHeight w:hRule="auto" w:val="0"/>
        </w:trPr>
        <w:tc>
          <w:tcPr>
            <w:tcW w:w="17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CGE Transmisión S.A.</w:t>
            </w:r>
          </w:p>
        </w:tc>
        <w:tc>
          <w:tcPr>
            <w:tcW w:w="4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Ampliación en S/E Los Maquis 66 kV (BS), Nuevo Transformador (NTR ATMT) y Seccionamiento Línea 2x66 kV Itahue - Talca</w:t>
            </w:r>
          </w:p>
        </w:tc>
        <w:tc>
          <w:tcPr>
            <w:tcW w:w="22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Hito N°4 (5%) Permisos Ambientales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Activo</w:t>
            </w:r>
          </w:p>
        </w:tc>
        <w:tc>
          <w:tcPr>
            <w:tcW w:w="15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Permisos ambientales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304.590</w:t>
            </w:r>
          </w:p>
        </w:tc>
        <w:tc>
          <w:tcPr>
            <w:tcW w:w="1200"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04-12-2025</w:t>
            </w:r>
          </w:p>
        </w:tc>
      </w:tr>
      <w:tr>
        <w:tblPrEx>
          <w:tblW w:w="12840" w:type="dxa"/>
          <w:tblInd w:w="709" w:type="dxa"/>
          <w:tblLayout w:type="fixed"/>
        </w:tblPrEx>
        <w:trPr>
          <w:cantSplit/>
          <w:trHeight w:hRule="auto" w:val="0"/>
        </w:trPr>
        <w:tc>
          <w:tcPr>
            <w:tcW w:w="1755" w:type="dxa"/>
            <w:tcBorders>
              <w:top w:val="single" w:sz="2" w:space="0" w:color="000000"/>
              <w:left w:val="nil"/>
              <w:bottom w:val="nil"/>
              <w:right w:val="nil"/>
            </w:tcBorders>
            <w:tcMar>
              <w:top w:w="0" w:type="dxa"/>
              <w:left w:w="0" w:type="dxa"/>
              <w:bottom w:w="0" w:type="dxa"/>
              <w:right w:w="0" w:type="dxa"/>
            </w:tcMar>
            <w:vAlign w:val="bottom"/>
          </w:tcPr>
          <w:p>
            <w:pPr>
              <w:pageBreakBefore w:val="0"/>
              <w:spacing w:before="0" w:after="0"/>
            </w:pPr>
          </w:p>
        </w:tc>
        <w:tc>
          <w:tcPr>
            <w:tcW w:w="4065" w:type="dxa"/>
            <w:tcBorders>
              <w:top w:val="single" w:sz="2" w:space="0" w:color="000000"/>
              <w:left w:val="nil"/>
              <w:bottom w:val="nil"/>
              <w:right w:val="nil"/>
            </w:tcBorders>
            <w:tcMar>
              <w:top w:w="0" w:type="dxa"/>
              <w:left w:w="0" w:type="dxa"/>
              <w:bottom w:w="0" w:type="dxa"/>
              <w:right w:w="0" w:type="dxa"/>
            </w:tcMar>
            <w:vAlign w:val="bottom"/>
          </w:tcPr>
          <w:p>
            <w:pPr>
              <w:pageBreakBefore w:val="0"/>
              <w:spacing w:before="0" w:after="0"/>
            </w:pPr>
          </w:p>
        </w:tc>
        <w:tc>
          <w:tcPr>
            <w:tcW w:w="2265" w:type="dxa"/>
            <w:tcBorders>
              <w:top w:val="single" w:sz="2" w:space="0" w:color="000000"/>
              <w:left w:val="nil"/>
              <w:bottom w:val="nil"/>
              <w:right w:val="nil"/>
            </w:tcBorders>
            <w:tcMar>
              <w:top w:w="0" w:type="dxa"/>
              <w:left w:w="0" w:type="dxa"/>
              <w:bottom w:w="0" w:type="dxa"/>
              <w:right w:w="0" w:type="dxa"/>
            </w:tcMar>
            <w:vAlign w:val="bottom"/>
          </w:tcPr>
          <w:p>
            <w:pPr>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pageBreakBefore w:val="0"/>
              <w:spacing w:before="0" w:after="0"/>
            </w:pPr>
          </w:p>
        </w:tc>
        <w:tc>
          <w:tcPr>
            <w:tcW w:w="15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i w:val="0"/>
                <w:color w:val="FFFFFF"/>
                <w:sz w:val="14"/>
                <w:u w:val="none"/>
              </w:rPr>
              <w:t>Totales</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1.713.926</w:t>
            </w:r>
          </w:p>
        </w:tc>
        <w:tc>
          <w:tcPr>
            <w:tcW w:w="1200" w:type="dxa"/>
            <w:tcBorders>
              <w:top w:val="single" w:sz="2" w:space="0" w:color="000000"/>
              <w:left w:val="single" w:sz="2" w:space="0" w:color="000000"/>
              <w:bottom w:val="nil"/>
              <w:right w:val="nil"/>
            </w:tcBorders>
            <w:tcMar>
              <w:top w:w="0" w:type="dxa"/>
              <w:left w:w="0" w:type="dxa"/>
              <w:bottom w:w="0" w:type="dxa"/>
              <w:right w:w="0" w:type="dxa"/>
            </w:tcMar>
            <w:vAlign w:val="bottom"/>
          </w:tcPr>
          <w:p>
            <w:pPr>
              <w:pageBreakBefore w:val="0"/>
              <w:spacing w:before="0" w:after="0"/>
            </w:pPr>
          </w:p>
        </w:tc>
      </w:tr>
    </w:tbl>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sectPr>
          <w:headerReference w:type="default" r:id="rId57"/>
          <w:footerReference w:type="default" r:id="rId58"/>
          <w:pgSz w:w="15840" w:h="12240" w:orient="landscape"/>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left"/>
        <w:outlineLvl w:val="0"/>
        <w:rPr>
          <w:rFonts w:ascii="Cambria" w:eastAsia="Cambria" w:hAnsi="Cambria" w:cs="Cambria"/>
          <w:b/>
          <w:i w:val="0"/>
          <w:color w:val="365F91"/>
          <w:sz w:val="28"/>
          <w:u w:val="none"/>
        </w:rPr>
      </w:pPr>
      <w:bookmarkStart w:id="311" w:name="Section160"/>
      <w:bookmarkEnd w:id="311"/>
      <w:bookmarkStart w:id="312" w:name="079ebd62672a48bb85be00ce368b3486"/>
      <w:r>
        <w:rPr>
          <w:rFonts w:ascii="Calibri" w:eastAsia="Calibri" w:hAnsi="Calibri" w:cs="Calibri"/>
          <w:b/>
          <w:i w:val="0"/>
          <w:color w:val="000000"/>
          <w:sz w:val="20"/>
          <w:u w:val="none"/>
        </w:rPr>
        <w:t>38.-</w:t>
      </w:r>
      <w:r>
        <w:rPr>
          <w:rFonts w:ascii="Calibri" w:eastAsia="Calibri" w:hAnsi="Calibri" w:cs="Calibri"/>
          <w:b/>
          <w:i w:val="0"/>
          <w:color w:val="000000"/>
          <w:sz w:val="20"/>
          <w:u w:val="none"/>
        </w:rPr>
        <w:tab/>
      </w:r>
      <w:r>
        <w:rPr>
          <w:rFonts w:ascii="Calibri" w:eastAsia="Calibri" w:hAnsi="Calibri" w:cs="Calibri"/>
          <w:b/>
          <w:i w:val="0"/>
          <w:color w:val="000000"/>
          <w:sz w:val="20"/>
          <w:u w:val="none"/>
        </w:rPr>
        <w:t>HECHOS POSTERIORES.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312"/>
    </w:p>
    <w:p>
      <w:pPr>
        <w:pStyle w:val="Normal-wk"/>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Entre el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fecha de cierre de los estados financieros consolidados intermedios, y su fecha de presentación, no han ocurrido hechos significativos de carácter financiero-contable que pudieran afectar el patrimonio de la Sociedad o la interpretación de éstos.</w:t>
      </w:r>
    </w:p>
    <w:sectPr>
      <w:headerReference w:type="default" r:id="rId59"/>
      <w:footerReference w:type="default" r:id="rId60"/>
      <w:type w:val="continuous"/>
      <w:pgSz w:w="12240" w:h="15840"/>
      <w:pgMar w:top="1134" w:right="1134" w:bottom="1134" w:left="1134" w:header="0" w:footer="425"/>
      <w:cols w:space="708"/>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spacing w:before="0" w:after="0" w:line="288" w:lineRule="auto"/>
      <w:ind w:left="0" w:right="0" w:firstLine="0"/>
      <w:jc w:val="left"/>
      <w:outlineLvl w:val="9"/>
      <w:rPr>
        <w:rFonts w:ascii="Times New Roman" w:eastAsia="Times New Roman" w:hAnsi="Times New Roman" w:cs="Times New Roman"/>
        <w:b w:val="0"/>
        <w:i w:val="0"/>
        <w:color w:val="000000"/>
        <w:sz w:val="20"/>
        <w:u w:val="none"/>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spacing w:before="0" w:after="0" w:line="288" w:lineRule="auto"/>
      <w:ind w:left="0" w:right="0" w:firstLine="0"/>
      <w:jc w:val="left"/>
      <w:outlineLvl w:val="9"/>
      <w:rPr>
        <w:rFonts w:ascii="Times New Roman" w:eastAsia="Times New Roman" w:hAnsi="Times New Roman" w:cs="Times New Roman"/>
        <w:b w:val="0"/>
        <w:i w:val="0"/>
        <w:color w:val="000000"/>
        <w:sz w:val="20"/>
        <w:u w:val="none"/>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spacing w:before="0" w:after="0" w:line="288" w:lineRule="auto"/>
      <w:ind w:left="0" w:right="0" w:firstLine="0"/>
      <w:jc w:val="left"/>
      <w:outlineLvl w:val="9"/>
      <w:rPr>
        <w:rFonts w:ascii="Times New Roman" w:eastAsia="Times New Roman" w:hAnsi="Times New Roman" w:cs="Times New Roman"/>
        <w:b w:val="0"/>
        <w:i w:val="0"/>
        <w:color w:val="000000"/>
        <w:sz w:val="20"/>
        <w:u w:val="none"/>
      </w:rP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700"/>
      </w:tabs>
      <w:spacing w:before="0" w:after="0" w:line="288" w:lineRule="auto"/>
      <w:ind w:left="0" w:right="0" w:firstLine="0"/>
      <w:jc w:val="left"/>
      <w:outlineLvl w:val="0"/>
      <w:rPr>
        <w:rFonts w:ascii="Calibri" w:eastAsia="Calibri" w:hAnsi="Calibri" w:cs="Calibri"/>
        <w:b w:val="0"/>
        <w:i w:val="0"/>
        <w:color w:val="000000"/>
        <w:sz w:val="18"/>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51" type="#_x0000_t75" style="width:498.9pt;height:1.98pt">
          <v:imagedata r:id="rId1" o:title=""/>
          <o:lock v:ext="edit" aspectratio="t"/>
        </v:shape>
      </w:pict>
    </w:r>
    <w:r>
      <w:rPr>
        <w:rFonts w:ascii="Calibri" w:eastAsia="Calibri" w:hAnsi="Calibri" w:cs="Calibri"/>
        <w:b w:val="0"/>
        <w:i w:val="0"/>
        <w:color w:val="000000"/>
        <w:sz w:val="20"/>
        <w:u w:val="none"/>
      </w:rPr>
      <w:t xml:space="preserve">Las notas adjuntas forman parte integral de estos estados financieros consolidados intermedios.                                Página </w:t>
    </w:r>
    <w:r>
      <w:rPr>
        <w:rFonts w:ascii="Calibri" w:eastAsia="Calibri" w:hAnsi="Calibri" w:cs="Calibri"/>
        <w:b w:val="0"/>
        <w:i w:val="0"/>
        <w:color w:val="000000"/>
        <w:sz w:val="20"/>
        <w:u w:val="none"/>
      </w:rPr>
      <w:fldChar w:fldCharType="begin"/>
    </w:r>
    <w:r>
      <w:rPr>
        <w:rFonts w:ascii="Calibri" w:eastAsia="Calibri" w:hAnsi="Calibri" w:cs="Calibri"/>
        <w:b w:val="0"/>
        <w:i w:val="0"/>
        <w:color w:val="000000"/>
        <w:sz w:val="20"/>
        <w:u w:val="none"/>
      </w:rPr>
      <w:instrText xml:space="preserve"> PAGE </w:instrText>
    </w:r>
    <w:r>
      <w:rPr>
        <w:rFonts w:ascii="Calibri" w:eastAsia="Calibri" w:hAnsi="Calibri" w:cs="Calibri"/>
        <w:b w:val="0"/>
        <w:i w:val="0"/>
        <w:color w:val="000000"/>
        <w:sz w:val="20"/>
        <w:u w:val="none"/>
      </w:rPr>
      <w:fldChar w:fldCharType="separate"/>
    </w:r>
    <w:r>
      <w:rPr>
        <w:rFonts w:ascii="Calibri" w:eastAsia="Calibri" w:hAnsi="Calibri" w:cs="Calibri"/>
        <w:b w:val="0"/>
        <w:i w:val="0"/>
        <w:color w:val="000000"/>
        <w:sz w:val="20"/>
        <w:u w:val="none"/>
      </w:rPr>
      <w:t>4</w:t>
    </w:r>
    <w:r>
      <w:rPr>
        <w:rFonts w:ascii="Calibri" w:eastAsia="Calibri" w:hAnsi="Calibri" w:cs="Calibri"/>
        <w:b w:val="0"/>
        <w:i w:val="0"/>
        <w:color w:val="000000"/>
        <w:sz w:val="20"/>
        <w:u w:val="none"/>
      </w:rPr>
      <w:fldChar w:fldCharType="end"/>
    </w:r>
    <w:r>
      <w:rPr>
        <w:rFonts w:ascii="Times New Roman" w:eastAsia="Times New Roman" w:hAnsi="Times New Roman" w:cs="Times New Roman"/>
        <w:b/>
        <w:i w:val="0"/>
        <w:color w:val="000000"/>
        <w:sz w:val="24"/>
        <w:u w:val="none"/>
      </w:rPr>
      <w:tab/>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700"/>
        <w:tab w:val="right" w:pos="13600"/>
      </w:tabs>
      <w:spacing w:before="0" w:after="0" w:line="288" w:lineRule="auto"/>
      <w:ind w:left="0" w:right="0" w:firstLine="0"/>
      <w:jc w:val="both"/>
      <w:outlineLvl w:val="9"/>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52" type="#_x0000_t75" style="width:677.48pt;height:1.98pt">
          <v:imagedata r:id="rId1" o:title=""/>
          <o:lock v:ext="edit" aspectratio="t"/>
        </v:shape>
      </w:pict>
    </w:r>
  </w:p>
  <w:p>
    <w:pPr>
      <w:pStyle w:val="Normal-wk"/>
      <w:keepNext w:val="0"/>
      <w:keepLines/>
      <w:pageBreakBefore w:val="0"/>
      <w:widowControl w:val="0"/>
      <w:numPr>
        <w:ilvl w:val="0"/>
        <w:numId w:val="0"/>
      </w:numPr>
      <w:tabs>
        <w:tab w:val="left" w:pos="700"/>
        <w:tab w:val="right" w:pos="13600"/>
      </w:tabs>
      <w:spacing w:before="0" w:after="0" w:line="240" w:lineRule="exact"/>
      <w:ind w:left="0" w:right="0" w:firstLine="0"/>
      <w:jc w:val="left"/>
      <w:outlineLvl w:val="0"/>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notas adjuntas forman parte integral de estos estados financieros consolidados intermedios.</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 xml:space="preserve">Página </w:t>
    </w:r>
    <w:r>
      <w:rPr>
        <w:rFonts w:ascii="Calibri" w:eastAsia="Calibri" w:hAnsi="Calibri" w:cs="Calibri"/>
        <w:b w:val="0"/>
        <w:i w:val="0"/>
        <w:color w:val="000000"/>
        <w:sz w:val="20"/>
        <w:u w:val="none"/>
      </w:rPr>
      <w:fldChar w:fldCharType="begin"/>
    </w:r>
    <w:r>
      <w:rPr>
        <w:rFonts w:ascii="Calibri" w:eastAsia="Calibri" w:hAnsi="Calibri" w:cs="Calibri"/>
        <w:b w:val="0"/>
        <w:i w:val="0"/>
        <w:color w:val="000000"/>
        <w:sz w:val="20"/>
        <w:u w:val="none"/>
      </w:rPr>
      <w:instrText xml:space="preserve"> PAGE </w:instrText>
    </w:r>
    <w:r>
      <w:rPr>
        <w:rFonts w:ascii="Calibri" w:eastAsia="Calibri" w:hAnsi="Calibri" w:cs="Calibri"/>
        <w:b w:val="0"/>
        <w:i w:val="0"/>
        <w:color w:val="000000"/>
        <w:sz w:val="20"/>
        <w:u w:val="none"/>
      </w:rPr>
      <w:fldChar w:fldCharType="separate"/>
    </w:r>
    <w:r>
      <w:rPr>
        <w:rFonts w:ascii="Calibri" w:eastAsia="Calibri" w:hAnsi="Calibri" w:cs="Calibri"/>
        <w:b w:val="0"/>
        <w:i w:val="0"/>
        <w:color w:val="000000"/>
        <w:sz w:val="20"/>
        <w:u w:val="none"/>
      </w:rPr>
      <w:t>6</w:t>
    </w:r>
    <w:r>
      <w:rPr>
        <w:rFonts w:ascii="Calibri" w:eastAsia="Calibri" w:hAnsi="Calibri" w:cs="Calibri"/>
        <w:b w:val="0"/>
        <w:i w:val="0"/>
        <w:color w:val="000000"/>
        <w:sz w:val="20"/>
        <w:u w:val="none"/>
      </w:rPr>
      <w:fldChar w:fldCharType="end"/>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700"/>
        <w:tab w:val="right" w:pos="9400"/>
      </w:tabs>
      <w:spacing w:before="0" w:after="0" w:line="288" w:lineRule="auto"/>
      <w:ind w:left="0" w:right="0" w:firstLine="0"/>
      <w:jc w:val="left"/>
      <w:outlineLvl w:val="0"/>
      <w:rPr>
        <w:rFonts w:ascii="Times New Roman" w:eastAsia="Times New Roman" w:hAnsi="Times New Roman" w:cs="Times New Roman"/>
        <w:b w:val="0"/>
        <w:i w:val="0"/>
        <w:color w:val="000000"/>
        <w:sz w:val="24"/>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53" type="#_x0000_t75" style="width:498.9pt;height:1.98pt">
          <v:imagedata r:id="rId1" o:title=""/>
          <o:lock v:ext="edit" aspectratio="t"/>
        </v:shape>
      </w:pict>
    </w:r>
    <w:r>
      <w:rPr>
        <w:rFonts w:ascii="Calibri" w:eastAsia="Calibri" w:hAnsi="Calibri" w:cs="Calibri"/>
        <w:b w:val="0"/>
        <w:i w:val="0"/>
        <w:color w:val="000000"/>
        <w:sz w:val="20"/>
        <w:u w:val="none"/>
      </w:rPr>
      <w:t xml:space="preserve">Las notas adjuntas forman parte integral de estos estados financieros consolidados intermedios.                                Página </w:t>
    </w:r>
    <w:r>
      <w:rPr>
        <w:rFonts w:ascii="Calibri" w:eastAsia="Calibri" w:hAnsi="Calibri" w:cs="Calibri"/>
        <w:b w:val="0"/>
        <w:i w:val="0"/>
        <w:color w:val="000000"/>
        <w:sz w:val="20"/>
        <w:u w:val="none"/>
      </w:rPr>
      <w:fldChar w:fldCharType="begin"/>
    </w:r>
    <w:r>
      <w:rPr>
        <w:rFonts w:ascii="Calibri" w:eastAsia="Calibri" w:hAnsi="Calibri" w:cs="Calibri"/>
        <w:b w:val="0"/>
        <w:i w:val="0"/>
        <w:color w:val="000000"/>
        <w:sz w:val="20"/>
        <w:u w:val="none"/>
      </w:rPr>
      <w:instrText xml:space="preserve"> PAGE </w:instrText>
    </w:r>
    <w:r>
      <w:rPr>
        <w:rFonts w:ascii="Calibri" w:eastAsia="Calibri" w:hAnsi="Calibri" w:cs="Calibri"/>
        <w:b w:val="0"/>
        <w:i w:val="0"/>
        <w:color w:val="000000"/>
        <w:sz w:val="20"/>
        <w:u w:val="none"/>
      </w:rPr>
      <w:fldChar w:fldCharType="separate"/>
    </w:r>
    <w:r>
      <w:rPr>
        <w:rFonts w:ascii="Calibri" w:eastAsia="Calibri" w:hAnsi="Calibri" w:cs="Calibri"/>
        <w:b w:val="0"/>
        <w:i w:val="0"/>
        <w:color w:val="000000"/>
        <w:sz w:val="20"/>
        <w:u w:val="none"/>
      </w:rPr>
      <w:t>7</w:t>
    </w:r>
    <w:r>
      <w:rPr>
        <w:rFonts w:ascii="Calibri" w:eastAsia="Calibri" w:hAnsi="Calibri" w:cs="Calibri"/>
        <w:b w:val="0"/>
        <w:i w:val="0"/>
        <w:color w:val="000000"/>
        <w:sz w:val="20"/>
        <w:u w:val="none"/>
      </w:rPr>
      <w:fldChar w:fldCharType="end"/>
    </w:r>
    <w:r>
      <w:rPr>
        <w:rFonts w:ascii="Times New Roman" w:eastAsia="Times New Roman" w:hAnsi="Times New Roman" w:cs="Times New Roman"/>
        <w:b/>
        <w:i w:val="0"/>
        <w:color w:val="000000"/>
        <w:sz w:val="24"/>
        <w:u w:val="none"/>
      </w:rPr>
      <w:tab/>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700"/>
      </w:tabs>
      <w:spacing w:before="0" w:after="0" w:line="288" w:lineRule="auto"/>
      <w:ind w:left="0" w:right="0" w:firstLine="0"/>
      <w:jc w:val="right"/>
      <w:outlineLvl w:val="0"/>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54" type="#_x0000_t75" style="width:498.9pt;height:1.98pt">
          <v:imagedata r:id="rId1" o:title=""/>
          <o:lock v:ext="edit" aspectratio="t"/>
        </v:shape>
      </w:pict>
    </w:r>
    <w:r>
      <w:rPr>
        <w:rFonts w:ascii="Calibri" w:eastAsia="Calibri" w:hAnsi="Calibri" w:cs="Calibri"/>
        <w:b w:val="0"/>
        <w:i w:val="0"/>
        <w:color w:val="000000"/>
        <w:sz w:val="20"/>
        <w:u w:val="none"/>
      </w:rPr>
      <w:t xml:space="preserve">Página </w:t>
    </w:r>
    <w:r>
      <w:rPr>
        <w:rFonts w:ascii="Calibri" w:eastAsia="Calibri" w:hAnsi="Calibri" w:cs="Calibri"/>
        <w:b w:val="0"/>
        <w:i w:val="0"/>
        <w:color w:val="000000"/>
        <w:sz w:val="20"/>
        <w:u w:val="none"/>
      </w:rPr>
      <w:fldChar w:fldCharType="begin"/>
    </w:r>
    <w:r>
      <w:rPr>
        <w:rFonts w:ascii="Calibri" w:eastAsia="Calibri" w:hAnsi="Calibri" w:cs="Calibri"/>
        <w:b w:val="0"/>
        <w:i w:val="0"/>
        <w:color w:val="000000"/>
        <w:sz w:val="20"/>
        <w:u w:val="none"/>
      </w:rPr>
      <w:instrText xml:space="preserve"> PAGE </w:instrText>
    </w:r>
    <w:r>
      <w:rPr>
        <w:rFonts w:ascii="Calibri" w:eastAsia="Calibri" w:hAnsi="Calibri" w:cs="Calibri"/>
        <w:b w:val="0"/>
        <w:i w:val="0"/>
        <w:color w:val="000000"/>
        <w:sz w:val="20"/>
        <w:u w:val="none"/>
      </w:rPr>
      <w:fldChar w:fldCharType="separate"/>
    </w:r>
    <w:r>
      <w:rPr>
        <w:rFonts w:ascii="Calibri" w:eastAsia="Calibri" w:hAnsi="Calibri" w:cs="Calibri"/>
        <w:b w:val="0"/>
        <w:i w:val="0"/>
        <w:color w:val="000000"/>
        <w:sz w:val="20"/>
        <w:u w:val="none"/>
      </w:rPr>
      <w:t>19</w:t>
    </w:r>
    <w:r>
      <w:rPr>
        <w:rFonts w:ascii="Calibri" w:eastAsia="Calibri" w:hAnsi="Calibri" w:cs="Calibri"/>
        <w:b w:val="0"/>
        <w:i w:val="0"/>
        <w:color w:val="000000"/>
        <w:sz w:val="20"/>
        <w:u w:val="none"/>
      </w:rPr>
      <w:fldChar w:fldCharType="end"/>
    </w: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55" type="#_x0000_t75" style="width:677.48pt;height:1.98pt">
          <v:imagedata r:id="rId1" o:title=""/>
          <o:lock v:ext="edit" aspectratio="t"/>
        </v:shape>
      </w:pict>
    </w:r>
  </w:p>
  <w:p>
    <w:pPr>
      <w:keepNext w:val="0"/>
      <w:keepLines/>
      <w:pageBreakBefore w:val="0"/>
      <w:widowControl w:val="0"/>
      <w:numPr>
        <w:ilvl w:val="0"/>
        <w:numId w:val="0"/>
      </w:numPr>
      <w:tabs>
        <w:tab w:val="left" w:pos="700"/>
      </w:tabs>
      <w:spacing w:before="0" w:after="0" w:line="240" w:lineRule="exact"/>
      <w:ind w:left="0" w:right="0" w:firstLine="0"/>
      <w:jc w:val="right"/>
      <w:outlineLvl w:val="1"/>
      <w:rPr>
        <w:rFonts w:ascii="Calibri" w:eastAsia="Calibri" w:hAnsi="Calibri" w:cs="Calibri"/>
        <w:b w:val="0"/>
        <w:i w:val="0"/>
        <w:color w:val="000000"/>
        <w:sz w:val="20"/>
        <w:u w:val="none"/>
      </w:rPr>
    </w:pPr>
    <w:r>
      <w:rPr>
        <w:rFonts w:ascii="Calibri" w:eastAsia="Calibri" w:hAnsi="Calibri" w:cs="Calibri"/>
        <w:b w:val="0"/>
        <w:i w:val="0"/>
        <w:sz w:val="20"/>
      </w:rPr>
      <w:t xml:space="preserve">Página </w:t>
    </w:r>
    <w:r>
      <w:rPr>
        <w:rFonts w:ascii="Calibri" w:eastAsia="Calibri" w:hAnsi="Calibri" w:cs="Calibri"/>
        <w:b w:val="0"/>
        <w:i w:val="0"/>
        <w:sz w:val="20"/>
      </w:rPr>
      <w:fldChar w:fldCharType="begin"/>
    </w:r>
    <w:r>
      <w:rPr>
        <w:rFonts w:ascii="Calibri" w:eastAsia="Calibri" w:hAnsi="Calibri" w:cs="Calibri"/>
        <w:b w:val="0"/>
        <w:i w:val="0"/>
        <w:sz w:val="20"/>
      </w:rPr>
      <w:instrText xml:space="preserve"> PAGE </w:instrText>
    </w:r>
    <w:r>
      <w:rPr>
        <w:rFonts w:ascii="Calibri" w:eastAsia="Calibri" w:hAnsi="Calibri" w:cs="Calibri"/>
        <w:b w:val="0"/>
        <w:i w:val="0"/>
        <w:sz w:val="20"/>
      </w:rPr>
      <w:fldChar w:fldCharType="separate"/>
    </w:r>
    <w:r>
      <w:rPr>
        <w:rFonts w:ascii="Calibri" w:eastAsia="Calibri" w:hAnsi="Calibri" w:cs="Calibri"/>
        <w:b w:val="0"/>
        <w:i w:val="0"/>
        <w:sz w:val="20"/>
      </w:rPr>
      <w:t>20</w:t>
    </w:r>
    <w:r>
      <w:rPr>
        <w:rFonts w:ascii="Calibri" w:eastAsia="Calibri" w:hAnsi="Calibri" w:cs="Calibri"/>
        <w:b w:val="0"/>
        <w:i w:val="0"/>
        <w:sz w:val="20"/>
      </w:rPr>
      <w:fldChar w:fldCharType="end"/>
    </w: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700"/>
      </w:tabs>
      <w:spacing w:before="0" w:after="0" w:line="288" w:lineRule="auto"/>
      <w:ind w:left="0" w:right="0" w:firstLine="0"/>
      <w:jc w:val="right"/>
      <w:outlineLvl w:val="9"/>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56" type="#_x0000_t75" style="width:498.9pt;height:1.98pt">
          <v:imagedata r:id="rId1" o:title=""/>
          <o:lock v:ext="edit" aspectratio="t"/>
        </v:shape>
      </w:pict>
    </w:r>
  </w:p>
  <w:p>
    <w:pPr>
      <w:pStyle w:val="Normal-wk"/>
      <w:keepNext w:val="0"/>
      <w:keepLines/>
      <w:pageBreakBefore w:val="0"/>
      <w:widowControl w:val="0"/>
      <w:numPr>
        <w:ilvl w:val="0"/>
        <w:numId w:val="0"/>
      </w:numPr>
      <w:tabs>
        <w:tab w:val="left" w:pos="700"/>
      </w:tabs>
      <w:spacing w:before="0" w:after="0" w:line="240" w:lineRule="exact"/>
      <w:ind w:left="0" w:right="0" w:firstLine="0"/>
      <w:jc w:val="right"/>
      <w:outlineLvl w:val="1"/>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Página </w:t>
    </w:r>
    <w:r>
      <w:rPr>
        <w:rFonts w:ascii="Calibri" w:eastAsia="Calibri" w:hAnsi="Calibri" w:cs="Calibri"/>
        <w:b w:val="0"/>
        <w:i w:val="0"/>
        <w:color w:val="000000"/>
        <w:sz w:val="20"/>
        <w:u w:val="none"/>
      </w:rPr>
      <w:fldChar w:fldCharType="begin"/>
    </w:r>
    <w:r>
      <w:rPr>
        <w:rFonts w:ascii="Calibri" w:eastAsia="Calibri" w:hAnsi="Calibri" w:cs="Calibri"/>
        <w:b w:val="0"/>
        <w:i w:val="0"/>
        <w:color w:val="000000"/>
        <w:sz w:val="20"/>
        <w:u w:val="none"/>
      </w:rPr>
      <w:instrText xml:space="preserve"> PAGE </w:instrText>
    </w:r>
    <w:r>
      <w:rPr>
        <w:rFonts w:ascii="Calibri" w:eastAsia="Calibri" w:hAnsi="Calibri" w:cs="Calibri"/>
        <w:b w:val="0"/>
        <w:i w:val="0"/>
        <w:color w:val="000000"/>
        <w:sz w:val="20"/>
        <w:u w:val="none"/>
      </w:rPr>
      <w:fldChar w:fldCharType="separate"/>
    </w:r>
    <w:r>
      <w:rPr>
        <w:rFonts w:ascii="Calibri" w:eastAsia="Calibri" w:hAnsi="Calibri" w:cs="Calibri"/>
        <w:b w:val="0"/>
        <w:i w:val="0"/>
        <w:color w:val="000000"/>
        <w:sz w:val="20"/>
        <w:u w:val="none"/>
      </w:rPr>
      <w:t>46</w:t>
    </w:r>
    <w:r>
      <w:rPr>
        <w:rFonts w:ascii="Calibri" w:eastAsia="Calibri" w:hAnsi="Calibri" w:cs="Calibri"/>
        <w:b w:val="0"/>
        <w:i w:val="0"/>
        <w:color w:val="000000"/>
        <w:sz w:val="20"/>
        <w:u w:val="none"/>
      </w:rPr>
      <w:fldChar w:fldCharType="end"/>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57" type="#_x0000_t75" style="width:677.48pt;height:1.98pt">
          <v:imagedata r:id="rId1" o:title=""/>
          <o:lock v:ext="edit" aspectratio="t"/>
        </v:shape>
      </w:pict>
    </w:r>
  </w:p>
  <w:p>
    <w:pPr>
      <w:keepNext w:val="0"/>
      <w:keepLines/>
      <w:pageBreakBefore w:val="0"/>
      <w:widowControl w:val="0"/>
      <w:numPr>
        <w:ilvl w:val="0"/>
        <w:numId w:val="0"/>
      </w:numPr>
      <w:tabs>
        <w:tab w:val="left" w:pos="700"/>
      </w:tabs>
      <w:spacing w:before="0" w:after="0" w:line="240" w:lineRule="exact"/>
      <w:ind w:left="11520" w:right="0" w:firstLine="720"/>
      <w:jc w:val="both"/>
      <w:outlineLvl w:val="1"/>
      <w:rPr>
        <w:rFonts w:ascii="Calibri" w:eastAsia="Calibri" w:hAnsi="Calibri" w:cs="Calibri"/>
        <w:b w:val="0"/>
        <w:i w:val="0"/>
        <w:color w:val="000000"/>
        <w:sz w:val="20"/>
        <w:u w:val="none"/>
      </w:rPr>
    </w:pPr>
    <w:r>
      <w:rPr>
        <w:rFonts w:ascii="Calibri" w:eastAsia="Calibri" w:hAnsi="Calibri" w:cs="Calibri"/>
        <w:b w:val="0"/>
        <w:i w:val="0"/>
        <w:sz w:val="20"/>
      </w:rPr>
      <w:t xml:space="preserve">           Página </w:t>
    </w:r>
    <w:r>
      <w:rPr>
        <w:rFonts w:ascii="Calibri" w:eastAsia="Calibri" w:hAnsi="Calibri" w:cs="Calibri"/>
        <w:b w:val="0"/>
        <w:i w:val="0"/>
        <w:sz w:val="20"/>
      </w:rPr>
      <w:fldChar w:fldCharType="begin"/>
    </w:r>
    <w:r>
      <w:rPr>
        <w:rFonts w:ascii="Calibri" w:eastAsia="Calibri" w:hAnsi="Calibri" w:cs="Calibri"/>
        <w:b w:val="0"/>
        <w:i w:val="0"/>
        <w:sz w:val="20"/>
      </w:rPr>
      <w:instrText xml:space="preserve"> PAGE </w:instrText>
    </w:r>
    <w:r>
      <w:rPr>
        <w:rFonts w:ascii="Calibri" w:eastAsia="Calibri" w:hAnsi="Calibri" w:cs="Calibri"/>
        <w:b w:val="0"/>
        <w:i w:val="0"/>
        <w:sz w:val="20"/>
      </w:rPr>
      <w:fldChar w:fldCharType="separate"/>
    </w:r>
    <w:r>
      <w:rPr>
        <w:rFonts w:ascii="Calibri" w:eastAsia="Calibri" w:hAnsi="Calibri" w:cs="Calibri"/>
        <w:b w:val="0"/>
        <w:i w:val="0"/>
        <w:sz w:val="20"/>
      </w:rPr>
      <w:t>47</w:t>
    </w:r>
    <w:r>
      <w:rPr>
        <w:rFonts w:ascii="Calibri" w:eastAsia="Calibri" w:hAnsi="Calibri" w:cs="Calibri"/>
        <w:b w:val="0"/>
        <w:i w:val="0"/>
        <w:sz w:val="20"/>
      </w:rPr>
      <w:fldChar w:fldCharType="end"/>
    </w: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700"/>
      </w:tabs>
      <w:spacing w:before="0" w:after="0" w:line="288" w:lineRule="auto"/>
      <w:ind w:left="0" w:right="0" w:firstLine="0"/>
      <w:jc w:val="right"/>
      <w:outlineLvl w:val="0"/>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58" type="#_x0000_t75" style="width:498.9pt;height:1.98pt">
          <v:imagedata r:id="rId1" o:title=""/>
          <o:lock v:ext="edit" aspectratio="t"/>
        </v:shape>
      </w:pict>
    </w:r>
    <w:r>
      <w:rPr>
        <w:rFonts w:ascii="Calibri" w:eastAsia="Calibri" w:hAnsi="Calibri" w:cs="Calibri"/>
        <w:b w:val="0"/>
        <w:i w:val="0"/>
        <w:sz w:val="20"/>
      </w:rPr>
      <w:t xml:space="preserve">Página </w:t>
    </w:r>
    <w:r>
      <w:rPr>
        <w:rFonts w:ascii="Calibri" w:eastAsia="Calibri" w:hAnsi="Calibri" w:cs="Calibri"/>
        <w:b w:val="0"/>
        <w:i w:val="0"/>
        <w:sz w:val="20"/>
      </w:rPr>
      <w:fldChar w:fldCharType="begin"/>
    </w:r>
    <w:r>
      <w:rPr>
        <w:rFonts w:ascii="Calibri" w:eastAsia="Calibri" w:hAnsi="Calibri" w:cs="Calibri"/>
        <w:b w:val="0"/>
        <w:i w:val="0"/>
        <w:sz w:val="20"/>
      </w:rPr>
      <w:instrText xml:space="preserve"> PAGE </w:instrText>
    </w:r>
    <w:r>
      <w:rPr>
        <w:rFonts w:ascii="Calibri" w:eastAsia="Calibri" w:hAnsi="Calibri" w:cs="Calibri"/>
        <w:b w:val="0"/>
        <w:i w:val="0"/>
        <w:sz w:val="20"/>
      </w:rPr>
      <w:fldChar w:fldCharType="separate"/>
    </w:r>
    <w:r>
      <w:rPr>
        <w:rFonts w:ascii="Calibri" w:eastAsia="Calibri" w:hAnsi="Calibri" w:cs="Calibri"/>
        <w:b w:val="0"/>
        <w:i w:val="0"/>
        <w:sz w:val="20"/>
      </w:rPr>
      <w:t>52</w:t>
    </w:r>
    <w:r>
      <w:rPr>
        <w:rFonts w:ascii="Calibri" w:eastAsia="Calibri" w:hAnsi="Calibri" w:cs="Calibri"/>
        <w:b w:val="0"/>
        <w:i w:val="0"/>
        <w:sz w:val="20"/>
      </w:rPr>
      <w:fldChar w:fldCharType="end"/>
    </w:r>
  </w:p>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700"/>
      </w:tabs>
      <w:spacing w:before="0" w:after="0" w:line="288" w:lineRule="auto"/>
      <w:ind w:left="0" w:right="0" w:firstLine="0"/>
      <w:jc w:val="right"/>
      <w:outlineLvl w:val="9"/>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59" type="#_x0000_t75" style="width:677.48pt;height:1.98pt">
          <v:imagedata r:id="rId1" o:title=""/>
          <o:lock v:ext="edit" aspectratio="t"/>
        </v:shape>
      </w:pict>
    </w:r>
  </w:p>
  <w:p>
    <w:pPr>
      <w:keepNext w:val="0"/>
      <w:keepLines/>
      <w:pageBreakBefore w:val="0"/>
      <w:widowControl w:val="0"/>
      <w:numPr>
        <w:ilvl w:val="0"/>
        <w:numId w:val="0"/>
      </w:numPr>
      <w:tabs>
        <w:tab w:val="left" w:pos="700"/>
      </w:tabs>
      <w:spacing w:before="0" w:after="0" w:line="240" w:lineRule="exact"/>
      <w:ind w:left="0" w:right="0" w:firstLine="0"/>
      <w:jc w:val="right"/>
      <w:outlineLvl w:val="1"/>
      <w:rPr>
        <w:rFonts w:ascii="Calibri" w:eastAsia="Calibri" w:hAnsi="Calibri" w:cs="Calibri"/>
        <w:b w:val="0"/>
        <w:i w:val="0"/>
        <w:color w:val="000000"/>
        <w:sz w:val="20"/>
        <w:u w:val="none"/>
      </w:rPr>
    </w:pPr>
    <w:r>
      <w:rPr>
        <w:rFonts w:ascii="Calibri" w:eastAsia="Calibri" w:hAnsi="Calibri" w:cs="Calibri"/>
        <w:b w:val="0"/>
        <w:i w:val="0"/>
        <w:sz w:val="20"/>
      </w:rPr>
      <w:t xml:space="preserve">Página </w:t>
    </w:r>
    <w:r>
      <w:rPr>
        <w:rFonts w:ascii="Calibri" w:eastAsia="Calibri" w:hAnsi="Calibri" w:cs="Calibri"/>
        <w:b w:val="0"/>
        <w:i w:val="0"/>
        <w:sz w:val="20"/>
      </w:rPr>
      <w:fldChar w:fldCharType="begin"/>
    </w:r>
    <w:r>
      <w:rPr>
        <w:rFonts w:ascii="Calibri" w:eastAsia="Calibri" w:hAnsi="Calibri" w:cs="Calibri"/>
        <w:b w:val="0"/>
        <w:i w:val="0"/>
        <w:sz w:val="20"/>
      </w:rPr>
      <w:instrText xml:space="preserve"> PAGE </w:instrText>
    </w:r>
    <w:r>
      <w:rPr>
        <w:rFonts w:ascii="Calibri" w:eastAsia="Calibri" w:hAnsi="Calibri" w:cs="Calibri"/>
        <w:b w:val="0"/>
        <w:i w:val="0"/>
        <w:sz w:val="20"/>
      </w:rPr>
      <w:fldChar w:fldCharType="separate"/>
    </w:r>
    <w:r>
      <w:rPr>
        <w:rFonts w:ascii="Calibri" w:eastAsia="Calibri" w:hAnsi="Calibri" w:cs="Calibri"/>
        <w:b w:val="0"/>
        <w:i w:val="0"/>
        <w:sz w:val="20"/>
      </w:rPr>
      <w:t>53</w:t>
    </w:r>
    <w:r>
      <w:rPr>
        <w:rFonts w:ascii="Calibri" w:eastAsia="Calibri" w:hAnsi="Calibri" w:cs="Calibri"/>
        <w:b w:val="0"/>
        <w:i w:val="0"/>
        <w:sz w:val="20"/>
      </w:rPr>
      <w:fldChar w:fldCharType="end"/>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700"/>
      </w:tabs>
      <w:spacing w:before="0" w:after="0" w:line="288" w:lineRule="auto"/>
      <w:ind w:left="0" w:right="0" w:firstLine="0"/>
      <w:jc w:val="right"/>
      <w:outlineLvl w:val="9"/>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60" type="#_x0000_t75" style="width:498.9pt;height:1.98pt">
          <v:imagedata r:id="rId1" o:title=""/>
          <o:lock v:ext="edit" aspectratio="t"/>
        </v:shape>
      </w:pict>
    </w:r>
  </w:p>
  <w:p>
    <w:pPr>
      <w:pStyle w:val="Normal-wk"/>
      <w:keepNext w:val="0"/>
      <w:keepLines/>
      <w:pageBreakBefore w:val="0"/>
      <w:widowControl w:val="0"/>
      <w:numPr>
        <w:ilvl w:val="0"/>
        <w:numId w:val="0"/>
      </w:numPr>
      <w:tabs>
        <w:tab w:val="left" w:pos="700"/>
      </w:tabs>
      <w:spacing w:before="0" w:after="0" w:line="240" w:lineRule="exact"/>
      <w:ind w:left="0" w:right="0" w:firstLine="0"/>
      <w:jc w:val="right"/>
      <w:outlineLvl w:val="1"/>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Página </w:t>
    </w:r>
    <w:r>
      <w:rPr>
        <w:rFonts w:ascii="Calibri" w:eastAsia="Calibri" w:hAnsi="Calibri" w:cs="Calibri"/>
        <w:b w:val="0"/>
        <w:i w:val="0"/>
        <w:color w:val="000000"/>
        <w:sz w:val="20"/>
        <w:u w:val="none"/>
      </w:rPr>
      <w:fldChar w:fldCharType="begin"/>
    </w:r>
    <w:r>
      <w:rPr>
        <w:rFonts w:ascii="Calibri" w:eastAsia="Calibri" w:hAnsi="Calibri" w:cs="Calibri"/>
        <w:b w:val="0"/>
        <w:i w:val="0"/>
        <w:color w:val="000000"/>
        <w:sz w:val="20"/>
        <w:u w:val="none"/>
      </w:rPr>
      <w:instrText xml:space="preserve"> PAGE </w:instrText>
    </w:r>
    <w:r>
      <w:rPr>
        <w:rFonts w:ascii="Calibri" w:eastAsia="Calibri" w:hAnsi="Calibri" w:cs="Calibri"/>
        <w:b w:val="0"/>
        <w:i w:val="0"/>
        <w:color w:val="000000"/>
        <w:sz w:val="20"/>
        <w:u w:val="none"/>
      </w:rPr>
      <w:fldChar w:fldCharType="separate"/>
    </w:r>
    <w:r>
      <w:rPr>
        <w:rFonts w:ascii="Calibri" w:eastAsia="Calibri" w:hAnsi="Calibri" w:cs="Calibri"/>
        <w:b w:val="0"/>
        <w:i w:val="0"/>
        <w:color w:val="000000"/>
        <w:sz w:val="20"/>
        <w:u w:val="none"/>
      </w:rPr>
      <w:t>58</w:t>
    </w:r>
    <w:r>
      <w:rPr>
        <w:rFonts w:ascii="Calibri" w:eastAsia="Calibri" w:hAnsi="Calibri" w:cs="Calibri"/>
        <w:b w:val="0"/>
        <w:i w:val="0"/>
        <w:color w:val="000000"/>
        <w:sz w:val="20"/>
        <w:u w:val="none"/>
      </w:rPr>
      <w:fldChar w:fldCharType="end"/>
    </w: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700"/>
        <w:tab w:val="right" w:pos="13600"/>
      </w:tabs>
      <w:spacing w:before="0" w:after="0" w:line="288" w:lineRule="auto"/>
      <w:ind w:left="0" w:right="0" w:firstLine="0"/>
      <w:jc w:val="both"/>
      <w:outlineLvl w:val="9"/>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61" type="#_x0000_t75" style="width:677.48pt;height:1.98pt">
          <v:imagedata r:id="rId1" o:title=""/>
          <o:lock v:ext="edit" aspectratio="t"/>
        </v:shape>
      </w:pict>
    </w:r>
  </w:p>
  <w:p>
    <w:pPr>
      <w:keepNext w:val="0"/>
      <w:keepLines/>
      <w:pageBreakBefore w:val="0"/>
      <w:widowControl w:val="0"/>
      <w:numPr>
        <w:ilvl w:val="0"/>
        <w:numId w:val="0"/>
      </w:numPr>
      <w:tabs>
        <w:tab w:val="left" w:pos="700"/>
      </w:tabs>
      <w:spacing w:before="0" w:after="0" w:line="240" w:lineRule="exact"/>
      <w:ind w:left="0" w:right="0" w:firstLine="0"/>
      <w:jc w:val="right"/>
      <w:outlineLvl w:val="1"/>
      <w:rPr>
        <w:rFonts w:ascii="Calibri" w:eastAsia="Calibri" w:hAnsi="Calibri" w:cs="Calibri"/>
        <w:b w:val="0"/>
        <w:i w:val="0"/>
        <w:color w:val="000000"/>
        <w:sz w:val="20"/>
        <w:u w:val="none"/>
      </w:rPr>
    </w:pPr>
    <w:r>
      <w:rPr>
        <w:rFonts w:ascii="Calibri" w:eastAsia="Calibri" w:hAnsi="Calibri" w:cs="Calibri"/>
        <w:b w:val="0"/>
        <w:i w:val="0"/>
        <w:sz w:val="20"/>
      </w:rPr>
      <w:t xml:space="preserve">Página </w:t>
    </w:r>
    <w:r>
      <w:rPr>
        <w:rFonts w:ascii="Calibri" w:eastAsia="Calibri" w:hAnsi="Calibri" w:cs="Calibri"/>
        <w:b w:val="0"/>
        <w:i w:val="0"/>
        <w:sz w:val="20"/>
      </w:rPr>
      <w:fldChar w:fldCharType="begin"/>
    </w:r>
    <w:r>
      <w:rPr>
        <w:rFonts w:ascii="Calibri" w:eastAsia="Calibri" w:hAnsi="Calibri" w:cs="Calibri"/>
        <w:b w:val="0"/>
        <w:i w:val="0"/>
        <w:sz w:val="20"/>
      </w:rPr>
      <w:instrText xml:space="preserve"> PAGE </w:instrText>
    </w:r>
    <w:r>
      <w:rPr>
        <w:rFonts w:ascii="Calibri" w:eastAsia="Calibri" w:hAnsi="Calibri" w:cs="Calibri"/>
        <w:b w:val="0"/>
        <w:i w:val="0"/>
        <w:sz w:val="20"/>
      </w:rPr>
      <w:fldChar w:fldCharType="separate"/>
    </w:r>
    <w:r>
      <w:rPr>
        <w:rFonts w:ascii="Calibri" w:eastAsia="Calibri" w:hAnsi="Calibri" w:cs="Calibri"/>
        <w:b w:val="0"/>
        <w:i w:val="0"/>
        <w:sz w:val="20"/>
      </w:rPr>
      <w:t>63</w:t>
    </w:r>
    <w:r>
      <w:rPr>
        <w:rFonts w:ascii="Calibri" w:eastAsia="Calibri" w:hAnsi="Calibri" w:cs="Calibri"/>
        <w:b w:val="0"/>
        <w:i w:val="0"/>
        <w:sz w:val="20"/>
      </w:rPr>
      <w:fldChar w:fldCharType="end"/>
    </w:r>
  </w:p>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700"/>
      </w:tabs>
      <w:spacing w:before="0" w:after="0" w:line="288" w:lineRule="auto"/>
      <w:ind w:left="0" w:right="0" w:firstLine="0"/>
      <w:jc w:val="right"/>
      <w:outlineLvl w:val="9"/>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62" type="#_x0000_t75" style="width:498.9pt;height:1.98pt">
          <v:imagedata r:id="rId1" o:title=""/>
          <o:lock v:ext="edit" aspectratio="t"/>
        </v:shape>
      </w:pict>
    </w:r>
  </w:p>
  <w:p>
    <w:pPr>
      <w:pStyle w:val="Normal-wk"/>
      <w:keepNext w:val="0"/>
      <w:keepLines/>
      <w:pageBreakBefore w:val="0"/>
      <w:widowControl w:val="0"/>
      <w:numPr>
        <w:ilvl w:val="0"/>
        <w:numId w:val="0"/>
      </w:numPr>
      <w:tabs>
        <w:tab w:val="left" w:pos="700"/>
      </w:tabs>
      <w:spacing w:before="0" w:after="0" w:line="240" w:lineRule="exact"/>
      <w:ind w:left="0" w:right="0" w:firstLine="0"/>
      <w:jc w:val="right"/>
      <w:outlineLvl w:val="1"/>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Página </w:t>
    </w:r>
    <w:r>
      <w:rPr>
        <w:rFonts w:ascii="Calibri" w:eastAsia="Calibri" w:hAnsi="Calibri" w:cs="Calibri"/>
        <w:b w:val="0"/>
        <w:i w:val="0"/>
        <w:color w:val="000000"/>
        <w:sz w:val="20"/>
        <w:u w:val="none"/>
      </w:rPr>
      <w:fldChar w:fldCharType="begin"/>
    </w:r>
    <w:r>
      <w:rPr>
        <w:rFonts w:ascii="Calibri" w:eastAsia="Calibri" w:hAnsi="Calibri" w:cs="Calibri"/>
        <w:b w:val="0"/>
        <w:i w:val="0"/>
        <w:color w:val="000000"/>
        <w:sz w:val="20"/>
        <w:u w:val="none"/>
      </w:rPr>
      <w:instrText xml:space="preserve"> PAGE </w:instrText>
    </w:r>
    <w:r>
      <w:rPr>
        <w:rFonts w:ascii="Calibri" w:eastAsia="Calibri" w:hAnsi="Calibri" w:cs="Calibri"/>
        <w:b w:val="0"/>
        <w:i w:val="0"/>
        <w:color w:val="000000"/>
        <w:sz w:val="20"/>
        <w:u w:val="none"/>
      </w:rPr>
      <w:fldChar w:fldCharType="separate"/>
    </w:r>
    <w:r>
      <w:rPr>
        <w:rFonts w:ascii="Calibri" w:eastAsia="Calibri" w:hAnsi="Calibri" w:cs="Calibri"/>
        <w:b w:val="0"/>
        <w:i w:val="0"/>
        <w:color w:val="000000"/>
        <w:sz w:val="20"/>
        <w:u w:val="none"/>
      </w:rPr>
      <w:t>66</w:t>
    </w:r>
    <w:r>
      <w:rPr>
        <w:rFonts w:ascii="Calibri" w:eastAsia="Calibri" w:hAnsi="Calibri" w:cs="Calibri"/>
        <w:b w:val="0"/>
        <w:i w:val="0"/>
        <w:color w:val="000000"/>
        <w:sz w:val="20"/>
        <w:u w:val="none"/>
      </w:rPr>
      <w:fldChar w:fldCharType="end"/>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700"/>
        <w:tab w:val="right" w:pos="13600"/>
      </w:tabs>
      <w:spacing w:before="0" w:after="0" w:line="288" w:lineRule="auto"/>
      <w:ind w:left="0" w:right="0" w:firstLine="0"/>
      <w:jc w:val="both"/>
      <w:outlineLvl w:val="9"/>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63" type="#_x0000_t75" style="width:677.48pt;height:1.98pt">
          <v:imagedata r:id="rId1" o:title=""/>
          <o:lock v:ext="edit" aspectratio="t"/>
        </v:shape>
      </w:pict>
    </w:r>
  </w:p>
  <w:p>
    <w:pPr>
      <w:keepNext w:val="0"/>
      <w:keepLines/>
      <w:pageBreakBefore w:val="0"/>
      <w:widowControl w:val="0"/>
      <w:numPr>
        <w:ilvl w:val="0"/>
        <w:numId w:val="0"/>
      </w:numPr>
      <w:tabs>
        <w:tab w:val="left" w:pos="700"/>
      </w:tabs>
      <w:spacing w:before="0" w:after="0" w:line="240" w:lineRule="exact"/>
      <w:ind w:left="0" w:right="0" w:firstLine="0"/>
      <w:jc w:val="right"/>
      <w:outlineLvl w:val="0"/>
      <w:rPr>
        <w:rFonts w:ascii="Calibri" w:eastAsia="Calibri" w:hAnsi="Calibri" w:cs="Calibri"/>
        <w:b w:val="0"/>
        <w:i w:val="0"/>
        <w:color w:val="000000"/>
        <w:sz w:val="20"/>
        <w:u w:val="none"/>
      </w:rPr>
    </w:pPr>
    <w:r>
      <w:rPr>
        <w:rFonts w:ascii="Calibri" w:eastAsia="Calibri" w:hAnsi="Calibri" w:cs="Calibri"/>
        <w:b w:val="0"/>
        <w:i w:val="0"/>
        <w:sz w:val="20"/>
      </w:rPr>
      <w:t xml:space="preserve">Página </w:t>
    </w:r>
    <w:r>
      <w:rPr>
        <w:rFonts w:ascii="Calibri" w:eastAsia="Calibri" w:hAnsi="Calibri" w:cs="Calibri"/>
        <w:b w:val="0"/>
        <w:i w:val="0"/>
        <w:sz w:val="20"/>
      </w:rPr>
      <w:fldChar w:fldCharType="begin"/>
    </w:r>
    <w:r>
      <w:rPr>
        <w:rFonts w:ascii="Calibri" w:eastAsia="Calibri" w:hAnsi="Calibri" w:cs="Calibri"/>
        <w:b w:val="0"/>
        <w:i w:val="0"/>
        <w:sz w:val="20"/>
      </w:rPr>
      <w:instrText xml:space="preserve"> PAGE </w:instrText>
    </w:r>
    <w:r>
      <w:rPr>
        <w:rFonts w:ascii="Calibri" w:eastAsia="Calibri" w:hAnsi="Calibri" w:cs="Calibri"/>
        <w:b w:val="0"/>
        <w:i w:val="0"/>
        <w:sz w:val="20"/>
      </w:rPr>
      <w:fldChar w:fldCharType="separate"/>
    </w:r>
    <w:r>
      <w:rPr>
        <w:rFonts w:ascii="Calibri" w:eastAsia="Calibri" w:hAnsi="Calibri" w:cs="Calibri"/>
        <w:b w:val="0"/>
        <w:i w:val="0"/>
        <w:sz w:val="20"/>
      </w:rPr>
      <w:t>68</w:t>
    </w:r>
    <w:r>
      <w:rPr>
        <w:rFonts w:ascii="Calibri" w:eastAsia="Calibri" w:hAnsi="Calibri" w:cs="Calibri"/>
        <w:b w:val="0"/>
        <w:i w:val="0"/>
        <w:sz w:val="20"/>
      </w:rPr>
      <w:fldChar w:fldCharType="end"/>
    </w: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700"/>
      </w:tabs>
      <w:spacing w:before="0" w:after="0" w:line="288" w:lineRule="auto"/>
      <w:ind w:left="0" w:right="0" w:firstLine="0"/>
      <w:jc w:val="right"/>
      <w:outlineLvl w:val="9"/>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64" type="#_x0000_t75" style="width:498.9pt;height:1.98pt">
          <v:imagedata r:id="rId1" o:title=""/>
          <o:lock v:ext="edit" aspectratio="t"/>
        </v:shape>
      </w:pict>
    </w:r>
  </w:p>
  <w:p>
    <w:pPr>
      <w:pStyle w:val="Normal-wk"/>
      <w:keepNext w:val="0"/>
      <w:keepLines/>
      <w:pageBreakBefore w:val="0"/>
      <w:widowControl w:val="0"/>
      <w:numPr>
        <w:ilvl w:val="0"/>
        <w:numId w:val="0"/>
      </w:numPr>
      <w:tabs>
        <w:tab w:val="left" w:pos="700"/>
      </w:tabs>
      <w:spacing w:before="0" w:after="0" w:line="240" w:lineRule="exact"/>
      <w:ind w:left="0" w:right="0" w:firstLine="0"/>
      <w:jc w:val="right"/>
      <w:outlineLvl w:val="0"/>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Página </w:t>
    </w:r>
    <w:r>
      <w:rPr>
        <w:rFonts w:ascii="Calibri" w:eastAsia="Calibri" w:hAnsi="Calibri" w:cs="Calibri"/>
        <w:b w:val="0"/>
        <w:i w:val="0"/>
        <w:color w:val="000000"/>
        <w:sz w:val="20"/>
        <w:u w:val="none"/>
      </w:rPr>
      <w:fldChar w:fldCharType="begin"/>
    </w:r>
    <w:r>
      <w:rPr>
        <w:rFonts w:ascii="Calibri" w:eastAsia="Calibri" w:hAnsi="Calibri" w:cs="Calibri"/>
        <w:b w:val="0"/>
        <w:i w:val="0"/>
        <w:color w:val="000000"/>
        <w:sz w:val="20"/>
        <w:u w:val="none"/>
      </w:rPr>
      <w:instrText xml:space="preserve"> PAGE </w:instrText>
    </w:r>
    <w:r>
      <w:rPr>
        <w:rFonts w:ascii="Calibri" w:eastAsia="Calibri" w:hAnsi="Calibri" w:cs="Calibri"/>
        <w:b w:val="0"/>
        <w:i w:val="0"/>
        <w:color w:val="000000"/>
        <w:sz w:val="20"/>
        <w:u w:val="none"/>
      </w:rPr>
      <w:fldChar w:fldCharType="separate"/>
    </w:r>
    <w:r>
      <w:rPr>
        <w:rFonts w:ascii="Calibri" w:eastAsia="Calibri" w:hAnsi="Calibri" w:cs="Calibri"/>
        <w:b w:val="0"/>
        <w:i w:val="0"/>
        <w:color w:val="000000"/>
        <w:sz w:val="20"/>
        <w:u w:val="none"/>
      </w:rPr>
      <w:t>74</w:t>
    </w:r>
    <w:r>
      <w:rPr>
        <w:rFonts w:ascii="Calibri" w:eastAsia="Calibri" w:hAnsi="Calibri" w:cs="Calibri"/>
        <w:b w:val="0"/>
        <w:i w:val="0"/>
        <w:color w:val="000000"/>
        <w:sz w:val="20"/>
        <w:u w:val="none"/>
      </w:rPr>
      <w:fldChar w:fldCharType="end"/>
    </w:r>
  </w:p>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700"/>
        <w:tab w:val="right" w:pos="13600"/>
      </w:tabs>
      <w:spacing w:before="0" w:after="0" w:line="288" w:lineRule="auto"/>
      <w:ind w:left="0" w:right="0" w:firstLine="0"/>
      <w:jc w:val="both"/>
      <w:outlineLvl w:val="9"/>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65" type="#_x0000_t75" style="width:677.48pt;height:1.98pt">
          <v:imagedata r:id="rId1" o:title=""/>
          <o:lock v:ext="edit" aspectratio="t"/>
        </v:shape>
      </w:pict>
    </w:r>
  </w:p>
  <w:p>
    <w:pPr>
      <w:keepNext w:val="0"/>
      <w:keepLines/>
      <w:pageBreakBefore w:val="0"/>
      <w:widowControl w:val="0"/>
      <w:numPr>
        <w:ilvl w:val="0"/>
        <w:numId w:val="0"/>
      </w:numPr>
      <w:tabs>
        <w:tab w:val="left" w:pos="700"/>
      </w:tabs>
      <w:spacing w:before="0" w:after="0" w:line="240" w:lineRule="exact"/>
      <w:ind w:left="0" w:right="0" w:firstLine="0"/>
      <w:jc w:val="right"/>
      <w:outlineLvl w:val="1"/>
      <w:rPr>
        <w:rFonts w:ascii="Calibri" w:eastAsia="Calibri" w:hAnsi="Calibri" w:cs="Calibri"/>
        <w:b w:val="0"/>
        <w:i w:val="0"/>
        <w:color w:val="000000"/>
        <w:sz w:val="20"/>
        <w:u w:val="none"/>
      </w:rPr>
    </w:pPr>
    <w:r>
      <w:rPr>
        <w:rFonts w:ascii="Calibri" w:eastAsia="Calibri" w:hAnsi="Calibri" w:cs="Calibri"/>
        <w:b w:val="0"/>
        <w:i w:val="0"/>
        <w:sz w:val="20"/>
      </w:rPr>
      <w:t xml:space="preserve">Página </w:t>
    </w:r>
    <w:r>
      <w:rPr>
        <w:rFonts w:ascii="Calibri" w:eastAsia="Calibri" w:hAnsi="Calibri" w:cs="Calibri"/>
        <w:b w:val="0"/>
        <w:i w:val="0"/>
        <w:sz w:val="20"/>
      </w:rPr>
      <w:fldChar w:fldCharType="begin"/>
    </w:r>
    <w:r>
      <w:rPr>
        <w:rFonts w:ascii="Calibri" w:eastAsia="Calibri" w:hAnsi="Calibri" w:cs="Calibri"/>
        <w:b w:val="0"/>
        <w:i w:val="0"/>
        <w:sz w:val="20"/>
      </w:rPr>
      <w:instrText xml:space="preserve"> PAGE </w:instrText>
    </w:r>
    <w:r>
      <w:rPr>
        <w:rFonts w:ascii="Calibri" w:eastAsia="Calibri" w:hAnsi="Calibri" w:cs="Calibri"/>
        <w:b w:val="0"/>
        <w:i w:val="0"/>
        <w:sz w:val="20"/>
      </w:rPr>
      <w:fldChar w:fldCharType="separate"/>
    </w:r>
    <w:r>
      <w:rPr>
        <w:rFonts w:ascii="Calibri" w:eastAsia="Calibri" w:hAnsi="Calibri" w:cs="Calibri"/>
        <w:b w:val="0"/>
        <w:i w:val="0"/>
        <w:sz w:val="20"/>
      </w:rPr>
      <w:t>75</w:t>
    </w:r>
    <w:r>
      <w:rPr>
        <w:rFonts w:ascii="Calibri" w:eastAsia="Calibri" w:hAnsi="Calibri" w:cs="Calibri"/>
        <w:b w:val="0"/>
        <w:i w:val="0"/>
        <w:sz w:val="20"/>
      </w:rPr>
      <w:fldChar w:fldCharType="end"/>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700"/>
      </w:tabs>
      <w:spacing w:before="0" w:after="0" w:line="288" w:lineRule="auto"/>
      <w:ind w:left="0" w:right="0" w:firstLine="0"/>
      <w:jc w:val="right"/>
      <w:outlineLvl w:val="9"/>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66" type="#_x0000_t75" style="width:498.9pt;height:1.98pt">
          <v:imagedata r:id="rId1" o:title=""/>
          <o:lock v:ext="edit" aspectratio="t"/>
        </v:shape>
      </w:pict>
    </w:r>
  </w:p>
  <w:p>
    <w:pPr>
      <w:pStyle w:val="Normal-wk"/>
      <w:keepNext w:val="0"/>
      <w:keepLines/>
      <w:pageBreakBefore w:val="0"/>
      <w:widowControl w:val="0"/>
      <w:numPr>
        <w:ilvl w:val="0"/>
        <w:numId w:val="0"/>
      </w:numPr>
      <w:tabs>
        <w:tab w:val="left" w:pos="700"/>
      </w:tabs>
      <w:spacing w:before="0" w:after="0" w:line="240" w:lineRule="exact"/>
      <w:ind w:left="0" w:right="0" w:firstLine="0"/>
      <w:jc w:val="right"/>
      <w:outlineLvl w:val="1"/>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Página </w:t>
    </w:r>
    <w:r>
      <w:rPr>
        <w:rFonts w:ascii="Calibri" w:eastAsia="Calibri" w:hAnsi="Calibri" w:cs="Calibri"/>
        <w:b w:val="0"/>
        <w:i w:val="0"/>
        <w:color w:val="000000"/>
        <w:sz w:val="20"/>
        <w:u w:val="none"/>
      </w:rPr>
      <w:fldChar w:fldCharType="begin"/>
    </w:r>
    <w:r>
      <w:rPr>
        <w:rFonts w:ascii="Calibri" w:eastAsia="Calibri" w:hAnsi="Calibri" w:cs="Calibri"/>
        <w:b w:val="0"/>
        <w:i w:val="0"/>
        <w:color w:val="000000"/>
        <w:sz w:val="20"/>
        <w:u w:val="none"/>
      </w:rPr>
      <w:instrText xml:space="preserve"> PAGE </w:instrText>
    </w:r>
    <w:r>
      <w:rPr>
        <w:rFonts w:ascii="Calibri" w:eastAsia="Calibri" w:hAnsi="Calibri" w:cs="Calibri"/>
        <w:b w:val="0"/>
        <w:i w:val="0"/>
        <w:color w:val="000000"/>
        <w:sz w:val="20"/>
        <w:u w:val="none"/>
      </w:rPr>
      <w:fldChar w:fldCharType="separate"/>
    </w:r>
    <w:r>
      <w:rPr>
        <w:rFonts w:ascii="Calibri" w:eastAsia="Calibri" w:hAnsi="Calibri" w:cs="Calibri"/>
        <w:b w:val="0"/>
        <w:i w:val="0"/>
        <w:color w:val="000000"/>
        <w:sz w:val="20"/>
        <w:u w:val="none"/>
      </w:rPr>
      <w:t>80</w:t>
    </w:r>
    <w:r>
      <w:rPr>
        <w:rFonts w:ascii="Calibri" w:eastAsia="Calibri" w:hAnsi="Calibri" w:cs="Calibri"/>
        <w:b w:val="0"/>
        <w:i w:val="0"/>
        <w:color w:val="000000"/>
        <w:sz w:val="20"/>
        <w:u w:val="none"/>
      </w:rPr>
      <w:fldChar w:fldCharType="end"/>
    </w:r>
    <w:r>
      <w:rPr>
        <w:rFonts w:ascii="Calibri" w:eastAsia="Calibri" w:hAnsi="Calibri" w:cs="Calibri"/>
        <w:b w:val="0"/>
        <w:i w:val="0"/>
        <w:color w:val="000000"/>
        <w:sz w:val="20"/>
        <w:u w:val="none"/>
      </w:rPr>
      <w:t xml:space="preserve"> </w:t>
    </w: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700"/>
        <w:tab w:val="right" w:pos="13600"/>
      </w:tabs>
      <w:spacing w:before="0" w:after="0" w:line="288" w:lineRule="auto"/>
      <w:ind w:left="0" w:right="0" w:firstLine="0"/>
      <w:jc w:val="both"/>
      <w:outlineLvl w:val="9"/>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67" type="#_x0000_t75" style="width:677.48pt;height:1.98pt">
          <v:imagedata r:id="rId1" o:title=""/>
          <o:lock v:ext="edit" aspectratio="t"/>
        </v:shape>
      </w:pict>
    </w:r>
  </w:p>
  <w:p>
    <w:pPr>
      <w:keepNext w:val="0"/>
      <w:keepLines/>
      <w:pageBreakBefore w:val="0"/>
      <w:widowControl w:val="0"/>
      <w:numPr>
        <w:ilvl w:val="0"/>
        <w:numId w:val="0"/>
      </w:numPr>
      <w:tabs>
        <w:tab w:val="left" w:pos="700"/>
      </w:tabs>
      <w:spacing w:before="0" w:after="0" w:line="240" w:lineRule="exact"/>
      <w:ind w:left="0" w:right="0" w:firstLine="0"/>
      <w:jc w:val="right"/>
      <w:outlineLvl w:val="1"/>
      <w:rPr>
        <w:rFonts w:ascii="Calibri" w:eastAsia="Calibri" w:hAnsi="Calibri" w:cs="Calibri"/>
        <w:b w:val="0"/>
        <w:i w:val="0"/>
        <w:color w:val="000000"/>
        <w:sz w:val="20"/>
        <w:u w:val="none"/>
      </w:rPr>
    </w:pPr>
    <w:r>
      <w:rPr>
        <w:rFonts w:ascii="Calibri" w:eastAsia="Calibri" w:hAnsi="Calibri" w:cs="Calibri"/>
        <w:b w:val="0"/>
        <w:i w:val="0"/>
        <w:sz w:val="20"/>
      </w:rPr>
      <w:t xml:space="preserve">Página </w:t>
    </w:r>
    <w:r>
      <w:rPr>
        <w:rFonts w:ascii="Calibri" w:eastAsia="Calibri" w:hAnsi="Calibri" w:cs="Calibri"/>
        <w:b w:val="0"/>
        <w:i w:val="0"/>
        <w:sz w:val="20"/>
      </w:rPr>
      <w:fldChar w:fldCharType="begin"/>
    </w:r>
    <w:r>
      <w:rPr>
        <w:rFonts w:ascii="Calibri" w:eastAsia="Calibri" w:hAnsi="Calibri" w:cs="Calibri"/>
        <w:b w:val="0"/>
        <w:i w:val="0"/>
        <w:sz w:val="20"/>
      </w:rPr>
      <w:instrText xml:space="preserve"> PAGE </w:instrText>
    </w:r>
    <w:r>
      <w:rPr>
        <w:rFonts w:ascii="Calibri" w:eastAsia="Calibri" w:hAnsi="Calibri" w:cs="Calibri"/>
        <w:b w:val="0"/>
        <w:i w:val="0"/>
        <w:sz w:val="20"/>
      </w:rPr>
      <w:fldChar w:fldCharType="separate"/>
    </w:r>
    <w:r>
      <w:rPr>
        <w:rFonts w:ascii="Calibri" w:eastAsia="Calibri" w:hAnsi="Calibri" w:cs="Calibri"/>
        <w:b w:val="0"/>
        <w:i w:val="0"/>
        <w:sz w:val="20"/>
      </w:rPr>
      <w:t>83</w:t>
    </w:r>
    <w:r>
      <w:rPr>
        <w:rFonts w:ascii="Calibri" w:eastAsia="Calibri" w:hAnsi="Calibri" w:cs="Calibri"/>
        <w:b w:val="0"/>
        <w:i w:val="0"/>
        <w:sz w:val="20"/>
      </w:rPr>
      <w:fldChar w:fldCharType="end"/>
    </w:r>
  </w:p>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700"/>
      </w:tabs>
      <w:spacing w:before="0" w:after="0" w:line="288" w:lineRule="auto"/>
      <w:ind w:left="0" w:right="0" w:firstLine="0"/>
      <w:jc w:val="right"/>
      <w:outlineLvl w:val="9"/>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68" type="#_x0000_t75" style="width:498.9pt;height:1.98pt">
          <v:imagedata r:id="rId1" o:title=""/>
          <o:lock v:ext="edit" aspectratio="t"/>
        </v:shape>
      </w:pict>
    </w:r>
  </w:p>
  <w:p>
    <w:pPr>
      <w:pStyle w:val="Normal-wk"/>
      <w:keepNext w:val="0"/>
      <w:keepLines/>
      <w:pageBreakBefore w:val="0"/>
      <w:widowControl w:val="0"/>
      <w:numPr>
        <w:ilvl w:val="0"/>
        <w:numId w:val="0"/>
      </w:numPr>
      <w:tabs>
        <w:tab w:val="left" w:pos="700"/>
      </w:tabs>
      <w:spacing w:before="0" w:after="0" w:line="240" w:lineRule="exact"/>
      <w:ind w:left="0" w:right="0" w:firstLine="0"/>
      <w:jc w:val="right"/>
      <w:outlineLvl w:val="0"/>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Página </w:t>
    </w:r>
    <w:r>
      <w:rPr>
        <w:rFonts w:ascii="Calibri" w:eastAsia="Calibri" w:hAnsi="Calibri" w:cs="Calibri"/>
        <w:b w:val="0"/>
        <w:i w:val="0"/>
        <w:color w:val="000000"/>
        <w:sz w:val="20"/>
        <w:u w:val="none"/>
      </w:rPr>
      <w:fldChar w:fldCharType="begin"/>
    </w:r>
    <w:r>
      <w:rPr>
        <w:rFonts w:ascii="Calibri" w:eastAsia="Calibri" w:hAnsi="Calibri" w:cs="Calibri"/>
        <w:b w:val="0"/>
        <w:i w:val="0"/>
        <w:color w:val="000000"/>
        <w:sz w:val="20"/>
        <w:u w:val="none"/>
      </w:rPr>
      <w:instrText xml:space="preserve"> PAGE </w:instrText>
    </w:r>
    <w:r>
      <w:rPr>
        <w:rFonts w:ascii="Calibri" w:eastAsia="Calibri" w:hAnsi="Calibri" w:cs="Calibri"/>
        <w:b w:val="0"/>
        <w:i w:val="0"/>
        <w:color w:val="000000"/>
        <w:sz w:val="20"/>
        <w:u w:val="none"/>
      </w:rPr>
      <w:fldChar w:fldCharType="separate"/>
    </w:r>
    <w:r>
      <w:rPr>
        <w:rFonts w:ascii="Calibri" w:eastAsia="Calibri" w:hAnsi="Calibri" w:cs="Calibri"/>
        <w:b w:val="0"/>
        <w:i w:val="0"/>
        <w:color w:val="000000"/>
        <w:sz w:val="20"/>
        <w:u w:val="none"/>
      </w:rPr>
      <w:t>92</w:t>
    </w:r>
    <w:r>
      <w:rPr>
        <w:rFonts w:ascii="Calibri" w:eastAsia="Calibri" w:hAnsi="Calibri" w:cs="Calibri"/>
        <w:b w:val="0"/>
        <w:i w:val="0"/>
        <w:color w:val="000000"/>
        <w:sz w:val="20"/>
        <w:u w:val="none"/>
      </w:rPr>
      <w:fldChar w:fldCharType="end"/>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700"/>
        <w:tab w:val="right" w:pos="13600"/>
      </w:tabs>
      <w:spacing w:before="0" w:after="0" w:line="288" w:lineRule="auto"/>
      <w:ind w:left="0" w:right="0" w:firstLine="0"/>
      <w:jc w:val="both"/>
      <w:outlineLvl w:val="9"/>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69" type="#_x0000_t75" style="width:677.48pt;height:1.98pt">
          <v:imagedata r:id="rId1" o:title=""/>
          <o:lock v:ext="edit" aspectratio="t"/>
        </v:shape>
      </w:pict>
    </w:r>
  </w:p>
  <w:p>
    <w:pPr>
      <w:keepNext w:val="0"/>
      <w:keepLines/>
      <w:pageBreakBefore w:val="0"/>
      <w:widowControl w:val="0"/>
      <w:numPr>
        <w:ilvl w:val="0"/>
        <w:numId w:val="0"/>
      </w:numPr>
      <w:tabs>
        <w:tab w:val="left" w:pos="700"/>
      </w:tabs>
      <w:spacing w:before="0" w:after="0" w:line="240" w:lineRule="exact"/>
      <w:ind w:left="0" w:right="0" w:firstLine="0"/>
      <w:jc w:val="right"/>
      <w:outlineLvl w:val="1"/>
      <w:rPr>
        <w:rFonts w:ascii="Calibri" w:eastAsia="Calibri" w:hAnsi="Calibri" w:cs="Calibri"/>
        <w:b w:val="0"/>
        <w:i w:val="0"/>
        <w:color w:val="000000"/>
        <w:sz w:val="20"/>
        <w:u w:val="none"/>
      </w:rPr>
    </w:pPr>
    <w:r>
      <w:rPr>
        <w:rFonts w:ascii="Calibri" w:eastAsia="Calibri" w:hAnsi="Calibri" w:cs="Calibri"/>
        <w:b w:val="0"/>
        <w:i w:val="0"/>
        <w:sz w:val="20"/>
      </w:rPr>
      <w:t xml:space="preserve">Página </w:t>
    </w:r>
    <w:r>
      <w:rPr>
        <w:rFonts w:ascii="Calibri" w:eastAsia="Calibri" w:hAnsi="Calibri" w:cs="Calibri"/>
        <w:b w:val="0"/>
        <w:i w:val="0"/>
        <w:sz w:val="20"/>
      </w:rPr>
      <w:fldChar w:fldCharType="begin"/>
    </w:r>
    <w:r>
      <w:rPr>
        <w:rFonts w:ascii="Calibri" w:eastAsia="Calibri" w:hAnsi="Calibri" w:cs="Calibri"/>
        <w:b w:val="0"/>
        <w:i w:val="0"/>
        <w:sz w:val="20"/>
      </w:rPr>
      <w:instrText xml:space="preserve"> PAGE </w:instrText>
    </w:r>
    <w:r>
      <w:rPr>
        <w:rFonts w:ascii="Calibri" w:eastAsia="Calibri" w:hAnsi="Calibri" w:cs="Calibri"/>
        <w:b w:val="0"/>
        <w:i w:val="0"/>
        <w:sz w:val="20"/>
      </w:rPr>
      <w:fldChar w:fldCharType="separate"/>
    </w:r>
    <w:r>
      <w:rPr>
        <w:rFonts w:ascii="Calibri" w:eastAsia="Calibri" w:hAnsi="Calibri" w:cs="Calibri"/>
        <w:b w:val="0"/>
        <w:i w:val="0"/>
        <w:sz w:val="20"/>
      </w:rPr>
      <w:t>93</w:t>
    </w:r>
    <w:r>
      <w:rPr>
        <w:rFonts w:ascii="Calibri" w:eastAsia="Calibri" w:hAnsi="Calibri" w:cs="Calibri"/>
        <w:b w:val="0"/>
        <w:i w:val="0"/>
        <w:sz w:val="20"/>
      </w:rPr>
      <w:fldChar w:fldCharType="end"/>
    </w: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700"/>
        <w:tab w:val="right" w:pos="13600"/>
      </w:tabs>
      <w:spacing w:before="0" w:after="0" w:line="288" w:lineRule="auto"/>
      <w:ind w:left="0" w:right="0" w:firstLine="0"/>
      <w:jc w:val="right"/>
      <w:outlineLvl w:val="1"/>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70" type="#_x0000_t75" style="width:498.9pt;height:1.98pt">
          <v:imagedata r:id="rId1" o:title=""/>
          <o:lock v:ext="edit" aspectratio="t"/>
        </v:shape>
      </w:pict>
    </w:r>
    <w:r>
      <w:rPr>
        <w:rFonts w:ascii="Calibri" w:eastAsia="Calibri" w:hAnsi="Calibri" w:cs="Calibri"/>
        <w:b w:val="0"/>
        <w:i w:val="0"/>
        <w:sz w:val="20"/>
      </w:rPr>
      <w:t xml:space="preserve">Página </w:t>
    </w:r>
    <w:r>
      <w:rPr>
        <w:rFonts w:ascii="Calibri" w:eastAsia="Calibri" w:hAnsi="Calibri" w:cs="Calibri"/>
        <w:b w:val="0"/>
        <w:i w:val="0"/>
        <w:sz w:val="20"/>
      </w:rPr>
      <w:fldChar w:fldCharType="begin"/>
    </w:r>
    <w:r>
      <w:rPr>
        <w:rFonts w:ascii="Calibri" w:eastAsia="Calibri" w:hAnsi="Calibri" w:cs="Calibri"/>
        <w:b w:val="0"/>
        <w:i w:val="0"/>
        <w:sz w:val="20"/>
      </w:rPr>
      <w:instrText xml:space="preserve"> PAGE </w:instrText>
    </w:r>
    <w:r>
      <w:rPr>
        <w:rFonts w:ascii="Calibri" w:eastAsia="Calibri" w:hAnsi="Calibri" w:cs="Calibri"/>
        <w:b w:val="0"/>
        <w:i w:val="0"/>
        <w:sz w:val="20"/>
      </w:rPr>
      <w:fldChar w:fldCharType="separate"/>
    </w:r>
    <w:r>
      <w:rPr>
        <w:rFonts w:ascii="Calibri" w:eastAsia="Calibri" w:hAnsi="Calibri" w:cs="Calibri"/>
        <w:b w:val="0"/>
        <w:i w:val="0"/>
        <w:sz w:val="20"/>
      </w:rPr>
      <w:t>95</w:t>
    </w:r>
    <w:r>
      <w:rPr>
        <w:rFonts w:ascii="Calibri" w:eastAsia="Calibri" w:hAnsi="Calibri" w:cs="Calibri"/>
        <w:b w:val="0"/>
        <w:i w:val="0"/>
        <w:sz w:val="20"/>
      </w:rPr>
      <w:fldChar w:fldCharType="end"/>
    </w:r>
  </w:p>
  <w:p>
    <w:pPr>
      <w:keepNext w:val="0"/>
      <w:keepLines/>
      <w:pageBreakBefore w:val="0"/>
      <w:widowControl w:val="0"/>
      <w:numPr>
        <w:ilvl w:val="0"/>
        <w:numId w:val="0"/>
      </w:numPr>
      <w:tabs>
        <w:tab w:val="left" w:pos="700"/>
        <w:tab w:val="right" w:pos="13600"/>
      </w:tabs>
      <w:spacing w:before="0" w:after="0" w:line="24" w:lineRule="exact"/>
      <w:ind w:left="0" w:right="0" w:firstLine="0"/>
      <w:jc w:val="both"/>
      <w:outlineLvl w:val="9"/>
      <w:rPr>
        <w:rFonts w:ascii="Calibri" w:eastAsia="Calibri" w:hAnsi="Calibri" w:cs="Calibri"/>
        <w:b w:val="0"/>
        <w:i w:val="0"/>
        <w:color w:val="000000"/>
        <w:sz w:val="20"/>
        <w:u w:val="none"/>
      </w:rPr>
    </w:pPr>
  </w:p>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700"/>
      </w:tabs>
      <w:spacing w:before="0" w:after="0" w:line="288" w:lineRule="auto"/>
      <w:ind w:left="0" w:right="0" w:firstLine="0"/>
      <w:jc w:val="right"/>
      <w:outlineLvl w:val="1"/>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71" type="#_x0000_t75" style="width:498.9pt;height:1.98pt">
          <v:imagedata r:id="rId1" o:title=""/>
          <o:lock v:ext="edit" aspectratio="t"/>
        </v:shape>
      </w:pict>
    </w:r>
    <w:r>
      <w:rPr>
        <w:rFonts w:ascii="Calibri" w:eastAsia="Calibri" w:hAnsi="Calibri" w:cs="Calibri"/>
        <w:b w:val="0"/>
        <w:i w:val="0"/>
        <w:sz w:val="20"/>
      </w:rPr>
      <w:t xml:space="preserve">Página </w:t>
    </w:r>
    <w:r>
      <w:rPr>
        <w:rFonts w:ascii="Calibri" w:eastAsia="Calibri" w:hAnsi="Calibri" w:cs="Calibri"/>
        <w:b w:val="0"/>
        <w:i w:val="0"/>
        <w:sz w:val="20"/>
      </w:rPr>
      <w:fldChar w:fldCharType="begin"/>
    </w:r>
    <w:r>
      <w:rPr>
        <w:rFonts w:ascii="Calibri" w:eastAsia="Calibri" w:hAnsi="Calibri" w:cs="Calibri"/>
        <w:b w:val="0"/>
        <w:i w:val="0"/>
        <w:sz w:val="20"/>
      </w:rPr>
      <w:instrText xml:space="preserve"> PAGE </w:instrText>
    </w:r>
    <w:r>
      <w:rPr>
        <w:rFonts w:ascii="Calibri" w:eastAsia="Calibri" w:hAnsi="Calibri" w:cs="Calibri"/>
        <w:b w:val="0"/>
        <w:i w:val="0"/>
        <w:sz w:val="20"/>
      </w:rPr>
      <w:fldChar w:fldCharType="separate"/>
    </w:r>
    <w:r>
      <w:rPr>
        <w:rFonts w:ascii="Calibri" w:eastAsia="Calibri" w:hAnsi="Calibri" w:cs="Calibri"/>
        <w:b w:val="0"/>
        <w:i w:val="0"/>
        <w:sz w:val="20"/>
      </w:rPr>
      <w:t>100</w:t>
    </w:r>
    <w:r>
      <w:rPr>
        <w:rFonts w:ascii="Calibri" w:eastAsia="Calibri" w:hAnsi="Calibri" w:cs="Calibri"/>
        <w:b w:val="0"/>
        <w:i w:val="0"/>
        <w:sz w:val="20"/>
      </w:rPr>
      <w:fldChar w:fldCharType="end"/>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700"/>
        <w:tab w:val="right" w:pos="13600"/>
      </w:tabs>
      <w:spacing w:before="0" w:after="0" w:line="288" w:lineRule="auto"/>
      <w:ind w:left="0" w:right="0" w:firstLine="0"/>
      <w:jc w:val="both"/>
      <w:outlineLvl w:val="9"/>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72" type="#_x0000_t75" style="width:677.48pt;height:1.98pt">
          <v:imagedata r:id="rId1" o:title=""/>
          <o:lock v:ext="edit" aspectratio="t"/>
        </v:shape>
      </w:pict>
    </w:r>
  </w:p>
  <w:p>
    <w:pPr>
      <w:keepNext w:val="0"/>
      <w:keepLines/>
      <w:pageBreakBefore w:val="0"/>
      <w:widowControl w:val="0"/>
      <w:numPr>
        <w:ilvl w:val="0"/>
        <w:numId w:val="0"/>
      </w:numPr>
      <w:tabs>
        <w:tab w:val="left" w:pos="700"/>
        <w:tab w:val="right" w:pos="13600"/>
      </w:tabs>
      <w:spacing w:before="0" w:after="0" w:line="24" w:lineRule="exact"/>
      <w:ind w:left="11520" w:right="0" w:firstLine="720"/>
      <w:jc w:val="both"/>
      <w:outlineLvl w:val="1"/>
      <w:rPr>
        <w:rFonts w:ascii="Calibri" w:eastAsia="Calibri" w:hAnsi="Calibri" w:cs="Calibri"/>
        <w:b w:val="0"/>
        <w:i w:val="0"/>
        <w:color w:val="000000"/>
        <w:sz w:val="20"/>
        <w:u w:val="none"/>
      </w:rPr>
    </w:pPr>
    <w:r>
      <w:rPr>
        <w:rFonts w:ascii="Calibri" w:eastAsia="Calibri" w:hAnsi="Calibri" w:cs="Calibri"/>
        <w:b w:val="0"/>
        <w:i w:val="0"/>
        <w:sz w:val="20"/>
      </w:rPr>
      <w:t xml:space="preserve">         Página </w:t>
    </w:r>
    <w:r>
      <w:rPr>
        <w:rFonts w:ascii="Calibri" w:eastAsia="Calibri" w:hAnsi="Calibri" w:cs="Calibri"/>
        <w:b w:val="0"/>
        <w:i w:val="0"/>
        <w:sz w:val="20"/>
      </w:rPr>
      <w:fldChar w:fldCharType="begin"/>
    </w:r>
    <w:r>
      <w:rPr>
        <w:rFonts w:ascii="Calibri" w:eastAsia="Calibri" w:hAnsi="Calibri" w:cs="Calibri"/>
        <w:b w:val="0"/>
        <w:i w:val="0"/>
        <w:sz w:val="20"/>
      </w:rPr>
      <w:instrText xml:space="preserve"> PAGE </w:instrText>
    </w:r>
    <w:r>
      <w:rPr>
        <w:rFonts w:ascii="Calibri" w:eastAsia="Calibri" w:hAnsi="Calibri" w:cs="Calibri"/>
        <w:b w:val="0"/>
        <w:i w:val="0"/>
        <w:sz w:val="20"/>
      </w:rPr>
      <w:fldChar w:fldCharType="separate"/>
    </w:r>
    <w:r>
      <w:rPr>
        <w:rFonts w:ascii="Calibri" w:eastAsia="Calibri" w:hAnsi="Calibri" w:cs="Calibri"/>
        <w:b w:val="0"/>
        <w:i w:val="0"/>
        <w:sz w:val="20"/>
      </w:rPr>
      <w:t>107</w:t>
    </w:r>
    <w:r>
      <w:rPr>
        <w:rFonts w:ascii="Calibri" w:eastAsia="Calibri" w:hAnsi="Calibri" w:cs="Calibri"/>
        <w:b w:val="0"/>
        <w:i w:val="0"/>
        <w:sz w:val="20"/>
      </w:rPr>
      <w:fldChar w:fldCharType="end"/>
    </w: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700"/>
      </w:tabs>
      <w:spacing w:before="0" w:after="0" w:line="288" w:lineRule="auto"/>
      <w:ind w:left="0" w:right="0" w:firstLine="0"/>
      <w:jc w:val="right"/>
      <w:outlineLvl w:val="9"/>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73" type="#_x0000_t75" style="width:498.9pt;height:1.98pt">
          <v:imagedata r:id="rId1" o:title=""/>
          <o:lock v:ext="edit" aspectratio="t"/>
        </v:shape>
      </w:pict>
    </w:r>
  </w:p>
  <w:p>
    <w:pPr>
      <w:keepNext w:val="0"/>
      <w:keepLines/>
      <w:pageBreakBefore w:val="0"/>
      <w:widowControl w:val="0"/>
      <w:numPr>
        <w:ilvl w:val="0"/>
        <w:numId w:val="0"/>
      </w:numPr>
      <w:tabs>
        <w:tab w:val="left" w:pos="700"/>
      </w:tabs>
      <w:spacing w:before="0" w:after="0" w:line="240" w:lineRule="exact"/>
      <w:ind w:left="0" w:right="0" w:firstLine="0"/>
      <w:jc w:val="right"/>
      <w:outlineLvl w:val="0"/>
      <w:rPr>
        <w:rFonts w:ascii="Calibri" w:eastAsia="Calibri" w:hAnsi="Calibri" w:cs="Calibri"/>
        <w:b w:val="0"/>
        <w:i w:val="0"/>
        <w:color w:val="000000"/>
        <w:sz w:val="20"/>
        <w:u w:val="none"/>
      </w:rPr>
    </w:pPr>
    <w:r>
      <w:rPr>
        <w:rFonts w:ascii="Calibri" w:eastAsia="Calibri" w:hAnsi="Calibri" w:cs="Calibri"/>
        <w:b w:val="0"/>
        <w:i w:val="0"/>
        <w:sz w:val="20"/>
      </w:rPr>
      <w:t xml:space="preserve">Página </w:t>
    </w:r>
    <w:r>
      <w:rPr>
        <w:rFonts w:ascii="Calibri" w:eastAsia="Calibri" w:hAnsi="Calibri" w:cs="Calibri"/>
        <w:b w:val="0"/>
        <w:i w:val="0"/>
        <w:sz w:val="20"/>
      </w:rPr>
      <w:fldChar w:fldCharType="begin"/>
    </w:r>
    <w:r>
      <w:rPr>
        <w:rFonts w:ascii="Calibri" w:eastAsia="Calibri" w:hAnsi="Calibri" w:cs="Calibri"/>
        <w:b w:val="0"/>
        <w:i w:val="0"/>
        <w:sz w:val="20"/>
      </w:rPr>
      <w:instrText xml:space="preserve"> PAGE </w:instrText>
    </w:r>
    <w:r>
      <w:rPr>
        <w:rFonts w:ascii="Calibri" w:eastAsia="Calibri" w:hAnsi="Calibri" w:cs="Calibri"/>
        <w:b w:val="0"/>
        <w:i w:val="0"/>
        <w:sz w:val="20"/>
      </w:rPr>
      <w:fldChar w:fldCharType="separate"/>
    </w:r>
    <w:r>
      <w:rPr>
        <w:rFonts w:ascii="Calibri" w:eastAsia="Calibri" w:hAnsi="Calibri" w:cs="Calibri"/>
        <w:b w:val="0"/>
        <w:i w:val="0"/>
        <w:sz w:val="20"/>
      </w:rPr>
      <w:t>115</w:t>
    </w:r>
    <w:r>
      <w:rPr>
        <w:rFonts w:ascii="Calibri" w:eastAsia="Calibri" w:hAnsi="Calibri" w:cs="Calibri"/>
        <w:b w:val="0"/>
        <w:i w:val="0"/>
        <w:sz w:val="20"/>
      </w:rPr>
      <w:fldChar w:fldCharType="end"/>
    </w:r>
  </w:p>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700"/>
        <w:tab w:val="right" w:pos="13600"/>
      </w:tabs>
      <w:spacing w:before="0" w:after="0" w:line="288" w:lineRule="auto"/>
      <w:ind w:left="0" w:right="0" w:firstLine="0"/>
      <w:jc w:val="right"/>
      <w:outlineLvl w:val="0"/>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74" type="#_x0000_t75" style="width:677.48pt;height:1.98pt">
          <v:imagedata r:id="rId1" o:title=""/>
          <o:lock v:ext="edit" aspectratio="t"/>
        </v:shape>
      </w:pict>
    </w:r>
    <w:r>
      <w:rPr>
        <w:rFonts w:ascii="Calibri" w:eastAsia="Calibri" w:hAnsi="Calibri" w:cs="Calibri"/>
        <w:b w:val="0"/>
        <w:i w:val="0"/>
        <w:sz w:val="20"/>
      </w:rPr>
      <w:t xml:space="preserve">Página </w:t>
    </w:r>
    <w:r>
      <w:rPr>
        <w:rFonts w:ascii="Calibri" w:eastAsia="Calibri" w:hAnsi="Calibri" w:cs="Calibri"/>
        <w:b w:val="0"/>
        <w:i w:val="0"/>
        <w:sz w:val="20"/>
      </w:rPr>
      <w:fldChar w:fldCharType="begin"/>
    </w:r>
    <w:r>
      <w:rPr>
        <w:rFonts w:ascii="Calibri" w:eastAsia="Calibri" w:hAnsi="Calibri" w:cs="Calibri"/>
        <w:b w:val="0"/>
        <w:i w:val="0"/>
        <w:sz w:val="20"/>
      </w:rPr>
      <w:instrText xml:space="preserve"> PAGE </w:instrText>
    </w:r>
    <w:r>
      <w:rPr>
        <w:rFonts w:ascii="Calibri" w:eastAsia="Calibri" w:hAnsi="Calibri" w:cs="Calibri"/>
        <w:b w:val="0"/>
        <w:i w:val="0"/>
        <w:sz w:val="20"/>
      </w:rPr>
      <w:fldChar w:fldCharType="separate"/>
    </w:r>
    <w:r>
      <w:rPr>
        <w:rFonts w:ascii="Calibri" w:eastAsia="Calibri" w:hAnsi="Calibri" w:cs="Calibri"/>
        <w:b w:val="0"/>
        <w:i w:val="0"/>
        <w:sz w:val="20"/>
      </w:rPr>
      <w:t>116</w:t>
    </w:r>
    <w:r>
      <w:rPr>
        <w:rFonts w:ascii="Calibri" w:eastAsia="Calibri" w:hAnsi="Calibri" w:cs="Calibri"/>
        <w:b w:val="0"/>
        <w:i w:val="0"/>
        <w:sz w:val="20"/>
      </w:rPr>
      <w:fldChar w:fldCharType="end"/>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700"/>
      </w:tabs>
      <w:spacing w:before="0" w:after="0" w:line="288" w:lineRule="auto"/>
      <w:ind w:left="0" w:right="0" w:firstLine="0"/>
      <w:jc w:val="right"/>
      <w:outlineLvl w:val="9"/>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75" type="#_x0000_t75" style="width:498.9pt;height:1.98pt">
          <v:imagedata r:id="rId1" o:title=""/>
          <o:lock v:ext="edit" aspectratio="t"/>
        </v:shape>
      </w:pict>
    </w:r>
  </w:p>
  <w:p>
    <w:pPr>
      <w:keepNext w:val="0"/>
      <w:keepLines/>
      <w:pageBreakBefore w:val="0"/>
      <w:widowControl w:val="0"/>
      <w:numPr>
        <w:ilvl w:val="0"/>
        <w:numId w:val="0"/>
      </w:numPr>
      <w:tabs>
        <w:tab w:val="left" w:pos="700"/>
      </w:tabs>
      <w:spacing w:before="0" w:after="0" w:line="24" w:lineRule="exact"/>
      <w:ind w:left="0" w:right="0" w:firstLine="0"/>
      <w:jc w:val="right"/>
      <w:outlineLvl w:val="0"/>
      <w:rPr>
        <w:rFonts w:ascii="Calibri" w:eastAsia="Calibri" w:hAnsi="Calibri" w:cs="Calibri"/>
        <w:b w:val="0"/>
        <w:i w:val="0"/>
        <w:color w:val="000000"/>
        <w:sz w:val="20"/>
        <w:u w:val="none"/>
      </w:rPr>
    </w:pPr>
    <w:r>
      <w:rPr>
        <w:rFonts w:ascii="Calibri" w:eastAsia="Calibri" w:hAnsi="Calibri" w:cs="Calibri"/>
        <w:b w:val="0"/>
        <w:i w:val="0"/>
        <w:sz w:val="20"/>
      </w:rPr>
      <w:t xml:space="preserve">Página </w:t>
    </w:r>
    <w:r>
      <w:rPr>
        <w:rFonts w:ascii="Calibri" w:eastAsia="Calibri" w:hAnsi="Calibri" w:cs="Calibri"/>
        <w:b w:val="0"/>
        <w:i w:val="0"/>
        <w:sz w:val="20"/>
      </w:rPr>
      <w:fldChar w:fldCharType="begin"/>
    </w:r>
    <w:r>
      <w:rPr>
        <w:rFonts w:ascii="Calibri" w:eastAsia="Calibri" w:hAnsi="Calibri" w:cs="Calibri"/>
        <w:b w:val="0"/>
        <w:i w:val="0"/>
        <w:sz w:val="20"/>
      </w:rPr>
      <w:instrText xml:space="preserve"> PAGE </w:instrText>
    </w:r>
    <w:r>
      <w:rPr>
        <w:rFonts w:ascii="Calibri" w:eastAsia="Calibri" w:hAnsi="Calibri" w:cs="Calibri"/>
        <w:b w:val="0"/>
        <w:i w:val="0"/>
        <w:sz w:val="20"/>
      </w:rPr>
      <w:fldChar w:fldCharType="separate"/>
    </w:r>
    <w:r>
      <w:rPr>
        <w:rFonts w:ascii="Calibri" w:eastAsia="Calibri" w:hAnsi="Calibri" w:cs="Calibri"/>
        <w:b w:val="0"/>
        <w:i w:val="0"/>
        <w:sz w:val="20"/>
      </w:rPr>
      <w:t>117</w:t>
    </w:r>
    <w:r>
      <w:rPr>
        <w:rFonts w:ascii="Calibri" w:eastAsia="Calibri" w:hAnsi="Calibri" w:cs="Calibri"/>
        <w:b w:val="0"/>
        <w:i w:val="0"/>
        <w:sz w:val="20"/>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rPr>
          <w:color w:val="000000"/>
        </w:rPr>
        <w:separator/>
      </w:r>
    </w:p>
  </w:footnote>
  <w:footnote w:type="continuationSeparator" w:id="1">
    <w:p>
      <w:pPr>
        <w:spacing w:after="0" w:line="240" w:lineRule="auto"/>
      </w:pPr>
      <w:r>
        <w:continuationSeparator/>
      </w:r>
    </w:p>
  </w:footnote>
  <w:footnote w:id="2">
    <w:p>
      <w:pPr>
        <w:keepNext w:val="0"/>
        <w:keepLines/>
        <w:pageBreakBefore w:val="0"/>
        <w:widowControl w:val="0"/>
        <w:numPr>
          <w:ilvl w:val="0"/>
          <w:numId w:val="0"/>
        </w:numPr>
        <w:spacing w:before="0" w:after="0" w:line="240" w:lineRule="exact"/>
        <w:ind w:left="0" w:right="0" w:firstLine="0"/>
        <w:jc w:val="left"/>
        <w:outlineLvl w:val="9"/>
        <w:rPr>
          <w:rFonts w:ascii="Arial" w:eastAsia="Arial" w:hAnsi="Arial" w:cs="Arial"/>
          <w:b w:val="0"/>
          <w:i w:val="0"/>
          <w:color w:val="000000"/>
          <w:sz w:val="20"/>
          <w:u w:val="none"/>
        </w:rPr>
      </w:pPr>
      <w:r>
        <w:rPr>
          <w:rStyle w:val="FootnoteReference"/>
          <w:rFonts w:ascii="Arial" w:eastAsia="Arial" w:hAnsi="Arial" w:cs="Arial"/>
          <w:b w:val="0"/>
          <w:i w:val="0"/>
          <w:sz w:val="20"/>
          <w:vertAlign w:val="superscript"/>
        </w:rPr>
        <w:footnoteRef/>
      </w:r>
      <w:r>
        <w:rPr>
          <w:rFonts w:ascii="Arial" w:eastAsia="Arial" w:hAnsi="Arial" w:cs="Arial"/>
          <w:b w:val="0"/>
          <w:i w:val="0"/>
          <w:color w:val="000000"/>
          <w:sz w:val="20"/>
          <w:u w:val="none"/>
        </w:rPr>
        <w:t xml:space="preserve"> </w:t>
      </w:r>
      <w:r>
        <w:rPr>
          <w:rFonts w:ascii="Calibri" w:eastAsia="Calibri" w:hAnsi="Calibri" w:cs="Calibri"/>
          <w:b w:val="0"/>
          <w:i w:val="0"/>
          <w:color w:val="000000"/>
          <w:sz w:val="20"/>
          <w:u w:val="none"/>
        </w:rPr>
        <w:t>La tasa para el periodo tarifario 202</w:t>
      </w:r>
      <w:r>
        <w:rPr>
          <w:rFonts w:ascii="Calibri" w:eastAsia="Calibri" w:hAnsi="Calibri" w:cs="Calibri"/>
          <w:b w:val="0"/>
          <w:i w:val="0"/>
          <w:color w:val="000000"/>
          <w:sz w:val="20"/>
          <w:u w:val="none"/>
        </w:rPr>
        <w:t>4</w:t>
      </w:r>
      <w:r>
        <w:rPr>
          <w:rFonts w:ascii="Calibri" w:eastAsia="Calibri" w:hAnsi="Calibri" w:cs="Calibri"/>
          <w:b w:val="0"/>
          <w:i w:val="0"/>
          <w:color w:val="000000"/>
          <w:sz w:val="20"/>
          <w:u w:val="none"/>
        </w:rPr>
        <w:t>-202</w:t>
      </w:r>
      <w:r>
        <w:rPr>
          <w:rFonts w:ascii="Calibri" w:eastAsia="Calibri" w:hAnsi="Calibri" w:cs="Calibri"/>
          <w:b w:val="0"/>
          <w:i w:val="0"/>
          <w:color w:val="000000"/>
          <w:sz w:val="20"/>
          <w:u w:val="none"/>
        </w:rPr>
        <w:t>7</w:t>
      </w:r>
      <w:r>
        <w:rPr>
          <w:rFonts w:ascii="Calibri" w:eastAsia="Calibri" w:hAnsi="Calibri" w:cs="Calibri"/>
          <w:b w:val="0"/>
          <w:i w:val="0"/>
          <w:color w:val="000000"/>
          <w:sz w:val="20"/>
          <w:u w:val="none"/>
        </w:rPr>
        <w:t xml:space="preserve"> se fijó en el piso del 7% real después de impuestos.</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1340"/>
        <w:tab w:val="center" w:pos="4240"/>
        <w:tab w:val="right" w:pos="8500"/>
      </w:tabs>
      <w:spacing w:before="0" w:after="0" w:line="288" w:lineRule="auto"/>
      <w:ind w:left="0" w:right="0" w:firstLine="0"/>
      <w:jc w:val="right"/>
      <w:outlineLvl w:val="9"/>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153.07pt;height:84.91pt">
          <v:imagedata r:id="rId1" o:title=""/>
          <o:lock v:ext="edit" aspectratio="t"/>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1340"/>
        <w:tab w:val="center" w:pos="4240"/>
        <w:tab w:val="right" w:pos="8500"/>
      </w:tabs>
      <w:spacing w:before="0" w:after="0" w:line="288" w:lineRule="auto"/>
      <w:ind w:left="5102" w:right="-1134" w:firstLine="0"/>
      <w:jc w:val="right"/>
      <w:outlineLvl w:val="9"/>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50" type="#_x0000_t75" style="width:153.07pt;height:84.91pt">
          <v:imagedata r:id="rId1" o:title=""/>
          <o:lock v:ext="edit" aspectratio="t"/>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spacing w:before="0" w:after="0" w:line="288" w:lineRule="auto"/>
      <w:ind w:left="5102" w:right="-1134" w:firstLine="0"/>
      <w:jc w:val="both"/>
      <w:outlineLvl w:val="9"/>
      <w:rPr>
        <w:rFonts w:ascii="Calibri" w:eastAsia="Calibri" w:hAnsi="Calibri" w:cs="Calibri"/>
        <w:b w:val="0"/>
        <w:i w:val="0"/>
        <w:sz w:val="20"/>
      </w:rP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center" w:pos="4240"/>
        <w:tab w:val="left" w:pos="5340"/>
        <w:tab w:val="right" w:pos="8500"/>
        <w:tab w:val="right" w:pos="9400"/>
      </w:tabs>
      <w:spacing w:before="0" w:after="0" w:line="288" w:lineRule="auto"/>
      <w:ind w:left="0" w:right="0" w:firstLine="0"/>
      <w:jc w:val="center"/>
      <w:outlineLvl w:val="9"/>
      <w:rPr>
        <w:rFonts w:ascii="Calibri" w:eastAsia="Calibri" w:hAnsi="Calibri" w:cs="Calibri"/>
        <w:b w:val="0"/>
        <w:i w:val="0"/>
        <w:color w:val="000000"/>
        <w:sz w:val="20"/>
        <w:u w:val="none"/>
      </w:rPr>
    </w:pP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center" w:pos="4240"/>
        <w:tab w:val="left" w:pos="5340"/>
        <w:tab w:val="right" w:pos="8500"/>
        <w:tab w:val="right" w:pos="9400"/>
      </w:tabs>
      <w:spacing w:before="0" w:after="0" w:line="288" w:lineRule="auto"/>
      <w:ind w:left="0" w:right="0" w:firstLine="0"/>
      <w:jc w:val="both"/>
      <w:outlineLvl w:val="9"/>
      <w:rPr>
        <w:rFonts w:ascii="Calibri" w:eastAsia="Calibri" w:hAnsi="Calibri" w:cs="Calibri"/>
        <w:b w:val="0"/>
        <w:i w:val="0"/>
        <w:color w:val="000000"/>
        <w:sz w:val="20"/>
        <w:u w:val="none"/>
      </w:rPr>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center" w:pos="4240"/>
        <w:tab w:val="left" w:pos="5340"/>
        <w:tab w:val="right" w:pos="8500"/>
        <w:tab w:val="right" w:pos="9400"/>
      </w:tabs>
      <w:spacing w:before="0" w:after="0" w:line="288" w:lineRule="auto"/>
      <w:ind w:left="0" w:right="0" w:firstLine="0"/>
      <w:jc w:val="both"/>
      <w:outlineLvl w:val="9"/>
      <w:rPr>
        <w:rFonts w:ascii="Calibri" w:eastAsia="Calibri" w:hAnsi="Calibri" w:cs="Calibri"/>
        <w:b w:val="0"/>
        <w:i w:val="0"/>
        <w:color w:val="000000"/>
        <w:sz w:val="20"/>
        <w:u w:val="none"/>
      </w:rPr>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center" w:pos="4240"/>
        <w:tab w:val="left" w:pos="5340"/>
        <w:tab w:val="right" w:pos="8500"/>
        <w:tab w:val="right" w:pos="9400"/>
      </w:tabs>
      <w:spacing w:before="0" w:after="0" w:line="288" w:lineRule="auto"/>
      <w:ind w:left="0" w:right="0" w:firstLine="0"/>
      <w:jc w:val="both"/>
      <w:outlineLvl w:val="9"/>
      <w:rPr>
        <w:rFonts w:ascii="Calibri" w:eastAsia="Calibri" w:hAnsi="Calibri" w:cs="Calibri"/>
        <w:b w:val="0"/>
        <w:i w:val="0"/>
        <w:color w:val="000000"/>
        <w:sz w:val="20"/>
        <w:u w:val="none"/>
      </w:rPr>
    </w:pP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center" w:pos="4240"/>
        <w:tab w:val="left" w:pos="5340"/>
        <w:tab w:val="right" w:pos="8500"/>
        <w:tab w:val="right" w:pos="9400"/>
      </w:tabs>
      <w:spacing w:before="0" w:after="0" w:line="288" w:lineRule="auto"/>
      <w:ind w:left="0" w:right="0" w:firstLine="0"/>
      <w:jc w:val="both"/>
      <w:outlineLvl w:val="9"/>
      <w:rPr>
        <w:rFonts w:ascii="Calibri" w:eastAsia="Calibri" w:hAnsi="Calibri" w:cs="Calibri"/>
        <w:b w:val="0"/>
        <w:i w:val="0"/>
        <w:color w:val="000000"/>
        <w:sz w:val="20"/>
        <w:u w:val="none"/>
      </w:rPr>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center" w:pos="4240"/>
        <w:tab w:val="left" w:pos="5340"/>
        <w:tab w:val="right" w:pos="8500"/>
        <w:tab w:val="right" w:pos="9400"/>
      </w:tabs>
      <w:spacing w:before="0" w:after="0" w:line="288" w:lineRule="auto"/>
      <w:ind w:left="0" w:right="0" w:firstLine="0"/>
      <w:jc w:val="both"/>
      <w:outlineLvl w:val="9"/>
      <w:rPr>
        <w:rFonts w:ascii="Calibri" w:eastAsia="Calibri" w:hAnsi="Calibri" w:cs="Calibri"/>
        <w:b w:val="0"/>
        <w:i w:val="0"/>
        <w:color w:val="000000"/>
        <w:sz w:val="20"/>
        <w:u w:val="none"/>
      </w:rPr>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center" w:pos="4240"/>
        <w:tab w:val="left" w:pos="5340"/>
        <w:tab w:val="right" w:pos="8500"/>
        <w:tab w:val="right" w:pos="9400"/>
      </w:tabs>
      <w:spacing w:before="0" w:after="0" w:line="288" w:lineRule="auto"/>
      <w:ind w:left="0" w:right="0" w:firstLine="0"/>
      <w:jc w:val="both"/>
      <w:outlineLvl w:val="9"/>
      <w:rPr>
        <w:rFonts w:ascii="Calibri" w:eastAsia="Calibri" w:hAnsi="Calibri" w:cs="Calibri"/>
        <w:b w:val="0"/>
        <w:i w:val="0"/>
        <w:color w:val="000000"/>
        <w:sz w:val="20"/>
        <w:u w:val="none"/>
      </w:rPr>
    </w:pPr>
  </w:p>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center" w:pos="4240"/>
        <w:tab w:val="left" w:pos="5340"/>
        <w:tab w:val="right" w:pos="8500"/>
        <w:tab w:val="right" w:pos="9400"/>
      </w:tabs>
      <w:spacing w:before="0" w:after="0" w:line="288" w:lineRule="auto"/>
      <w:ind w:left="0" w:right="0" w:firstLine="0"/>
      <w:jc w:val="both"/>
      <w:outlineLvl w:val="9"/>
      <w:rPr>
        <w:rFonts w:ascii="Calibri" w:eastAsia="Calibri" w:hAnsi="Calibri" w:cs="Calibri"/>
        <w:b w:val="0"/>
        <w:i w:val="0"/>
        <w:color w:val="000000"/>
        <w:sz w:val="20"/>
        <w:u w:val="none"/>
      </w:rPr>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styleLink w:val="bulletround"/>
    <w:lvl w:ilvl="0">
      <w:start w:val="1"/>
      <w:numFmt w:val="bullet"/>
      <w:lvlText w:val="–"/>
      <w:lvlJc w:val="left"/>
      <w:pPr>
        <w:tabs>
          <w:tab w:val="num" w:pos="720"/>
        </w:tabs>
        <w:ind w:left="720" w:hanging="360"/>
      </w:pPr>
    </w:lvl>
    <w:lvl w:ilvl="1">
      <w:start w:val="1"/>
      <w:numFmt w:val="bullet"/>
      <w:lvlText w:val="–"/>
      <w:lvlJc w:val="left"/>
      <w:pPr>
        <w:tabs>
          <w:tab w:val="num" w:pos="1440"/>
        </w:tabs>
        <w:ind w:left="1440" w:hanging="360"/>
      </w:pPr>
    </w:lvl>
    <w:lvl w:ilvl="2">
      <w:start w:val="1"/>
      <w:numFmt w:val="bullet"/>
      <w:lvlText w:val="–"/>
      <w:lvlJc w:val="left"/>
      <w:pPr>
        <w:tabs>
          <w:tab w:val="num" w:pos="2160"/>
        </w:tabs>
        <w:ind w:left="2160" w:hanging="180"/>
      </w:pPr>
    </w:lvl>
    <w:lvl w:ilvl="3">
      <w:start w:val="1"/>
      <w:numFmt w:val="bullet"/>
      <w:lvlText w:val="–"/>
      <w:lvlJc w:val="left"/>
      <w:pPr>
        <w:tabs>
          <w:tab w:val="num" w:pos="2880"/>
        </w:tabs>
        <w:ind w:left="2880" w:hanging="360"/>
      </w:pPr>
    </w:lvl>
    <w:lvl w:ilvl="4">
      <w:start w:val="1"/>
      <w:numFmt w:val="bullet"/>
      <w:lvlText w:val="–"/>
      <w:lvlJc w:val="left"/>
      <w:pPr>
        <w:tabs>
          <w:tab w:val="num" w:pos="3600"/>
        </w:tabs>
        <w:ind w:left="3600" w:hanging="360"/>
      </w:pPr>
    </w:lvl>
    <w:lvl w:ilvl="5">
      <w:start w:val="1"/>
      <w:numFmt w:val="bullet"/>
      <w:lvlText w:val="–"/>
      <w:lvlJc w:val="left"/>
      <w:pPr>
        <w:tabs>
          <w:tab w:val="num" w:pos="4320"/>
        </w:tabs>
        <w:ind w:left="4320" w:hanging="180"/>
      </w:pPr>
    </w:lvl>
    <w:lvl w:ilvl="6">
      <w:start w:val="1"/>
      <w:numFmt w:val="bullet"/>
      <w:lvlText w:val="•"/>
      <w:lvlJc w:val="left"/>
      <w:pPr>
        <w:tabs>
          <w:tab w:val="num" w:pos="5040"/>
        </w:tabs>
        <w:ind w:left="5040" w:hanging="360"/>
      </w:pPr>
    </w:lvl>
    <w:lvl w:ilvl="7">
      <w:start w:val="1"/>
      <w:numFmt w:val="bullet"/>
      <w:lvlText w:val="◦"/>
      <w:lvlJc w:val="left"/>
      <w:pPr>
        <w:tabs>
          <w:tab w:val="num" w:pos="5760"/>
        </w:tabs>
        <w:ind w:left="5760" w:hanging="360"/>
      </w:pPr>
    </w:lvl>
    <w:lvl w:ilvl="8">
      <w:start w:val="1"/>
      <w:numFmt w:val="bullet"/>
      <w:lvlText w:val="▪"/>
      <w:lvlJc w:val="left"/>
      <w:pPr>
        <w:tabs>
          <w:tab w:val="num" w:pos="6480"/>
        </w:tabs>
        <w:ind w:left="6480" w:hanging="180"/>
      </w:pPr>
    </w:lvl>
  </w:abstractNum>
  <w:abstractNum w:abstractNumId="1">
    <w:nsid w:val="00000002"/>
    <w:multiLevelType w:val="multilevel"/>
    <w:tmpl w:val="00000002"/>
    <w:styleLink w:val="listarabi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styleLink w:val="ol2"/>
    <w:lvl w:ilvl="0">
      <w:start w:val="1"/>
      <w:numFmt w:val="lowerRoman"/>
      <w:lvlText w:val="%1)"/>
      <w:lvlJc w:val="left"/>
      <w:pPr>
        <w:tabs>
          <w:tab w:val="num" w:pos="720"/>
        </w:tabs>
        <w:ind w:left="720" w:hanging="360"/>
      </w:pPr>
    </w:lvl>
    <w:lvl w:ilvl="1">
      <w:start w:val="1"/>
      <w:numFmt w:val="lowerRoman"/>
      <w:lvlText w:val="%2)"/>
      <w:lvlJc w:val="left"/>
      <w:pPr>
        <w:tabs>
          <w:tab w:val="num" w:pos="1440"/>
        </w:tabs>
        <w:ind w:left="1440" w:hanging="360"/>
      </w:pPr>
    </w:lvl>
    <w:lvl w:ilvl="2">
      <w:start w:val="1"/>
      <w:numFmt w:val="lowerRoman"/>
      <w:lvlText w:val="%3)"/>
      <w:lvlJc w:val="left"/>
      <w:pPr>
        <w:tabs>
          <w:tab w:val="num" w:pos="2160"/>
        </w:tabs>
        <w:ind w:left="2160" w:hanging="180"/>
      </w:pPr>
    </w:lvl>
    <w:lvl w:ilvl="3">
      <w:start w:val="1"/>
      <w:numFmt w:val="lowerRoman"/>
      <w:lvlText w:val="%4)"/>
      <w:lvlJc w:val="left"/>
      <w:pPr>
        <w:tabs>
          <w:tab w:val="num" w:pos="2880"/>
        </w:tabs>
        <w:ind w:left="2880" w:hanging="360"/>
      </w:pPr>
    </w:lvl>
    <w:lvl w:ilvl="4">
      <w:start w:val="1"/>
      <w:numFmt w:val="lowerRoman"/>
      <w:lvlText w:val="%5)"/>
      <w:lvlJc w:val="left"/>
      <w:pPr>
        <w:tabs>
          <w:tab w:val="num" w:pos="3600"/>
        </w:tabs>
        <w:ind w:left="3600" w:hanging="360"/>
      </w:pPr>
    </w:lvl>
    <w:lvl w:ilvl="5">
      <w:start w:val="1"/>
      <w:numFmt w:val="lowerRoman"/>
      <w:lvlText w:val="%6)"/>
      <w:lvlJc w:val="left"/>
      <w:pPr>
        <w:tabs>
          <w:tab w:val="num" w:pos="4320"/>
        </w:tabs>
        <w:ind w:left="4320" w:hanging="180"/>
      </w:pPr>
    </w:lvl>
    <w:lvl w:ilvl="6">
      <w:start w:val="1"/>
      <w:numFmt w:val="lowerRoman"/>
      <w:lvlText w:val="%7)"/>
      <w:lvlJc w:val="left"/>
      <w:pPr>
        <w:tabs>
          <w:tab w:val="num" w:pos="5040"/>
        </w:tabs>
        <w:ind w:left="5040" w:hanging="360"/>
      </w:pPr>
    </w:lvl>
    <w:lvl w:ilvl="7">
      <w:start w:val="1"/>
      <w:numFmt w:val="lowerRoman"/>
      <w:lvlText w:val="%8)"/>
      <w:lvlJc w:val="left"/>
      <w:pPr>
        <w:tabs>
          <w:tab w:val="num" w:pos="5760"/>
        </w:tabs>
        <w:ind w:left="5760" w:hanging="360"/>
      </w:pPr>
    </w:lvl>
    <w:lvl w:ilvl="8">
      <w:start w:val="1"/>
      <w:numFmt w:val="lowerRoman"/>
      <w:lvlText w:val="%9)"/>
      <w:lvlJc w:val="left"/>
      <w:pPr>
        <w:tabs>
          <w:tab w:val="num" w:pos="6480"/>
        </w:tabs>
        <w:ind w:left="6480" w:hanging="180"/>
      </w:pPr>
    </w:lvl>
  </w:abstractNum>
  <w:abstractNum w:abstractNumId="3">
    <w:nsid w:val="00000004"/>
    <w:multiLevelType w:val="multilevel"/>
    <w:tmpl w:val="00000004"/>
    <w:styleLink w:val="ol3"/>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18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18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180"/>
      </w:pPr>
    </w:lvl>
  </w:abstractNum>
  <w:abstractNum w:abstractNumId="4">
    <w:nsid w:val="00000005"/>
    <w:multiLevelType w:val="multilevel"/>
    <w:tmpl w:val="00000005"/>
    <w:styleLink w:val="ol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18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18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180"/>
      </w:pPr>
    </w:lvl>
  </w:abstractNum>
  <w:abstractNum w:abstractNumId="5">
    <w:nsid w:val="00000006"/>
    <w:multiLevelType w:val="multilevel"/>
    <w:tmpl w:val="00000006"/>
    <w:styleLink w:val="ol5"/>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18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18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180"/>
      </w:pPr>
    </w:lvl>
  </w:abstractNum>
  <w:abstractNum w:abstractNumId="6">
    <w:nsid w:val="00000007"/>
    <w:multiLevelType w:val="multilevel"/>
    <w:tmpl w:val="00000007"/>
    <w:styleLink w:val="oul1"/>
    <w:lvl w:ilvl="0">
      <w:start w:val="1"/>
      <w:numFmt w:val="upperRoman"/>
      <w:lvlText w:val="%1."/>
      <w:lvlJc w:val="left"/>
      <w:pPr>
        <w:tabs>
          <w:tab w:val="num" w:pos="720"/>
        </w:tabs>
        <w:ind w:left="720" w:hanging="360"/>
      </w:pPr>
    </w:lvl>
    <w:lvl w:ilvl="1">
      <w:start w:val="1"/>
      <w:numFmt w:val="decimal"/>
      <w:lvlText w:val="%1.%2."/>
      <w:lvlJc w:val="left"/>
      <w:pPr>
        <w:tabs>
          <w:tab w:val="num" w:pos="1440"/>
        </w:tabs>
        <w:ind w:left="1440" w:hanging="360"/>
      </w:pPr>
    </w:lvl>
    <w:lvl w:ilvl="2">
      <w:start w:val="1"/>
      <w:numFmt w:val="decimal"/>
      <w:lvlText w:val="%1.%2.%3."/>
      <w:lvlJc w:val="left"/>
      <w:pPr>
        <w:tabs>
          <w:tab w:val="num" w:pos="2160"/>
        </w:tabs>
        <w:ind w:left="2160" w:hanging="180"/>
      </w:pPr>
    </w:lvl>
    <w:lvl w:ilvl="3">
      <w:start w:val="1"/>
      <w:numFmt w:val="decimal"/>
      <w:lvlText w:val="%1.%2.%3.%4."/>
      <w:lvlJc w:val="left"/>
      <w:pPr>
        <w:tabs>
          <w:tab w:val="num" w:pos="2880"/>
        </w:tabs>
        <w:ind w:left="2880" w:hanging="360"/>
      </w:pPr>
    </w:lvl>
    <w:lvl w:ilvl="4">
      <w:start w:val="1"/>
      <w:numFmt w:val="decimal"/>
      <w:lvlText w:val="%1.%2.%3.%4.%5."/>
      <w:lvlJc w:val="left"/>
      <w:pPr>
        <w:tabs>
          <w:tab w:val="num" w:pos="3600"/>
        </w:tabs>
        <w:ind w:left="3600" w:hanging="360"/>
      </w:pPr>
    </w:lvl>
    <w:lvl w:ilvl="5">
      <w:start w:val="1"/>
      <w:numFmt w:val="decimal"/>
      <w:lvlText w:val="%1.%2.%3.%4.%5.%6."/>
      <w:lvlJc w:val="left"/>
      <w:pPr>
        <w:tabs>
          <w:tab w:val="num" w:pos="4320"/>
        </w:tabs>
        <w:ind w:left="4320" w:hanging="180"/>
      </w:pPr>
    </w:lvl>
    <w:lvl w:ilvl="6">
      <w:start w:val="1"/>
      <w:numFmt w:val="decimal"/>
      <w:lvlText w:val="%1.%2.%3.%4.%5.%6.%7."/>
      <w:lvlJc w:val="left"/>
      <w:pPr>
        <w:tabs>
          <w:tab w:val="num" w:pos="5040"/>
        </w:tabs>
        <w:ind w:left="5040" w:hanging="360"/>
      </w:pPr>
    </w:lvl>
    <w:lvl w:ilvl="7">
      <w:start w:val="1"/>
      <w:numFmt w:val="decimal"/>
      <w:lvlText w:val="%1.%2.%3.%4.%5.%6.%7.%8."/>
      <w:lvlJc w:val="left"/>
      <w:pPr>
        <w:tabs>
          <w:tab w:val="num" w:pos="5760"/>
        </w:tabs>
        <w:ind w:left="5760" w:hanging="360"/>
      </w:pPr>
    </w:lvl>
    <w:lvl w:ilvl="8">
      <w:start w:val="1"/>
      <w:numFmt w:val="decimal"/>
      <w:lvlText w:val="%1.%2.%3.%4.%5.%6.%7.%8.%9."/>
      <w:lvlJc w:val="left"/>
      <w:pPr>
        <w:tabs>
          <w:tab w:val="num" w:pos="6480"/>
        </w:tabs>
        <w:ind w:left="6480" w:hanging="180"/>
      </w:pPr>
    </w:lvl>
  </w:abstractNum>
  <w:abstractNum w:abstractNumId="7">
    <w:nsid w:val="00000008"/>
    <w:multiLevelType w:val="multilevel"/>
    <w:tmpl w:val="00000008"/>
    <w:styleLink w:val="outlinearabic"/>
    <w:lvl w:ilvl="0">
      <w:start w:val="1"/>
      <w:numFmt w:val="decimal"/>
      <w:lvlText w:val="%1."/>
      <w:lvlJc w:val="left"/>
      <w:pPr>
        <w:tabs>
          <w:tab w:val="num" w:pos="720"/>
        </w:tabs>
        <w:ind w:left="720" w:hanging="360"/>
      </w:pPr>
    </w:lvl>
    <w:lvl w:ilvl="1">
      <w:start w:val="1"/>
      <w:numFmt w:val="decimal"/>
      <w:lvlText w:val="%1.%2."/>
      <w:lvlJc w:val="left"/>
      <w:pPr>
        <w:tabs>
          <w:tab w:val="num" w:pos="1440"/>
        </w:tabs>
        <w:ind w:left="1440" w:hanging="360"/>
      </w:pPr>
    </w:lvl>
    <w:lvl w:ilvl="2">
      <w:start w:val="1"/>
      <w:numFmt w:val="decimal"/>
      <w:lvlText w:val="%1.%2.%3."/>
      <w:lvlJc w:val="left"/>
      <w:pPr>
        <w:tabs>
          <w:tab w:val="num" w:pos="2160"/>
        </w:tabs>
        <w:ind w:left="2160" w:hanging="180"/>
      </w:pPr>
    </w:lvl>
    <w:lvl w:ilvl="3">
      <w:start w:val="1"/>
      <w:numFmt w:val="decimal"/>
      <w:lvlText w:val="%1.%2.%3.%4."/>
      <w:lvlJc w:val="left"/>
      <w:pPr>
        <w:tabs>
          <w:tab w:val="num" w:pos="2880"/>
        </w:tabs>
        <w:ind w:left="2880" w:hanging="360"/>
      </w:pPr>
    </w:lvl>
    <w:lvl w:ilvl="4">
      <w:start w:val="1"/>
      <w:numFmt w:val="decimal"/>
      <w:lvlText w:val="%1.%2.%3.%4.%5."/>
      <w:lvlJc w:val="left"/>
      <w:pPr>
        <w:tabs>
          <w:tab w:val="num" w:pos="3600"/>
        </w:tabs>
        <w:ind w:left="3600" w:hanging="360"/>
      </w:pPr>
    </w:lvl>
    <w:lvl w:ilvl="5">
      <w:start w:val="1"/>
      <w:numFmt w:val="decimal"/>
      <w:lvlText w:val="%1.%2.%3.%4.%5.%6."/>
      <w:lvlJc w:val="left"/>
      <w:pPr>
        <w:tabs>
          <w:tab w:val="num" w:pos="4320"/>
        </w:tabs>
        <w:ind w:left="4320" w:hanging="180"/>
      </w:pPr>
    </w:lvl>
    <w:lvl w:ilvl="6">
      <w:start w:val="1"/>
      <w:numFmt w:val="decimal"/>
      <w:lvlText w:val="%1.%2.%3.%4.%5.%6.%7."/>
      <w:lvlJc w:val="left"/>
      <w:pPr>
        <w:tabs>
          <w:tab w:val="num" w:pos="5040"/>
        </w:tabs>
        <w:ind w:left="5040" w:hanging="360"/>
      </w:pPr>
    </w:lvl>
    <w:lvl w:ilvl="7">
      <w:start w:val="1"/>
      <w:numFmt w:val="decimal"/>
      <w:lvlText w:val="%1.%2.%3.%4.%5.%6.%7.%8."/>
      <w:lvlJc w:val="left"/>
      <w:pPr>
        <w:tabs>
          <w:tab w:val="num" w:pos="5760"/>
        </w:tabs>
        <w:ind w:left="5760" w:hanging="360"/>
      </w:pPr>
    </w:lvl>
    <w:lvl w:ilvl="8">
      <w:start w:val="1"/>
      <w:numFmt w:val="decimal"/>
      <w:lvlText w:val="%1.%2.%3.%4.%5.%6.%7.%8.%9."/>
      <w:lvlJc w:val="left"/>
      <w:pPr>
        <w:tabs>
          <w:tab w:val="num" w:pos="6480"/>
        </w:tabs>
        <w:ind w:left="6480" w:hanging="180"/>
      </w:pPr>
    </w:lvl>
  </w:abstractNum>
  <w:abstractNum w:abstractNumId="8">
    <w:nsid w:val="00000009"/>
    <w:multiLevelType w:val="multilevel"/>
    <w:tmpl w:val="00000009"/>
    <w:styleLink w:val="ul1"/>
    <w:lvl w:ilvl="0">
      <w:start w:val="1"/>
      <w:numFmt w:val="bullet"/>
      <w:lvlText w:val="-"/>
      <w:lvlJc w:val="left"/>
      <w:pPr>
        <w:tabs>
          <w:tab w:val="num" w:pos="720"/>
        </w:tabs>
        <w:ind w:left="720" w:hanging="360"/>
      </w:pPr>
    </w:lvl>
    <w:lvl w:ilvl="1">
      <w:start w:val="1"/>
      <w:numFmt w:val="bullet"/>
      <w:lvlText w:val="-"/>
      <w:lvlJc w:val="left"/>
      <w:pPr>
        <w:tabs>
          <w:tab w:val="num" w:pos="1440"/>
        </w:tabs>
        <w:ind w:left="1440" w:hanging="360"/>
      </w:pPr>
    </w:lvl>
    <w:lvl w:ilvl="2">
      <w:start w:val="1"/>
      <w:numFmt w:val="bullet"/>
      <w:lvlText w:val="-"/>
      <w:lvlJc w:val="left"/>
      <w:pPr>
        <w:tabs>
          <w:tab w:val="num" w:pos="2160"/>
        </w:tabs>
        <w:ind w:left="2160" w:hanging="180"/>
      </w:pPr>
    </w:lvl>
    <w:lvl w:ilvl="3">
      <w:start w:val="1"/>
      <w:numFmt w:val="bullet"/>
      <w:lvlText w:val="-"/>
      <w:lvlJc w:val="left"/>
      <w:pPr>
        <w:tabs>
          <w:tab w:val="num" w:pos="2880"/>
        </w:tabs>
        <w:ind w:left="2880" w:hanging="360"/>
      </w:pPr>
    </w:lvl>
    <w:lvl w:ilvl="4">
      <w:start w:val="1"/>
      <w:numFmt w:val="bullet"/>
      <w:lvlText w:val="-"/>
      <w:lvlJc w:val="left"/>
      <w:pPr>
        <w:tabs>
          <w:tab w:val="num" w:pos="3600"/>
        </w:tabs>
        <w:ind w:left="3600" w:hanging="360"/>
      </w:pPr>
    </w:lvl>
    <w:lvl w:ilvl="5">
      <w:start w:val="1"/>
      <w:numFmt w:val="bullet"/>
      <w:lvlText w:val="-"/>
      <w:lvlJc w:val="left"/>
      <w:pPr>
        <w:tabs>
          <w:tab w:val="num" w:pos="4320"/>
        </w:tabs>
        <w:ind w:left="4320" w:hanging="180"/>
      </w:pPr>
    </w:lvl>
    <w:lvl w:ilvl="6">
      <w:start w:val="1"/>
      <w:numFmt w:val="bullet"/>
      <w:lvlText w:val="-"/>
      <w:lvlJc w:val="left"/>
      <w:pPr>
        <w:tabs>
          <w:tab w:val="num" w:pos="5040"/>
        </w:tabs>
        <w:ind w:left="5040" w:hanging="360"/>
      </w:pPr>
    </w:lvl>
    <w:lvl w:ilvl="7">
      <w:start w:val="1"/>
      <w:numFmt w:val="bullet"/>
      <w:lvlText w:val="-"/>
      <w:lvlJc w:val="left"/>
      <w:pPr>
        <w:tabs>
          <w:tab w:val="num" w:pos="5760"/>
        </w:tabs>
        <w:ind w:left="5760" w:hanging="360"/>
      </w:pPr>
    </w:lvl>
    <w:lvl w:ilvl="8">
      <w:start w:val="1"/>
      <w:numFmt w:val="bullet"/>
      <w:lvlText w:val="-"/>
      <w:lvlJc w:val="left"/>
      <w:pPr>
        <w:tabs>
          <w:tab w:val="num" w:pos="6480"/>
        </w:tabs>
        <w:ind w:left="6480" w:hanging="180"/>
      </w:pPr>
    </w:lvl>
  </w:abstractNum>
  <w:abstractNum w:abstractNumId="9">
    <w:nsid w:val="0000000A"/>
    <w:multiLevelType w:val="multilevel"/>
    <w:tmpl w:val="0000000A"/>
    <w:styleLink w:val="ul2"/>
    <w:lvl w:ilvl="0">
      <w:start w:val="1"/>
      <w:numFmt w:val="bullet"/>
      <w:lvlText w:val="•"/>
      <w:lvlJc w:val="left"/>
      <w:pPr>
        <w:tabs>
          <w:tab w:val="num" w:pos="720"/>
        </w:tabs>
        <w:ind w:left="720" w:hanging="360"/>
      </w:pPr>
    </w:lvl>
    <w:lvl w:ilvl="1">
      <w:start w:val="1"/>
      <w:numFmt w:val="bullet"/>
      <w:lvlText w:val="•"/>
      <w:lvlJc w:val="left"/>
      <w:pPr>
        <w:tabs>
          <w:tab w:val="num" w:pos="1440"/>
        </w:tabs>
        <w:ind w:left="1440" w:hanging="360"/>
      </w:pPr>
    </w:lvl>
    <w:lvl w:ilvl="2">
      <w:start w:val="1"/>
      <w:numFmt w:val="bullet"/>
      <w:lvlText w:val="•"/>
      <w:lvlJc w:val="left"/>
      <w:pPr>
        <w:tabs>
          <w:tab w:val="num" w:pos="2160"/>
        </w:tabs>
        <w:ind w:left="2160" w:hanging="180"/>
      </w:pPr>
    </w:lvl>
    <w:lvl w:ilvl="3">
      <w:start w:val="1"/>
      <w:numFmt w:val="bullet"/>
      <w:lvlText w:val="•"/>
      <w:lvlJc w:val="left"/>
      <w:pPr>
        <w:tabs>
          <w:tab w:val="num" w:pos="2880"/>
        </w:tabs>
        <w:ind w:left="2880" w:hanging="360"/>
      </w:pPr>
    </w:lvl>
    <w:lvl w:ilvl="4">
      <w:start w:val="1"/>
      <w:numFmt w:val="bullet"/>
      <w:lvlText w:val="•"/>
      <w:lvlJc w:val="left"/>
      <w:pPr>
        <w:tabs>
          <w:tab w:val="num" w:pos="3600"/>
        </w:tabs>
        <w:ind w:left="3600" w:hanging="360"/>
      </w:pPr>
    </w:lvl>
    <w:lvl w:ilvl="5">
      <w:start w:val="1"/>
      <w:numFmt w:val="bullet"/>
      <w:lvlText w:val="•"/>
      <w:lvlJc w:val="left"/>
      <w:pPr>
        <w:tabs>
          <w:tab w:val="num" w:pos="4320"/>
        </w:tabs>
        <w:ind w:left="4320" w:hanging="180"/>
      </w:pPr>
    </w:lvl>
    <w:lvl w:ilvl="6">
      <w:start w:val="1"/>
      <w:numFmt w:val="bullet"/>
      <w:lvlText w:val="•"/>
      <w:lvlJc w:val="left"/>
      <w:pPr>
        <w:tabs>
          <w:tab w:val="num" w:pos="5040"/>
        </w:tabs>
        <w:ind w:left="5040" w:hanging="360"/>
      </w:pPr>
    </w:lvl>
    <w:lvl w:ilvl="7">
      <w:start w:val="1"/>
      <w:numFmt w:val="bullet"/>
      <w:lvlText w:val="•"/>
      <w:lvlJc w:val="left"/>
      <w:pPr>
        <w:tabs>
          <w:tab w:val="num" w:pos="5760"/>
        </w:tabs>
        <w:ind w:left="5760" w:hanging="360"/>
      </w:pPr>
    </w:lvl>
    <w:lvl w:ilvl="8">
      <w:start w:val="1"/>
      <w:numFmt w:val="bullet"/>
      <w:lvlText w:val="•"/>
      <w:lvlJc w:val="left"/>
      <w:pPr>
        <w:tabs>
          <w:tab w:val="num" w:pos="6480"/>
        </w:tabs>
        <w:ind w:left="6480" w:hanging="180"/>
      </w:pPr>
    </w:lvl>
  </w:abstractNum>
  <w:abstractNum w:abstractNumId="10">
    <w:nsid w:val="0000000B"/>
    <w:multiLevelType w:val="multilevel"/>
    <w:tmpl w:val="0000000B"/>
    <w:styleLink w:val="ul3"/>
    <w:lvl w:ilvl="0">
      <w:start w:val="1"/>
      <w:numFmt w:val="bullet"/>
      <w:lvlText w:val="•"/>
      <w:lvlJc w:val="left"/>
      <w:pPr>
        <w:tabs>
          <w:tab w:val="num" w:pos="720"/>
        </w:tabs>
        <w:ind w:left="720" w:hanging="360"/>
      </w:pPr>
    </w:lvl>
    <w:lvl w:ilvl="1">
      <w:start w:val="1"/>
      <w:numFmt w:val="bullet"/>
      <w:lvlText w:val="•"/>
      <w:lvlJc w:val="left"/>
      <w:pPr>
        <w:tabs>
          <w:tab w:val="num" w:pos="1440"/>
        </w:tabs>
        <w:ind w:left="1440" w:hanging="360"/>
      </w:pPr>
    </w:lvl>
    <w:lvl w:ilvl="2">
      <w:start w:val="1"/>
      <w:numFmt w:val="bullet"/>
      <w:lvlText w:val="•"/>
      <w:lvlJc w:val="left"/>
      <w:pPr>
        <w:tabs>
          <w:tab w:val="num" w:pos="2160"/>
        </w:tabs>
        <w:ind w:left="2160" w:hanging="180"/>
      </w:pPr>
    </w:lvl>
    <w:lvl w:ilvl="3">
      <w:start w:val="1"/>
      <w:numFmt w:val="bullet"/>
      <w:lvlText w:val="•"/>
      <w:lvlJc w:val="left"/>
      <w:pPr>
        <w:tabs>
          <w:tab w:val="num" w:pos="2880"/>
        </w:tabs>
        <w:ind w:left="2880" w:hanging="360"/>
      </w:pPr>
    </w:lvl>
    <w:lvl w:ilvl="4">
      <w:start w:val="1"/>
      <w:numFmt w:val="bullet"/>
      <w:lvlText w:val="•"/>
      <w:lvlJc w:val="left"/>
      <w:pPr>
        <w:tabs>
          <w:tab w:val="num" w:pos="3600"/>
        </w:tabs>
        <w:ind w:left="3600" w:hanging="360"/>
      </w:pPr>
    </w:lvl>
    <w:lvl w:ilvl="5">
      <w:start w:val="1"/>
      <w:numFmt w:val="bullet"/>
      <w:lvlText w:val="•"/>
      <w:lvlJc w:val="left"/>
      <w:pPr>
        <w:tabs>
          <w:tab w:val="num" w:pos="4320"/>
        </w:tabs>
        <w:ind w:left="4320" w:hanging="180"/>
      </w:pPr>
    </w:lvl>
    <w:lvl w:ilvl="6">
      <w:start w:val="1"/>
      <w:numFmt w:val="bullet"/>
      <w:lvlText w:val="•"/>
      <w:lvlJc w:val="left"/>
      <w:pPr>
        <w:tabs>
          <w:tab w:val="num" w:pos="5040"/>
        </w:tabs>
        <w:ind w:left="5040" w:hanging="360"/>
      </w:pPr>
    </w:lvl>
    <w:lvl w:ilvl="7">
      <w:start w:val="1"/>
      <w:numFmt w:val="bullet"/>
      <w:lvlText w:val="•"/>
      <w:lvlJc w:val="left"/>
      <w:pPr>
        <w:tabs>
          <w:tab w:val="num" w:pos="5760"/>
        </w:tabs>
        <w:ind w:left="5760" w:hanging="360"/>
      </w:pPr>
    </w:lvl>
    <w:lvl w:ilvl="8">
      <w:start w:val="1"/>
      <w:numFmt w:val="bullet"/>
      <w:lvlText w:val="•"/>
      <w:lvlJc w:val="left"/>
      <w:pPr>
        <w:tabs>
          <w:tab w:val="num" w:pos="6480"/>
        </w:tabs>
        <w:ind w:left="6480" w:hanging="180"/>
      </w:pPr>
    </w:lvl>
  </w:abstractNum>
  <w:abstractNum w:abstractNumId="11">
    <w:nsid w:val="0000000C"/>
    <w:multiLevelType w:val="multilevel"/>
    <w:tmpl w:val="0000000C"/>
    <w:styleLink w:val="ul4"/>
    <w:lvl w:ilvl="0">
      <w:start w:val="1"/>
      <w:numFmt w:val="bullet"/>
      <w:lvlText w:val="-"/>
      <w:lvlJc w:val="left"/>
      <w:pPr>
        <w:tabs>
          <w:tab w:val="num" w:pos="720"/>
        </w:tabs>
        <w:ind w:left="720" w:hanging="360"/>
      </w:pPr>
    </w:lvl>
    <w:lvl w:ilvl="1">
      <w:start w:val="1"/>
      <w:numFmt w:val="bullet"/>
      <w:lvlText w:val="-"/>
      <w:lvlJc w:val="left"/>
      <w:pPr>
        <w:tabs>
          <w:tab w:val="num" w:pos="1440"/>
        </w:tabs>
        <w:ind w:left="1440" w:hanging="360"/>
      </w:pPr>
    </w:lvl>
    <w:lvl w:ilvl="2">
      <w:start w:val="1"/>
      <w:numFmt w:val="bullet"/>
      <w:lvlText w:val="-"/>
      <w:lvlJc w:val="left"/>
      <w:pPr>
        <w:tabs>
          <w:tab w:val="num" w:pos="2160"/>
        </w:tabs>
        <w:ind w:left="2160" w:hanging="180"/>
      </w:pPr>
    </w:lvl>
    <w:lvl w:ilvl="3">
      <w:start w:val="1"/>
      <w:numFmt w:val="bullet"/>
      <w:lvlText w:val="-"/>
      <w:lvlJc w:val="left"/>
      <w:pPr>
        <w:tabs>
          <w:tab w:val="num" w:pos="2880"/>
        </w:tabs>
        <w:ind w:left="2880" w:hanging="360"/>
      </w:pPr>
    </w:lvl>
    <w:lvl w:ilvl="4">
      <w:start w:val="1"/>
      <w:numFmt w:val="bullet"/>
      <w:lvlText w:val="-"/>
      <w:lvlJc w:val="left"/>
      <w:pPr>
        <w:tabs>
          <w:tab w:val="num" w:pos="3600"/>
        </w:tabs>
        <w:ind w:left="3600" w:hanging="360"/>
      </w:pPr>
    </w:lvl>
    <w:lvl w:ilvl="5">
      <w:start w:val="1"/>
      <w:numFmt w:val="bullet"/>
      <w:lvlText w:val="-"/>
      <w:lvlJc w:val="left"/>
      <w:pPr>
        <w:tabs>
          <w:tab w:val="num" w:pos="4320"/>
        </w:tabs>
        <w:ind w:left="4320" w:hanging="180"/>
      </w:pPr>
    </w:lvl>
    <w:lvl w:ilvl="6">
      <w:start w:val="1"/>
      <w:numFmt w:val="bullet"/>
      <w:lvlText w:val="-"/>
      <w:lvlJc w:val="left"/>
      <w:pPr>
        <w:tabs>
          <w:tab w:val="num" w:pos="5040"/>
        </w:tabs>
        <w:ind w:left="5040" w:hanging="360"/>
      </w:pPr>
    </w:lvl>
    <w:lvl w:ilvl="7">
      <w:start w:val="1"/>
      <w:numFmt w:val="bullet"/>
      <w:lvlText w:val="-"/>
      <w:lvlJc w:val="left"/>
      <w:pPr>
        <w:tabs>
          <w:tab w:val="num" w:pos="5760"/>
        </w:tabs>
        <w:ind w:left="5760" w:hanging="360"/>
      </w:pPr>
    </w:lvl>
    <w:lvl w:ilvl="8">
      <w:start w:val="1"/>
      <w:numFmt w:val="bullet"/>
      <w:lvlText w:val="-"/>
      <w:lvlJc w:val="left"/>
      <w:pPr>
        <w:tabs>
          <w:tab w:val="num" w:pos="6480"/>
        </w:tabs>
        <w:ind w:left="6480" w:hanging="180"/>
      </w:pPr>
    </w:lvl>
  </w:abstractNum>
  <w:abstractNum w:abstractNumId="12">
    <w:nsid w:val="0000000D"/>
    <w:multiLevelType w:val="multilevel"/>
    <w:tmpl w:val="00000007"/>
    <w:lvl w:ilvl="0">
      <w:start w:val="1"/>
      <w:numFmt w:val="upperRoman"/>
      <w:lvlText w:val="%1."/>
      <w:lvlJc w:val="left"/>
      <w:pPr>
        <w:tabs>
          <w:tab w:val="num" w:pos="720"/>
        </w:tabs>
        <w:ind w:left="720" w:hanging="360"/>
      </w:pPr>
      <w:rPr>
        <w:rFonts w:ascii="Calibri" w:eastAsia="Calibri" w:hAnsi="Calibri" w:cs="Calibri"/>
        <w:b/>
        <w:i w:val="0"/>
        <w:strike w:val="0"/>
        <w:sz w:val="20"/>
      </w:rPr>
    </w:lvl>
    <w:lvl w:ilvl="1">
      <w:start w:val="1"/>
      <w:numFmt w:val="decimal"/>
      <w:lvlText w:val="%1.%2."/>
      <w:lvlJc w:val="left"/>
      <w:pPr>
        <w:tabs>
          <w:tab w:val="num" w:pos="1440"/>
        </w:tabs>
        <w:ind w:left="1440" w:hanging="360"/>
      </w:pPr>
    </w:lvl>
    <w:lvl w:ilvl="2">
      <w:start w:val="1"/>
      <w:numFmt w:val="decimal"/>
      <w:lvlText w:val="%1.%2.%3."/>
      <w:lvlJc w:val="left"/>
      <w:pPr>
        <w:tabs>
          <w:tab w:val="num" w:pos="2160"/>
        </w:tabs>
        <w:ind w:left="2160" w:hanging="180"/>
      </w:pPr>
    </w:lvl>
    <w:lvl w:ilvl="3">
      <w:start w:val="1"/>
      <w:numFmt w:val="decimal"/>
      <w:lvlText w:val="%1.%2.%3.%4."/>
      <w:lvlJc w:val="left"/>
      <w:pPr>
        <w:tabs>
          <w:tab w:val="num" w:pos="2880"/>
        </w:tabs>
        <w:ind w:left="2880" w:hanging="360"/>
      </w:pPr>
    </w:lvl>
    <w:lvl w:ilvl="4">
      <w:start w:val="1"/>
      <w:numFmt w:val="decimal"/>
      <w:lvlText w:val="%1.%2.%3.%4.%5."/>
      <w:lvlJc w:val="left"/>
      <w:pPr>
        <w:tabs>
          <w:tab w:val="num" w:pos="3600"/>
        </w:tabs>
        <w:ind w:left="3600" w:hanging="360"/>
      </w:pPr>
    </w:lvl>
    <w:lvl w:ilvl="5">
      <w:start w:val="1"/>
      <w:numFmt w:val="decimal"/>
      <w:lvlText w:val="%1.%2.%3.%4.%5.%6."/>
      <w:lvlJc w:val="left"/>
      <w:pPr>
        <w:tabs>
          <w:tab w:val="num" w:pos="4320"/>
        </w:tabs>
        <w:ind w:left="4320" w:hanging="180"/>
      </w:pPr>
    </w:lvl>
    <w:lvl w:ilvl="6">
      <w:start w:val="1"/>
      <w:numFmt w:val="decimal"/>
      <w:lvlText w:val="%1.%2.%3.%4.%5.%6.%7."/>
      <w:lvlJc w:val="left"/>
      <w:pPr>
        <w:tabs>
          <w:tab w:val="num" w:pos="5040"/>
        </w:tabs>
        <w:ind w:left="5040" w:hanging="360"/>
      </w:pPr>
    </w:lvl>
    <w:lvl w:ilvl="7">
      <w:start w:val="1"/>
      <w:numFmt w:val="decimal"/>
      <w:lvlText w:val="%1.%2.%3.%4.%5.%6.%7.%8."/>
      <w:lvlJc w:val="left"/>
      <w:pPr>
        <w:tabs>
          <w:tab w:val="num" w:pos="5760"/>
        </w:tabs>
        <w:ind w:left="5760" w:hanging="360"/>
      </w:pPr>
    </w:lvl>
    <w:lvl w:ilvl="8">
      <w:start w:val="1"/>
      <w:numFmt w:val="decimal"/>
      <w:lvlText w:val="%1.%2.%3.%4.%5.%6.%7.%8.%9."/>
      <w:lvlJc w:val="left"/>
      <w:pPr>
        <w:tabs>
          <w:tab w:val="num" w:pos="6480"/>
        </w:tabs>
        <w:ind w:left="6480" w:hanging="180"/>
      </w:pPr>
    </w:lvl>
  </w:abstractNum>
  <w:abstractNum w:abstractNumId="13">
    <w:nsid w:val="0000000E"/>
    <w:multiLevelType w:val="hybridMultilevel"/>
    <w:tmpl w:val="0000000E"/>
    <w:lvl w:ilvl="0">
      <w:start w:val="1"/>
      <w:numFmt w:val="bullet"/>
      <w:lvlText w:val="-"/>
      <w:lvlJc w:val="left"/>
      <w:pPr>
        <w:tabs>
          <w:tab w:val="num" w:pos="2835"/>
        </w:tabs>
        <w:ind w:left="720" w:hanging="360"/>
      </w:pPr>
      <w:rPr>
        <w:rFonts w:ascii="Calibri" w:eastAsia="Calibri" w:hAnsi="Calibri" w:cs="Calibri"/>
        <w:b w:val="0"/>
        <w:i w:val="0"/>
        <w:strike w:val="0"/>
        <w:sz w:val="2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
    <w:nsid w:val="0000000F"/>
    <w:multiLevelType w:val="hybridMultilevel"/>
    <w:tmpl w:val="0000000F"/>
    <w:lvl w:ilvl="0">
      <w:start w:val="1"/>
      <w:numFmt w:val="bullet"/>
      <w:lvlText w:val="-"/>
      <w:lvlJc w:val="left"/>
      <w:pPr>
        <w:tabs>
          <w:tab w:val="num" w:pos="1842"/>
        </w:tabs>
        <w:ind w:left="720" w:hanging="360"/>
      </w:pPr>
      <w:rPr>
        <w:rFonts w:ascii="Calibri" w:eastAsia="Calibri" w:hAnsi="Calibri" w:cs="Calibri"/>
        <w:b w:val="0"/>
        <w:i w:val="0"/>
        <w:strike w:val="0"/>
        <w:color w:val="000000"/>
        <w:sz w:val="20"/>
        <w:u w:val="none"/>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
    <w:nsid w:val="00000010"/>
    <w:multiLevelType w:val="hybridMultilevel"/>
    <w:tmpl w:val="00000010"/>
    <w:lvl w:ilvl="0">
      <w:start w:val="1"/>
      <w:numFmt w:val="bullet"/>
      <w:lvlText w:val="-"/>
      <w:lvlJc w:val="left"/>
      <w:pPr>
        <w:tabs>
          <w:tab w:val="num" w:pos="1842"/>
        </w:tabs>
        <w:ind w:left="720" w:hanging="360"/>
      </w:pPr>
      <w:rPr>
        <w:rFonts w:ascii="Calibri" w:eastAsia="Calibri" w:hAnsi="Calibri" w:cs="Calibri"/>
        <w:b w:val="0"/>
        <w:i w:val="0"/>
        <w:strike w:val="0"/>
        <w:color w:val="000000"/>
        <w:sz w:val="20"/>
        <w:u w:val="none"/>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
    <w:nsid w:val="00000011"/>
    <w:multiLevelType w:val="hybridMultilevel"/>
    <w:tmpl w:val="00000011"/>
    <w:lvl w:ilvl="0">
      <w:start w:val="1"/>
      <w:numFmt w:val="bullet"/>
      <w:lvlText w:val="-"/>
      <w:lvlJc w:val="left"/>
      <w:pPr>
        <w:tabs>
          <w:tab w:val="num" w:pos="1842"/>
        </w:tabs>
        <w:ind w:left="720" w:hanging="360"/>
      </w:pPr>
      <w:rPr>
        <w:rFonts w:ascii="Calibri" w:eastAsia="Calibri" w:hAnsi="Calibri" w:cs="Calibri"/>
        <w:b w:val="0"/>
        <w:i w:val="0"/>
        <w:strike w:val="0"/>
        <w:color w:val="000000"/>
        <w:sz w:val="20"/>
        <w:u w:val="none"/>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
    <w:nsid w:val="00000012"/>
    <w:multiLevelType w:val="multilevel"/>
    <w:tmpl w:val="00000003"/>
    <w:lvl w:ilvl="0">
      <w:start w:val="1"/>
      <w:numFmt w:val="lowerRoman"/>
      <w:lvlText w:val="%1)"/>
      <w:lvlJc w:val="left"/>
      <w:pPr>
        <w:tabs>
          <w:tab w:val="num" w:pos="3118"/>
        </w:tabs>
        <w:ind w:left="720" w:hanging="360"/>
      </w:pPr>
      <w:rPr>
        <w:rFonts w:ascii="Calibri" w:eastAsia="Calibri" w:hAnsi="Calibri" w:cs="Calibri"/>
        <w:b w:val="0"/>
        <w:i w:val="0"/>
        <w:strike w:val="0"/>
        <w:sz w:val="20"/>
      </w:rPr>
    </w:lvl>
    <w:lvl w:ilvl="1">
      <w:start w:val="1"/>
      <w:numFmt w:val="lowerRoman"/>
      <w:lvlText w:val="%2)"/>
      <w:lvlJc w:val="left"/>
      <w:pPr>
        <w:tabs>
          <w:tab w:val="num" w:pos="1440"/>
        </w:tabs>
        <w:ind w:left="1440" w:hanging="360"/>
      </w:pPr>
    </w:lvl>
    <w:lvl w:ilvl="2">
      <w:start w:val="1"/>
      <w:numFmt w:val="lowerRoman"/>
      <w:lvlText w:val="%3)"/>
      <w:lvlJc w:val="left"/>
      <w:pPr>
        <w:tabs>
          <w:tab w:val="num" w:pos="2160"/>
        </w:tabs>
        <w:ind w:left="2160" w:hanging="180"/>
      </w:pPr>
    </w:lvl>
    <w:lvl w:ilvl="3">
      <w:start w:val="1"/>
      <w:numFmt w:val="lowerRoman"/>
      <w:lvlText w:val="%4)"/>
      <w:lvlJc w:val="left"/>
      <w:pPr>
        <w:tabs>
          <w:tab w:val="num" w:pos="2880"/>
        </w:tabs>
        <w:ind w:left="2880" w:hanging="360"/>
      </w:pPr>
    </w:lvl>
    <w:lvl w:ilvl="4">
      <w:start w:val="1"/>
      <w:numFmt w:val="lowerRoman"/>
      <w:lvlText w:val="%5)"/>
      <w:lvlJc w:val="left"/>
      <w:pPr>
        <w:tabs>
          <w:tab w:val="num" w:pos="3600"/>
        </w:tabs>
        <w:ind w:left="3600" w:hanging="360"/>
      </w:pPr>
    </w:lvl>
    <w:lvl w:ilvl="5">
      <w:start w:val="1"/>
      <w:numFmt w:val="lowerRoman"/>
      <w:lvlText w:val="%6)"/>
      <w:lvlJc w:val="left"/>
      <w:pPr>
        <w:tabs>
          <w:tab w:val="num" w:pos="4320"/>
        </w:tabs>
        <w:ind w:left="4320" w:hanging="180"/>
      </w:pPr>
    </w:lvl>
    <w:lvl w:ilvl="6">
      <w:start w:val="1"/>
      <w:numFmt w:val="lowerRoman"/>
      <w:lvlText w:val="%7)"/>
      <w:lvlJc w:val="left"/>
      <w:pPr>
        <w:tabs>
          <w:tab w:val="num" w:pos="5040"/>
        </w:tabs>
        <w:ind w:left="5040" w:hanging="360"/>
      </w:pPr>
    </w:lvl>
    <w:lvl w:ilvl="7">
      <w:start w:val="1"/>
      <w:numFmt w:val="lowerRoman"/>
      <w:lvlText w:val="%8)"/>
      <w:lvlJc w:val="left"/>
      <w:pPr>
        <w:tabs>
          <w:tab w:val="num" w:pos="5760"/>
        </w:tabs>
        <w:ind w:left="5760" w:hanging="360"/>
      </w:pPr>
    </w:lvl>
    <w:lvl w:ilvl="8">
      <w:start w:val="1"/>
      <w:numFmt w:val="lowerRoman"/>
      <w:lvlText w:val="%9)"/>
      <w:lvlJc w:val="left"/>
      <w:pPr>
        <w:tabs>
          <w:tab w:val="num" w:pos="6480"/>
        </w:tabs>
        <w:ind w:left="6480" w:hanging="180"/>
      </w:pPr>
    </w:lvl>
  </w:abstractNum>
  <w:abstractNum w:abstractNumId="18">
    <w:nsid w:val="00000013"/>
    <w:multiLevelType w:val="hybridMultilevel"/>
    <w:tmpl w:val="00000013"/>
    <w:lvl w:ilvl="0">
      <w:start w:val="1"/>
      <w:numFmt w:val="bullet"/>
      <w:lvlText w:val="-"/>
      <w:lvlJc w:val="left"/>
      <w:pPr>
        <w:tabs>
          <w:tab w:val="num" w:pos="2126"/>
        </w:tabs>
        <w:ind w:left="720" w:hanging="360"/>
      </w:pPr>
      <w:rPr>
        <w:rFonts w:ascii="Calibri" w:eastAsia="Calibri" w:hAnsi="Calibri" w:cs="Calibri"/>
        <w:b w:val="0"/>
        <w:i w:val="0"/>
        <w:strike w:val="0"/>
        <w:color w:val="000000"/>
        <w:sz w:val="20"/>
        <w:u w:val="none"/>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
    <w:nsid w:val="00000014"/>
    <w:multiLevelType w:val="hybridMultilevel"/>
    <w:tmpl w:val="00000014"/>
    <w:lvl w:ilvl="0">
      <w:start w:val="1"/>
      <w:numFmt w:val="bullet"/>
      <w:lvlText w:val="-"/>
      <w:lvlJc w:val="left"/>
      <w:pPr>
        <w:tabs>
          <w:tab w:val="num" w:pos="2126"/>
        </w:tabs>
        <w:ind w:left="720" w:hanging="360"/>
      </w:pPr>
      <w:rPr>
        <w:rFonts w:ascii="Calibri" w:eastAsia="Calibri" w:hAnsi="Calibri" w:cs="Calibri"/>
        <w:b w:val="0"/>
        <w:i w:val="0"/>
        <w:strike w:val="0"/>
        <w:color w:val="000000"/>
        <w:sz w:val="20"/>
        <w:u w:val="none"/>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
    <w:nsid w:val="00000015"/>
    <w:multiLevelType w:val="hybridMultilevel"/>
    <w:tmpl w:val="00000015"/>
    <w:lvl w:ilvl="0">
      <w:start w:val="1"/>
      <w:numFmt w:val="bullet"/>
      <w:lvlText w:val="-"/>
      <w:lvlJc w:val="left"/>
      <w:pPr>
        <w:tabs>
          <w:tab w:val="num" w:pos="2126"/>
        </w:tabs>
        <w:ind w:left="720" w:hanging="360"/>
      </w:pPr>
      <w:rPr>
        <w:rFonts w:ascii="Calibri" w:eastAsia="Calibri" w:hAnsi="Calibri" w:cs="Calibri"/>
        <w:b w:val="0"/>
        <w:i w:val="0"/>
        <w:strike w:val="0"/>
        <w:color w:val="000000"/>
        <w:sz w:val="20"/>
        <w:u w:val="none"/>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
    <w:nsid w:val="00000016"/>
    <w:multiLevelType w:val="hybridMultilevel"/>
    <w:tmpl w:val="00000016"/>
    <w:lvl w:ilvl="0">
      <w:start w:val="1"/>
      <w:numFmt w:val="bullet"/>
      <w:lvlText w:val="-"/>
      <w:lvlJc w:val="left"/>
      <w:pPr>
        <w:tabs>
          <w:tab w:val="num" w:pos="2126"/>
        </w:tabs>
        <w:ind w:left="720" w:hanging="360"/>
      </w:pPr>
      <w:rPr>
        <w:rFonts w:ascii="Calibri" w:eastAsia="Calibri" w:hAnsi="Calibri" w:cs="Calibri"/>
        <w:b w:val="0"/>
        <w:i w:val="0"/>
        <w:strike w:val="0"/>
        <w:color w:val="000000"/>
        <w:sz w:val="20"/>
        <w:u w:val="none"/>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2">
    <w:nsid w:val="00000017"/>
    <w:multiLevelType w:val="hybridMultilevel"/>
    <w:tmpl w:val="00000017"/>
    <w:lvl w:ilvl="0">
      <w:start w:val="1"/>
      <w:numFmt w:val="bullet"/>
      <w:lvlText w:val="-"/>
      <w:lvlJc w:val="left"/>
      <w:pPr>
        <w:tabs>
          <w:tab w:val="num" w:pos="2126"/>
        </w:tabs>
        <w:ind w:left="720" w:hanging="360"/>
      </w:pPr>
      <w:rPr>
        <w:rFonts w:ascii="Calibri" w:eastAsia="Calibri" w:hAnsi="Calibri" w:cs="Calibri"/>
        <w:b w:val="0"/>
        <w:i w:val="0"/>
        <w:strike w:val="0"/>
        <w:color w:val="000000"/>
        <w:sz w:val="20"/>
        <w:u w:val="none"/>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3">
    <w:nsid w:val="00000018"/>
    <w:multiLevelType w:val="hybridMultilevel"/>
    <w:tmpl w:val="00000018"/>
    <w:lvl w:ilvl="0">
      <w:start w:val="1"/>
      <w:numFmt w:val="bullet"/>
      <w:lvlText w:val="-"/>
      <w:lvlJc w:val="left"/>
      <w:pPr>
        <w:tabs>
          <w:tab w:val="num" w:pos="2132"/>
        </w:tabs>
        <w:ind w:left="720" w:hanging="360"/>
      </w:pPr>
      <w:rPr>
        <w:rFonts w:ascii="Calibri" w:eastAsia="Calibri" w:hAnsi="Calibri" w:cs="Calibri"/>
        <w:b w:val="0"/>
        <w:i w:val="0"/>
        <w:strike w:val="0"/>
        <w:color w:val="000000"/>
        <w:sz w:val="20"/>
        <w:u w:val="none"/>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4">
    <w:nsid w:val="00000019"/>
    <w:multiLevelType w:val="hybridMultilevel"/>
    <w:tmpl w:val="00000019"/>
    <w:lvl w:ilvl="0">
      <w:start w:val="1"/>
      <w:numFmt w:val="bullet"/>
      <w:lvlText w:val="-"/>
      <w:lvlJc w:val="left"/>
      <w:pPr>
        <w:tabs>
          <w:tab w:val="num" w:pos="2126"/>
        </w:tabs>
        <w:ind w:left="720" w:hanging="360"/>
      </w:pPr>
      <w:rPr>
        <w:rFonts w:ascii="Calibri" w:eastAsia="Calibri" w:hAnsi="Calibri" w:cs="Calibri"/>
        <w:b w:val="0"/>
        <w:i w:val="0"/>
        <w:strike w:val="0"/>
        <w:color w:val="000000"/>
        <w:sz w:val="20"/>
        <w:u w:val="none"/>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5">
    <w:nsid w:val="0000001A"/>
    <w:multiLevelType w:val="multilevel"/>
    <w:tmpl w:val="00000003"/>
    <w:lvl w:ilvl="0">
      <w:start w:val="1"/>
      <w:numFmt w:val="lowerRoman"/>
      <w:lvlText w:val="%1)"/>
      <w:lvlJc w:val="left"/>
      <w:pPr>
        <w:tabs>
          <w:tab w:val="num" w:pos="2126"/>
        </w:tabs>
        <w:ind w:left="720" w:hanging="360"/>
      </w:pPr>
      <w:rPr>
        <w:rFonts w:ascii="Calibri" w:eastAsia="Calibri" w:hAnsi="Calibri" w:cs="Calibri"/>
        <w:b w:val="0"/>
        <w:i w:val="0"/>
        <w:strike w:val="0"/>
        <w:color w:val="000000"/>
        <w:sz w:val="20"/>
        <w:u w:val="none"/>
      </w:rPr>
    </w:lvl>
    <w:lvl w:ilvl="1">
      <w:start w:val="1"/>
      <w:numFmt w:val="lowerRoman"/>
      <w:lvlText w:val="%2)"/>
      <w:lvlJc w:val="left"/>
      <w:pPr>
        <w:tabs>
          <w:tab w:val="num" w:pos="1440"/>
        </w:tabs>
        <w:ind w:left="1440" w:hanging="360"/>
      </w:pPr>
    </w:lvl>
    <w:lvl w:ilvl="2">
      <w:start w:val="1"/>
      <w:numFmt w:val="lowerRoman"/>
      <w:lvlText w:val="%3)"/>
      <w:lvlJc w:val="left"/>
      <w:pPr>
        <w:tabs>
          <w:tab w:val="num" w:pos="2160"/>
        </w:tabs>
        <w:ind w:left="2160" w:hanging="180"/>
      </w:pPr>
    </w:lvl>
    <w:lvl w:ilvl="3">
      <w:start w:val="1"/>
      <w:numFmt w:val="lowerRoman"/>
      <w:lvlText w:val="%4)"/>
      <w:lvlJc w:val="left"/>
      <w:pPr>
        <w:tabs>
          <w:tab w:val="num" w:pos="2880"/>
        </w:tabs>
        <w:ind w:left="2880" w:hanging="360"/>
      </w:pPr>
    </w:lvl>
    <w:lvl w:ilvl="4">
      <w:start w:val="1"/>
      <w:numFmt w:val="lowerRoman"/>
      <w:lvlText w:val="%5)"/>
      <w:lvlJc w:val="left"/>
      <w:pPr>
        <w:tabs>
          <w:tab w:val="num" w:pos="3600"/>
        </w:tabs>
        <w:ind w:left="3600" w:hanging="360"/>
      </w:pPr>
    </w:lvl>
    <w:lvl w:ilvl="5">
      <w:start w:val="1"/>
      <w:numFmt w:val="lowerRoman"/>
      <w:lvlText w:val="%6)"/>
      <w:lvlJc w:val="left"/>
      <w:pPr>
        <w:tabs>
          <w:tab w:val="num" w:pos="4320"/>
        </w:tabs>
        <w:ind w:left="4320" w:hanging="180"/>
      </w:pPr>
    </w:lvl>
    <w:lvl w:ilvl="6">
      <w:start w:val="1"/>
      <w:numFmt w:val="lowerRoman"/>
      <w:lvlText w:val="%7)"/>
      <w:lvlJc w:val="left"/>
      <w:pPr>
        <w:tabs>
          <w:tab w:val="num" w:pos="5040"/>
        </w:tabs>
        <w:ind w:left="5040" w:hanging="360"/>
      </w:pPr>
    </w:lvl>
    <w:lvl w:ilvl="7">
      <w:start w:val="1"/>
      <w:numFmt w:val="lowerRoman"/>
      <w:lvlText w:val="%8)"/>
      <w:lvlJc w:val="left"/>
      <w:pPr>
        <w:tabs>
          <w:tab w:val="num" w:pos="5760"/>
        </w:tabs>
        <w:ind w:left="5760" w:hanging="360"/>
      </w:pPr>
    </w:lvl>
    <w:lvl w:ilvl="8">
      <w:start w:val="1"/>
      <w:numFmt w:val="lowerRoman"/>
      <w:lvlText w:val="%9)"/>
      <w:lvlJc w:val="left"/>
      <w:pPr>
        <w:tabs>
          <w:tab w:val="num" w:pos="6480"/>
        </w:tabs>
        <w:ind w:left="6480" w:hanging="180"/>
      </w:pPr>
    </w:lvl>
  </w:abstractNum>
  <w:abstractNum w:abstractNumId="26">
    <w:nsid w:val="0000001B"/>
    <w:multiLevelType w:val="multilevel"/>
    <w:tmpl w:val="00000006"/>
    <w:lvl w:ilvl="0">
      <w:start w:val="1"/>
      <w:numFmt w:val="lowerLetter"/>
      <w:lvlText w:val="%1)"/>
      <w:lvlJc w:val="left"/>
      <w:pPr>
        <w:tabs>
          <w:tab w:val="num" w:pos="1418"/>
        </w:tabs>
        <w:ind w:left="720" w:hanging="360"/>
      </w:pPr>
      <w:rPr>
        <w:rFonts w:ascii="Calibri" w:eastAsia="Calibri" w:hAnsi="Calibri" w:cs="Calibri"/>
        <w:b w:val="0"/>
        <w:i w:val="0"/>
        <w:strike w:val="0"/>
        <w:color w:val="000000"/>
        <w:sz w:val="20"/>
        <w:u w:val="none"/>
      </w:r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18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18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noLeading/>
    <w:suppressTopSpacingWP/>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kern w:val="16"/>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506D7A"/>
    <w:pPr>
      <w:keepNext/>
      <w:keepLines/>
      <w:spacing w:before="240" w:after="0"/>
      <w:outlineLvl w:val="0"/>
    </w:pPr>
    <w:rPr>
      <w:rFonts w:ascii="Calibri Light" w:eastAsia="Times New Roman" w:hAnsi="Calibri Light" w:cs="Times New Roman"/>
      <w:color w:val="2F5496" w:themeShade="BF"/>
      <w:sz w:val="32"/>
      <w:szCs w:val="32"/>
    </w:rPr>
  </w:style>
  <w:style w:type="paragraph" w:styleId="Heading2">
    <w:name w:val="heading 2"/>
    <w:basedOn w:val="Normal"/>
    <w:next w:val="Normal"/>
    <w:link w:val="Heading2Char"/>
    <w:uiPriority w:val="9"/>
    <w:qFormat/>
    <w:rsid w:val="00506D7A"/>
    <w:pPr>
      <w:keepNext/>
      <w:keepLines/>
      <w:spacing w:before="40" w:after="0"/>
      <w:outlineLvl w:val="1"/>
    </w:pPr>
    <w:rPr>
      <w:rFonts w:ascii="Calibri Light" w:eastAsia="Times New Roman" w:hAnsi="Calibri Light" w:cs="Times New Roman"/>
      <w:color w:val="2F5496" w:themeShade="BF"/>
      <w:sz w:val="26"/>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numbering" w:customStyle="1" w:styleId="bulletround">
    <w:name w:val="bullet.round"/>
    <w:pPr>
      <w:numPr>
        <w:numId w:val="1"/>
      </w:numPr>
    </w:pPr>
  </w:style>
  <w:style w:type="numbering" w:customStyle="1" w:styleId="listarabic">
    <w:name w:val="list.arabic"/>
    <w:pPr>
      <w:numPr>
        <w:numId w:val="2"/>
      </w:numPr>
    </w:pPr>
  </w:style>
  <w:style w:type="numbering" w:customStyle="1" w:styleId="ol2">
    <w:name w:val="ol2"/>
    <w:pPr>
      <w:numPr>
        <w:numId w:val="3"/>
      </w:numPr>
    </w:pPr>
  </w:style>
  <w:style w:type="numbering" w:customStyle="1" w:styleId="ol3">
    <w:name w:val="ol3"/>
    <w:pPr>
      <w:numPr>
        <w:numId w:val="4"/>
      </w:numPr>
    </w:pPr>
  </w:style>
  <w:style w:type="numbering" w:customStyle="1" w:styleId="ol4">
    <w:name w:val="ol4"/>
    <w:pPr>
      <w:numPr>
        <w:numId w:val="5"/>
      </w:numPr>
    </w:pPr>
  </w:style>
  <w:style w:type="numbering" w:customStyle="1" w:styleId="ol5">
    <w:name w:val="ol5"/>
    <w:pPr>
      <w:numPr>
        <w:numId w:val="6"/>
      </w:numPr>
    </w:pPr>
  </w:style>
  <w:style w:type="numbering" w:customStyle="1" w:styleId="oul1">
    <w:name w:val="oul1"/>
    <w:pPr>
      <w:numPr>
        <w:numId w:val="7"/>
      </w:numPr>
    </w:pPr>
  </w:style>
  <w:style w:type="numbering" w:customStyle="1" w:styleId="outlinearabic">
    <w:name w:val="outline.arabic"/>
    <w:pPr>
      <w:numPr>
        <w:numId w:val="8"/>
      </w:numPr>
    </w:pPr>
  </w:style>
  <w:style w:type="numbering" w:customStyle="1" w:styleId="ul1">
    <w:name w:val="ul1"/>
    <w:pPr>
      <w:numPr>
        <w:numId w:val="9"/>
      </w:numPr>
    </w:pPr>
  </w:style>
  <w:style w:type="numbering" w:customStyle="1" w:styleId="ul2">
    <w:name w:val="ul2"/>
    <w:pPr>
      <w:numPr>
        <w:numId w:val="10"/>
      </w:numPr>
    </w:pPr>
  </w:style>
  <w:style w:type="numbering" w:customStyle="1" w:styleId="ul3">
    <w:name w:val="ul3"/>
    <w:pPr>
      <w:numPr>
        <w:numId w:val="11"/>
      </w:numPr>
    </w:pPr>
  </w:style>
  <w:style w:type="numbering" w:customStyle="1" w:styleId="ul4">
    <w:name w:val="ul4"/>
    <w:pPr>
      <w:numPr>
        <w:numId w:val="12"/>
      </w:numPr>
    </w:pPr>
  </w:style>
  <w:style w:type="paragraph" w:customStyle="1" w:styleId="Normal-wk">
    <w:name w:val="Normal-wk"/>
    <w:qFormat/>
    <w:pPr>
      <w:keepNext w:val="0"/>
      <w:keepLines/>
      <w:spacing w:before="0" w:after="0" w:line="288" w:lineRule="auto"/>
      <w:ind w:left="0" w:firstLine="0"/>
      <w:jc w:val="both"/>
    </w:pPr>
    <w:rPr>
      <w:rFonts w:ascii="Calibri" w:eastAsia="Calibri" w:hAnsi="Calibri" w:cs="Calibri"/>
      <w:b w:val="0"/>
      <w:i w:val="0"/>
      <w:color w:val="000000"/>
      <w:spacing w:val="0"/>
      <w:sz w:val="20"/>
    </w:rPr>
  </w:style>
  <w:style w:type="paragraph" w:customStyle="1" w:styleId="CarCar3">
    <w:name w:val="Car Car3"/>
    <w:qFormat/>
    <w:pPr>
      <w:keepNext w:val="0"/>
      <w:spacing w:before="0" w:after="0" w:line="288" w:lineRule="auto"/>
      <w:ind w:left="0" w:firstLine="0"/>
      <w:jc w:val="both"/>
    </w:pPr>
    <w:rPr>
      <w:rFonts w:ascii="Calibri" w:eastAsia="Calibri" w:hAnsi="Calibri" w:cs="Calibri"/>
      <w:b w:val="0"/>
      <w:i w:val="0"/>
      <w:color w:val="000000"/>
      <w:spacing w:val="0"/>
      <w:sz w:val="20"/>
    </w:rPr>
  </w:style>
  <w:style w:type="paragraph" w:customStyle="1" w:styleId="Estndar">
    <w:name w:val="Estándar"/>
    <w:qFormat/>
    <w:pPr>
      <w:keepNext w:val="0"/>
      <w:spacing w:before="0" w:after="0" w:line="240" w:lineRule="auto"/>
      <w:ind w:left="0" w:firstLine="0"/>
      <w:jc w:val="left"/>
    </w:pPr>
    <w:rPr>
      <w:rFonts w:ascii="Times New Roman" w:eastAsia="Times New Roman" w:hAnsi="Times New Roman" w:cs="Times New Roman"/>
      <w:b w:val="0"/>
      <w:i w:val="0"/>
      <w:color w:val="000000"/>
      <w:spacing w:val="0"/>
      <w:sz w:val="24"/>
    </w:rPr>
  </w:style>
  <w:style w:type="paragraph" w:styleId="FootnoteText">
    <w:name w:val="footnote text"/>
    <w:basedOn w:val="Normal"/>
    <w:link w:val="FootnoteTextChar"/>
    <w:uiPriority w:val="99"/>
    <w:rsid w:val="000F3DF7"/>
    <w:pPr>
      <w:spacing w:after="0" w:line="240" w:lineRule="auto"/>
    </w:pPr>
    <w:rPr>
      <w:sz w:val="20"/>
      <w:szCs w:val="20"/>
    </w:rPr>
  </w:style>
  <w:style w:type="character" w:customStyle="1" w:styleId="FootnoteTextChar">
    <w:name w:val="Footnote Text Char"/>
    <w:basedOn w:val="DefaultParagraphFont"/>
    <w:link w:val="FootnoteText"/>
    <w:uiPriority w:val="99"/>
    <w:rsid w:val="000F3DF7"/>
    <w:rPr>
      <w:sz w:val="20"/>
      <w:szCs w:val="20"/>
    </w:rPr>
  </w:style>
  <w:style w:type="paragraph" w:customStyle="1" w:styleId="FootnoteText-wk">
    <w:name w:val="Footnote Text-wk"/>
    <w:qFormat/>
    <w:pPr>
      <w:keepNext w:val="0"/>
      <w:spacing w:before="0" w:after="0" w:line="240" w:lineRule="auto"/>
      <w:ind w:left="0" w:firstLine="0"/>
      <w:jc w:val="left"/>
    </w:pPr>
    <w:rPr>
      <w:rFonts w:ascii="Arial" w:eastAsia="Arial" w:hAnsi="Arial" w:cs="Arial"/>
      <w:b w:val="0"/>
      <w:i w:val="0"/>
      <w:color w:val="000000"/>
      <w:spacing w:val="0"/>
      <w:sz w:val="20"/>
    </w:rPr>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paragraph" w:customStyle="1" w:styleId="Heading1-wk">
    <w:name w:val="Heading 1-wk"/>
    <w:qFormat/>
    <w:pPr>
      <w:keepNext w:val="0"/>
      <w:spacing w:before="480" w:after="0" w:line="240" w:lineRule="auto"/>
      <w:ind w:left="0" w:firstLine="0"/>
      <w:jc w:val="left"/>
    </w:pPr>
    <w:rPr>
      <w:rFonts w:ascii="Cambria" w:eastAsia="Cambria" w:hAnsi="Cambria" w:cs="Cambria"/>
      <w:b/>
      <w:i w:val="0"/>
      <w:color w:val="365F91"/>
      <w:spacing w:val="0"/>
      <w:sz w:val="28"/>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paragraph" w:customStyle="1" w:styleId="Heading2-wk">
    <w:name w:val="Heading 2-wk"/>
    <w:qFormat/>
    <w:pPr>
      <w:keepNext w:val="0"/>
      <w:spacing w:before="0" w:after="0" w:line="240" w:lineRule="auto"/>
      <w:ind w:left="0" w:firstLine="0"/>
      <w:jc w:val="both"/>
    </w:pPr>
    <w:rPr>
      <w:rFonts w:ascii="Times New Roman" w:eastAsia="Times New Roman" w:hAnsi="Times New Roman" w:cs="Times New Roman"/>
      <w:b/>
      <w:i w:val="0"/>
      <w:color w:val="000000"/>
      <w:spacing w:val="0"/>
      <w:sz w:val="24"/>
    </w:rPr>
  </w:style>
  <w:style w:type="paragraph" w:styleId="ListParagraph">
    <w:name w:val="List Paragraph"/>
    <w:basedOn w:val="Normal"/>
    <w:uiPriority w:val="34"/>
    <w:qFormat/>
    <w:rsid w:val="00506D7A"/>
    <w:pPr>
      <w:ind w:left="720"/>
      <w:contextualSpacing/>
    </w:pPr>
  </w:style>
  <w:style w:type="paragraph" w:customStyle="1" w:styleId="ListParagraph-wk">
    <w:name w:val="List Paragraph-wk"/>
    <w:qFormat/>
    <w:pPr>
      <w:keepNext w:val="0"/>
      <w:spacing w:before="0" w:after="0" w:line="240" w:lineRule="auto"/>
      <w:ind w:left="720" w:firstLine="0"/>
      <w:jc w:val="left"/>
    </w:pPr>
    <w:rPr>
      <w:rFonts w:ascii="Arial" w:eastAsia="Arial" w:hAnsi="Arial" w:cs="Arial"/>
      <w:b w:val="0"/>
      <w:i w:val="0"/>
      <w:color w:val="000000"/>
      <w:spacing w:val="0"/>
      <w:sz w:val="22"/>
    </w:rPr>
  </w:style>
  <w:style w:type="paragraph" w:customStyle="1" w:styleId="Prrafodelista1">
    <w:name w:val="Párrafo de lista1"/>
    <w:qFormat/>
    <w:pPr>
      <w:keepNext w:val="0"/>
      <w:spacing w:before="0" w:after="0" w:line="240" w:lineRule="auto"/>
      <w:ind w:left="720" w:firstLine="0"/>
      <w:jc w:val="left"/>
    </w:pPr>
    <w:rPr>
      <w:rFonts w:ascii="Arial" w:eastAsia="Arial" w:hAnsi="Arial" w:cs="Arial"/>
      <w:b w:val="0"/>
      <w:i w:val="0"/>
      <w:color w:val="000000"/>
      <w:spacing w:val="0"/>
      <w:sz w:val="22"/>
    </w:rPr>
  </w:style>
  <w:style w:type="paragraph" w:customStyle="1" w:styleId="TextePrinc">
    <w:name w:val="TextePrinc"/>
    <w:qFormat/>
    <w:pPr>
      <w:keepNext w:val="0"/>
      <w:spacing w:before="0" w:after="0" w:line="240" w:lineRule="auto"/>
      <w:ind w:left="0" w:firstLine="0"/>
      <w:jc w:val="left"/>
    </w:pPr>
    <w:rPr>
      <w:rFonts w:ascii="Arial" w:eastAsia="Arial" w:hAnsi="Arial" w:cs="Arial"/>
      <w:b w:val="0"/>
      <w:i w:val="0"/>
      <w:color w:val="000000"/>
      <w:spacing w:val="0"/>
      <w:sz w:val="18"/>
    </w:rPr>
  </w:style>
  <w:style w:type="paragraph" w:customStyle="1" w:styleId="pf0">
    <w:name w:val="pf0"/>
    <w:qFormat/>
    <w:pPr>
      <w:keepNext w:val="0"/>
      <w:spacing w:before="100" w:after="100" w:line="240" w:lineRule="auto"/>
      <w:ind w:left="0" w:firstLine="0"/>
      <w:jc w:val="left"/>
    </w:pPr>
    <w:rPr>
      <w:rFonts w:ascii="Times New Roman" w:eastAsia="Times New Roman" w:hAnsi="Times New Roman" w:cs="Times New Roman"/>
      <w:b w:val="0"/>
      <w:i w:val="0"/>
      <w:color w:val="000000"/>
      <w:spacing w:val="0"/>
      <w:sz w:val="24"/>
    </w:rPr>
  </w:style>
  <w:style w:type="paragraph" w:styleId="TOC1">
    <w:name w:val="toc 1"/>
    <w:basedOn w:val="Normal"/>
    <w:next w:val="Normal"/>
    <w:autoRedefine/>
    <w:uiPriority w:val="39"/>
    <w:rsid w:val="000F3DF7"/>
    <w:pPr>
      <w:spacing w:after="100"/>
    </w:pPr>
  </w:style>
  <w:style w:type="paragraph" w:customStyle="1" w:styleId="TOC1-wk">
    <w:name w:val="TOC 1-wk"/>
    <w:qFormat/>
    <w:pPr>
      <w:spacing w:line="288" w:lineRule="auto"/>
      <w:ind w:left="426" w:hanging="426"/>
      <w:jc w:val="left"/>
    </w:pPr>
    <w:rPr>
      <w:rFonts w:ascii="Calibri" w:eastAsia="Calibri" w:hAnsi="Calibri" w:cs="Calibri"/>
      <w:b w:val="0"/>
      <w:i w:val="0"/>
      <w:color w:val="000000"/>
      <w:spacing w:val="0"/>
      <w:sz w:val="20"/>
    </w:rPr>
  </w:style>
  <w:style w:type="paragraph" w:styleId="TOC2">
    <w:name w:val="toc 2"/>
    <w:basedOn w:val="Normal"/>
    <w:next w:val="Normal"/>
    <w:autoRedefine/>
    <w:uiPriority w:val="39"/>
    <w:rsid w:val="000F3DF7"/>
    <w:pPr>
      <w:spacing w:after="100"/>
      <w:ind w:left="220"/>
    </w:pPr>
  </w:style>
  <w:style w:type="paragraph" w:customStyle="1" w:styleId="TOC2-wk">
    <w:name w:val="TOC 2-wk"/>
    <w:qFormat/>
    <w:pPr>
      <w:ind w:left="567" w:hanging="567"/>
      <w:jc w:val="left"/>
    </w:pPr>
    <w:rPr>
      <w:rFonts w:ascii="Calibri" w:eastAsia="Calibri" w:hAnsi="Calibri" w:cs="Calibri"/>
      <w:b w:val="0"/>
      <w:i w:val="0"/>
      <w:color w:val="000000"/>
      <w:spacing w:val="0"/>
      <w:sz w:val="20"/>
    </w:rPr>
  </w:style>
  <w:style w:type="paragraph" w:customStyle="1" w:styleId="TOC1-wk-1">
    <w:name w:val="TOC 1-wk-1"/>
    <w:qFormat/>
    <w:pPr>
      <w:spacing w:line="288" w:lineRule="auto"/>
      <w:ind w:left="426" w:hanging="426"/>
      <w:jc w:val="left"/>
    </w:pPr>
    <w:rPr>
      <w:rFonts w:ascii="Calibri" w:eastAsia="Calibri" w:hAnsi="Calibri" w:cs="Calibri"/>
      <w:b w:val="0"/>
      <w:i w:val="0"/>
      <w:color w:val="000000"/>
      <w:spacing w:val="0"/>
      <w:sz w:val="20"/>
    </w:rPr>
  </w:style>
  <w:style w:type="paragraph" w:styleId="TOC6">
    <w:name w:val="toc 6"/>
    <w:basedOn w:val="Normal"/>
    <w:next w:val="Normal"/>
    <w:autoRedefine/>
    <w:uiPriority w:val="39"/>
    <w:rsid w:val="000F3DF7"/>
    <w:pPr>
      <w:spacing w:after="100"/>
      <w:ind w:left="1100"/>
    </w:pPr>
  </w:style>
  <w:style w:type="paragraph" w:customStyle="1" w:styleId="TOC6-wk">
    <w:name w:val="TOC 6-wk"/>
    <w:qFormat/>
    <w:pPr>
      <w:ind w:left="1100" w:firstLine="0"/>
      <w:jc w:val="left"/>
    </w:pPr>
    <w:rPr>
      <w:rFonts w:ascii="Calibri" w:eastAsia="Calibri" w:hAnsi="Calibri" w:cs="Calibri"/>
      <w:b w:val="0"/>
      <w:i w:val="0"/>
      <w:color w:val="000000"/>
      <w:spacing w:val="0"/>
      <w:sz w:val="20"/>
    </w:rPr>
  </w:style>
  <w:style w:type="paragraph" w:styleId="TOC4">
    <w:name w:val="toc 4"/>
    <w:basedOn w:val="Normal"/>
    <w:next w:val="Normal"/>
    <w:autoRedefine/>
    <w:uiPriority w:val="39"/>
    <w:rsid w:val="000F3DF7"/>
    <w:pPr>
      <w:spacing w:after="100"/>
      <w:ind w:left="660"/>
    </w:pPr>
  </w:style>
  <w:style w:type="paragraph" w:customStyle="1" w:styleId="TOC4-wk">
    <w:name w:val="TOC 4-wk"/>
    <w:qFormat/>
    <w:pPr>
      <w:ind w:left="660" w:firstLine="0"/>
      <w:jc w:val="left"/>
    </w:pPr>
    <w:rPr>
      <w:rFonts w:ascii="Calibri" w:eastAsia="Calibri" w:hAnsi="Calibri" w:cs="Calibri"/>
      <w:b w:val="0"/>
      <w:i w:val="0"/>
      <w:color w:val="000000"/>
      <w:spacing w:val="0"/>
      <w:sz w:val="20"/>
    </w:rPr>
  </w:style>
  <w:style w:type="paragraph" w:styleId="TOC8">
    <w:name w:val="toc 8"/>
    <w:basedOn w:val="Normal"/>
    <w:next w:val="Normal"/>
    <w:autoRedefine/>
    <w:uiPriority w:val="39"/>
    <w:rsid w:val="000F3DF7"/>
    <w:pPr>
      <w:spacing w:after="100"/>
      <w:ind w:left="1540"/>
    </w:pPr>
  </w:style>
  <w:style w:type="paragraph" w:customStyle="1" w:styleId="TOC8-wk">
    <w:name w:val="TOC 8-wk"/>
    <w:qFormat/>
    <w:pPr>
      <w:ind w:left="1540" w:firstLine="0"/>
      <w:jc w:val="left"/>
    </w:pPr>
    <w:rPr>
      <w:rFonts w:ascii="Calibri" w:eastAsia="Calibri" w:hAnsi="Calibri" w:cs="Calibri"/>
      <w:b w:val="0"/>
      <w:i w:val="0"/>
      <w:color w:val="000000"/>
      <w:spacing w:val="0"/>
      <w:sz w:val="20"/>
    </w:rPr>
  </w:style>
  <w:style w:type="paragraph" w:styleId="TOC7">
    <w:name w:val="toc 7"/>
    <w:basedOn w:val="Normal"/>
    <w:next w:val="Normal"/>
    <w:autoRedefine/>
    <w:uiPriority w:val="39"/>
    <w:rsid w:val="000F3DF7"/>
    <w:pPr>
      <w:spacing w:after="100"/>
      <w:ind w:left="1320"/>
    </w:pPr>
  </w:style>
  <w:style w:type="paragraph" w:customStyle="1" w:styleId="TOC7-wk">
    <w:name w:val="TOC 7-wk"/>
    <w:qFormat/>
    <w:pPr>
      <w:ind w:left="1320" w:firstLine="0"/>
      <w:jc w:val="left"/>
    </w:pPr>
    <w:rPr>
      <w:rFonts w:ascii="Calibri" w:eastAsia="Calibri" w:hAnsi="Calibri" w:cs="Calibri"/>
      <w:b w:val="0"/>
      <w:i w:val="0"/>
      <w:color w:val="000000"/>
      <w:spacing w:val="0"/>
      <w:sz w:val="20"/>
    </w:rPr>
  </w:style>
  <w:style w:type="paragraph" w:styleId="TOC5">
    <w:name w:val="toc 5"/>
    <w:basedOn w:val="Normal"/>
    <w:next w:val="Normal"/>
    <w:autoRedefine/>
    <w:uiPriority w:val="39"/>
    <w:rsid w:val="000F3DF7"/>
    <w:pPr>
      <w:spacing w:after="100"/>
      <w:ind w:left="880"/>
    </w:pPr>
  </w:style>
  <w:style w:type="paragraph" w:customStyle="1" w:styleId="TOC5-wk">
    <w:name w:val="TOC 5-wk"/>
    <w:qFormat/>
    <w:pPr>
      <w:ind w:left="880" w:firstLine="0"/>
      <w:jc w:val="left"/>
    </w:pPr>
    <w:rPr>
      <w:rFonts w:ascii="Calibri" w:eastAsia="Calibri" w:hAnsi="Calibri" w:cs="Calibri"/>
      <w:b w:val="0"/>
      <w:i w:val="0"/>
      <w:color w:val="000000"/>
      <w:spacing w:val="0"/>
      <w:sz w:val="20"/>
    </w:rPr>
  </w:style>
  <w:style w:type="paragraph" w:styleId="TOC9">
    <w:name w:val="toc 9"/>
    <w:basedOn w:val="Normal"/>
    <w:next w:val="Normal"/>
    <w:autoRedefine/>
    <w:uiPriority w:val="39"/>
    <w:rsid w:val="000F3DF7"/>
    <w:pPr>
      <w:spacing w:after="100"/>
      <w:ind w:left="1760"/>
    </w:pPr>
  </w:style>
  <w:style w:type="paragraph" w:customStyle="1" w:styleId="TOC9-wk">
    <w:name w:val="TOC 9-wk"/>
    <w:qFormat/>
    <w:pPr>
      <w:ind w:left="1760" w:firstLine="0"/>
      <w:jc w:val="left"/>
    </w:pPr>
    <w:rPr>
      <w:rFonts w:ascii="Calibri" w:eastAsia="Calibri" w:hAnsi="Calibri" w:cs="Calibri"/>
      <w:b w:val="0"/>
      <w:i w:val="0"/>
      <w:color w:val="000000"/>
      <w:spacing w:val="0"/>
      <w:sz w:val="20"/>
    </w:rPr>
  </w:style>
  <w:style w:type="paragraph" w:styleId="TOC3">
    <w:name w:val="toc 3"/>
    <w:basedOn w:val="Normal"/>
    <w:next w:val="Normal"/>
    <w:autoRedefine/>
    <w:uiPriority w:val="39"/>
    <w:rsid w:val="000F3DF7"/>
    <w:pPr>
      <w:spacing w:after="100"/>
      <w:ind w:left="440"/>
    </w:pPr>
  </w:style>
  <w:style w:type="paragraph" w:customStyle="1" w:styleId="TOC3-wk">
    <w:name w:val="TOC 3-wk"/>
    <w:qFormat/>
    <w:pPr>
      <w:ind w:left="0" w:firstLine="0"/>
      <w:jc w:val="both"/>
    </w:pPr>
    <w:rPr>
      <w:rFonts w:ascii="Calibri" w:eastAsia="Calibri" w:hAnsi="Calibri" w:cs="Calibri"/>
      <w:b w:val="0"/>
      <w:i w:val="0"/>
      <w:color w:val="000000"/>
      <w:spacing w:val="0"/>
      <w:sz w:val="20"/>
    </w:rPr>
  </w:style>
  <w:style w:type="table" w:customStyle="1" w:styleId="TableNormal-W">
    <w:name w:val="Table Normal-W"/>
    <w:pPr>
      <w:spacing w:before="0" w:after="0"/>
      <w:ind w:left="0" w:firstLine="0"/>
      <w:jc w:val="left"/>
    </w:pPr>
    <w:rPr>
      <w:rFonts w:ascii="Calibri" w:eastAsia="Calibri" w:hAnsi="Calibri" w:cs="Calibri"/>
      <w:b w:val="0"/>
      <w:i w:val="0"/>
      <w:color w:val="000000"/>
      <w:spacing w:val="0"/>
      <w:sz w:val="20"/>
    </w:rPr>
    <w:tblPr/>
  </w:style>
  <w:style w:type="character" w:styleId="LineNumber">
    <w:name w:val="line number"/>
    <w:basedOn w:val="DefaultParagraphFont"/>
    <w:uiPriority w:val="99"/>
    <w:rsid w:val="0041372D"/>
    <w:rPr>
      <w:rFonts w:ascii="Calibri" w:eastAsia="Calibri" w:hAnsi="Calibri" w:cs="Calibri"/>
      <w:sz w:val="20"/>
    </w:rPr>
  </w:style>
  <w:style w:type="character" w:styleId="FootnoteReference">
    <w:name w:val="footnote reference"/>
    <w:basedOn w:val="DefaultParagraphFont"/>
    <w:rsid w:val="00805BCE"/>
    <w:rPr>
      <w:vertAlign w:val="superscript"/>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footer" Target="footer3.xml" /><Relationship Id="rId11" Type="http://schemas.openxmlformats.org/officeDocument/2006/relationships/image" Target="media/image2.png" /><Relationship Id="rId12" Type="http://schemas.openxmlformats.org/officeDocument/2006/relationships/header" Target="header4.xml" /><Relationship Id="rId13" Type="http://schemas.openxmlformats.org/officeDocument/2006/relationships/footer" Target="footer4.xml" /><Relationship Id="rId14" Type="http://schemas.openxmlformats.org/officeDocument/2006/relationships/header" Target="header5.xml" /><Relationship Id="rId15" Type="http://schemas.openxmlformats.org/officeDocument/2006/relationships/footer" Target="footer5.xml" /><Relationship Id="rId16" Type="http://schemas.openxmlformats.org/officeDocument/2006/relationships/header" Target="header6.xml" /><Relationship Id="rId17" Type="http://schemas.openxmlformats.org/officeDocument/2006/relationships/footer" Target="footer6.xml" /><Relationship Id="rId18" Type="http://schemas.openxmlformats.org/officeDocument/2006/relationships/footer" Target="footer7.xml" /><Relationship Id="rId19" Type="http://schemas.openxmlformats.org/officeDocument/2006/relationships/header" Target="header7.xml" /><Relationship Id="rId2" Type="http://schemas.openxmlformats.org/officeDocument/2006/relationships/settings" Target="settings.xml" /><Relationship Id="rId20" Type="http://schemas.openxmlformats.org/officeDocument/2006/relationships/footer" Target="footer8.xml" /><Relationship Id="rId21" Type="http://schemas.openxmlformats.org/officeDocument/2006/relationships/header" Target="header8.xml" /><Relationship Id="rId22" Type="http://schemas.openxmlformats.org/officeDocument/2006/relationships/footer" Target="footer9.xml" /><Relationship Id="rId23" Type="http://schemas.openxmlformats.org/officeDocument/2006/relationships/header" Target="header9.xml" /><Relationship Id="rId24" Type="http://schemas.openxmlformats.org/officeDocument/2006/relationships/footer" Target="footer10.xml" /><Relationship Id="rId25" Type="http://schemas.openxmlformats.org/officeDocument/2006/relationships/header" Target="header10.xml" /><Relationship Id="rId26" Type="http://schemas.openxmlformats.org/officeDocument/2006/relationships/footer" Target="footer11.xml" /><Relationship Id="rId27" Type="http://schemas.openxmlformats.org/officeDocument/2006/relationships/header" Target="header11.xml" /><Relationship Id="rId28" Type="http://schemas.openxmlformats.org/officeDocument/2006/relationships/footer" Target="footer12.xml" /><Relationship Id="rId29" Type="http://schemas.openxmlformats.org/officeDocument/2006/relationships/header" Target="header12.xml" /><Relationship Id="rId3" Type="http://schemas.openxmlformats.org/officeDocument/2006/relationships/webSettings" Target="webSettings.xml" /><Relationship Id="rId30" Type="http://schemas.openxmlformats.org/officeDocument/2006/relationships/footer" Target="footer13.xml" /><Relationship Id="rId31" Type="http://schemas.openxmlformats.org/officeDocument/2006/relationships/header" Target="header13.xml" /><Relationship Id="rId32" Type="http://schemas.openxmlformats.org/officeDocument/2006/relationships/header" Target="header14.xml" /><Relationship Id="rId33" Type="http://schemas.openxmlformats.org/officeDocument/2006/relationships/footer" Target="footer14.xml" /><Relationship Id="rId34" Type="http://schemas.openxmlformats.org/officeDocument/2006/relationships/header" Target="header15.xml" /><Relationship Id="rId35" Type="http://schemas.openxmlformats.org/officeDocument/2006/relationships/footer" Target="footer15.xml" /><Relationship Id="rId36" Type="http://schemas.openxmlformats.org/officeDocument/2006/relationships/header" Target="header16.xml" /><Relationship Id="rId37" Type="http://schemas.openxmlformats.org/officeDocument/2006/relationships/footer" Target="footer16.xml" /><Relationship Id="rId38" Type="http://schemas.openxmlformats.org/officeDocument/2006/relationships/header" Target="header17.xml" /><Relationship Id="rId39" Type="http://schemas.openxmlformats.org/officeDocument/2006/relationships/footer" Target="footer17.xml" /><Relationship Id="rId4" Type="http://schemas.openxmlformats.org/officeDocument/2006/relationships/fontTable" Target="fontTable.xml" /><Relationship Id="rId40" Type="http://schemas.openxmlformats.org/officeDocument/2006/relationships/header" Target="header18.xml" /><Relationship Id="rId41" Type="http://schemas.openxmlformats.org/officeDocument/2006/relationships/footer" Target="footer18.xml" /><Relationship Id="rId42" Type="http://schemas.openxmlformats.org/officeDocument/2006/relationships/header" Target="header19.xml" /><Relationship Id="rId43" Type="http://schemas.openxmlformats.org/officeDocument/2006/relationships/footer" Target="footer19.xml" /><Relationship Id="rId44" Type="http://schemas.openxmlformats.org/officeDocument/2006/relationships/header" Target="header20.xml" /><Relationship Id="rId45" Type="http://schemas.openxmlformats.org/officeDocument/2006/relationships/footer" Target="footer20.xml" /><Relationship Id="rId46" Type="http://schemas.openxmlformats.org/officeDocument/2006/relationships/header" Target="header21.xml" /><Relationship Id="rId47" Type="http://schemas.openxmlformats.org/officeDocument/2006/relationships/footer" Target="footer21.xml" /><Relationship Id="rId48" Type="http://schemas.openxmlformats.org/officeDocument/2006/relationships/header" Target="header22.xml" /><Relationship Id="rId49" Type="http://schemas.openxmlformats.org/officeDocument/2006/relationships/footer" Target="footer22.xml" /><Relationship Id="rId5" Type="http://schemas.openxmlformats.org/officeDocument/2006/relationships/header" Target="header1.xml" /><Relationship Id="rId50" Type="http://schemas.openxmlformats.org/officeDocument/2006/relationships/header" Target="header23.xml" /><Relationship Id="rId51" Type="http://schemas.openxmlformats.org/officeDocument/2006/relationships/footer" Target="footer23.xml" /><Relationship Id="rId52" Type="http://schemas.openxmlformats.org/officeDocument/2006/relationships/footer" Target="footer24.xml" /><Relationship Id="rId53" Type="http://schemas.openxmlformats.org/officeDocument/2006/relationships/header" Target="header24.xml" /><Relationship Id="rId54" Type="http://schemas.openxmlformats.org/officeDocument/2006/relationships/footer" Target="footer25.xml" /><Relationship Id="rId55" Type="http://schemas.openxmlformats.org/officeDocument/2006/relationships/header" Target="header25.xml" /><Relationship Id="rId56" Type="http://schemas.openxmlformats.org/officeDocument/2006/relationships/footer" Target="footer26.xml" /><Relationship Id="rId57" Type="http://schemas.openxmlformats.org/officeDocument/2006/relationships/header" Target="header26.xml" /><Relationship Id="rId58" Type="http://schemas.openxmlformats.org/officeDocument/2006/relationships/footer" Target="footer27.xml" /><Relationship Id="rId59" Type="http://schemas.openxmlformats.org/officeDocument/2006/relationships/header" Target="header27.xml" /><Relationship Id="rId6" Type="http://schemas.openxmlformats.org/officeDocument/2006/relationships/footer" Target="footer1.xml" /><Relationship Id="rId60" Type="http://schemas.openxmlformats.org/officeDocument/2006/relationships/footer" Target="footer28.xml" /><Relationship Id="rId61" Type="http://schemas.openxmlformats.org/officeDocument/2006/relationships/theme" Target="theme/theme1.xml" /><Relationship Id="rId62" Type="http://schemas.openxmlformats.org/officeDocument/2006/relationships/numbering" Target="numbering.xml" /><Relationship Id="rId63" Type="http://schemas.openxmlformats.org/officeDocument/2006/relationships/styles" Target="styles.xml" /><Relationship Id="rId7" Type="http://schemas.openxmlformats.org/officeDocument/2006/relationships/header" Target="header2.xml" /><Relationship Id="rId8" Type="http://schemas.openxmlformats.org/officeDocument/2006/relationships/footer" Target="footer2.xml" /><Relationship Id="rId9" Type="http://schemas.openxmlformats.org/officeDocument/2006/relationships/header" Target="header3.xml" /></Relationships>
</file>

<file path=word/_rels/footer4.xml.rels><?xml version="1.0" encoding="utf-8" standalone="yes"?><Relationships xmlns="http://schemas.openxmlformats.org/package/2006/relationships"><Relationship Id="rId1" Type="http://schemas.openxmlformats.org/officeDocument/2006/relationships/image" Target="media/image2.png" /></Relationships>
</file>

<file path=word/_rels/footer5.xml.rels><?xml version="1.0" encoding="utf-8" standalone="yes"?><Relationships xmlns="http://schemas.openxmlformats.org/package/2006/relationships"><Relationship Id="rId1" Type="http://schemas.openxmlformats.org/officeDocument/2006/relationships/image" Target="media/image2.png" /></Relationships>
</file>

<file path=word/_rels/footer6.xml.rels><?xml version="1.0" encoding="utf-8" standalone="yes"?><Relationships xmlns="http://schemas.openxmlformats.org/package/2006/relationships"><Relationship Id="rId1" Type="http://schemas.openxmlformats.org/officeDocument/2006/relationships/image" Target="media/image2.png" /></Relationships>
</file>

<file path=word/_rels/footer7.xml.rels><?xml version="1.0" encoding="utf-8" standalone="yes"?><Relationships xmlns="http://schemas.openxmlformats.org/package/2006/relationships"><Relationship Id="rId1" Type="http://schemas.openxmlformats.org/officeDocument/2006/relationships/image" Target="media/image2.png" /></Relationships>
</file>

<file path=word/_rels/footer8.xml.rels><?xml version="1.0" encoding="utf-8" standalone="yes"?><Relationships xmlns="http://schemas.openxmlformats.org/package/2006/relationships"><Relationship Id="rId1" Type="http://schemas.openxmlformats.org/officeDocument/2006/relationships/image" Target="media/image2.png" /></Relationships>
</file>

<file path=word/_rels/footer9.xml.rels><?xml version="1.0" encoding="utf-8" standalone="yes"?><Relationships xmlns="http://schemas.openxmlformats.org/package/2006/relationships"><Relationship Id="rId1" Type="http://schemas.openxmlformats.org/officeDocument/2006/relationships/image" Target="media/image2.png" /></Relationships>
</file>

<file path=word/_rels/footer10.xml.rels><?xml version="1.0" encoding="utf-8" standalone="yes"?><Relationships xmlns="http://schemas.openxmlformats.org/package/2006/relationships"><Relationship Id="rId1" Type="http://schemas.openxmlformats.org/officeDocument/2006/relationships/image" Target="media/image2.png" /></Relationships>
</file>

<file path=word/_rels/footer11.xml.rels><?xml version="1.0" encoding="utf-8" standalone="yes"?><Relationships xmlns="http://schemas.openxmlformats.org/package/2006/relationships"><Relationship Id="rId1" Type="http://schemas.openxmlformats.org/officeDocument/2006/relationships/image" Target="media/image2.png" /></Relationships>
</file>

<file path=word/_rels/footer12.xml.rels><?xml version="1.0" encoding="utf-8" standalone="yes"?><Relationships xmlns="http://schemas.openxmlformats.org/package/2006/relationships"><Relationship Id="rId1" Type="http://schemas.openxmlformats.org/officeDocument/2006/relationships/image" Target="media/image2.png" /></Relationships>
</file>

<file path=word/_rels/footer13.xml.rels><?xml version="1.0" encoding="utf-8" standalone="yes"?><Relationships xmlns="http://schemas.openxmlformats.org/package/2006/relationships"><Relationship Id="rId1" Type="http://schemas.openxmlformats.org/officeDocument/2006/relationships/image" Target="media/image2.png" /></Relationships>
</file>

<file path=word/_rels/footer14.xml.rels><?xml version="1.0" encoding="utf-8" standalone="yes"?><Relationships xmlns="http://schemas.openxmlformats.org/package/2006/relationships"><Relationship Id="rId1" Type="http://schemas.openxmlformats.org/officeDocument/2006/relationships/image" Target="media/image2.png" /></Relationships>
</file>

<file path=word/_rels/footer15.xml.rels><?xml version="1.0" encoding="utf-8" standalone="yes"?><Relationships xmlns="http://schemas.openxmlformats.org/package/2006/relationships"><Relationship Id="rId1" Type="http://schemas.openxmlformats.org/officeDocument/2006/relationships/image" Target="media/image2.png" /></Relationships>
</file>

<file path=word/_rels/footer16.xml.rels><?xml version="1.0" encoding="utf-8" standalone="yes"?><Relationships xmlns="http://schemas.openxmlformats.org/package/2006/relationships"><Relationship Id="rId1" Type="http://schemas.openxmlformats.org/officeDocument/2006/relationships/image" Target="media/image2.png" /></Relationships>
</file>

<file path=word/_rels/footer17.xml.rels><?xml version="1.0" encoding="utf-8" standalone="yes"?><Relationships xmlns="http://schemas.openxmlformats.org/package/2006/relationships"><Relationship Id="rId1" Type="http://schemas.openxmlformats.org/officeDocument/2006/relationships/image" Target="media/image2.png" /></Relationships>
</file>

<file path=word/_rels/footer18.xml.rels><?xml version="1.0" encoding="utf-8" standalone="yes"?><Relationships xmlns="http://schemas.openxmlformats.org/package/2006/relationships"><Relationship Id="rId1" Type="http://schemas.openxmlformats.org/officeDocument/2006/relationships/image" Target="media/image2.png" /></Relationships>
</file>

<file path=word/_rels/footer19.xml.rels><?xml version="1.0" encoding="utf-8" standalone="yes"?><Relationships xmlns="http://schemas.openxmlformats.org/package/2006/relationships"><Relationship Id="rId1" Type="http://schemas.openxmlformats.org/officeDocument/2006/relationships/image" Target="media/image2.png" /></Relationships>
</file>

<file path=word/_rels/footer20.xml.rels><?xml version="1.0" encoding="utf-8" standalone="yes"?><Relationships xmlns="http://schemas.openxmlformats.org/package/2006/relationships"><Relationship Id="rId1" Type="http://schemas.openxmlformats.org/officeDocument/2006/relationships/image" Target="media/image2.png" /></Relationships>
</file>

<file path=word/_rels/footer21.xml.rels><?xml version="1.0" encoding="utf-8" standalone="yes"?><Relationships xmlns="http://schemas.openxmlformats.org/package/2006/relationships"><Relationship Id="rId1" Type="http://schemas.openxmlformats.org/officeDocument/2006/relationships/image" Target="media/image2.png" /></Relationships>
</file>

<file path=word/_rels/footer22.xml.rels><?xml version="1.0" encoding="utf-8" standalone="yes"?><Relationships xmlns="http://schemas.openxmlformats.org/package/2006/relationships"><Relationship Id="rId1" Type="http://schemas.openxmlformats.org/officeDocument/2006/relationships/image" Target="media/image2.png" /></Relationships>
</file>

<file path=word/_rels/footer23.xml.rels><?xml version="1.0" encoding="utf-8" standalone="yes"?><Relationships xmlns="http://schemas.openxmlformats.org/package/2006/relationships"><Relationship Id="rId1" Type="http://schemas.openxmlformats.org/officeDocument/2006/relationships/image" Target="media/image2.png" /></Relationships>
</file>

<file path=word/_rels/footer24.xml.rels><?xml version="1.0" encoding="utf-8" standalone="yes"?><Relationships xmlns="http://schemas.openxmlformats.org/package/2006/relationships"><Relationship Id="rId1" Type="http://schemas.openxmlformats.org/officeDocument/2006/relationships/image" Target="media/image2.png" /></Relationships>
</file>

<file path=word/_rels/footer25.xml.rels><?xml version="1.0" encoding="utf-8" standalone="yes"?><Relationships xmlns="http://schemas.openxmlformats.org/package/2006/relationships"><Relationship Id="rId1" Type="http://schemas.openxmlformats.org/officeDocument/2006/relationships/image" Target="media/image2.png" /></Relationships>
</file>

<file path=word/_rels/footer26.xml.rels><?xml version="1.0" encoding="utf-8" standalone="yes"?><Relationships xmlns="http://schemas.openxmlformats.org/package/2006/relationships"><Relationship Id="rId1" Type="http://schemas.openxmlformats.org/officeDocument/2006/relationships/image" Target="media/image2.png" /></Relationships>
</file>

<file path=word/_rels/footer27.xml.rels><?xml version="1.0" encoding="utf-8" standalone="yes"?><Relationships xmlns="http://schemas.openxmlformats.org/package/2006/relationships"><Relationship Id="rId1" Type="http://schemas.openxmlformats.org/officeDocument/2006/relationships/image" Target="media/image2.png" /></Relationships>
</file>

<file path=word/_rels/footer28.xml.rels><?xml version="1.0" encoding="utf-8" standalone="yes"?><Relationships xmlns="http://schemas.openxmlformats.org/package/2006/relationships"><Relationship Id="rId1" Type="http://schemas.openxmlformats.org/officeDocument/2006/relationships/image" Target="media/image2.png" /></Relationships>
</file>

<file path=word/_rels/header1.xml.rels><?xml version="1.0" encoding="utf-8" standalone="yes"?><Relationships xmlns="http://schemas.openxmlformats.org/package/2006/relationships"><Relationship Id="rId1" Type="http://schemas.openxmlformats.org/officeDocument/2006/relationships/image" Target="media/image1.png" /></Relationships>
</file>

<file path=word/_rels/header2.xml.rels><?xml version="1.0" encoding="utf-8" standalone="yes"?><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119</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E205 (ESP) - EE.FF 06-2026 - CGE Transmisión S.A.</dc:title>
  <cp:revision>1</cp:revision>
</cp:coreProperties>
</file>