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tabs>
          <w:tab w:val="center" w:pos="3540"/>
          <w:tab w:val="right" w:pos="8500"/>
        </w:tabs>
        <w:spacing w:before="0" w:after="0" w:line="288" w:lineRule="auto"/>
        <w:ind w:left="0" w:right="0" w:firstLine="283"/>
        <w:jc w:val="center"/>
        <w:outlineLvl w:val="9"/>
        <w:rPr>
          <w:rFonts w:ascii="Calibri" w:eastAsia="Calibri" w:hAnsi="Calibri" w:cs="Calibri"/>
          <w:b w:val="0"/>
          <w:i w:val="0"/>
          <w:color w:val="000000"/>
          <w:sz w:val="28"/>
          <w:u w:val="none"/>
        </w:rPr>
      </w:pPr>
      <w:bookmarkStart w:id="0" w:name="Section1"/>
      <w:bookmarkEnd w:id="0"/>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 w:val="center" w:pos="3540"/>
          <w:tab w:val="right" w:pos="8500"/>
        </w:tabs>
        <w:spacing w:before="0" w:after="0" w:line="288" w:lineRule="auto"/>
        <w:ind w:left="0" w:right="0" w:firstLine="283"/>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tabs>
          <w:tab w:val="left" w:pos="1340"/>
        </w:tabs>
        <w:spacing w:before="0" w:after="0" w:line="432" w:lineRule="exact"/>
        <w:ind w:left="0" w:right="0" w:firstLine="0"/>
        <w:jc w:val="center"/>
        <w:outlineLvl w:val="0"/>
        <w:rPr>
          <w:rFonts w:ascii="Calibri" w:eastAsia="Calibri" w:hAnsi="Calibri" w:cs="Calibri"/>
          <w:b/>
          <w:i w:val="0"/>
          <w:color w:val="000000"/>
          <w:sz w:val="36"/>
          <w:u w:val="none"/>
        </w:rPr>
      </w:pPr>
      <w:r>
        <w:rPr>
          <w:rFonts w:ascii="Calibri" w:eastAsia="Calibri" w:hAnsi="Calibri" w:cs="Calibri"/>
          <w:b/>
          <w:i w:val="0"/>
          <w:color w:val="000000"/>
          <w:sz w:val="36"/>
          <w:u w:val="none"/>
        </w:rPr>
        <w:t>EMPRESA ELÉCTRICA DE MAGALLANES S.A.</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36"/>
          <w:u w:val="none"/>
        </w:rPr>
        <w:t>ESTADOS FINANCIEROS INTERMEDIOS</w:t>
      </w:r>
    </w:p>
    <w:p w:rsidR="00A77B3E">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(Expresado en miles de pesos chilenos)</w:t>
      </w:r>
    </w:p>
    <w:p w:rsidR="00A77B3E">
      <w:pPr>
        <w:pStyle w:val="Normal-wk"/>
        <w:keepNext w:val="0"/>
        <w:keepLines/>
        <w:pageBreakBefore w:val="0"/>
        <w:widowControl w:val="0"/>
        <w:numPr>
          <w:ilvl w:val="0"/>
          <w:numId w:val="0"/>
        </w:numPr>
        <w:tabs>
          <w:tab w:val="left" w:pos="1340"/>
        </w:tabs>
        <w:spacing w:before="0" w:after="0" w:line="288" w:lineRule="exact"/>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Correspondiente a los períodos terminados al</w:t>
      </w: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3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3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36"/>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sectPr>
          <w:headerReference w:type="default" r:id="rId4"/>
          <w:footerReference w:type="default" r:id="rId5"/>
          <w:pgSz w:w="12240" w:h="15840"/>
          <w:pgMar w:top="1412" w:right="1134" w:bottom="1157" w:left="1134" w:header="560" w:footer="0" w:gutter="0"/>
          <w:cols w:space="708"/>
          <w:docGrid w:linePitch="360"/>
        </w:sect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28"/>
          <w:u w:val="none"/>
        </w:rPr>
        <w:t>CONTENIDO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pStyle w:val="Normal-wk"/>
        <w:keepNext w:val="0"/>
        <w:keepLines/>
        <w:pageBreakBefore w:val="0"/>
        <w:widowControl w:val="0"/>
        <w:numPr>
          <w:ilvl w:val="0"/>
          <w:numId w:val="13"/>
        </w:numPr>
        <w:spacing w:before="0" w:after="0" w:line="288" w:lineRule="auto"/>
        <w:ind w:left="709"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ESTADOS FINANCIEROS INTERMEDIOS.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INTERMEDIO DE SITUACIÓN FINANCIERA CLASIFICADO.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Activos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Patrimonio</w:t>
      </w:r>
      <w:r>
        <w:rPr>
          <w:rFonts w:ascii="Calibri" w:eastAsia="Calibri" w:hAnsi="Calibri" w:cs="Calibri"/>
          <w:b w:val="0"/>
          <w:i w:val="0"/>
          <w:color w:val="000000"/>
          <w:sz w:val="20"/>
          <w:u w:val="none"/>
        </w:rPr>
        <w:t xml:space="preserve"> y pasivos.</w:t>
      </w: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INTERMEDIO DE RESULTADOS POR FUNCIÓN.</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INTERMEDIO DE RESULTADO INTEGRAL.</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INTERMEDIO DE CAMBIOS EN EL PATRIMONIO NETO.</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INTERMEDIO DE FLUJO DE EFECTIVO DIRECTO.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3"/>
        </w:numPr>
        <w:spacing w:before="0" w:after="0" w:line="288" w:lineRule="auto"/>
        <w:ind w:left="709"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NOTAS A LOS ESTADOS FINANCIEROS INTERMEDIOS.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6"/>
          <w:headerReference w:type="first" r:id="rId7"/>
          <w:footerReference w:type="first" r:id="rId8"/>
          <w:pgSz w:w="12240" w:h="15840"/>
          <w:pgMar w:top="1412" w:right="1134" w:bottom="1157" w:left="1134" w:header="692" w:footer="0"/>
          <w:cols w:space="708"/>
          <w:titlePg/>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EMPRESA ELÉCTRICA DE MAGALLANES S.A.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color w:val="000000"/>
          <w:sz w:val="20"/>
          <w:u w:val="none"/>
        </w:rPr>
        <w:t xml:space="preserve"> (no auditado) y </w:t>
      </w:r>
      <w:r>
        <w:rPr>
          <w:rFonts w:ascii="Calibri" w:eastAsia="Calibri" w:hAnsi="Calibri" w:cs="Calibri"/>
          <w:b/>
          <w:i w:val="0"/>
          <w:color w:val="000000"/>
          <w:sz w:val="20"/>
          <w:u w:val="none"/>
        </w:rPr>
        <w:t>31 de diciembre de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9"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470"/>
        <w:gridCol w:w="480"/>
        <w:gridCol w:w="1005"/>
        <w:gridCol w:w="1005"/>
      </w:tblGrid>
      <w:tr>
        <w:tblPrEx>
          <w:tblW w:w="9960" w:type="dxa"/>
          <w:tblInd w:w="0" w:type="dxa"/>
          <w:tblLayout w:type="fixed"/>
        </w:tblPrEx>
        <w:trPr>
          <w:cantSplit/>
          <w:trHeight w:hRule="exact" w:val="240"/>
        </w:trPr>
        <w:tc>
          <w:tcPr>
            <w:tcW w:w="74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47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477.266</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162.525</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15.737.335</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965.321</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4.452.597</w:t>
            </w:r>
          </w:p>
        </w:tc>
      </w:tr>
      <w:tr>
        <w:tblPrEx>
          <w:tblW w:w="9960" w:type="dxa"/>
          <w:tblInd w:w="0" w:type="dxa"/>
          <w:tblLayout w:type="fixed"/>
        </w:tblPrEx>
        <w:trPr>
          <w:cantSplit/>
          <w:trHeight w:hRule="exact" w:val="255"/>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700.362</w:t>
            </w:r>
          </w:p>
        </w:tc>
      </w:tr>
      <w:tr>
        <w:tblPrEx>
          <w:tblW w:w="9960" w:type="dxa"/>
          <w:tblInd w:w="0" w:type="dxa"/>
          <w:tblLayout w:type="fixed"/>
        </w:tblPrEx>
        <w:trPr>
          <w:cantSplit/>
          <w:trHeight w:hRule="exact" w:val="255"/>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22.495.406</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30.041.470</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168.045</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59.998.078</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 de inversión.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1.666.385</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707.140</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92.581.118</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115.076.524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EMPRESA ELÉCTRICA DE MAGALLANES S.A. </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color w:val="000000"/>
          <w:sz w:val="20"/>
          <w:u w:val="none"/>
        </w:rPr>
        <w:t xml:space="preserve"> (no auditado) y </w:t>
      </w:r>
      <w:r>
        <w:rPr>
          <w:rFonts w:ascii="Calibri" w:eastAsia="Calibri" w:hAnsi="Calibri" w:cs="Calibri"/>
          <w:b/>
          <w:i w:val="0"/>
          <w:color w:val="000000"/>
          <w:sz w:val="20"/>
          <w:u w:val="none"/>
        </w:rPr>
        <w:t>31 de diciembre de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9"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470"/>
        <w:gridCol w:w="480"/>
        <w:gridCol w:w="1005"/>
        <w:gridCol w:w="1005"/>
      </w:tblGrid>
      <w:tr>
        <w:tblPrEx>
          <w:tblW w:w="9960" w:type="dxa"/>
          <w:tblInd w:w="0" w:type="dxa"/>
          <w:tblLayout w:type="fixed"/>
        </w:tblPrEx>
        <w:trPr>
          <w:cantSplit/>
          <w:trHeight w:hRule="exact" w:val="240"/>
        </w:trPr>
        <w:tc>
          <w:tcPr>
            <w:tcW w:w="74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47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30.721.327</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148.149</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13.711.297</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188.846</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284.749</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347.339</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45.401.707</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2.200.000</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71.333</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4.160.660</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519.187</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13.425.610</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2.336.335</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22.713.125</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68.114.832</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15.664.524</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33.056.547</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Primas de emisión.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802</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(1.760.181)</w:t>
            </w: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46.961.692</w:t>
            </w:r>
          </w:p>
        </w:tc>
      </w:tr>
      <w:tr>
        <w:tblPrEx>
          <w:tblW w:w="9960" w:type="dxa"/>
          <w:tblInd w:w="0" w:type="dxa"/>
          <w:tblLayout w:type="fixed"/>
        </w:tblPrEx>
        <w:trPr>
          <w:cantSplit/>
          <w:trHeight w:hRule="exact" w:val="60"/>
        </w:trPr>
        <w:tc>
          <w:tcPr>
            <w:tcW w:w="7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115.076.524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EMPRESA ELÉCTRICA DE MAGALLANES S.A. </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RESULTADOS POR FUNCIÓN</w:t>
      </w:r>
    </w:p>
    <w:p>
      <w:pPr>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sz w:val="20"/>
        </w:rPr>
        <w:t>Por los períodos de</w:t>
      </w:r>
      <w:r>
        <w:rPr>
          <w:rFonts w:ascii="Calibri" w:eastAsia="Calibri" w:hAnsi="Calibri" w:cs="Calibri"/>
          <w:b/>
          <w:i w:val="0"/>
          <w:sz w:val="20"/>
        </w:rPr>
        <w:t xml:space="preserve"> seis y</w:t>
      </w:r>
      <w:r>
        <w:rPr>
          <w:rFonts w:ascii="Calibri" w:eastAsia="Calibri" w:hAnsi="Calibri" w:cs="Calibri"/>
          <w:b/>
          <w:i w:val="0"/>
          <w:sz w:val="20"/>
        </w:rPr>
        <w:t xml:space="preserve"> tres meses terminados al</w:t>
      </w:r>
      <w:r>
        <w:rPr>
          <w:rFonts w:ascii="Calibri" w:eastAsia="Calibri" w:hAnsi="Calibri" w:cs="Calibri"/>
          <w:b/>
          <w:i w:val="0"/>
          <w:color w:val="000000"/>
          <w:sz w:val="20"/>
          <w:u w:val="none"/>
        </w:rPr>
        <w:t xml:space="preserve">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9"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495"/>
        <w:gridCol w:w="1005"/>
        <w:gridCol w:w="1005"/>
        <w:gridCol w:w="1005"/>
        <w:gridCol w:w="1005"/>
      </w:tblGrid>
      <w:tr>
        <w:tblPrEx>
          <w:tblW w:w="9960" w:type="dxa"/>
          <w:tblInd w:w="0" w:type="dxa"/>
          <w:tblLayout w:type="fixed"/>
        </w:tblPrEx>
        <w:trPr>
          <w:cantSplit/>
          <w:trHeight w:hRule="exact" w:val="255"/>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exact" w:val="255"/>
        </w:trPr>
        <w:tc>
          <w:tcPr>
            <w:tcW w:w="544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al</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55"/>
        </w:trPr>
        <w:tc>
          <w:tcPr>
            <w:tcW w:w="544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29.902.611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(14.826.910)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15.635.208</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(18.896.629)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9.505.911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(9.941.230)</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11.005.982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(5.320.999)</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5.693.978</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45.634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(25.993)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23.862</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(3.644.094)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1.829.960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(1.827.479)</w:t>
            </w:r>
          </w:p>
        </w:tc>
      </w:tr>
      <w:tr>
        <w:tblPrEx>
          <w:tblW w:w="9960" w:type="dxa"/>
          <w:tblInd w:w="0" w:type="dxa"/>
          <w:tblLayout w:type="fixed"/>
        </w:tblPrEx>
        <w:trPr>
          <w:cantSplit/>
          <w:trHeight w:hRule="exact" w:val="40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(154.721)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18.586</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(162.598)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96.869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(92.313)</w:t>
            </w:r>
          </w:p>
        </w:tc>
      </w:tr>
      <w:tr>
        <w:tblPrEx>
          <w:tblW w:w="9960" w:type="dxa"/>
          <w:tblInd w:w="0"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7.204.188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(3.574.884)</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3.816.634</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174.439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(782.573)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132.031</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(1.166.437)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456.234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(582.596)</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460.449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(44.046)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188.582</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(16.495)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2.950</w:t>
            </w:r>
          </w:p>
        </w:tc>
      </w:tr>
      <w:tr>
        <w:tblPrEx>
          <w:tblW w:w="9960" w:type="dxa"/>
          <w:tblInd w:w="0" w:type="dxa"/>
          <w:tblLayout w:type="fixed"/>
        </w:tblPrEx>
        <w:trPr>
          <w:cantSplit/>
          <w:trHeight w:hRule="exact" w:val="28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6.665.613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(3.961.764)</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3.557.601</w:t>
            </w: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(1.679.185)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1.070.061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(878.926)</w:t>
            </w:r>
          </w:p>
        </w:tc>
      </w:tr>
      <w:tr>
        <w:tblPrEx>
          <w:tblW w:w="9960" w:type="dxa"/>
          <w:tblInd w:w="0" w:type="dxa"/>
          <w:tblLayout w:type="fixed"/>
        </w:tblPrEx>
        <w:trPr>
          <w:cantSplit/>
          <w:trHeight w:hRule="exact" w:val="28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4.986.428</w:t>
            </w:r>
          </w:p>
        </w:tc>
        <w:tc>
          <w:tcPr>
            <w:tcW w:w="1005"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(2.891.703)</w:t>
            </w:r>
          </w:p>
        </w:tc>
        <w:tc>
          <w:tcPr>
            <w:tcW w:w="1005" w:type="dxa"/>
            <w:tcBorders>
              <w:top w:val="single" w:sz="2" w:space="0" w:color="000000"/>
              <w:left w:val="single" w:sz="8" w:space="0" w:color="FFFFFF"/>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2.678.675</w:t>
            </w:r>
          </w:p>
        </w:tc>
      </w:tr>
      <w:tr>
        <w:tblPrEx>
          <w:tblW w:w="9960" w:type="dxa"/>
          <w:tblInd w:w="0"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por acción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8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2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176,42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(221,06)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204,77</w:t>
            </w:r>
          </w:p>
        </w:tc>
      </w:tr>
      <w:tr>
        <w:tblPrEx>
          <w:tblW w:w="9960" w:type="dxa"/>
          <w:tblInd w:w="0" w:type="dxa"/>
          <w:tblLayout w:type="fixed"/>
        </w:tblPrEx>
        <w:trPr>
          <w:cantSplit/>
          <w:trHeight w:hRule="exact" w:val="28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176,42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(221,06)</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204,77</w:t>
            </w:r>
          </w:p>
        </w:tc>
      </w:tr>
    </w:tbl>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EMPRESA ELÉCTRICA DE MAGALLANES S.A.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RESULTADO INTEGRAL</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 xml:space="preserve">seis y </w:t>
      </w:r>
      <w:r>
        <w:rPr>
          <w:rFonts w:ascii="Calibri" w:eastAsia="Calibri" w:hAnsi="Calibri" w:cs="Calibri"/>
          <w:b/>
          <w:i w:val="0"/>
          <w:color w:val="000000"/>
          <w:sz w:val="20"/>
          <w:u w:val="none"/>
        </w:rPr>
        <w:t xml:space="preserve">tres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9"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75"/>
        <w:gridCol w:w="465"/>
        <w:gridCol w:w="1005"/>
        <w:gridCol w:w="1005"/>
        <w:gridCol w:w="1005"/>
        <w:gridCol w:w="1005"/>
      </w:tblGrid>
      <w:tr>
        <w:tblPrEx>
          <w:tblW w:w="9960" w:type="dxa"/>
          <w:tblInd w:w="0" w:type="dxa"/>
          <w:tblLayout w:type="fixed"/>
        </w:tblPrEx>
        <w:trPr>
          <w:cantSplit/>
          <w:trHeight w:hRule="auto" w:val="0"/>
          <w:tblHeader/>
        </w:trPr>
        <w:tc>
          <w:tcPr>
            <w:tcW w:w="54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46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auto" w:val="0"/>
          <w:tblHeader/>
        </w:trPr>
        <w:tc>
          <w:tcPr>
            <w:tcW w:w="5475" w:type="dxa"/>
            <w:vMerge/>
            <w:tcBorders>
              <w:top w:val="nil"/>
              <w:left w:val="single" w:sz="2" w:space="0" w:color="000000"/>
              <w:bottom w:val="nil"/>
              <w:right w:val="nil"/>
            </w:tcBorders>
          </w:tcPr>
          <w:p>
            <w:pPr>
              <w:keepNext/>
              <w:pageBreakBefore w:val="0"/>
            </w:pPr>
          </w:p>
        </w:tc>
        <w:tc>
          <w:tcPr>
            <w:tcW w:w="46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al</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5475" w:type="dxa"/>
            <w:vMerge/>
            <w:tcBorders>
              <w:top w:val="nil"/>
              <w:left w:val="single" w:sz="2" w:space="0" w:color="000000"/>
              <w:bottom w:val="single" w:sz="2" w:space="0" w:color="000000"/>
              <w:right w:val="nil"/>
            </w:tcBorders>
          </w:tcPr>
          <w:p>
            <w:pPr>
              <w:keepNext/>
              <w:pageBreakBefore w:val="0"/>
            </w:pPr>
          </w:p>
        </w:tc>
        <w:tc>
          <w:tcPr>
            <w:tcW w:w="4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blHeader/>
        </w:trPr>
        <w:tc>
          <w:tcPr>
            <w:tcW w:w="5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blHeader/>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6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4.986.428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(2.891.703)</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2.678.675</w:t>
            </w:r>
          </w:p>
        </w:tc>
      </w:tr>
      <w:tr>
        <w:tblPrEx>
          <w:tblW w:w="9960" w:type="dxa"/>
          <w:tblInd w:w="0" w:type="dxa"/>
          <w:tblLayout w:type="fixed"/>
        </w:tblPrEx>
        <w:trPr>
          <w:cantSplit/>
          <w:trHeight w:hRule="exact" w:val="60"/>
          <w:tblHeader/>
        </w:trPr>
        <w:tc>
          <w:tcPr>
            <w:tcW w:w="5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46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2.411.206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273.196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2.449.765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158.158</w:t>
            </w: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no se reclasificará al resultado del periodo, antes de impuestos.</w:t>
            </w:r>
          </w:p>
        </w:tc>
        <w:tc>
          <w:tcPr>
            <w:tcW w:w="46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2.411.206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273.196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2.449.765</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158.158</w:t>
            </w:r>
          </w:p>
        </w:tc>
      </w:tr>
      <w:tr>
        <w:tblPrEx>
          <w:tblW w:w="9960" w:type="dxa"/>
          <w:tblInd w:w="0" w:type="dxa"/>
          <w:tblLayout w:type="fixed"/>
        </w:tblPrEx>
        <w:trPr>
          <w:cantSplit/>
          <w:trHeight w:hRule="auto" w:val="0"/>
        </w:trPr>
        <w:tc>
          <w:tcPr>
            <w:tcW w:w="5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componentes de otro resultado integral, antes de impuestos.</w:t>
            </w:r>
          </w:p>
        </w:tc>
        <w:tc>
          <w:tcPr>
            <w:tcW w:w="46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2.411.206</w:t>
            </w:r>
          </w:p>
        </w:tc>
        <w:tc>
          <w:tcPr>
            <w:tcW w:w="1005" w:type="dxa"/>
            <w:tcBorders>
              <w:top w:val="single" w:sz="2" w:space="0" w:color="000000"/>
              <w:left w:val="single" w:sz="8" w:space="0" w:color="FFFFFF"/>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273.196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2.449.765</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158.158</w:t>
            </w:r>
          </w:p>
        </w:tc>
      </w:tr>
      <w:tr>
        <w:tblPrEx>
          <w:tblW w:w="9960" w:type="dxa"/>
          <w:tblInd w:w="0" w:type="dxa"/>
          <w:tblLayout w:type="fixed"/>
        </w:tblPrEx>
        <w:trPr>
          <w:cantSplit/>
          <w:trHeight w:hRule="auto" w:val="0"/>
        </w:trPr>
        <w:tc>
          <w:tcPr>
            <w:tcW w:w="5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46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(651.026)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(73.763)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(661.437)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(42.703)</w:t>
            </w: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no se reclasificarán al resultado del periodo.</w:t>
            </w:r>
          </w:p>
        </w:tc>
        <w:tc>
          <w:tcPr>
            <w:tcW w:w="46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(651.026)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(73.763)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(661.437)</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(42.703)</w:t>
            </w:r>
          </w:p>
        </w:tc>
      </w:tr>
      <w:tr>
        <w:tblPrEx>
          <w:tblW w:w="9960" w:type="dxa"/>
          <w:tblInd w:w="0" w:type="dxa"/>
          <w:tblLayout w:type="fixed"/>
        </w:tblPrEx>
        <w:trPr>
          <w:cantSplit/>
          <w:trHeight w:hRule="exact" w:val="60"/>
        </w:trPr>
        <w:tc>
          <w:tcPr>
            <w:tcW w:w="5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w:t>
            </w:r>
          </w:p>
        </w:tc>
        <w:tc>
          <w:tcPr>
            <w:tcW w:w="46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1.788.328</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115.455</w:t>
            </w:r>
          </w:p>
        </w:tc>
      </w:tr>
      <w:tr>
        <w:tblPrEx>
          <w:tblW w:w="9960" w:type="dxa"/>
          <w:tblInd w:w="0" w:type="dxa"/>
          <w:tblLayout w:type="fixed"/>
        </w:tblPrEx>
        <w:trPr>
          <w:cantSplit/>
          <w:trHeight w:hRule="auto" w:val="0"/>
        </w:trPr>
        <w:tc>
          <w:tcPr>
            <w:tcW w:w="54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54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Resultado integral total.</w:t>
            </w:r>
          </w:p>
        </w:tc>
        <w:tc>
          <w:tcPr>
            <w:tcW w:w="46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1.760.180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5.185.861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(1.103.375)</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2.794.130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rPr>
          <w:rFonts w:ascii="Calibri" w:eastAsia="Calibri" w:hAnsi="Calibri" w:cs="Calibri"/>
          <w:b w:val="0"/>
          <w:i w:val="0"/>
          <w:sz w:val="20"/>
        </w:rPr>
        <w:tab/>
      </w:r>
    </w:p>
    <w:p>
      <w:pPr>
        <w:keepNext w:val="0"/>
        <w:keepLines/>
        <w:pageBreakBefore w:val="0"/>
        <w:widowControl w:val="0"/>
        <w:numPr>
          <w:ilvl w:val="0"/>
          <w:numId w:val="0"/>
        </w:numPr>
        <w:spacing w:before="0" w:after="0" w:line="288" w:lineRule="auto"/>
        <w:ind w:left="709" w:right="0" w:hanging="709"/>
        <w:jc w:val="center"/>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709" w:right="0" w:hanging="709"/>
        <w:jc w:val="center"/>
        <w:outlineLvl w:val="9"/>
        <w:rPr>
          <w:rFonts w:ascii="Calibri" w:eastAsia="Calibri" w:hAnsi="Calibri" w:cs="Calibri"/>
          <w:b w:val="0"/>
          <w:i w:val="0"/>
          <w:color w:val="000000"/>
          <w:sz w:val="18"/>
          <w:u w:val="none"/>
        </w:rPr>
        <w:sectPr>
          <w:headerReference w:type="default" r:id="rId10"/>
          <w:footerReference w:type="default" r:id="rId11"/>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EMPRESA ELÉCTRICA DE MAGALLANES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CAMBIOS EN EL PATRIMONIO NETO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677.48pt;height:1.98pt">
            <v:imagedata r:id="rId9"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25"/>
        <w:gridCol w:w="1005"/>
        <w:gridCol w:w="1005"/>
        <w:gridCol w:w="1005"/>
        <w:gridCol w:w="1005"/>
        <w:gridCol w:w="1005"/>
        <w:gridCol w:w="1005"/>
        <w:gridCol w:w="1005"/>
      </w:tblGrid>
      <w:tr>
        <w:tblPrEx>
          <w:tblW w:w="13560" w:type="dxa"/>
          <w:tblInd w:w="0" w:type="dxa"/>
          <w:tblLayout w:type="fixed"/>
        </w:tblPrEx>
        <w:trPr>
          <w:cantSplit/>
          <w:trHeight w:hRule="auto" w:val="0"/>
        </w:trPr>
        <w:tc>
          <w:tcPr>
            <w:tcW w:w="65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Estado de cambios en el patrimonio </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Primas de emisión</w:t>
            </w: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560" w:type="dxa"/>
          <w:tblInd w:w="0" w:type="dxa"/>
          <w:tblLayout w:type="fixed"/>
        </w:tblPrEx>
        <w:trPr>
          <w:cantSplit/>
          <w:trHeight w:hRule="auto" w:val="0"/>
        </w:trPr>
        <w:tc>
          <w:tcPr>
            <w:tcW w:w="6525"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00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005" w:type="dxa"/>
            <w:vMerge/>
            <w:tcBorders>
              <w:top w:val="nil"/>
              <w:left w:val="nil"/>
              <w:bottom w:val="nil"/>
              <w:right w:val="nil"/>
            </w:tcBorders>
          </w:tcPr>
          <w:p>
            <w:pPr>
              <w:keepNext/>
              <w:pageBreakBefore w:val="0"/>
            </w:pP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560" w:type="dxa"/>
          <w:tblInd w:w="0" w:type="dxa"/>
          <w:tblLayout w:type="fixed"/>
        </w:tblPrEx>
        <w:trPr>
          <w:cantSplit/>
          <w:trHeight w:hRule="auto" w:val="0"/>
        </w:trPr>
        <w:tc>
          <w:tcPr>
            <w:tcW w:w="65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560" w:type="dxa"/>
          <w:tblInd w:w="0" w:type="dxa"/>
          <w:tblLayout w:type="fixed"/>
        </w:tblPrEx>
        <w:trPr>
          <w:cantSplit/>
          <w:trHeight w:hRule="exact" w:val="6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15.664.524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802</w:t>
            </w: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(479.977)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(1.280.204)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33.056.547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46.961.692</w:t>
            </w:r>
          </w:p>
        </w:tc>
      </w:tr>
      <w:tr>
        <w:tblPrEx>
          <w:tblW w:w="13560" w:type="dxa"/>
          <w:tblInd w:w="0" w:type="dxa"/>
          <w:tblLayout w:type="fixed"/>
        </w:tblPrEx>
        <w:trPr>
          <w:cantSplit/>
          <w:trHeight w:hRule="exact" w:val="6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55"/>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1.760.180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r>
      <w:tr>
        <w:tblPrEx>
          <w:tblW w:w="13560" w:type="dxa"/>
          <w:tblInd w:w="0" w:type="dxa"/>
          <w:tblLayout w:type="fixed"/>
        </w:tblPrEx>
        <w:trPr>
          <w:cantSplit/>
          <w:trHeight w:hRule="exact" w:val="6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r>
      <w:tr>
        <w:tblPrEx>
          <w:tblW w:w="13560" w:type="dxa"/>
          <w:tblInd w:w="0" w:type="dxa"/>
          <w:tblLayout w:type="fixed"/>
        </w:tblPrEx>
        <w:trPr>
          <w:cantSplit/>
          <w:trHeight w:hRule="exact" w:val="255"/>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55"/>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1.760.180</w:t>
            </w: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15.664.524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802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1.280.203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(1.280.204)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33.056.547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48.721.872</w:t>
            </w:r>
          </w:p>
        </w:tc>
      </w:tr>
    </w:tbl>
    <w:p>
      <w:pPr>
        <w:keepNext w:val="0"/>
        <w:keepLines/>
        <w:pageBreakBefore w:val="0"/>
        <w:widowControl w:val="0"/>
        <w:numPr>
          <w:ilvl w:val="0"/>
          <w:numId w:val="0"/>
        </w:numPr>
        <w:spacing w:before="0" w:after="0" w:line="288" w:lineRule="auto"/>
        <w:ind w:left="0" w:right="0" w:hanging="284"/>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EMPRESA ELÉCTRICA DE MAGALLANES S.A.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CAMBIOS EN EL PATRIMONIO NETO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9"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25"/>
        <w:gridCol w:w="1005"/>
        <w:gridCol w:w="1005"/>
        <w:gridCol w:w="1005"/>
        <w:gridCol w:w="1005"/>
        <w:gridCol w:w="1005"/>
        <w:gridCol w:w="1005"/>
        <w:gridCol w:w="1005"/>
      </w:tblGrid>
      <w:tr>
        <w:tblPrEx>
          <w:tblW w:w="13560" w:type="dxa"/>
          <w:tblInd w:w="0" w:type="dxa"/>
          <w:tblLayout w:type="fixed"/>
        </w:tblPrEx>
        <w:trPr>
          <w:cantSplit/>
          <w:trHeight w:hRule="auto" w:val="0"/>
        </w:trPr>
        <w:tc>
          <w:tcPr>
            <w:tcW w:w="65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Estado de cambios en el patrimonio </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Primas de emisión</w:t>
            </w: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560" w:type="dxa"/>
          <w:tblInd w:w="0" w:type="dxa"/>
          <w:tblLayout w:type="fixed"/>
        </w:tblPrEx>
        <w:trPr>
          <w:cantSplit/>
          <w:trHeight w:hRule="auto" w:val="0"/>
        </w:trPr>
        <w:tc>
          <w:tcPr>
            <w:tcW w:w="6525"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00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005" w:type="dxa"/>
            <w:vMerge/>
            <w:tcBorders>
              <w:top w:val="nil"/>
              <w:left w:val="nil"/>
              <w:bottom w:val="nil"/>
              <w:right w:val="nil"/>
            </w:tcBorders>
          </w:tcPr>
          <w:p>
            <w:pPr>
              <w:keepNext/>
              <w:pageBreakBefore w:val="0"/>
            </w:pP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560" w:type="dxa"/>
          <w:tblInd w:w="0" w:type="dxa"/>
          <w:tblLayout w:type="fixed"/>
        </w:tblPrEx>
        <w:trPr>
          <w:cantSplit/>
          <w:trHeight w:hRule="auto" w:val="0"/>
        </w:trPr>
        <w:tc>
          <w:tcPr>
            <w:tcW w:w="65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560" w:type="dxa"/>
          <w:tblInd w:w="0" w:type="dxa"/>
          <w:tblLayout w:type="fixed"/>
        </w:tblPrEx>
        <w:trPr>
          <w:cantSplit/>
          <w:trHeight w:hRule="exact" w:val="6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15.664.524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802</w:t>
            </w: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(502.350)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(1.280.204)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(1.782.554)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27.419.622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41.302.394</w:t>
            </w:r>
          </w:p>
        </w:tc>
      </w:tr>
      <w:tr>
        <w:tblPrEx>
          <w:tblW w:w="13560" w:type="dxa"/>
          <w:tblInd w:w="0" w:type="dxa"/>
          <w:tblLayout w:type="fixed"/>
        </w:tblPrEx>
        <w:trPr>
          <w:cantSplit/>
          <w:trHeight w:hRule="exact" w:val="6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55"/>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4.986.428</w:t>
            </w: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4.986.428</w:t>
            </w: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199.433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199.433</w:t>
            </w:r>
          </w:p>
        </w:tc>
      </w:tr>
      <w:tr>
        <w:tblPrEx>
          <w:tblW w:w="13560" w:type="dxa"/>
          <w:tblInd w:w="0" w:type="dxa"/>
          <w:tblLayout w:type="fixed"/>
        </w:tblPrEx>
        <w:trPr>
          <w:cantSplit/>
          <w:trHeight w:hRule="exact" w:val="6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4.986.428</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5.185.861</w:t>
            </w:r>
          </w:p>
        </w:tc>
      </w:tr>
      <w:tr>
        <w:tblPrEx>
          <w:tblW w:w="13560" w:type="dxa"/>
          <w:tblInd w:w="0" w:type="dxa"/>
          <w:tblLayout w:type="fixed"/>
        </w:tblPrEx>
        <w:trPr>
          <w:cantSplit/>
          <w:trHeight w:hRule="exact" w:val="255"/>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(2.328.469)</w:t>
            </w: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(2.328.469)</w:t>
            </w: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55"/>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2.657.959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2.857.392</w:t>
            </w:r>
          </w:p>
        </w:tc>
      </w:tr>
      <w:tr>
        <w:tblPrEx>
          <w:tblW w:w="13560" w:type="dxa"/>
          <w:tblInd w:w="0" w:type="dxa"/>
          <w:tblLayout w:type="fixed"/>
        </w:tblPrEx>
        <w:trPr>
          <w:cantSplit/>
          <w:trHeight w:hRule="auto" w:val="0"/>
        </w:trPr>
        <w:tc>
          <w:tcPr>
            <w:tcW w:w="6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15.664.524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802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(302.917)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(1.280.204)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(1.583.121)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30.077.581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44.159.786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headerReference w:type="default" r:id="rId12"/>
          <w:footerReference w:type="default" r:id="rId13"/>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i w:val="0"/>
          <w:color w:val="000000"/>
          <w:sz w:val="20"/>
          <w:u w:val="none"/>
        </w:rPr>
      </w:pPr>
      <w:bookmarkStart w:id="4" w:name="Section5"/>
      <w:bookmarkEnd w:id="4"/>
      <w:r>
        <w:rPr>
          <w:rFonts w:ascii="Calibri" w:eastAsia="Calibri" w:hAnsi="Calibri" w:cs="Calibri"/>
          <w:b/>
          <w:i w:val="0"/>
          <w:color w:val="000000"/>
          <w:sz w:val="20"/>
          <w:u w:val="none"/>
        </w:rPr>
        <w:t xml:space="preserve">EMPRESA ELÉCTRICA DE MAGALLANES S.A.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FLUJO DE EFECTIVO DIRECTO</w:t>
      </w:r>
    </w:p>
    <w:p>
      <w:pPr>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sz w:val="20"/>
        </w:rPr>
        <w:t xml:space="preserve">Por los períodos de </w:t>
      </w:r>
      <w:r>
        <w:rPr>
          <w:rFonts w:ascii="Calibri" w:eastAsia="Calibri" w:hAnsi="Calibri" w:cs="Calibri"/>
          <w:b/>
          <w:i w:val="0"/>
          <w:sz w:val="20"/>
        </w:rPr>
        <w:t>s</w:t>
      </w:r>
      <w:r>
        <w:rPr>
          <w:rFonts w:ascii="Calibri" w:eastAsia="Calibri" w:hAnsi="Calibri" w:cs="Calibri"/>
          <w:b/>
          <w:i w:val="0"/>
          <w:sz w:val="20"/>
        </w:rPr>
        <w:t xml:space="preserve">eis </w:t>
      </w:r>
      <w:r>
        <w:rPr>
          <w:rFonts w:ascii="Calibri" w:eastAsia="Calibri" w:hAnsi="Calibri" w:cs="Calibri"/>
          <w:b/>
          <w:i w:val="0"/>
          <w:sz w:val="20"/>
        </w:rPr>
        <w:t xml:space="preserve">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9"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95"/>
        <w:gridCol w:w="525"/>
        <w:gridCol w:w="1020"/>
        <w:gridCol w:w="1020"/>
      </w:tblGrid>
      <w:tr>
        <w:tblPrEx>
          <w:tblW w:w="9960" w:type="dxa"/>
          <w:tblInd w:w="0" w:type="dxa"/>
          <w:tblLayout w:type="fixed"/>
        </w:tblPrEx>
        <w:trPr>
          <w:cantSplit/>
          <w:trHeight w:hRule="auto" w:val="0"/>
          <w:tblHeader/>
        </w:trPr>
        <w:tc>
          <w:tcPr>
            <w:tcW w:w="73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5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02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2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395" w:type="dxa"/>
            <w:vMerge/>
            <w:tcBorders>
              <w:top w:val="nil"/>
              <w:left w:val="single" w:sz="2" w:space="0" w:color="000000"/>
              <w:bottom w:val="nil"/>
              <w:right w:val="nil"/>
            </w:tcBorders>
          </w:tcPr>
          <w:p>
            <w:pPr>
              <w:keepNext/>
              <w:pageBreakBefore w:val="0"/>
            </w:pPr>
          </w:p>
        </w:tc>
        <w:tc>
          <w:tcPr>
            <w:tcW w:w="52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al</w:t>
            </w:r>
          </w:p>
        </w:tc>
        <w:tc>
          <w:tcPr>
            <w:tcW w:w="10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2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395" w:type="dxa"/>
            <w:vMerge/>
            <w:tcBorders>
              <w:top w:val="nil"/>
              <w:left w:val="single" w:sz="2" w:space="0" w:color="000000"/>
              <w:bottom w:val="single" w:sz="2" w:space="0" w:color="000000"/>
              <w:right w:val="nil"/>
            </w:tcBorders>
          </w:tcPr>
          <w:p>
            <w:pPr>
              <w:pageBreakBefore w:val="0"/>
            </w:pP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Nota</w:t>
            </w:r>
          </w:p>
        </w:tc>
        <w:tc>
          <w:tcPr>
            <w:tcW w:w="10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02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blHeader/>
        </w:trPr>
        <w:tc>
          <w:tcPr>
            <w:tcW w:w="73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blHeader/>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52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exact" w:val="60"/>
          <w:tblHeader/>
        </w:trPr>
        <w:tc>
          <w:tcPr>
            <w:tcW w:w="73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38.985.937</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7.2</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65.846</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Clases de pagos</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(25.870.937)</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(3.076.032)</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7.2</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(2.225.721)</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(62.394)</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(6.574)</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7.810.125</w:t>
            </w:r>
          </w:p>
        </w:tc>
      </w:tr>
      <w:tr>
        <w:tblPrEx>
          <w:tblW w:w="9960" w:type="dxa"/>
          <w:tblInd w:w="0" w:type="dxa"/>
          <w:tblLayout w:type="fixed"/>
        </w:tblPrEx>
        <w:trPr>
          <w:cantSplit/>
          <w:trHeight w:hRule="auto" w:val="0"/>
        </w:trPr>
        <w:tc>
          <w:tcPr>
            <w:tcW w:w="73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(2.935.874)</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Importes procedentes de subvenciones del gobierno.</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84.355</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Intereses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(2.851.519)</w:t>
            </w:r>
          </w:p>
        </w:tc>
      </w:tr>
      <w:tr>
        <w:tblPrEx>
          <w:tblW w:w="9960" w:type="dxa"/>
          <w:tblInd w:w="0" w:type="dxa"/>
          <w:tblLayout w:type="fixed"/>
        </w:tblPrEx>
        <w:trPr>
          <w:cantSplit/>
          <w:trHeight w:hRule="auto" w:val="0"/>
        </w:trPr>
        <w:tc>
          <w:tcPr>
            <w:tcW w:w="73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52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exact" w:val="60"/>
        </w:trPr>
        <w:tc>
          <w:tcPr>
            <w:tcW w:w="73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nil"/>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6"/>
                <w:u w:val="none"/>
              </w:rPr>
              <w:t>Total importes procedentes de préstamos.</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Importes procedentes de préstamos de largo plazo.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Importes procedentes de préstamos de corto plazo.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74.812.069</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Reembolsos de préstamos.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(150.011)</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de préstamos de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(75.695.618)</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Importes procedentes de subvenciones del gobierno.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Dividendos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(2.294.671)</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Intereses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7.707</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Intereses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(1.086.423)</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(574)</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(4.407.521)</w:t>
            </w:r>
          </w:p>
        </w:tc>
      </w:tr>
      <w:tr>
        <w:tblPrEx>
          <w:tblW w:w="9960" w:type="dxa"/>
          <w:tblInd w:w="0" w:type="dxa"/>
          <w:tblLayout w:type="fixed"/>
        </w:tblPrEx>
        <w:trPr>
          <w:cantSplit/>
          <w:trHeight w:hRule="auto" w:val="0"/>
        </w:trPr>
        <w:tc>
          <w:tcPr>
            <w:tcW w:w="73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551.085</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83.529</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634.614</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664.872</w:t>
            </w:r>
          </w:p>
        </w:tc>
      </w:tr>
      <w:tr>
        <w:tblPrEx>
          <w:tblW w:w="9960" w:type="dxa"/>
          <w:tblInd w:w="0" w:type="dxa"/>
          <w:tblLayout w:type="fixed"/>
        </w:tblPrEx>
        <w:trPr>
          <w:cantSplit/>
          <w:trHeight w:hRule="auto" w:val="0"/>
        </w:trPr>
        <w:tc>
          <w:tcPr>
            <w:tcW w:w="7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1.299.486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4"/>
          <w:footerReference w:type="default" r:id="rId15"/>
          <w:pgSz w:w="12240" w:h="15840"/>
          <w:pgMar w:top="1134" w:right="1134" w:bottom="1134" w:left="1134" w:header="0" w:footer="420"/>
          <w:cols w:space="708"/>
        </w:sect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bookmarkStart w:id="5" w:name="Section6"/>
      <w:bookmarkEnd w:id="5"/>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i w:val="0"/>
          <w:color w:val="000000"/>
          <w:sz w:val="20"/>
          <w:u w:val="none"/>
        </w:rPr>
        <w:t>EMPRESA ELÉCTRICA DE MAGALLANES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INDICE A LAS NOTAS DE LOS ESTADOS FINANCIEROS INTERMEDIOS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9"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a37ad8d738d4425811ef65f5bcd0f6f"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a37ad8d738d4425811ef65f5bcd0f6f"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7091f8873d488caa14ef8b433cc8f6" w:history="1">
              <w:r>
                <w:rPr>
                  <w:rFonts w:ascii="Calibri" w:eastAsia="Calibri" w:hAnsi="Calibri" w:cs="Calibri"/>
                  <w:b w:val="0"/>
                  <w:i w:val="0"/>
                  <w:color w:val="000000"/>
                  <w:sz w:val="20"/>
                  <w:u w:val="none"/>
                  <w:shd w:val="clear" w:color="auto" w:fill="auto"/>
                </w:rPr>
                <w:t>2.-</w:t>
                <w:tab/>
                <w:t>DESCRIPCIÓN DE LOS SECTORES DONDE PARTICIPA EDELMAG</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7091f8873d488caa14ef8b433cc8f6"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a666b8347e9441a9d8a74862f9e31a3"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a666b8347e9441a9d8a74862f9e31a3"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ecb8394f29045d39d21137407f6914a" w:history="1">
              <w:r>
                <w:rPr>
                  <w:rFonts w:ascii="Calibri" w:eastAsia="Calibri" w:hAnsi="Calibri" w:cs="Calibri"/>
                  <w:b w:val="0"/>
                  <w:i w:val="0"/>
                  <w:color w:val="000000"/>
                  <w:sz w:val="20"/>
                  <w:u w:val="none"/>
                  <w:shd w:val="clear" w:color="auto" w:fill="auto"/>
                </w:rPr>
                <w:t>3.1.-</w:t>
                <w:tab/>
                <w:t xml:space="preserve">Bases de preparación de los estados financieros intermedios.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ecb8394f29045d39d21137407f6914a"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835aad8c4164df69b1e993b6abb5aea" w:history="1">
              <w:r>
                <w:rPr>
                  <w:rFonts w:ascii="Calibri" w:eastAsia="Calibri" w:hAnsi="Calibri" w:cs="Calibri"/>
                  <w:b w:val="0"/>
                  <w:i w:val="0"/>
                  <w:color w:val="000000"/>
                  <w:sz w:val="20"/>
                  <w:u w:val="none"/>
                  <w:shd w:val="clear" w:color="auto" w:fill="auto"/>
                </w:rPr>
                <w:t>3.2.-</w:t>
                <w:tab/>
                <w:t>Nuevos estándares, interpretaciones y enmiendas adoptadas por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835aad8c4164df69b1e993b6abb5aea"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469dc1e55bb4e038df4099626f6c62e"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2026,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469dc1e55bb4e038df4099626f6c62e"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d048849a3b14e0489225f8a34a4b1ca" w:history="1">
              <w:r>
                <w:rPr>
                  <w:rFonts w:ascii="Calibri" w:eastAsia="Calibri" w:hAnsi="Calibri" w:cs="Calibri"/>
                  <w:b w:val="0"/>
                  <w:i w:val="0"/>
                  <w:color w:val="000000"/>
                  <w:sz w:val="20"/>
                  <w:u w:val="none"/>
                  <w:shd w:val="clear" w:color="auto" w:fill="auto"/>
                </w:rPr>
                <w:t>3.4.-</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d048849a3b14e0489225f8a34a4b1ca"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09f5f473b0647cbafe26f67710a4bdd" w:history="1">
              <w:r>
                <w:rPr>
                  <w:rFonts w:ascii="Calibri" w:eastAsia="Calibri" w:hAnsi="Calibri" w:cs="Calibri"/>
                  <w:b w:val="0"/>
                  <w:i w:val="0"/>
                  <w:color w:val="000000"/>
                  <w:sz w:val="20"/>
                  <w:u w:val="none"/>
                  <w:shd w:val="clear" w:color="auto" w:fill="auto"/>
                </w:rPr>
                <w:t>3.5.-</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09f5f473b0647cbafe26f67710a4bdd"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96ca09229ea4b7f9765d7c441d701e9" w:history="1">
              <w:r>
                <w:rPr>
                  <w:rFonts w:ascii="Calibri" w:eastAsia="Calibri" w:hAnsi="Calibri" w:cs="Calibri"/>
                  <w:b w:val="0"/>
                  <w:i w:val="0"/>
                  <w:color w:val="000000"/>
                  <w:sz w:val="20"/>
                  <w:u w:val="none"/>
                  <w:shd w:val="clear" w:color="auto" w:fill="auto"/>
                </w:rPr>
                <w:t>3.6.-</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96ca09229ea4b7f9765d7c441d701e9"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b25a094ec2042fbb46524a924f97ecd" w:history="1">
              <w:r>
                <w:rPr>
                  <w:rFonts w:ascii="Calibri" w:eastAsia="Calibri" w:hAnsi="Calibri" w:cs="Calibri"/>
                  <w:b w:val="0"/>
                  <w:i w:val="0"/>
                  <w:color w:val="000000"/>
                  <w:sz w:val="20"/>
                  <w:u w:val="none"/>
                  <w:shd w:val="clear" w:color="auto" w:fill="auto"/>
                </w:rPr>
                <w:t>3.7.-</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b25a094ec2042fbb46524a924f97ecd"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184a9818114e0788ab288a011681d1" w:history="1">
              <w:r>
                <w:rPr>
                  <w:rFonts w:ascii="Calibri" w:eastAsia="Calibri" w:hAnsi="Calibri" w:cs="Calibri"/>
                  <w:b w:val="0"/>
                  <w:i w:val="0"/>
                  <w:color w:val="000000"/>
                  <w:sz w:val="20"/>
                  <w:u w:val="none"/>
                  <w:shd w:val="clear" w:color="auto" w:fill="auto"/>
                </w:rPr>
                <w:t>3.8.-</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184a9818114e0788ab288a011681d1"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a63acbeda74cd18a86003059c40e41" w:history="1">
              <w:r>
                <w:rPr>
                  <w:rFonts w:ascii="Calibri" w:eastAsia="Calibri" w:hAnsi="Calibri" w:cs="Calibri"/>
                  <w:b w:val="0"/>
                  <w:i w:val="0"/>
                  <w:color w:val="000000"/>
                  <w:sz w:val="20"/>
                  <w:u w:val="none"/>
                  <w:shd w:val="clear" w:color="auto" w:fill="auto"/>
                </w:rPr>
                <w:t>3.9.-</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a63acbeda74cd18a86003059c40e41"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10b4b6064584a65bf3cec2d1d677375" w:history="1">
              <w:r>
                <w:rPr>
                  <w:rFonts w:ascii="Calibri" w:eastAsia="Calibri" w:hAnsi="Calibri" w:cs="Calibri"/>
                  <w:b w:val="0"/>
                  <w:i w:val="0"/>
                  <w:color w:val="000000"/>
                  <w:sz w:val="20"/>
                  <w:u w:val="none"/>
                  <w:shd w:val="clear" w:color="auto" w:fill="auto"/>
                </w:rPr>
                <w:t>3.10.-</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10b4b6064584a65bf3cec2d1d677375"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e80de7e29cb477cbf169d59cb00d721" w:history="1">
              <w:r>
                <w:rPr>
                  <w:rFonts w:ascii="Calibri" w:eastAsia="Calibri" w:hAnsi="Calibri" w:cs="Calibri"/>
                  <w:b w:val="0"/>
                  <w:i w:val="0"/>
                  <w:color w:val="000000"/>
                  <w:sz w:val="20"/>
                  <w:u w:val="none"/>
                  <w:shd w:val="clear" w:color="auto" w:fill="auto"/>
                </w:rPr>
                <w:t>3.11.-</w:t>
                <w:tab/>
                <w:t>Activos no corrientes mantenidos para la venta y grupos en disposición.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e80de7e29cb477cbf169d59cb00d721"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6cbc5fb1574591b02ece21634f3e65" w:history="1">
              <w:r>
                <w:rPr>
                  <w:rFonts w:ascii="Calibri" w:eastAsia="Calibri" w:hAnsi="Calibri" w:cs="Calibri"/>
                  <w:b w:val="0"/>
                  <w:i w:val="0"/>
                  <w:color w:val="000000"/>
                  <w:sz w:val="20"/>
                  <w:u w:val="none"/>
                  <w:shd w:val="clear" w:color="auto" w:fill="auto"/>
                </w:rPr>
                <w:t>3.12.-</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6cbc5fb1574591b02ece21634f3e65"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131af52e8b4574a47165e2d34ded57" w:history="1">
              <w:r>
                <w:rPr>
                  <w:rFonts w:ascii="Calibri" w:eastAsia="Calibri" w:hAnsi="Calibri" w:cs="Calibri"/>
                  <w:b w:val="0"/>
                  <w:i w:val="0"/>
                  <w:color w:val="000000"/>
                  <w:sz w:val="20"/>
                  <w:u w:val="none"/>
                  <w:shd w:val="clear" w:color="auto" w:fill="auto"/>
                </w:rPr>
                <w:t>3.13.-</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131af52e8b4574a47165e2d34ded57"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4b0378787f44fda934b3bcf733faf3b" w:history="1">
              <w:r>
                <w:rPr>
                  <w:rFonts w:ascii="Calibri" w:eastAsia="Calibri" w:hAnsi="Calibri" w:cs="Calibri"/>
                  <w:b w:val="0"/>
                  <w:i w:val="0"/>
                  <w:color w:val="000000"/>
                  <w:sz w:val="20"/>
                  <w:u w:val="none"/>
                  <w:shd w:val="clear" w:color="auto" w:fill="auto"/>
                </w:rPr>
                <w:t>3.14.-</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4b0378787f44fda934b3bcf733faf3b"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2a677b371164502981b57bcd1216fa1" w:history="1">
              <w:r>
                <w:rPr>
                  <w:rFonts w:ascii="Calibri" w:eastAsia="Calibri" w:hAnsi="Calibri" w:cs="Calibri"/>
                  <w:b w:val="0"/>
                  <w:i w:val="0"/>
                  <w:color w:val="000000"/>
                  <w:sz w:val="20"/>
                  <w:u w:val="none"/>
                  <w:shd w:val="clear" w:color="auto" w:fill="auto"/>
                </w:rPr>
                <w:t>3.15.-</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2a677b371164502981b57bcd1216fa1"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1766062f3514c03951d2a298612f4b6" w:history="1">
              <w:r>
                <w:rPr>
                  <w:rFonts w:ascii="Calibri" w:eastAsia="Calibri" w:hAnsi="Calibri" w:cs="Calibri"/>
                  <w:b w:val="0"/>
                  <w:i w:val="0"/>
                  <w:color w:val="000000"/>
                  <w:sz w:val="20"/>
                  <w:u w:val="none"/>
                  <w:shd w:val="clear" w:color="auto" w:fill="auto"/>
                </w:rPr>
                <w:t>3.16.-</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1766062f3514c03951d2a298612f4b6"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c3b44856bd9403ca13ff24df7215771" w:history="1">
              <w:r>
                <w:rPr>
                  <w:rFonts w:ascii="Calibri" w:eastAsia="Calibri" w:hAnsi="Calibri" w:cs="Calibri"/>
                  <w:b w:val="0"/>
                  <w:i w:val="0"/>
                  <w:color w:val="000000"/>
                  <w:sz w:val="20"/>
                  <w:u w:val="none"/>
                  <w:shd w:val="clear" w:color="auto" w:fill="auto"/>
                </w:rPr>
                <w:t>3.17.-</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c3b44856bd9403ca13ff24df7215771"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3522ec5253c4cb394d973453efde86e" w:history="1">
              <w:r>
                <w:rPr>
                  <w:rFonts w:ascii="Calibri" w:eastAsia="Calibri" w:hAnsi="Calibri" w:cs="Calibri"/>
                  <w:b w:val="0"/>
                  <w:i w:val="0"/>
                  <w:color w:val="000000"/>
                  <w:sz w:val="20"/>
                  <w:u w:val="none"/>
                  <w:shd w:val="clear" w:color="auto" w:fill="auto"/>
                </w:rPr>
                <w:t>3.18.-</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3522ec5253c4cb394d973453efde86e"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4aa20d45a774881892a4852c3e04f68" w:history="1">
              <w:r>
                <w:rPr>
                  <w:rFonts w:ascii="Calibri" w:eastAsia="Calibri" w:hAnsi="Calibri" w:cs="Calibri"/>
                  <w:b w:val="0"/>
                  <w:i w:val="0"/>
                  <w:color w:val="000000"/>
                  <w:sz w:val="20"/>
                  <w:u w:val="none"/>
                  <w:shd w:val="clear" w:color="auto" w:fill="auto"/>
                </w:rPr>
                <w:t>3.19.-</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4aa20d45a774881892a4852c3e04f68"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1e39a7cba114d54a3af7419a0cede88" w:history="1">
              <w:r>
                <w:rPr>
                  <w:rFonts w:ascii="Calibri" w:eastAsia="Calibri" w:hAnsi="Calibri" w:cs="Calibri"/>
                  <w:b w:val="0"/>
                  <w:i w:val="0"/>
                  <w:color w:val="000000"/>
                  <w:sz w:val="20"/>
                  <w:u w:val="none"/>
                  <w:shd w:val="clear" w:color="auto" w:fill="auto"/>
                </w:rPr>
                <w:t>3.20.-</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1e39a7cba114d54a3af7419a0cede88"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416252554c24cdfa5496b791c30341e" w:history="1">
              <w:r>
                <w:rPr>
                  <w:rFonts w:ascii="Calibri" w:eastAsia="Calibri" w:hAnsi="Calibri" w:cs="Calibri"/>
                  <w:b w:val="0"/>
                  <w:i w:val="0"/>
                  <w:color w:val="000000"/>
                  <w:sz w:val="20"/>
                  <w:u w:val="none"/>
                  <w:shd w:val="clear" w:color="auto" w:fill="auto"/>
                </w:rPr>
                <w:t>3.21.-</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416252554c24cdfa5496b791c30341e"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9cac8e9fb0b4fb2b8e7a01e28d64d77" w:history="1">
              <w:r>
                <w:rPr>
                  <w:rFonts w:ascii="Calibri" w:eastAsia="Calibri" w:hAnsi="Calibri" w:cs="Calibri"/>
                  <w:b w:val="0"/>
                  <w:i w:val="0"/>
                  <w:color w:val="000000"/>
                  <w:sz w:val="20"/>
                  <w:u w:val="none"/>
                  <w:shd w:val="clear" w:color="auto" w:fill="auto"/>
                </w:rPr>
                <w:t>3.22.-</w:t>
                <w:tab/>
                <w:t>Subvenciones estatales.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9cac8e9fb0b4fb2b8e7a01e28d64d77"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95a37c147d414a9a8fc6a3d505ef29" w:history="1">
              <w:r>
                <w:rPr>
                  <w:rFonts w:ascii="Calibri" w:eastAsia="Calibri" w:hAnsi="Calibri" w:cs="Calibri"/>
                  <w:b w:val="0"/>
                  <w:i w:val="0"/>
                  <w:color w:val="000000"/>
                  <w:sz w:val="20"/>
                  <w:u w:val="none"/>
                  <w:shd w:val="clear" w:color="auto" w:fill="auto"/>
                </w:rPr>
                <w:t>3.23.-</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95a37c147d414a9a8fc6a3d505ef29"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363d81b5e2422d99c8789f755695eb" w:history="1">
              <w:r>
                <w:rPr>
                  <w:rFonts w:ascii="Calibri" w:eastAsia="Calibri" w:hAnsi="Calibri" w:cs="Calibri"/>
                  <w:b w:val="0"/>
                  <w:i w:val="0"/>
                  <w:color w:val="000000"/>
                  <w:sz w:val="20"/>
                  <w:u w:val="none"/>
                  <w:shd w:val="clear" w:color="auto" w:fill="auto"/>
                </w:rPr>
                <w:t>3.24.-</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363d81b5e2422d99c8789f755695eb"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226b13f6c9e4204a9671a9fc1e625fc" w:history="1">
              <w:r>
                <w:rPr>
                  <w:rFonts w:ascii="Calibri" w:eastAsia="Calibri" w:hAnsi="Calibri" w:cs="Calibri"/>
                  <w:b w:val="0"/>
                  <w:i w:val="0"/>
                  <w:color w:val="000000"/>
                  <w:sz w:val="20"/>
                  <w:u w:val="none"/>
                  <w:shd w:val="clear" w:color="auto" w:fill="auto"/>
                </w:rPr>
                <w:t>3.25.-</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226b13f6c9e4204a9671a9fc1e625fc"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2de208815124195a4a85002ee4703d6" w:history="1">
              <w:r>
                <w:rPr>
                  <w:rFonts w:ascii="Calibri" w:eastAsia="Calibri" w:hAnsi="Calibri" w:cs="Calibri"/>
                  <w:b w:val="0"/>
                  <w:i w:val="0"/>
                  <w:color w:val="000000"/>
                  <w:sz w:val="20"/>
                  <w:u w:val="none"/>
                  <w:shd w:val="clear" w:color="auto" w:fill="auto"/>
                </w:rPr>
                <w:t>3.26.-</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2de208815124195a4a85002ee4703d6"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7c60157f1284ebea604d0239689d76b" w:history="1">
              <w:r>
                <w:rPr>
                  <w:rFonts w:ascii="Calibri" w:eastAsia="Calibri" w:hAnsi="Calibri" w:cs="Calibri"/>
                  <w:b w:val="0"/>
                  <w:i w:val="0"/>
                  <w:color w:val="000000"/>
                  <w:sz w:val="20"/>
                  <w:u w:val="none"/>
                  <w:shd w:val="clear" w:color="auto" w:fill="auto"/>
                </w:rPr>
                <w:t>3.27.-</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7c60157f1284ebea604d0239689d76b"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4e13d64ebdb42c6bdc3fd96e6d49cf3" w:history="1">
              <w:r>
                <w:rPr>
                  <w:rFonts w:ascii="Calibri" w:eastAsia="Calibri" w:hAnsi="Calibri" w:cs="Calibri"/>
                  <w:b w:val="0"/>
                  <w:i w:val="0"/>
                  <w:color w:val="000000"/>
                  <w:sz w:val="20"/>
                  <w:u w:val="none"/>
                  <w:shd w:val="clear" w:color="auto" w:fill="auto"/>
                </w:rPr>
                <w:t>3.28.-</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4e13d64ebdb42c6bdc3fd96e6d49cf3"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ac17f12c7b34353a55e348eb010a16b" w:history="1">
              <w:r>
                <w:rPr>
                  <w:rFonts w:ascii="Calibri" w:eastAsia="Calibri" w:hAnsi="Calibri" w:cs="Calibri"/>
                  <w:b w:val="0"/>
                  <w:i w:val="0"/>
                  <w:color w:val="000000"/>
                  <w:sz w:val="20"/>
                  <w:u w:val="none"/>
                  <w:shd w:val="clear" w:color="auto" w:fill="auto"/>
                </w:rPr>
                <w:t>4.-</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ac17f12c7b34353a55e348eb010a16b"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9ca045f2b6645bda5330c54ea6ad9dc" w:history="1">
              <w:r>
                <w:rPr>
                  <w:rFonts w:ascii="Calibri" w:eastAsia="Calibri" w:hAnsi="Calibri" w:cs="Calibri"/>
                  <w:b w:val="0"/>
                  <w:i w:val="0"/>
                  <w:color w:val="000000"/>
                  <w:sz w:val="20"/>
                  <w:u w:val="none"/>
                  <w:shd w:val="clear" w:color="auto" w:fill="auto"/>
                </w:rPr>
                <w:t>4.1.-</w:t>
                <w:tab/>
                <w:t xml:space="preserve">Estimación del deterioro de activos no corrientes de vida útil indefinida.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9ca045f2b6645bda5330c54ea6ad9dc"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16c136777574a679997c1b357db5043" w:history="1">
              <w:r>
                <w:rPr>
                  <w:rFonts w:ascii="Calibri" w:eastAsia="Calibri" w:hAnsi="Calibri" w:cs="Calibri"/>
                  <w:b w:val="0"/>
                  <w:i w:val="0"/>
                  <w:color w:val="000000"/>
                  <w:sz w:val="20"/>
                  <w:u w:val="none"/>
                  <w:shd w:val="clear" w:color="auto" w:fill="auto"/>
                </w:rPr>
                <w:t>4.2.-</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16c136777574a679997c1b357db5043"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e04e906bddf4f299c5d5e500c47a963" w:history="1">
              <w:r>
                <w:rPr>
                  <w:rFonts w:ascii="Calibri" w:eastAsia="Calibri" w:hAnsi="Calibri" w:cs="Calibri"/>
                  <w:b w:val="0"/>
                  <w:i w:val="0"/>
                  <w:color w:val="000000"/>
                  <w:sz w:val="20"/>
                  <w:u w:val="none"/>
                  <w:shd w:val="clear" w:color="auto" w:fill="auto"/>
                </w:rPr>
                <w:t>4.3.-</w:t>
                <w:tab/>
                <w:t>Reconocimiento de ingresos y costos de energía - Efectos de Precios de Nudo de Generación-Transmisión y Valor Agregado de Distribución.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e04e906bddf4f299c5d5e500c47a963"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d14cedc0deb430ab6d0117fd906a3ca" w:history="1">
              <w:r>
                <w:rPr>
                  <w:rFonts w:ascii="Calibri" w:eastAsia="Calibri" w:hAnsi="Calibri" w:cs="Calibri"/>
                  <w:b w:val="0"/>
                  <w:i w:val="0"/>
                  <w:color w:val="000000"/>
                  <w:sz w:val="20"/>
                  <w:u w:val="none"/>
                  <w:shd w:val="clear" w:color="auto" w:fill="auto"/>
                </w:rPr>
                <w:t>5.-</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d14cedc0deb430ab6d0117fd906a3ca"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6987ea1745f4f7696896ae03bbdb46a" w:history="1">
              <w:r>
                <w:rPr>
                  <w:rFonts w:ascii="Calibri" w:eastAsia="Calibri" w:hAnsi="Calibri" w:cs="Calibri"/>
                  <w:b w:val="0"/>
                  <w:i w:val="0"/>
                  <w:color w:val="000000"/>
                  <w:sz w:val="20"/>
                  <w:u w:val="none"/>
                  <w:shd w:val="clear" w:color="auto" w:fill="auto"/>
                </w:rPr>
                <w:t>5.1.-</w:t>
                <w:tab/>
                <w:t>Riesgo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6987ea1745f4f7696896ae03bbdb46a"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54360d45a8245d59460b6e7d95f4adc" w:history="1">
              <w:r>
                <w:rPr>
                  <w:rFonts w:ascii="Calibri" w:eastAsia="Calibri" w:hAnsi="Calibri" w:cs="Calibri"/>
                  <w:b w:val="0"/>
                  <w:i w:val="0"/>
                  <w:color w:val="000000"/>
                  <w:sz w:val="20"/>
                  <w:u w:val="none"/>
                  <w:shd w:val="clear" w:color="auto" w:fill="auto"/>
                </w:rPr>
                <w:t>6.-</w:t>
                <w:tab/>
                <w:t>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54360d45a8245d59460b6e7d95f4adc"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cdfffa5dd9c40d7a99979bb47390e18" w:history="1">
              <w:r>
                <w:rPr>
                  <w:rFonts w:ascii="Calibri" w:eastAsia="Calibri" w:hAnsi="Calibri" w:cs="Calibri"/>
                  <w:b w:val="0"/>
                  <w:i w:val="0"/>
                  <w:color w:val="000000"/>
                  <w:sz w:val="20"/>
                  <w:u w:val="none"/>
                  <w:shd w:val="clear" w:color="auto" w:fill="auto"/>
                </w:rPr>
                <w:t>7.-</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cdfffa5dd9c40d7a99979bb47390e18"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a5e42fc211e4cdb9186172000f258a2" w:history="1">
              <w:r>
                <w:rPr>
                  <w:rFonts w:ascii="Calibri" w:eastAsia="Calibri" w:hAnsi="Calibri" w:cs="Calibri"/>
                  <w:b w:val="0"/>
                  <w:i w:val="0"/>
                  <w:color w:val="000000"/>
                  <w:sz w:val="20"/>
                  <w:u w:val="none"/>
                  <w:shd w:val="clear" w:color="auto" w:fill="auto"/>
                </w:rPr>
                <w:t>7.1.-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a5e42fc211e4cdb9186172000f258a2"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ddaadd66284167b4f30ba598d3d6b1" w:history="1">
              <w:r>
                <w:rPr>
                  <w:rFonts w:ascii="Calibri" w:eastAsia="Calibri" w:hAnsi="Calibri" w:cs="Calibri"/>
                  <w:b w:val="0"/>
                  <w:i w:val="0"/>
                  <w:color w:val="000000"/>
                  <w:sz w:val="20"/>
                  <w:u w:val="none"/>
                  <w:shd w:val="clear" w:color="auto" w:fill="auto"/>
                </w:rPr>
                <w:t>7.2.-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ddaadd66284167b4f30ba598d3d6b1"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32e46005434f88a6ad9ca166c05f1d" w:history="1">
              <w:r>
                <w:rPr>
                  <w:rFonts w:ascii="Calibri" w:eastAsia="Calibri" w:hAnsi="Calibri" w:cs="Calibri"/>
                  <w:b w:val="0"/>
                  <w:i w:val="0"/>
                  <w:color w:val="000000"/>
                  <w:sz w:val="20"/>
                  <w:u w:val="none"/>
                  <w:shd w:val="clear" w:color="auto" w:fill="auto"/>
                </w:rPr>
                <w:t>7.3.-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32e46005434f88a6ad9ca166c05f1d"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687b8e438e34a5ea2840fcf38d78414" w:history="1">
              <w:r>
                <w:rPr>
                  <w:rFonts w:ascii="Calibri" w:eastAsia="Calibri" w:hAnsi="Calibri" w:cs="Calibri"/>
                  <w:b w:val="0"/>
                  <w:i w:val="0"/>
                  <w:color w:val="000000"/>
                  <w:sz w:val="20"/>
                  <w:u w:val="none"/>
                  <w:shd w:val="clear" w:color="auto" w:fill="auto"/>
                </w:rPr>
                <w:t>8.-</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687b8e438e34a5ea2840fcf38d78414"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930da2faef49a2b46668fc5fe88b9c" w:history="1">
              <w:r>
                <w:rPr>
                  <w:rFonts w:ascii="Calibri" w:eastAsia="Calibri" w:hAnsi="Calibri" w:cs="Calibri"/>
                  <w:b w:val="0"/>
                  <w:i w:val="0"/>
                  <w:color w:val="000000"/>
                  <w:sz w:val="20"/>
                  <w:u w:val="none"/>
                  <w:shd w:val="clear" w:color="auto" w:fill="auto"/>
                </w:rPr>
                <w:t>8.1.-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930da2faef49a2b46668fc5fe88b9c"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6d1a6b32b747ad9cd836d47e48297a" w:history="1">
              <w:r>
                <w:rPr>
                  <w:rFonts w:ascii="Calibri" w:eastAsia="Calibri" w:hAnsi="Calibri" w:cs="Calibri"/>
                  <w:b w:val="0"/>
                  <w:i w:val="0"/>
                  <w:color w:val="000000"/>
                  <w:sz w:val="20"/>
                  <w:u w:val="none"/>
                  <w:shd w:val="clear" w:color="auto" w:fill="auto"/>
                </w:rPr>
                <w:t>8.2.-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6d1a6b32b747ad9cd836d47e48297a"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cbba375510b4e688a4873090a60700c" w:history="1">
              <w:r>
                <w:rPr>
                  <w:rFonts w:ascii="Calibri" w:eastAsia="Calibri" w:hAnsi="Calibri" w:cs="Calibri"/>
                  <w:b w:val="0"/>
                  <w:i w:val="0"/>
                  <w:color w:val="000000"/>
                  <w:sz w:val="20"/>
                  <w:u w:val="none"/>
                  <w:shd w:val="clear" w:color="auto" w:fill="auto"/>
                </w:rPr>
                <w:t>8.3.-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cbba375510b4e688a4873090a60700c" w:history="1">
              <w:r>
                <w:rPr>
                  <w:rFonts w:ascii="Calibri" w:eastAsia="Calibri" w:hAnsi="Calibri" w:cs="Calibri"/>
                  <w:b w:val="0"/>
                  <w:i w:val="0"/>
                  <w:color w:val="000000"/>
                  <w:sz w:val="20"/>
                  <w:u w:val="none"/>
                  <w:shd w:val="clear" w:color="auto" w:fill="auto"/>
                </w:rPr>
                <w:t>53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0c0e7e03e7544468932995336eff91a" w:history="1">
              <w:r>
                <w:rPr>
                  <w:rFonts w:ascii="Calibri" w:eastAsia="Calibri" w:hAnsi="Calibri" w:cs="Calibri"/>
                  <w:b w:val="0"/>
                  <w:i w:val="0"/>
                  <w:color w:val="000000"/>
                  <w:sz w:val="20"/>
                  <w:u w:val="none"/>
                  <w:shd w:val="clear" w:color="auto" w:fill="auto"/>
                </w:rPr>
                <w:t>8.4.-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0c0e7e03e7544468932995336eff91a"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406be8be1294736a1151dfeed359a21" w:history="1">
              <w:r>
                <w:rPr>
                  <w:rFonts w:ascii="Calibri" w:eastAsia="Calibri" w:hAnsi="Calibri" w:cs="Calibri"/>
                  <w:b w:val="0"/>
                  <w:i w:val="0"/>
                  <w:color w:val="000000"/>
                  <w:sz w:val="20"/>
                  <w:u w:val="none"/>
                  <w:shd w:val="clear" w:color="auto" w:fill="auto"/>
                </w:rPr>
                <w:t xml:space="preserve">8.5.- </w:t>
                <w:tab/>
                <w:t>Provisión y castigos.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406be8be1294736a1151dfeed359a21"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2f9f2606eab455e8830d270efecbf17" w:history="1">
              <w:r>
                <w:rPr>
                  <w:rFonts w:ascii="Calibri" w:eastAsia="Calibri" w:hAnsi="Calibri" w:cs="Calibri"/>
                  <w:b w:val="0"/>
                  <w:i w:val="0"/>
                  <w:color w:val="000000"/>
                  <w:sz w:val="20"/>
                  <w:u w:val="none"/>
                  <w:shd w:val="clear" w:color="auto" w:fill="auto"/>
                </w:rPr>
                <w:t>8.6.-</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2f9f2606eab455e8830d270efecbf17"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d15acbb64dc42b899487d45cbc57745" w:history="1">
              <w:r>
                <w:rPr>
                  <w:rFonts w:ascii="Calibri" w:eastAsia="Calibri" w:hAnsi="Calibri" w:cs="Calibri"/>
                  <w:b w:val="0"/>
                  <w:i w:val="0"/>
                  <w:color w:val="000000"/>
                  <w:sz w:val="20"/>
                  <w:u w:val="none"/>
                  <w:shd w:val="clear" w:color="auto" w:fill="auto"/>
                </w:rPr>
                <w:t>9.-</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d15acbb64dc42b899487d45cbc57745"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d2cfea0349c408cb68d7364d227981a" w:history="1">
              <w:r>
                <w:rPr>
                  <w:rFonts w:ascii="Calibri" w:eastAsia="Calibri" w:hAnsi="Calibri" w:cs="Calibri"/>
                  <w:b w:val="0"/>
                  <w:i w:val="0"/>
                  <w:color w:val="000000"/>
                  <w:sz w:val="20"/>
                  <w:u w:val="none"/>
                  <w:shd w:val="clear" w:color="auto" w:fill="auto"/>
                </w:rPr>
                <w:t>9.1.-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d2cfea0349c408cb68d7364d227981a"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62b59a720a14b49bece1f9151c1eab3" w:history="1">
              <w:r>
                <w:rPr>
                  <w:rFonts w:ascii="Calibri" w:eastAsia="Calibri" w:hAnsi="Calibri" w:cs="Calibri"/>
                  <w:b w:val="0"/>
                  <w:i w:val="0"/>
                  <w:color w:val="000000"/>
                  <w:sz w:val="20"/>
                  <w:u w:val="none"/>
                  <w:shd w:val="clear" w:color="auto" w:fill="auto"/>
                </w:rPr>
                <w:t>9.2.-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62b59a720a14b49bece1f9151c1eab3" w:history="1">
              <w:r>
                <w:rPr>
                  <w:rFonts w:ascii="Calibri" w:eastAsia="Calibri" w:hAnsi="Calibri" w:cs="Calibri"/>
                  <w:b w:val="0"/>
                  <w:i w:val="0"/>
                  <w:color w:val="000000"/>
                  <w:sz w:val="20"/>
                  <w:u w:val="none"/>
                  <w:shd w:val="clear" w:color="auto" w:fill="auto"/>
                </w:rPr>
                <w:t>58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93d3750963143719a8c6465af4cddad" w:history="1">
              <w:r>
                <w:rPr>
                  <w:rFonts w:ascii="Calibri" w:eastAsia="Calibri" w:hAnsi="Calibri" w:cs="Calibri"/>
                  <w:b w:val="0"/>
                  <w:i w:val="0"/>
                  <w:color w:val="000000"/>
                  <w:sz w:val="20"/>
                  <w:u w:val="none"/>
                  <w:shd w:val="clear" w:color="auto" w:fill="auto"/>
                </w:rPr>
                <w:t>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93d3750963143719a8c6465af4cddad"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c70723c72184048b7a071452e769d1b" w:history="1">
              <w:r>
                <w:rPr>
                  <w:rFonts w:ascii="Calibri" w:eastAsia="Calibri" w:hAnsi="Calibri" w:cs="Calibri"/>
                  <w:b w:val="0"/>
                  <w:i w:val="0"/>
                  <w:color w:val="000000"/>
                  <w:sz w:val="20"/>
                  <w:u w:val="none"/>
                  <w:shd w:val="clear" w:color="auto" w:fill="auto"/>
                </w:rPr>
                <w:t>10.1.-</w:t>
                <w:tab/>
                <w:t>Información adicional de 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c70723c72184048b7a071452e769d1b"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0c424a0aeef4073aad6fbdfd821eb50" w:history="1">
              <w:r>
                <w:rPr>
                  <w:rFonts w:ascii="Calibri" w:eastAsia="Calibri" w:hAnsi="Calibri" w:cs="Calibri"/>
                  <w:b w:val="0"/>
                  <w:i w:val="0"/>
                  <w:color w:val="000000"/>
                  <w:sz w:val="20"/>
                  <w:u w:val="none"/>
                  <w:shd w:val="clear" w:color="auto" w:fill="auto"/>
                </w:rPr>
                <w:t>11.-</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0c424a0aeef4073aad6fbdfd821eb50"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d25d4a02bf44fd883de9b9830e2581" w:history="1">
              <w:r>
                <w:rPr>
                  <w:rFonts w:ascii="Calibri" w:eastAsia="Calibri" w:hAnsi="Calibri" w:cs="Calibri"/>
                  <w:b w:val="0"/>
                  <w:i w:val="0"/>
                  <w:color w:val="000000"/>
                  <w:sz w:val="20"/>
                  <w:u w:val="none"/>
                  <w:shd w:val="clear" w:color="auto" w:fill="auto"/>
                </w:rPr>
                <w:t>12.-</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d25d4a02bf44fd883de9b9830e2581"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d1ee5a2908404d822923c9fb0d620c" w:history="1">
              <w:r>
                <w:rPr>
                  <w:rFonts w:ascii="Calibri" w:eastAsia="Calibri" w:hAnsi="Calibri" w:cs="Calibri"/>
                  <w:b w:val="0"/>
                  <w:i w:val="0"/>
                  <w:color w:val="000000"/>
                  <w:sz w:val="20"/>
                  <w:u w:val="none"/>
                  <w:shd w:val="clear" w:color="auto" w:fill="auto"/>
                </w:rPr>
                <w:t>13.-</w:t>
                <w:tab/>
                <w:t>ACTIVOS INTANGIBLES DISTINTO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d1ee5a2908404d822923c9fb0d620c"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a96b4de85954470bd6577bb629d52ea" w:history="1">
              <w:r>
                <w:rPr>
                  <w:rFonts w:ascii="Calibri" w:eastAsia="Calibri" w:hAnsi="Calibri" w:cs="Calibri"/>
                  <w:b w:val="0"/>
                  <w:i w:val="0"/>
                  <w:color w:val="000000"/>
                  <w:sz w:val="20"/>
                  <w:u w:val="none"/>
                  <w:shd w:val="clear" w:color="auto" w:fill="auto"/>
                </w:rPr>
                <w:t>13.1.-</w:t>
                <w:tab/>
                <w:t>Composición y movimientos de los activos intangibles.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a96b4de85954470bd6577bb629d52ea"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5c89c7ce5b2472881b8e7f4a3532936" w:history="1">
              <w:r>
                <w:rPr>
                  <w:rFonts w:ascii="Calibri" w:eastAsia="Calibri" w:hAnsi="Calibri" w:cs="Calibri"/>
                  <w:b w:val="0"/>
                  <w:i w:val="0"/>
                  <w:color w:val="000000"/>
                  <w:sz w:val="20"/>
                  <w:u w:val="none"/>
                  <w:shd w:val="clear" w:color="auto" w:fill="auto"/>
                </w:rPr>
                <w:t>13.2.-</w:t>
                <w:tab/>
                <w:t>Activos intangibles con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5c89c7ce5b2472881b8e7f4a3532936"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5e16c4f513a4244add21b6a8a33ecac" w:history="1">
              <w:r>
                <w:rPr>
                  <w:rFonts w:ascii="Calibri" w:eastAsia="Calibri" w:hAnsi="Calibri" w:cs="Calibri"/>
                  <w:b w:val="0"/>
                  <w:i w:val="0"/>
                  <w:color w:val="000000"/>
                  <w:sz w:val="20"/>
                  <w:u w:val="none"/>
                  <w:shd w:val="clear" w:color="auto" w:fill="auto"/>
                </w:rPr>
                <w:t>14.-</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5e16c4f513a4244add21b6a8a33ecac"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2498dfb2b04cc5884e1dec6b3e781e" w:history="1">
              <w:r>
                <w:rPr>
                  <w:rFonts w:ascii="Calibri" w:eastAsia="Calibri" w:hAnsi="Calibri" w:cs="Calibri"/>
                  <w:b w:val="0"/>
                  <w:i w:val="0"/>
                  <w:color w:val="000000"/>
                  <w:sz w:val="20"/>
                  <w:u w:val="none"/>
                  <w:shd w:val="clear" w:color="auto" w:fill="auto"/>
                </w:rPr>
                <w:t>14.1.-</w:t>
                <w:tab/>
                <w:t>Composición y movimientos de las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2498dfb2b04cc5884e1dec6b3e781e"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7bb5157ee0849589326c3d51299eb0d" w:history="1">
              <w:r>
                <w:rPr>
                  <w:rFonts w:ascii="Calibri" w:eastAsia="Calibri" w:hAnsi="Calibri" w:cs="Calibri"/>
                  <w:b w:val="0"/>
                  <w:i w:val="0"/>
                  <w:color w:val="000000"/>
                  <w:sz w:val="20"/>
                  <w:u w:val="none"/>
                  <w:shd w:val="clear" w:color="auto" w:fill="auto"/>
                </w:rPr>
                <w:t>14.2.-</w:t>
                <w:tab/>
                <w:t>Ingresos y gastos de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7bb5157ee0849589326c3d51299eb0d" w:history="1">
              <w:r>
                <w:rPr>
                  <w:rFonts w:ascii="Calibri" w:eastAsia="Calibri" w:hAnsi="Calibri" w:cs="Calibri"/>
                  <w:b w:val="0"/>
                  <w:i w:val="0"/>
                  <w:color w:val="000000"/>
                  <w:sz w:val="20"/>
                  <w:u w:val="none"/>
                  <w:shd w:val="clear" w:color="auto" w:fill="auto"/>
                </w:rPr>
                <w:t>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9f26f55901b43aeb621be47df549bbc" w:history="1">
              <w:r>
                <w:rPr>
                  <w:rFonts w:ascii="Calibri" w:eastAsia="Calibri" w:hAnsi="Calibri" w:cs="Calibri"/>
                  <w:b w:val="0"/>
                  <w:i w:val="0"/>
                  <w:color w:val="000000"/>
                  <w:sz w:val="20"/>
                  <w:u w:val="none"/>
                  <w:shd w:val="clear" w:color="auto" w:fill="auto"/>
                </w:rPr>
                <w:t>15.-</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9f26f55901b43aeb621be47df549bbc" w:history="1">
              <w:r>
                <w:rPr>
                  <w:rFonts w:ascii="Calibri" w:eastAsia="Calibri" w:hAnsi="Calibri" w:cs="Calibri"/>
                  <w:b w:val="0"/>
                  <w:i w:val="0"/>
                  <w:color w:val="000000"/>
                  <w:sz w:val="20"/>
                  <w:u w:val="none"/>
                  <w:shd w:val="clear" w:color="auto" w:fill="auto"/>
                </w:rPr>
                <w:t>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b58109a067e4ac6b30d73818291ef22" w:history="1">
              <w:r>
                <w:rPr>
                  <w:rFonts w:ascii="Calibri" w:eastAsia="Calibri" w:hAnsi="Calibri" w:cs="Calibri"/>
                  <w:b w:val="0"/>
                  <w:i w:val="0"/>
                  <w:color w:val="000000"/>
                  <w:sz w:val="20"/>
                  <w:u w:val="none"/>
                  <w:shd w:val="clear" w:color="auto" w:fill="auto"/>
                </w:rPr>
                <w:t>15.1.-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b58109a067e4ac6b30d73818291ef22" w:history="1">
              <w:r>
                <w:rPr>
                  <w:rFonts w:ascii="Calibri" w:eastAsia="Calibri" w:hAnsi="Calibri" w:cs="Calibri"/>
                  <w:b w:val="0"/>
                  <w:i w:val="0"/>
                  <w:color w:val="000000"/>
                  <w:sz w:val="20"/>
                  <w:u w:val="none"/>
                  <w:shd w:val="clear" w:color="auto" w:fill="auto"/>
                </w:rPr>
                <w:t>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2fc8eda347b45adb4b5adebe8fb5bfd" w:history="1">
              <w:r>
                <w:rPr>
                  <w:rFonts w:ascii="Calibri" w:eastAsia="Calibri" w:hAnsi="Calibri" w:cs="Calibri"/>
                  <w:b w:val="0"/>
                  <w:i w:val="0"/>
                  <w:color w:val="000000"/>
                  <w:sz w:val="20"/>
                  <w:u w:val="none"/>
                  <w:shd w:val="clear" w:color="auto" w:fill="auto"/>
                </w:rPr>
                <w:t>15.2.-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2fc8eda347b45adb4b5adebe8fb5bfd"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f4a84ea54540059320f787e7228d61" w:history="1">
              <w:r>
                <w:rPr>
                  <w:rFonts w:ascii="Calibri" w:eastAsia="Calibri" w:hAnsi="Calibri" w:cs="Calibri"/>
                  <w:b w:val="0"/>
                  <w:i w:val="0"/>
                  <w:color w:val="000000"/>
                  <w:sz w:val="20"/>
                  <w:u w:val="none"/>
                  <w:shd w:val="clear" w:color="auto" w:fill="auto"/>
                </w:rPr>
                <w:t>15.3.-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f4a84ea54540059320f787e7228d61" w:history="1">
              <w:r>
                <w:rPr>
                  <w:rFonts w:ascii="Calibri" w:eastAsia="Calibri" w:hAnsi="Calibri" w:cs="Calibri"/>
                  <w:b w:val="0"/>
                  <w:i w:val="0"/>
                  <w:color w:val="000000"/>
                  <w:sz w:val="20"/>
                  <w:u w:val="none"/>
                  <w:shd w:val="clear" w:color="auto" w:fill="auto"/>
                </w:rPr>
                <w:t>66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e34766c2b3e41219998178cc990a249" w:history="1">
              <w:r>
                <w:rPr>
                  <w:rFonts w:ascii="Calibri" w:eastAsia="Calibri" w:hAnsi="Calibri" w:cs="Calibri"/>
                  <w:b w:val="0"/>
                  <w:i w:val="0"/>
                  <w:color w:val="000000"/>
                  <w:sz w:val="20"/>
                  <w:u w:val="none"/>
                  <w:shd w:val="clear" w:color="auto" w:fill="auto"/>
                </w:rPr>
                <w:t>15.4.-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e34766c2b3e41219998178cc990a249"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10e996463d14ebc9e41e334ac9e5e02" w:history="1">
              <w:r>
                <w:rPr>
                  <w:rFonts w:ascii="Calibri" w:eastAsia="Calibri" w:hAnsi="Calibri" w:cs="Calibri"/>
                  <w:b w:val="0"/>
                  <w:i w:val="0"/>
                  <w:color w:val="000000"/>
                  <w:sz w:val="20"/>
                  <w:u w:val="none"/>
                  <w:shd w:val="clear" w:color="auto" w:fill="auto"/>
                </w:rPr>
                <w:t>15.5.-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10e996463d14ebc9e41e334ac9e5e02"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72565ddea64badb0e585082d161479" w:history="1">
              <w:r>
                <w:rPr>
                  <w:rFonts w:ascii="Calibri" w:eastAsia="Calibri" w:hAnsi="Calibri" w:cs="Calibri"/>
                  <w:b w:val="0"/>
                  <w:i w:val="0"/>
                  <w:color w:val="000000"/>
                  <w:sz w:val="20"/>
                  <w:u w:val="none"/>
                  <w:shd w:val="clear" w:color="auto" w:fill="auto"/>
                </w:rPr>
                <w:t>15.6.-</w:t>
                <w:tab/>
                <w:t>Otra Información a considerar sobre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72565ddea64badb0e585082d161479"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a73fd72525d437db3f1a9568a7993cc" w:history="1">
              <w:r>
                <w:rPr>
                  <w:rFonts w:ascii="Calibri" w:eastAsia="Calibri" w:hAnsi="Calibri" w:cs="Calibri"/>
                  <w:b w:val="0"/>
                  <w:i w:val="0"/>
                  <w:color w:val="000000"/>
                  <w:sz w:val="20"/>
                  <w:u w:val="none"/>
                  <w:shd w:val="clear" w:color="auto" w:fill="auto"/>
                </w:rPr>
                <w:t>16.-</w:t>
                <w:tab/>
                <w:t>DETERIORO DE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a73fd72525d437db3f1a9568a7993cc"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01d756026054dc595163bc5556d535a" w:history="1">
              <w:r>
                <w:rPr>
                  <w:rFonts w:ascii="Calibri" w:eastAsia="Calibri" w:hAnsi="Calibri" w:cs="Calibri"/>
                  <w:b w:val="0"/>
                  <w:i w:val="0"/>
                  <w:color w:val="000000"/>
                  <w:sz w:val="20"/>
                  <w:u w:val="none"/>
                  <w:shd w:val="clear" w:color="auto" w:fill="auto"/>
                </w:rPr>
                <w:t>16.1.-</w:t>
                <w:tab/>
                <w:t>Prueba de deterioro de propiedades, planta y equipo y otros activos intangibles de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01d756026054dc595163bc5556d535a"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4c63971e30d45c0ab38177bc61e9d95" w:history="1">
              <w:r>
                <w:rPr>
                  <w:rFonts w:ascii="Calibri" w:eastAsia="Calibri" w:hAnsi="Calibri" w:cs="Calibri"/>
                  <w:b w:val="0"/>
                  <w:i w:val="0"/>
                  <w:color w:val="000000"/>
                  <w:sz w:val="20"/>
                  <w:u w:val="none"/>
                  <w:shd w:val="clear" w:color="auto" w:fill="auto"/>
                </w:rPr>
                <w:t>16.2.-</w:t>
                <w:tab/>
                <w:t>Pérdidas por deterioro del valor y reversión de las pérdidas por deterioro del valor.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4c63971e30d45c0ab38177bc61e9d95" w:history="1">
              <w:r>
                <w:rPr>
                  <w:rFonts w:ascii="Calibri" w:eastAsia="Calibri" w:hAnsi="Calibri" w:cs="Calibri"/>
                  <w:b w:val="0"/>
                  <w:i w:val="0"/>
                  <w:color w:val="000000"/>
                  <w:sz w:val="20"/>
                  <w:u w:val="none"/>
                  <w:shd w:val="clear" w:color="auto" w:fill="auto"/>
                </w:rPr>
                <w:t>69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8fcf00bb364bc99662cc7440a22dd5" w:history="1">
              <w:r>
                <w:rPr>
                  <w:rFonts w:ascii="Calibri" w:eastAsia="Calibri" w:hAnsi="Calibri" w:cs="Calibri"/>
                  <w:b w:val="0"/>
                  <w:i w:val="0"/>
                  <w:color w:val="000000"/>
                  <w:sz w:val="20"/>
                  <w:u w:val="none"/>
                  <w:shd w:val="clear" w:color="auto" w:fill="auto"/>
                </w:rPr>
                <w:t>17.-</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8fcf00bb364bc99662cc7440a22dd5" w:history="1">
              <w:r>
                <w:rPr>
                  <w:rFonts w:ascii="Calibri" w:eastAsia="Calibri" w:hAnsi="Calibri" w:cs="Calibri"/>
                  <w:b w:val="0"/>
                  <w:i w:val="0"/>
                  <w:color w:val="000000"/>
                  <w:sz w:val="20"/>
                  <w:u w:val="none"/>
                  <w:shd w:val="clear" w:color="auto" w:fill="auto"/>
                </w:rPr>
                <w:t>69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4e7e5d5bba41e094883193339c5180" w:history="1">
              <w:r>
                <w:rPr>
                  <w:rFonts w:ascii="Calibri" w:eastAsia="Calibri" w:hAnsi="Calibri" w:cs="Calibri"/>
                  <w:b w:val="0"/>
                  <w:i w:val="0"/>
                  <w:color w:val="000000"/>
                  <w:sz w:val="20"/>
                  <w:u w:val="none"/>
                  <w:shd w:val="clear" w:color="auto" w:fill="auto"/>
                </w:rPr>
                <w:t>17.1.-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4e7e5d5bba41e094883193339c5180" w:history="1">
              <w:r>
                <w:rPr>
                  <w:rFonts w:ascii="Calibri" w:eastAsia="Calibri" w:hAnsi="Calibri" w:cs="Calibri"/>
                  <w:b w:val="0"/>
                  <w:i w:val="0"/>
                  <w:color w:val="000000"/>
                  <w:sz w:val="20"/>
                  <w:u w:val="none"/>
                  <w:shd w:val="clear" w:color="auto" w:fill="auto"/>
                </w:rPr>
                <w:t>69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02f98523cd14e4bba53713c8e9c84f8" w:history="1">
              <w:r>
                <w:rPr>
                  <w:rFonts w:ascii="Calibri" w:eastAsia="Calibri" w:hAnsi="Calibri" w:cs="Calibri"/>
                  <w:b w:val="0"/>
                  <w:i w:val="0"/>
                  <w:color w:val="000000"/>
                  <w:sz w:val="20"/>
                  <w:u w:val="none"/>
                  <w:shd w:val="clear" w:color="auto" w:fill="auto"/>
                </w:rPr>
                <w:t>17.2.-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02f98523cd14e4bba53713c8e9c84f8" w:history="1">
              <w:r>
                <w:rPr>
                  <w:rFonts w:ascii="Calibri" w:eastAsia="Calibri" w:hAnsi="Calibri" w:cs="Calibri"/>
                  <w:b w:val="0"/>
                  <w:i w:val="0"/>
                  <w:color w:val="000000"/>
                  <w:sz w:val="20"/>
                  <w:u w:val="none"/>
                  <w:shd w:val="clear" w:color="auto" w:fill="auto"/>
                </w:rPr>
                <w:t>69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ae856911a434c39aa407a1e05f1f717" w:history="1">
              <w:r>
                <w:rPr>
                  <w:rFonts w:ascii="Calibri" w:eastAsia="Calibri" w:hAnsi="Calibri" w:cs="Calibri"/>
                  <w:b w:val="0"/>
                  <w:i w:val="0"/>
                  <w:color w:val="000000"/>
                  <w:sz w:val="20"/>
                  <w:u w:val="none"/>
                  <w:shd w:val="clear" w:color="auto" w:fill="auto"/>
                </w:rPr>
                <w:t>17.3.-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ae856911a434c39aa407a1e05f1f717"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29aec27e364c3d97497459b37c4430" w:history="1">
              <w:r>
                <w:rPr>
                  <w:rFonts w:ascii="Calibri" w:eastAsia="Calibri" w:hAnsi="Calibri" w:cs="Calibri"/>
                  <w:b w:val="0"/>
                  <w:i w:val="0"/>
                  <w:color w:val="000000"/>
                  <w:sz w:val="20"/>
                  <w:u w:val="none"/>
                  <w:shd w:val="clear" w:color="auto" w:fill="auto"/>
                </w:rPr>
                <w:t>17.4.-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29aec27e364c3d97497459b37c4430"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a5e46e73a542a69f5acd1044640096" w:history="1">
              <w:r>
                <w:rPr>
                  <w:rFonts w:ascii="Calibri" w:eastAsia="Calibri" w:hAnsi="Calibri" w:cs="Calibri"/>
                  <w:b w:val="0"/>
                  <w:i w:val="0"/>
                  <w:color w:val="000000"/>
                  <w:sz w:val="20"/>
                  <w:u w:val="none"/>
                  <w:shd w:val="clear" w:color="auto" w:fill="auto"/>
                </w:rPr>
                <w:t>18.-</w:t>
                <w:tab/>
                <w:t>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a5e46e73a542a69f5acd1044640096"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abc9b87f68485ea284ee154811dd27" w:history="1">
              <w:r>
                <w:rPr>
                  <w:rFonts w:ascii="Calibri" w:eastAsia="Calibri" w:hAnsi="Calibri" w:cs="Calibri"/>
                  <w:b w:val="0"/>
                  <w:i w:val="0"/>
                  <w:color w:val="000000"/>
                  <w:sz w:val="20"/>
                  <w:u w:val="none"/>
                  <w:shd w:val="clear" w:color="auto" w:fill="auto"/>
                </w:rPr>
                <w:t>18.1.-</w:t>
                <w:tab/>
                <w:t xml:space="preserve">Clases de otros pasivos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abc9b87f68485ea284ee154811dd27"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38b0a1364b4899976a709f5fbbbb6e" w:history="1">
              <w:r>
                <w:rPr>
                  <w:rFonts w:ascii="Calibri" w:eastAsia="Calibri" w:hAnsi="Calibri" w:cs="Calibri"/>
                  <w:b w:val="0"/>
                  <w:i w:val="0"/>
                  <w:color w:val="000000"/>
                  <w:sz w:val="20"/>
                  <w:u w:val="none"/>
                  <w:shd w:val="clear" w:color="auto" w:fill="auto"/>
                </w:rPr>
                <w:t>18.2.-</w:t>
                <w:tab/>
                <w:t>Préstamos bancarios - desglose de monedas y vencimientos.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38b0a1364b4899976a709f5fbbbb6e" w:history="1">
              <w:r>
                <w:rPr>
                  <w:rFonts w:ascii="Calibri" w:eastAsia="Calibri" w:hAnsi="Calibri" w:cs="Calibri"/>
                  <w:b w:val="0"/>
                  <w:i w:val="0"/>
                  <w:color w:val="000000"/>
                  <w:sz w:val="20"/>
                  <w:u w:val="none"/>
                  <w:shd w:val="clear" w:color="auto" w:fill="auto"/>
                </w:rPr>
                <w:t>71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f6e90ee230b4063884ae59b0188867f" w:history="1">
              <w:r>
                <w:rPr>
                  <w:rFonts w:ascii="Calibri" w:eastAsia="Calibri" w:hAnsi="Calibri" w:cs="Calibri"/>
                  <w:b w:val="0"/>
                  <w:i w:val="0"/>
                  <w:color w:val="000000"/>
                  <w:sz w:val="20"/>
                  <w:u w:val="none"/>
                  <w:shd w:val="clear" w:color="auto" w:fill="auto"/>
                </w:rPr>
                <w:t>19.-</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f6e90ee230b4063884ae59b0188867f"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d294c84f814411bdc8c782fcab1bff" w:history="1">
              <w:r>
                <w:rPr>
                  <w:rFonts w:ascii="Calibri" w:eastAsia="Calibri" w:hAnsi="Calibri" w:cs="Calibri"/>
                  <w:b w:val="0"/>
                  <w:i w:val="0"/>
                  <w:color w:val="000000"/>
                  <w:sz w:val="20"/>
                  <w:u w:val="none"/>
                  <w:shd w:val="clear" w:color="auto" w:fill="auto"/>
                </w:rPr>
                <w:t>19.1.-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d294c84f814411bdc8c782fcab1bff"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0b570044db745ab883989b2ca53d2f1" w:history="1">
              <w:r>
                <w:rPr>
                  <w:rFonts w:ascii="Calibri" w:eastAsia="Calibri" w:hAnsi="Calibri" w:cs="Calibri"/>
                  <w:b w:val="0"/>
                  <w:i w:val="0"/>
                  <w:color w:val="000000"/>
                  <w:sz w:val="20"/>
                  <w:u w:val="none"/>
                  <w:shd w:val="clear" w:color="auto" w:fill="auto"/>
                </w:rPr>
                <w:t>19.2.-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0b570044db745ab883989b2ca53d2f1"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7b26569e5ec490380bd0e843e29a150" w:history="1">
              <w:r>
                <w:rPr>
                  <w:rFonts w:ascii="Calibri" w:eastAsia="Calibri" w:hAnsi="Calibri" w:cs="Calibri"/>
                  <w:b w:val="0"/>
                  <w:i w:val="0"/>
                  <w:color w:val="000000"/>
                  <w:sz w:val="20"/>
                  <w:u w:val="none"/>
                  <w:shd w:val="clear" w:color="auto" w:fill="auto"/>
                </w:rPr>
                <w:t>20.-</w:t>
                <w:tab/>
                <w:t>OTRAS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7b26569e5ec490380bd0e843e29a150"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58e046d34554044982b32e888ea12c4" w:history="1">
              <w:r>
                <w:rPr>
                  <w:rFonts w:ascii="Calibri" w:eastAsia="Calibri" w:hAnsi="Calibri" w:cs="Calibri"/>
                  <w:b w:val="0"/>
                  <w:i w:val="0"/>
                  <w:color w:val="000000"/>
                  <w:sz w:val="20"/>
                  <w:u w:val="none"/>
                  <w:shd w:val="clear" w:color="auto" w:fill="auto"/>
                </w:rPr>
                <w:t>20.1.-</w:t>
                <w:tab/>
                <w:t>Provisiones – saldos.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58e046d34554044982b32e888ea12c4"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d90236c5fdc49fcb906b6191ac22a18" w:history="1">
              <w:r>
                <w:rPr>
                  <w:rFonts w:ascii="Calibri" w:eastAsia="Calibri" w:hAnsi="Calibri" w:cs="Calibri"/>
                  <w:b w:val="0"/>
                  <w:i w:val="0"/>
                  <w:color w:val="000000"/>
                  <w:sz w:val="20"/>
                  <w:u w:val="none"/>
                  <w:shd w:val="clear" w:color="auto" w:fill="auto"/>
                </w:rPr>
                <w:t>20.2.-</w:t>
                <w:tab/>
                <w:t>Movimiento de las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d90236c5fdc49fcb906b6191ac22a18"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155325d05c945de9f4863e3da27ee07" w:history="1">
              <w:r>
                <w:rPr>
                  <w:rFonts w:ascii="Calibri" w:eastAsia="Calibri" w:hAnsi="Calibri" w:cs="Calibri"/>
                  <w:b w:val="0"/>
                  <w:i w:val="0"/>
                  <w:color w:val="000000"/>
                  <w:sz w:val="20"/>
                  <w:u w:val="none"/>
                  <w:shd w:val="clear" w:color="auto" w:fill="auto"/>
                </w:rPr>
                <w:t>21.-</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155325d05c945de9f4863e3da27ee07" w:history="1">
              <w:r>
                <w:rPr>
                  <w:rFonts w:ascii="Calibri" w:eastAsia="Calibri" w:hAnsi="Calibri" w:cs="Calibri"/>
                  <w:b w:val="0"/>
                  <w:i w:val="0"/>
                  <w:color w:val="000000"/>
                  <w:sz w:val="20"/>
                  <w:u w:val="none"/>
                  <w:shd w:val="clear" w:color="auto" w:fill="auto"/>
                </w:rPr>
                <w:t>75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d0acf9019b54f118ac41f9aab761853" w:history="1">
              <w:r>
                <w:rPr>
                  <w:rFonts w:ascii="Calibri" w:eastAsia="Calibri" w:hAnsi="Calibri" w:cs="Calibri"/>
                  <w:b w:val="0"/>
                  <w:i w:val="0"/>
                  <w:color w:val="000000"/>
                  <w:sz w:val="20"/>
                  <w:u w:val="none"/>
                  <w:shd w:val="clear" w:color="auto" w:fill="auto"/>
                </w:rPr>
                <w:t>21.1.-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d0acf9019b54f118ac41f9aab761853" w:history="1">
              <w:r>
                <w:rPr>
                  <w:rFonts w:ascii="Calibri" w:eastAsia="Calibri" w:hAnsi="Calibri" w:cs="Calibri"/>
                  <w:b w:val="0"/>
                  <w:i w:val="0"/>
                  <w:color w:val="000000"/>
                  <w:sz w:val="20"/>
                  <w:u w:val="none"/>
                  <w:shd w:val="clear" w:color="auto" w:fill="auto"/>
                </w:rPr>
                <w:t>75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d82d07d07348099287522dab9377b8" w:history="1">
              <w:r>
                <w:rPr>
                  <w:rFonts w:ascii="Calibri" w:eastAsia="Calibri" w:hAnsi="Calibri" w:cs="Calibri"/>
                  <w:b w:val="0"/>
                  <w:i w:val="0"/>
                  <w:color w:val="000000"/>
                  <w:sz w:val="20"/>
                  <w:u w:val="none"/>
                  <w:shd w:val="clear" w:color="auto" w:fill="auto"/>
                </w:rPr>
                <w:t>21.2.-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d82d07d07348099287522dab9377b8" w:history="1">
              <w:r>
                <w:rPr>
                  <w:rFonts w:ascii="Calibri" w:eastAsia="Calibri" w:hAnsi="Calibri" w:cs="Calibri"/>
                  <w:b w:val="0"/>
                  <w:i w:val="0"/>
                  <w:color w:val="000000"/>
                  <w:sz w:val="20"/>
                  <w:u w:val="none"/>
                  <w:shd w:val="clear" w:color="auto" w:fill="auto"/>
                </w:rPr>
                <w:t>75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a7bef635c974de496602d5de14c3628" w:history="1">
              <w:r>
                <w:rPr>
                  <w:rFonts w:ascii="Calibri" w:eastAsia="Calibri" w:hAnsi="Calibri" w:cs="Calibri"/>
                  <w:b w:val="0"/>
                  <w:i w:val="0"/>
                  <w:color w:val="000000"/>
                  <w:sz w:val="20"/>
                  <w:u w:val="none"/>
                  <w:shd w:val="clear" w:color="auto" w:fill="auto"/>
                </w:rPr>
                <w:t>21.3.-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a7bef635c974de496602d5de14c3628" w:history="1">
              <w:r>
                <w:rPr>
                  <w:rFonts w:ascii="Calibri" w:eastAsia="Calibri" w:hAnsi="Calibri" w:cs="Calibri"/>
                  <w:b w:val="0"/>
                  <w:i w:val="0"/>
                  <w:color w:val="000000"/>
                  <w:sz w:val="20"/>
                  <w:u w:val="none"/>
                  <w:shd w:val="clear" w:color="auto" w:fill="auto"/>
                </w:rPr>
                <w:t>75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41ca4e4c18446809bcb8e86c6ebce23" w:history="1">
              <w:r>
                <w:rPr>
                  <w:rFonts w:ascii="Calibri" w:eastAsia="Calibri" w:hAnsi="Calibri" w:cs="Calibri"/>
                  <w:b w:val="0"/>
                  <w:i w:val="0"/>
                  <w:color w:val="000000"/>
                  <w:sz w:val="20"/>
                  <w:u w:val="none"/>
                  <w:shd w:val="clear" w:color="auto" w:fill="auto"/>
                </w:rPr>
                <w:t>21.4.-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41ca4e4c18446809bcb8e86c6ebce23" w:history="1">
              <w:r>
                <w:rPr>
                  <w:rFonts w:ascii="Calibri" w:eastAsia="Calibri" w:hAnsi="Calibri" w:cs="Calibri"/>
                  <w:b w:val="0"/>
                  <w:i w:val="0"/>
                  <w:color w:val="000000"/>
                  <w:sz w:val="20"/>
                  <w:u w:val="none"/>
                  <w:shd w:val="clear" w:color="auto" w:fill="auto"/>
                </w:rPr>
                <w:t>75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ffd5c618b4d4606930302c58a7a4450" w:history="1">
              <w:r>
                <w:rPr>
                  <w:rFonts w:ascii="Calibri" w:eastAsia="Calibri" w:hAnsi="Calibri" w:cs="Calibri"/>
                  <w:b w:val="0"/>
                  <w:i w:val="0"/>
                  <w:color w:val="000000"/>
                  <w:sz w:val="20"/>
                  <w:u w:val="none"/>
                  <w:shd w:val="clear" w:color="auto" w:fill="auto"/>
                </w:rPr>
                <w:t>21.5.-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ffd5c618b4d4606930302c58a7a4450" w:history="1">
              <w:r>
                <w:rPr>
                  <w:rFonts w:ascii="Calibri" w:eastAsia="Calibri" w:hAnsi="Calibri" w:cs="Calibri"/>
                  <w:b w:val="0"/>
                  <w:i w:val="0"/>
                  <w:color w:val="000000"/>
                  <w:sz w:val="20"/>
                  <w:u w:val="none"/>
                  <w:shd w:val="clear" w:color="auto" w:fill="auto"/>
                </w:rPr>
                <w:t>76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179dd3223964544b933efc0bf32ec1e" w:history="1">
              <w:r>
                <w:rPr>
                  <w:rFonts w:ascii="Calibri" w:eastAsia="Calibri" w:hAnsi="Calibri" w:cs="Calibri"/>
                  <w:b w:val="0"/>
                  <w:i w:val="0"/>
                  <w:color w:val="000000"/>
                  <w:sz w:val="20"/>
                  <w:u w:val="none"/>
                  <w:shd w:val="clear" w:color="auto" w:fill="auto"/>
                </w:rPr>
                <w:t>21.6.-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179dd3223964544b933efc0bf32ec1e" w:history="1">
              <w:r>
                <w:rPr>
                  <w:rFonts w:ascii="Calibri" w:eastAsia="Calibri" w:hAnsi="Calibri" w:cs="Calibri"/>
                  <w:b w:val="0"/>
                  <w:i w:val="0"/>
                  <w:color w:val="000000"/>
                  <w:sz w:val="20"/>
                  <w:u w:val="none"/>
                  <w:shd w:val="clear" w:color="auto" w:fill="auto"/>
                </w:rPr>
                <w:t>76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09aee36fc694cdf854e0f3f246e3781" w:history="1">
              <w:r>
                <w:rPr>
                  <w:rFonts w:ascii="Calibri" w:eastAsia="Calibri" w:hAnsi="Calibri" w:cs="Calibri"/>
                  <w:b w:val="0"/>
                  <w:i w:val="0"/>
                  <w:color w:val="000000"/>
                  <w:sz w:val="20"/>
                  <w:u w:val="none"/>
                  <w:shd w:val="clear" w:color="auto" w:fill="auto"/>
                </w:rPr>
                <w:t>22.-</w:t>
                <w:tab/>
                <w:t>OTROS PASIVOS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09aee36fc694cdf854e0f3f246e3781"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88c17bdbea4559a0d0b7fe253c36a8" w:history="1">
              <w:r>
                <w:rPr>
                  <w:rFonts w:ascii="Calibri" w:eastAsia="Calibri" w:hAnsi="Calibri" w:cs="Calibri"/>
                  <w:b w:val="0"/>
                  <w:i w:val="0"/>
                  <w:color w:val="000000"/>
                  <w:sz w:val="20"/>
                  <w:u w:val="none"/>
                  <w:shd w:val="clear" w:color="auto" w:fill="auto"/>
                </w:rPr>
                <w:t>22.1.-</w:t>
                <w:tab/>
                <w:t>Ingresos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88c17bdbea4559a0d0b7fe253c36a8"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c07d8b47f9d4c8797fa64d595ca5f0e" w:history="1">
              <w:r>
                <w:rPr>
                  <w:rFonts w:ascii="Calibri" w:eastAsia="Calibri" w:hAnsi="Calibri" w:cs="Calibri"/>
                  <w:b w:val="0"/>
                  <w:i w:val="0"/>
                  <w:color w:val="000000"/>
                  <w:sz w:val="20"/>
                  <w:u w:val="none"/>
                  <w:shd w:val="clear" w:color="auto" w:fill="auto"/>
                </w:rPr>
                <w:t>23.-</w:t>
                <w:tab/>
                <w:t>PASIVOS POR 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c07d8b47f9d4c8797fa64d595ca5f0e"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e35d00e79de4ab2b0c159b350747328" w:history="1">
              <w:r>
                <w:rPr>
                  <w:rFonts w:ascii="Calibri" w:eastAsia="Calibri" w:hAnsi="Calibri" w:cs="Calibri"/>
                  <w:b w:val="0"/>
                  <w:i w:val="0"/>
                  <w:color w:val="000000"/>
                  <w:sz w:val="20"/>
                  <w:u w:val="none"/>
                  <w:shd w:val="clear" w:color="auto" w:fill="auto"/>
                </w:rPr>
                <w:t>23.1.-</w:t>
                <w:tab/>
                <w:t xml:space="preserve">Obligaciones por arrendamientos.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e35d00e79de4ab2b0c159b350747328"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0b61db483964c3d83d21debfebce64b" w:history="1">
              <w:r>
                <w:rPr>
                  <w:rFonts w:ascii="Calibri" w:eastAsia="Calibri" w:hAnsi="Calibri" w:cs="Calibri"/>
                  <w:b w:val="0"/>
                  <w:i w:val="0"/>
                  <w:color w:val="000000"/>
                  <w:sz w:val="20"/>
                  <w:u w:val="none"/>
                  <w:shd w:val="clear" w:color="auto" w:fill="auto"/>
                </w:rPr>
                <w:t>23.2.-</w:t>
                <w:tab/>
                <w:t xml:space="preserve">Activos por derecho de uso.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0b61db483964c3d83d21debfebce64b"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d1fc577b2f9484192cfb0b4cb4dba25" w:history="1">
              <w:r>
                <w:rPr>
                  <w:rFonts w:ascii="Calibri" w:eastAsia="Calibri" w:hAnsi="Calibri" w:cs="Calibri"/>
                  <w:b w:val="0"/>
                  <w:i w:val="0"/>
                  <w:color w:val="000000"/>
                  <w:sz w:val="20"/>
                  <w:u w:val="none"/>
                  <w:shd w:val="clear" w:color="auto" w:fill="auto"/>
                </w:rPr>
                <w:t>24.-</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d1fc577b2f9484192cfb0b4cb4dba25"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4370b5c59d42c284a7a928062e542c" w:history="1">
              <w:r>
                <w:rPr>
                  <w:rFonts w:ascii="Calibri" w:eastAsia="Calibri" w:hAnsi="Calibri" w:cs="Calibri"/>
                  <w:b w:val="0"/>
                  <w:i w:val="0"/>
                  <w:color w:val="000000"/>
                  <w:sz w:val="20"/>
                  <w:u w:val="none"/>
                  <w:shd w:val="clear" w:color="auto" w:fill="auto"/>
                </w:rPr>
                <w:t>24.1.-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4370b5c59d42c284a7a928062e542c"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3365bae5f3b4a83871ec9d5227f1abd" w:history="1">
              <w:r>
                <w:rPr>
                  <w:rFonts w:ascii="Calibri" w:eastAsia="Calibri" w:hAnsi="Calibri" w:cs="Calibri"/>
                  <w:b w:val="0"/>
                  <w:i w:val="0"/>
                  <w:color w:val="000000"/>
                  <w:sz w:val="20"/>
                  <w:u w:val="none"/>
                  <w:shd w:val="clear" w:color="auto" w:fill="auto"/>
                </w:rPr>
                <w:t>24.2.-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3365bae5f3b4a83871ec9d5227f1abd"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e993d8155b4e84b4d9ff34a77cd3ce" w:history="1">
              <w:r>
                <w:rPr>
                  <w:rFonts w:ascii="Calibri" w:eastAsia="Calibri" w:hAnsi="Calibri" w:cs="Calibri"/>
                  <w:b w:val="0"/>
                  <w:i w:val="0"/>
                  <w:color w:val="000000"/>
                  <w:sz w:val="20"/>
                  <w:u w:val="none"/>
                  <w:shd w:val="clear" w:color="auto" w:fill="auto"/>
                </w:rPr>
                <w:t>24.3.-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e993d8155b4e84b4d9ff34a77cd3ce"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267dc3c1cf044d2bac3a8d7763651c1" w:history="1">
              <w:r>
                <w:rPr>
                  <w:rFonts w:ascii="Calibri" w:eastAsia="Calibri" w:hAnsi="Calibri" w:cs="Calibri"/>
                  <w:b w:val="0"/>
                  <w:i w:val="0"/>
                  <w:color w:val="000000"/>
                  <w:sz w:val="20"/>
                  <w:u w:val="none"/>
                  <w:shd w:val="clear" w:color="auto" w:fill="auto"/>
                </w:rPr>
                <w:t>24.4.-</w:t>
                <w:tab/>
                <w:t>Política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267dc3c1cf044d2bac3a8d7763651c1"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8de0b0e0a2949bd8a7c2eaa6a571704" w:history="1">
              <w:r>
                <w:rPr>
                  <w:rFonts w:ascii="Calibri" w:eastAsia="Calibri" w:hAnsi="Calibri" w:cs="Calibri"/>
                  <w:b w:val="0"/>
                  <w:i w:val="0"/>
                  <w:color w:val="000000"/>
                  <w:sz w:val="20"/>
                  <w:u w:val="none"/>
                  <w:shd w:val="clear" w:color="auto" w:fill="auto"/>
                </w:rPr>
                <w:t>24.5.-</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8de0b0e0a2949bd8a7c2eaa6a571704" w:history="1">
              <w:r>
                <w:rPr>
                  <w:rFonts w:ascii="Calibri" w:eastAsia="Calibri" w:hAnsi="Calibri" w:cs="Calibri"/>
                  <w:b w:val="0"/>
                  <w:i w:val="0"/>
                  <w:color w:val="000000"/>
                  <w:sz w:val="20"/>
                  <w:u w:val="none"/>
                  <w:shd w:val="clear" w:color="auto" w:fill="auto"/>
                </w:rPr>
                <w:t>80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198c9f1d7914235a5b4c62ed81ceeb6" w:history="1">
              <w:r>
                <w:rPr>
                  <w:rFonts w:ascii="Calibri" w:eastAsia="Calibri" w:hAnsi="Calibri" w:cs="Calibri"/>
                  <w:b w:val="0"/>
                  <w:i w:val="0"/>
                  <w:color w:val="000000"/>
                  <w:sz w:val="20"/>
                  <w:u w:val="none"/>
                  <w:shd w:val="clear" w:color="auto" w:fill="auto"/>
                </w:rPr>
                <w:t>24.6.-</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198c9f1d7914235a5b4c62ed81ceeb6" w:history="1">
              <w:r>
                <w:rPr>
                  <w:rFonts w:ascii="Calibri" w:eastAsia="Calibri" w:hAnsi="Calibri" w:cs="Calibri"/>
                  <w:b w:val="0"/>
                  <w:i w:val="0"/>
                  <w:color w:val="000000"/>
                  <w:sz w:val="20"/>
                  <w:u w:val="none"/>
                  <w:shd w:val="clear" w:color="auto" w:fill="auto"/>
                </w:rPr>
                <w:t>80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e7a06225ff34096ae860db70c748c86" w:history="1">
              <w:r>
                <w:rPr>
                  <w:rFonts w:ascii="Calibri" w:eastAsia="Calibri" w:hAnsi="Calibri" w:cs="Calibri"/>
                  <w:b w:val="0"/>
                  <w:i w:val="0"/>
                  <w:color w:val="000000"/>
                  <w:sz w:val="20"/>
                  <w:u w:val="none"/>
                  <w:shd w:val="clear" w:color="auto" w:fill="auto"/>
                </w:rPr>
                <w:t>24.7.-</w:t>
                <w:tab/>
                <w:t>Reconciliación del movimiento en reservas de otro resultado integral.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e7a06225ff34096ae860db70c748c86"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eb75c970aff4f2cb5bbf969fb0d4dc7" w:history="1">
              <w:r>
                <w:rPr>
                  <w:rFonts w:ascii="Calibri" w:eastAsia="Calibri" w:hAnsi="Calibri" w:cs="Calibri"/>
                  <w:b w:val="0"/>
                  <w:i w:val="0"/>
                  <w:color w:val="000000"/>
                  <w:sz w:val="20"/>
                  <w:u w:val="none"/>
                  <w:shd w:val="clear" w:color="auto" w:fill="auto"/>
                </w:rPr>
                <w:t>25.-</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eb75c970aff4f2cb5bbf969fb0d4dc7"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0f299a35758466988d19875c5566c26" w:history="1">
              <w:r>
                <w:rPr>
                  <w:rFonts w:ascii="Calibri" w:eastAsia="Calibri" w:hAnsi="Calibri" w:cs="Calibri"/>
                  <w:b w:val="0"/>
                  <w:i w:val="0"/>
                  <w:color w:val="000000"/>
                  <w:sz w:val="20"/>
                  <w:u w:val="none"/>
                  <w:shd w:val="clear" w:color="auto" w:fill="auto"/>
                </w:rPr>
                <w:t>25.1.-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0f299a35758466988d19875c5566c26"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3b3554ddd584f5ea964aab3634b8dcf" w:history="1">
              <w:r>
                <w:rPr>
                  <w:rFonts w:ascii="Calibri" w:eastAsia="Calibri" w:hAnsi="Calibri" w:cs="Calibri"/>
                  <w:b w:val="0"/>
                  <w:i w:val="0"/>
                  <w:color w:val="000000"/>
                  <w:sz w:val="20"/>
                  <w:u w:val="none"/>
                  <w:shd w:val="clear" w:color="auto" w:fill="auto"/>
                </w:rPr>
                <w:t>25.2.-</w:t>
                <w:tab/>
                <w:t>Otros ingresos, por función.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3b3554ddd584f5ea964aab3634b8dcf"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0fc87449b94042bd73b084c125851d" w:history="1">
              <w:r>
                <w:rPr>
                  <w:rFonts w:ascii="Calibri" w:eastAsia="Calibri" w:hAnsi="Calibri" w:cs="Calibri"/>
                  <w:b w:val="0"/>
                  <w:i w:val="0"/>
                  <w:color w:val="000000"/>
                  <w:sz w:val="20"/>
                  <w:u w:val="none"/>
                  <w:shd w:val="clear" w:color="auto" w:fill="auto"/>
                </w:rPr>
                <w:t>26.-</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0fc87449b94042bd73b084c125851d" w:history="1">
              <w:r>
                <w:rPr>
                  <w:rFonts w:ascii="Calibri" w:eastAsia="Calibri" w:hAnsi="Calibri" w:cs="Calibri"/>
                  <w:b w:val="0"/>
                  <w:i w:val="0"/>
                  <w:color w:val="000000"/>
                  <w:sz w:val="20"/>
                  <w:u w:val="none"/>
                  <w:shd w:val="clear" w:color="auto" w:fill="auto"/>
                </w:rPr>
                <w:t>82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7d76d5e4d7e47c79d6696f73bda204d" w:history="1">
              <w:r>
                <w:rPr>
                  <w:rFonts w:ascii="Calibri" w:eastAsia="Calibri" w:hAnsi="Calibri" w:cs="Calibri"/>
                  <w:b w:val="0"/>
                  <w:i w:val="0"/>
                  <w:color w:val="000000"/>
                  <w:sz w:val="20"/>
                  <w:u w:val="none"/>
                  <w:shd w:val="clear" w:color="auto" w:fill="auto"/>
                </w:rPr>
                <w:t>26.1.-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7d76d5e4d7e47c79d6696f73bda204d" w:history="1">
              <w:r>
                <w:rPr>
                  <w:rFonts w:ascii="Calibri" w:eastAsia="Calibri" w:hAnsi="Calibri" w:cs="Calibri"/>
                  <w:b w:val="0"/>
                  <w:i w:val="0"/>
                  <w:color w:val="000000"/>
                  <w:sz w:val="20"/>
                  <w:u w:val="none"/>
                  <w:shd w:val="clear" w:color="auto" w:fill="auto"/>
                </w:rPr>
                <w:t>82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b4a468e3e6b44e08c8169cd1e899ad2" w:history="1">
              <w:r>
                <w:rPr>
                  <w:rFonts w:ascii="Calibri" w:eastAsia="Calibri" w:hAnsi="Calibri" w:cs="Calibri"/>
                  <w:b w:val="0"/>
                  <w:i w:val="0"/>
                  <w:color w:val="000000"/>
                  <w:sz w:val="20"/>
                  <w:u w:val="none"/>
                  <w:shd w:val="clear" w:color="auto" w:fill="auto"/>
                </w:rPr>
                <w:t>26.2.-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b4a468e3e6b44e08c8169cd1e899ad2" w:history="1">
              <w:r>
                <w:rPr>
                  <w:rFonts w:ascii="Calibri" w:eastAsia="Calibri" w:hAnsi="Calibri" w:cs="Calibri"/>
                  <w:b w:val="0"/>
                  <w:i w:val="0"/>
                  <w:color w:val="000000"/>
                  <w:sz w:val="20"/>
                  <w:u w:val="none"/>
                  <w:shd w:val="clear" w:color="auto" w:fill="auto"/>
                </w:rPr>
                <w:t>82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4ca1cbf2890418e83323957eade8a2f" w:history="1">
              <w:r>
                <w:rPr>
                  <w:rFonts w:ascii="Calibri" w:eastAsia="Calibri" w:hAnsi="Calibri" w:cs="Calibri"/>
                  <w:b w:val="0"/>
                  <w:i w:val="0"/>
                  <w:color w:val="000000"/>
                  <w:sz w:val="20"/>
                  <w:u w:val="none"/>
                  <w:shd w:val="clear" w:color="auto" w:fill="auto"/>
                </w:rPr>
                <w:t>26.3.-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4ca1cbf2890418e83323957eade8a2f"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c142c1e7a0486f94beaf88f3a5e21a" w:history="1">
              <w:r>
                <w:rPr>
                  <w:rFonts w:ascii="Calibri" w:eastAsia="Calibri" w:hAnsi="Calibri" w:cs="Calibri"/>
                  <w:b w:val="0"/>
                  <w:i w:val="0"/>
                  <w:color w:val="000000"/>
                  <w:sz w:val="20"/>
                  <w:u w:val="none"/>
                  <w:shd w:val="clear" w:color="auto" w:fill="auto"/>
                </w:rPr>
                <w:t>26.4.-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c142c1e7a0486f94beaf88f3a5e21a"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d014aad42054f4992fd41fd3f9b68eb" w:history="1">
              <w:r>
                <w:rPr>
                  <w:rFonts w:ascii="Calibri" w:eastAsia="Calibri" w:hAnsi="Calibri" w:cs="Calibri"/>
                  <w:b w:val="0"/>
                  <w:i w:val="0"/>
                  <w:color w:val="000000"/>
                  <w:sz w:val="20"/>
                  <w:u w:val="none"/>
                  <w:shd w:val="clear" w:color="auto" w:fill="auto"/>
                </w:rPr>
                <w:t>27.-</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d014aad42054f4992fd41fd3f9b68eb"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dde8ab0c09048edad548bc4c2f3393b" w:history="1">
              <w:r>
                <w:rPr>
                  <w:rFonts w:ascii="Calibri" w:eastAsia="Calibri" w:hAnsi="Calibri" w:cs="Calibri"/>
                  <w:b w:val="0"/>
                  <w:i w:val="0"/>
                  <w:color w:val="000000"/>
                  <w:sz w:val="20"/>
                  <w:u w:val="none"/>
                  <w:shd w:val="clear" w:color="auto" w:fill="auto"/>
                </w:rPr>
                <w:t>27.1.-</w:t>
                <w:tab/>
                <w:t>Composición Ganancias (pérdidas) de cambio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dde8ab0c09048edad548bc4c2f3393b"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c64e34b35c844c899106478d3fd7bac" w:history="1">
              <w:r>
                <w:rPr>
                  <w:rFonts w:ascii="Calibri" w:eastAsia="Calibri" w:hAnsi="Calibri" w:cs="Calibri"/>
                  <w:b w:val="0"/>
                  <w:i w:val="0"/>
                  <w:color w:val="000000"/>
                  <w:sz w:val="20"/>
                  <w:u w:val="none"/>
                  <w:shd w:val="clear" w:color="auto" w:fill="auto"/>
                </w:rPr>
                <w:t>27.2.-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c64e34b35c844c899106478d3fd7bac"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d27e6cd4fb4c9faa77df5b594c56f4" w:history="1">
              <w:r>
                <w:rPr>
                  <w:rFonts w:ascii="Calibri" w:eastAsia="Calibri" w:hAnsi="Calibri" w:cs="Calibri"/>
                  <w:b w:val="0"/>
                  <w:i w:val="0"/>
                  <w:color w:val="000000"/>
                  <w:sz w:val="20"/>
                  <w:u w:val="none"/>
                  <w:shd w:val="clear" w:color="auto" w:fill="auto"/>
                </w:rPr>
                <w:t>28.-</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d27e6cd4fb4c9faa77df5b594c56f4"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6574405aec8409db470d3442838fc90" w:history="1">
              <w:r>
                <w:rPr>
                  <w:rFonts w:ascii="Calibri" w:eastAsia="Calibri" w:hAnsi="Calibri" w:cs="Calibri"/>
                  <w:b w:val="0"/>
                  <w:i w:val="0"/>
                  <w:color w:val="000000"/>
                  <w:sz w:val="20"/>
                  <w:u w:val="none"/>
                  <w:shd w:val="clear" w:color="auto" w:fill="auto"/>
                </w:rPr>
                <w:t>28.1.-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6574405aec8409db470d3442838fc90"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3b79d0e06444b80bb776ebe8bf8389c" w:history="1">
              <w:r>
                <w:rPr>
                  <w:rFonts w:ascii="Calibri" w:eastAsia="Calibri" w:hAnsi="Calibri" w:cs="Calibri"/>
                  <w:b w:val="0"/>
                  <w:i w:val="0"/>
                  <w:color w:val="000000"/>
                  <w:sz w:val="20"/>
                  <w:u w:val="none"/>
                  <w:shd w:val="clear" w:color="auto" w:fill="auto"/>
                </w:rPr>
                <w:t>28.2.-</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3b79d0e06444b80bb776ebe8bf8389c"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b22c3f6c4344051ae1dfb5bbab1f0b0" w:history="1">
              <w:r>
                <w:rPr>
                  <w:rFonts w:ascii="Calibri" w:eastAsia="Calibri" w:hAnsi="Calibri" w:cs="Calibri"/>
                  <w:b w:val="0"/>
                  <w:i w:val="0"/>
                  <w:color w:val="000000"/>
                  <w:sz w:val="20"/>
                  <w:u w:val="none"/>
                  <w:shd w:val="clear" w:color="auto" w:fill="auto"/>
                </w:rPr>
                <w:t>28.3.-</w:t>
                <w:tab/>
                <w:t>Efecto en el resultado integral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b22c3f6c4344051ae1dfb5bbab1f0b0"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048bd6d79d3421cbbb6c4f17729e87b" w:history="1">
              <w:r>
                <w:rPr>
                  <w:rFonts w:ascii="Calibri" w:eastAsia="Calibri" w:hAnsi="Calibri" w:cs="Calibri"/>
                  <w:b w:val="0"/>
                  <w:i w:val="0"/>
                  <w:color w:val="000000"/>
                  <w:sz w:val="20"/>
                  <w:u w:val="none"/>
                  <w:shd w:val="clear" w:color="auto" w:fill="auto"/>
                </w:rPr>
                <w:t>29.-</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048bd6d79d3421cbbb6c4f17729e87b"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eb065712ea4e6bbd3ecc2c6a41202e" w:history="1">
              <w:r>
                <w:rPr>
                  <w:rFonts w:ascii="Calibri" w:eastAsia="Calibri" w:hAnsi="Calibri" w:cs="Calibri"/>
                  <w:b w:val="0"/>
                  <w:i w:val="0"/>
                  <w:color w:val="000000"/>
                  <w:sz w:val="20"/>
                  <w:u w:val="none"/>
                  <w:shd w:val="clear" w:color="auto" w:fill="auto"/>
                </w:rPr>
                <w:t>30.-</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eb065712ea4e6bbd3ecc2c6a41202e"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61b4dfa2a9f433eb87dfa0ae07a7872" w:history="1">
              <w:r>
                <w:rPr>
                  <w:rFonts w:ascii="Calibri" w:eastAsia="Calibri" w:hAnsi="Calibri" w:cs="Calibri"/>
                  <w:b w:val="0"/>
                  <w:i w:val="0"/>
                  <w:color w:val="000000"/>
                  <w:sz w:val="20"/>
                  <w:u w:val="none"/>
                  <w:shd w:val="clear" w:color="auto" w:fill="auto"/>
                </w:rPr>
                <w:t>30.1.-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61b4dfa2a9f433eb87dfa0ae07a7872"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43c6a8e760b47869cc530b7ed77da8d" w:history="1">
              <w:r>
                <w:rPr>
                  <w:rFonts w:ascii="Calibri" w:eastAsia="Calibri" w:hAnsi="Calibri" w:cs="Calibri"/>
                  <w:b w:val="0"/>
                  <w:i w:val="0"/>
                  <w:color w:val="000000"/>
                  <w:sz w:val="20"/>
                  <w:u w:val="none"/>
                  <w:shd w:val="clear" w:color="auto" w:fill="auto"/>
                </w:rPr>
                <w:t>30.2.-</w:t>
                <w:tab/>
                <w:t>Cuadros patrimoniales.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43c6a8e760b47869cc530b7ed77da8d"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80a8031f0ac480e8ccf8b3108b01f0d" w:history="1">
              <w:r>
                <w:rPr>
                  <w:rFonts w:ascii="Calibri" w:eastAsia="Calibri" w:hAnsi="Calibri" w:cs="Calibri"/>
                  <w:b w:val="0"/>
                  <w:i w:val="0"/>
                  <w:color w:val="000000"/>
                  <w:sz w:val="20"/>
                  <w:u w:val="none"/>
                  <w:shd w:val="clear" w:color="auto" w:fill="auto"/>
                </w:rPr>
                <w:t>30.3.-</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80a8031f0ac480e8ccf8b3108b01f0d"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96352662334e819ea6596f00a963f5" w:history="1">
              <w:r>
                <w:rPr>
                  <w:rFonts w:ascii="Calibri" w:eastAsia="Calibri" w:hAnsi="Calibri" w:cs="Calibri"/>
                  <w:b w:val="0"/>
                  <w:i w:val="0"/>
                  <w:color w:val="000000"/>
                  <w:sz w:val="20"/>
                  <w:u w:val="none"/>
                  <w:shd w:val="clear" w:color="auto" w:fill="auto"/>
                </w:rPr>
                <w:t>30.4.-</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96352662334e819ea6596f00a963f5"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df5c7c36bb04ff79a397cc5822fbd72" w:history="1">
              <w:r>
                <w:rPr>
                  <w:rFonts w:ascii="Calibri" w:eastAsia="Calibri" w:hAnsi="Calibri" w:cs="Calibri"/>
                  <w:b w:val="0"/>
                  <w:i w:val="0"/>
                  <w:color w:val="000000"/>
                  <w:sz w:val="20"/>
                  <w:u w:val="none"/>
                  <w:shd w:val="clear" w:color="auto" w:fill="auto"/>
                </w:rPr>
                <w:t>31.-</w:t>
                <w:tab/>
                <w:t>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df5c7c36bb04ff79a397cc5822fbd72" w:history="1">
              <w:r>
                <w:rPr>
                  <w:rFonts w:ascii="Calibri" w:eastAsia="Calibri" w:hAnsi="Calibri" w:cs="Calibri"/>
                  <w:b w:val="0"/>
                  <w:i w:val="0"/>
                  <w:color w:val="000000"/>
                  <w:sz w:val="20"/>
                  <w:u w:val="none"/>
                  <w:shd w:val="clear" w:color="auto" w:fill="auto"/>
                </w:rPr>
                <w:t>89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b5cc46585584efc866b8dd49871fb80" w:history="1">
              <w:r>
                <w:rPr>
                  <w:rFonts w:ascii="Calibri" w:eastAsia="Calibri" w:hAnsi="Calibri" w:cs="Calibri"/>
                  <w:b w:val="0"/>
                  <w:i w:val="0"/>
                  <w:color w:val="000000"/>
                  <w:sz w:val="20"/>
                  <w:u w:val="none"/>
                  <w:shd w:val="clear" w:color="auto" w:fill="auto"/>
                </w:rPr>
                <w:t>31.1.-</w:t>
                <w:tab/>
                <w:t>Resumen de 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b5cc46585584efc866b8dd49871fb80" w:history="1">
              <w:r>
                <w:rPr>
                  <w:rFonts w:ascii="Calibri" w:eastAsia="Calibri" w:hAnsi="Calibri" w:cs="Calibri"/>
                  <w:b w:val="0"/>
                  <w:i w:val="0"/>
                  <w:color w:val="000000"/>
                  <w:sz w:val="20"/>
                  <w:u w:val="none"/>
                  <w:shd w:val="clear" w:color="auto" w:fill="auto"/>
                </w:rPr>
                <w:t>89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0f8b8026c234dca9b5d77d1066be7af" w:history="1">
              <w:r>
                <w:rPr>
                  <w:rFonts w:ascii="Calibri" w:eastAsia="Calibri" w:hAnsi="Calibri" w:cs="Calibri"/>
                  <w:b w:val="0"/>
                  <w:i w:val="0"/>
                  <w:color w:val="000000"/>
                  <w:sz w:val="20"/>
                  <w:u w:val="none"/>
                  <w:shd w:val="clear" w:color="auto" w:fill="auto"/>
                </w:rPr>
                <w:t>31.2.-</w:t>
                <w:tab/>
                <w:t>Saldos en moneda extranjera,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0f8b8026c234dca9b5d77d1066be7af"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1d5729f5335448bb94cf4dac2becf28" w:history="1">
              <w:r>
                <w:rPr>
                  <w:rFonts w:ascii="Calibri" w:eastAsia="Calibri" w:hAnsi="Calibri" w:cs="Calibri"/>
                  <w:b w:val="0"/>
                  <w:i w:val="0"/>
                  <w:color w:val="000000"/>
                  <w:sz w:val="20"/>
                  <w:u w:val="none"/>
                  <w:shd w:val="clear" w:color="auto" w:fill="auto"/>
                </w:rPr>
                <w:t>31.3.-</w:t>
                <w:tab/>
                <w:t>Saldos en moneda extranjera, pasivos.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1d5729f5335448bb94cf4dac2becf28"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05dea063221466e86eb8c33e66d77fe" w:history="1">
              <w:r>
                <w:rPr>
                  <w:rFonts w:ascii="Calibri" w:eastAsia="Calibri" w:hAnsi="Calibri" w:cs="Calibri"/>
                  <w:b w:val="0"/>
                  <w:i w:val="0"/>
                  <w:color w:val="000000"/>
                  <w:sz w:val="20"/>
                  <w:u w:val="none"/>
                  <w:shd w:val="clear" w:color="auto" w:fill="auto"/>
                </w:rPr>
                <w:t>32.-</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05dea063221466e86eb8c33e66d77fe"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57933070ac54b3d8ed6ff02214db4b9" w:history="1">
              <w:r>
                <w:rPr>
                  <w:rFonts w:ascii="Calibri" w:eastAsia="Calibri" w:hAnsi="Calibri" w:cs="Calibri"/>
                  <w:b w:val="0"/>
                  <w:i w:val="0"/>
                  <w:color w:val="000000"/>
                  <w:sz w:val="20"/>
                  <w:u w:val="none"/>
                  <w:shd w:val="clear" w:color="auto" w:fill="auto"/>
                </w:rPr>
                <w:t>32.1.-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57933070ac54b3d8ed6ff02214db4b9"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4a2e5cba5fe466fa5af58d1e1e937dc" w:history="1">
              <w:r>
                <w:rPr>
                  <w:rFonts w:ascii="Calibri" w:eastAsia="Calibri" w:hAnsi="Calibri" w:cs="Calibri"/>
                  <w:b w:val="0"/>
                  <w:i w:val="0"/>
                  <w:color w:val="000000"/>
                  <w:sz w:val="20"/>
                  <w:u w:val="none"/>
                  <w:shd w:val="clear" w:color="auto" w:fill="auto"/>
                </w:rPr>
                <w:t>32.2.-</w:t>
                <w:tab/>
                <w:t xml:space="preserve">Sanciones.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4a2e5cba5fe466fa5af58d1e1e937dc"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5b5fe7b2215438aa3fde2ae0caaa6b5" w:history="1">
              <w:r>
                <w:rPr>
                  <w:rFonts w:ascii="Calibri" w:eastAsia="Calibri" w:hAnsi="Calibri" w:cs="Calibri"/>
                  <w:b w:val="0"/>
                  <w:i w:val="0"/>
                  <w:color w:val="000000"/>
                  <w:sz w:val="20"/>
                  <w:u w:val="none"/>
                  <w:shd w:val="clear" w:color="auto" w:fill="auto"/>
                </w:rPr>
                <w:t>32.3.-</w:t>
                <w:tab/>
                <w:t>Restricciones.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5b5fe7b2215438aa3fde2ae0caaa6b5"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da38ae99674adab03f0f759be43a40" w:history="1">
              <w:r>
                <w:rPr>
                  <w:rFonts w:ascii="Calibri" w:eastAsia="Calibri" w:hAnsi="Calibri" w:cs="Calibri"/>
                  <w:b w:val="0"/>
                  <w:i w:val="0"/>
                  <w:color w:val="000000"/>
                  <w:sz w:val="20"/>
                  <w:u w:val="none"/>
                  <w:shd w:val="clear" w:color="auto" w:fill="auto"/>
                </w:rPr>
                <w:t>33.-</w:t>
                <w:tab/>
                <w:t xml:space="preserve">GARANTÍAS COMPROMETIDAS CON TERCEROS, OTROS ACTIVOS Y PASIVOS CONTINGENTES Y OTROS COMPROMISOS.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da38ae99674adab03f0f759be43a40"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16942eec2494c26a519c856827a1d11" w:history="1">
              <w:r>
                <w:rPr>
                  <w:rFonts w:ascii="Calibri" w:eastAsia="Calibri" w:hAnsi="Calibri" w:cs="Calibri"/>
                  <w:b w:val="0"/>
                  <w:i w:val="0"/>
                  <w:color w:val="000000"/>
                  <w:sz w:val="20"/>
                  <w:u w:val="none"/>
                  <w:shd w:val="clear" w:color="auto" w:fill="auto"/>
                </w:rPr>
                <w:t>34.-</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16942eec2494c26a519c856827a1d11" w:history="1">
              <w:r>
                <w:rPr>
                  <w:rFonts w:ascii="Calibri" w:eastAsia="Calibri" w:hAnsi="Calibri" w:cs="Calibri"/>
                  <w:b w:val="0"/>
                  <w:i w:val="0"/>
                  <w:color w:val="000000"/>
                  <w:sz w:val="20"/>
                  <w:u w:val="none"/>
                  <w:shd w:val="clear" w:color="auto" w:fill="auto"/>
                </w:rPr>
                <w:t>93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23b51954e24f4189eee633f7507743" w:history="1">
              <w:r>
                <w:rPr>
                  <w:rFonts w:ascii="Calibri" w:eastAsia="Calibri" w:hAnsi="Calibri" w:cs="Calibri"/>
                  <w:b w:val="0"/>
                  <w:i w:val="0"/>
                  <w:color w:val="000000"/>
                  <w:sz w:val="20"/>
                  <w:u w:val="none"/>
                  <w:shd w:val="clear" w:color="auto" w:fill="auto"/>
                </w:rPr>
                <w:t>35.-</w:t>
                <w:tab/>
                <w:t>MEDIO AMBIENTE.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23b51954e24f4189eee633f7507743" w:history="1">
              <w:r>
                <w:rPr>
                  <w:rFonts w:ascii="Calibri" w:eastAsia="Calibri" w:hAnsi="Calibri" w:cs="Calibri"/>
                  <w:b w:val="0"/>
                  <w:i w:val="0"/>
                  <w:color w:val="000000"/>
                  <w:sz w:val="20"/>
                  <w:u w:val="none"/>
                  <w:shd w:val="clear" w:color="auto" w:fill="auto"/>
                </w:rPr>
                <w:t>94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0d71b43a1f04f60adea3806870d72e7" w:history="1">
              <w:r>
                <w:rPr>
                  <w:rFonts w:ascii="Calibri" w:eastAsia="Calibri" w:hAnsi="Calibri" w:cs="Calibri"/>
                  <w:b w:val="0"/>
                  <w:i w:val="0"/>
                  <w:color w:val="000000"/>
                  <w:sz w:val="20"/>
                  <w:u w:val="none"/>
                  <w:shd w:val="clear" w:color="auto" w:fill="auto"/>
                </w:rPr>
                <w:t>36.-</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0d71b43a1f04f60adea3806870d72e7" w:history="1">
              <w:r>
                <w:rPr>
                  <w:rFonts w:ascii="Calibri" w:eastAsia="Calibri" w:hAnsi="Calibri" w:cs="Calibri"/>
                  <w:b w:val="0"/>
                  <w:i w:val="0"/>
                  <w:color w:val="000000"/>
                  <w:sz w:val="20"/>
                  <w:u w:val="none"/>
                  <w:shd w:val="clear" w:color="auto" w:fill="auto"/>
                </w:rPr>
                <w:t>100</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EMPRESA ELÉCTRICA DE MAGALLANES S.A.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INTERMEDIOS</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r>
        <w:pict>
          <v:shape id="_x0000_i1033"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6"/>
          <w:footerReference w:type="default" r:id="rId17"/>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6" w:name="Section7"/>
      <w:bookmarkEnd w:id="6"/>
      <w:bookmarkStart w:id="7" w:name="4a37ad8d738d4425811ef65f5bcd0f6f"/>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Empresa Eléctrica de Magallanes S.A. “Edelmag” (En adelante la “Sociedad” o “Edelmag”), Rut: 88.221.200-9, es una empresa subsidiaria de CGE Magallanes S.A. con una participación del 55,11% la cual a su vez es subsidiaria de Compañía General de Electricidad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u w:val="none"/>
        </w:rPr>
        <w:t>, el accionista propietario del 97,145% de las acciones de la matriz Compañía General de Electricidad S.A. es State Grid Chile Electricity SpA., miembro del Grupo State Grid Corporation of China, cuya matriz final es dicha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Edelmag es una sociedad anónima abierta, tiene su domicilio social en calle Croacia N° 444 en la ciudad de Punta Arenas, Región de Magallanes y Antártica Chilena en la República de Chile. La Sociedad se encuentra inscrita en el Registro de Valores de la Comisión para el Mercado Financiero de Chile bajo el N° 0280 y cotiza sus acciones en la Bolsa de Comercio de Santiago y la Bolsa Electrónica de Chile.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intermedios correspondiente al período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u w:val="none"/>
        </w:rPr>
        <w:t xml:space="preserve">, ha sido aprobada en Sesión Ordinaria de Directorio con fecha </w:t>
      </w: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5</w:t>
      </w:r>
      <w:r>
        <w:rPr>
          <w:rFonts w:ascii="Calibri" w:eastAsia="Calibri" w:hAnsi="Calibri" w:cs="Calibri"/>
          <w:b w:val="0"/>
          <w:i w:val="0"/>
          <w:color w:val="000000"/>
          <w:sz w:val="20"/>
          <w:u w:val="none"/>
        </w:rPr>
        <w:t xml:space="preserve"> de </w:t>
      </w:r>
      <w:r>
        <w:rPr>
          <w:rFonts w:ascii="Calibri" w:eastAsia="Calibri" w:hAnsi="Calibri" w:cs="Calibri"/>
          <w:b w:val="0"/>
          <w:i w:val="0"/>
          <w:color w:val="000000"/>
          <w:sz w:val="20"/>
          <w:u w:val="none"/>
        </w:rPr>
        <w:t>agosto</w:t>
      </w:r>
      <w:r>
        <w:rPr>
          <w:rFonts w:ascii="Calibri" w:eastAsia="Calibri" w:hAnsi="Calibri" w:cs="Calibri"/>
          <w:b w:val="0"/>
          <w:i w:val="0"/>
          <w:color w:val="000000"/>
          <w:sz w:val="20"/>
          <w:u w:val="none"/>
        </w:rPr>
        <w:t xml:space="preserve"> de 2026</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u w:val="none"/>
        </w:rPr>
        <w:t>quien con dicha fecha autorizó además su publicación.</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highlight w:val="yellow"/>
          <w:u w:val="none"/>
        </w:rPr>
      </w:pPr>
      <w:bookmarkStart w:id="8" w:name="Section8"/>
      <w:bookmarkEnd w:id="8"/>
      <w:bookmarkStart w:id="9" w:name="d37091f8873d488caa14ef8b433cc8f6"/>
      <w:r>
        <w:rPr>
          <w:rFonts w:ascii="Calibri" w:eastAsia="Calibri" w:hAnsi="Calibri" w:cs="Calibri"/>
          <w:b/>
          <w:i w:val="0"/>
          <w:color w:val="000000"/>
          <w:sz w:val="20"/>
          <w:highlight w:val="yellow"/>
          <w:u w:val="none"/>
        </w:rPr>
        <w:t>2.-</w:t>
      </w:r>
      <w:r>
        <w:rPr>
          <w:rFonts w:ascii="Calibri" w:eastAsia="Calibri" w:hAnsi="Calibri" w:cs="Calibri"/>
          <w:b/>
          <w:i w:val="0"/>
          <w:color w:val="000000"/>
          <w:sz w:val="20"/>
          <w:highlight w:val="yellow"/>
          <w:u w:val="none"/>
        </w:rPr>
        <w:tab/>
      </w:r>
      <w:r>
        <w:rPr>
          <w:rFonts w:ascii="Calibri" w:eastAsia="Calibri" w:hAnsi="Calibri" w:cs="Calibri"/>
          <w:b/>
          <w:i w:val="0"/>
          <w:color w:val="000000"/>
          <w:sz w:val="20"/>
          <w:highlight w:val="yellow"/>
          <w:u w:val="none"/>
        </w:rPr>
        <w:t>DESCRIPCIÓN DE LOS SECTORES DONDE PARTICIPA EDELMAG</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9"/>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Empresa Eléctrica de Magallanes S.A. (Edelmag) es una sociedad privada de servicio público cuyo objeto principal es la generación, transporte, distribución y suministro de energía eléctrica en la Región de Magallanes y Antártica Chilena, abasteciendo a 75.104 clientes, con ventas físicas que alcanzaron a</w:t>
      </w:r>
      <w:r>
        <w:rPr>
          <w:rFonts w:ascii="Calibri" w:eastAsia="Calibri" w:hAnsi="Calibri" w:cs="Calibri"/>
          <w:b w:val="0"/>
          <w:i w:val="0"/>
          <w:color w:val="000000"/>
          <w:sz w:val="20"/>
          <w:highlight w:val="white"/>
          <w:u w:val="none"/>
        </w:rPr>
        <w:t xml:space="preserve"> 84,56 GW</w:t>
      </w:r>
      <w:r>
        <w:rPr>
          <w:rFonts w:ascii="Calibri" w:eastAsia="Calibri" w:hAnsi="Calibri" w:cs="Calibri"/>
          <w:b w:val="0"/>
          <w:i w:val="0"/>
          <w:sz w:val="20"/>
        </w:rPr>
        <w:t>h al 31 de marzo de 2026. Para la generación de energía eléctrica cuenta con centrales generadoras térmicas en cada uno de los 4 sistemas eléctricos atendidos por Edelmag, con una potencia bruta total de 121,8 MW.</w:t>
      </w:r>
    </w:p>
    <w:p>
      <w:pPr>
        <w:keepNext w:val="0"/>
        <w:keepLines/>
        <w:pageBreakBefore w:val="0"/>
        <w:widowControl w:val="0"/>
        <w:numPr>
          <w:ilvl w:val="0"/>
          <w:numId w:val="0"/>
        </w:numPr>
        <w:spacing w:before="0" w:after="0" w:line="276"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La composición de los activos se encuentran 100% radicados en el sector eléctrico, que corresponden a inversiones en las actividades de generación, transmisión y distribución de energía eléctrica.</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0"/>
          <w:cols w:space="708"/>
        </w:sectPr>
      </w:pPr>
    </w:p>
    <w:p>
      <w:pPr>
        <w:keepNext/>
        <w:keepLines/>
        <w:pageBreakBefore w:val="0"/>
        <w:widowControl w:val="0"/>
        <w:numPr>
          <w:ilvl w:val="0"/>
          <w:numId w:val="0"/>
        </w:numPr>
        <w:tabs>
          <w:tab w:val="left" w:pos="700"/>
        </w:tabs>
        <w:spacing w:before="0" w:after="0" w:line="288" w:lineRule="auto"/>
        <w:ind w:left="0" w:right="0" w:firstLine="708"/>
        <w:jc w:val="both"/>
        <w:outlineLvl w:val="1"/>
        <w:rPr>
          <w:rFonts w:ascii="Calibri" w:eastAsia="Calibri" w:hAnsi="Calibri" w:cs="Calibri"/>
          <w:b w:val="0"/>
          <w:i w:val="0"/>
          <w:color w:val="000000"/>
          <w:sz w:val="20"/>
          <w:highlight w:val="white"/>
          <w:u w:val="none"/>
        </w:rPr>
      </w:pPr>
      <w:bookmarkStart w:id="10" w:name="Section9"/>
      <w:bookmarkEnd w:id="10"/>
      <w:r>
        <w:rPr>
          <w:rFonts w:ascii="Calibri" w:eastAsia="Calibri" w:hAnsi="Calibri" w:cs="Calibri"/>
          <w:b w:val="0"/>
          <w:i w:val="0"/>
          <w:color w:val="000000"/>
          <w:sz w:val="20"/>
          <w:highlight w:val="white"/>
          <w:u w:val="none"/>
        </w:rPr>
        <w:t>A</w:t>
      </w:r>
      <w:r>
        <w:rPr>
          <w:rFonts w:ascii="Calibri" w:eastAsia="Calibri" w:hAnsi="Calibri" w:cs="Calibri"/>
          <w:b w:val="0"/>
          <w:i w:val="0"/>
          <w:color w:val="000000"/>
          <w:sz w:val="20"/>
          <w:highlight w:val="white"/>
          <w:u w:val="none"/>
        </w:rPr>
        <w:t>spectos regulatorios: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 actividad de distribución de electricidad en Chile está sujeta a la normativa contemplada en la Ley General de Servicios Eléctricos (DFL N° 4-2006 del Ministerio de Economía, Fomento y Reconstrucción). Dicha ley establece un marco regulatorio con criterios objetivos para la fijación de precios, de forma tal que el resultado de su aplicación sea la asignación económicamente eficiente de recursos en el sector eléctrico. En particular, el artículo 7° define el servicio público eléctrico, el artículo N° 8 Ter establece la obligación de giro exclusivo de distribución, y el artículo 31° consagra que las concesiones definitivas se otorgan por plazo indefinido.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sistema regulatorio, vigente desde 1982, aunque ha sufrido modificaciones importantes en los últimos años, ha permitido un desarrollo satisfactorio del sector eléctrico. Asimismo, contribuyó a un rápido proceso de crecimiento, con altas tasas de inversión durante la última década, a la diversificación de la oferta en generación, e importantes reducciones en los costos de producción, transporte y distribución.</w:t>
      </w: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 Ley N° 21.194, publicada el 21 de diciembre de 2019, mediante la cual se rebajó la rentabilidad de las empresas de distribución y perfeccionó el proceso tarifario de distribución eléctrica, modificó el marco normativo que regula el segmento de distribución de electricidad, estableciendo, por un lado, un mecanismo de estabilización de los niveles de precios asociados al valor agregado por concepto de costos de distribución, debiendo ser incorporadas las diferencias originadas por su aplicación a las tarifas resultantes de los siguientes procesos de tarificación de los suministros a clientes regulados, y por otra parte, la obligación para las empresas distribuidoras de constituirse como sociedades de giro exclusivo de distribución de energía eléctrica. Sobre esta materia debe considerarse que la Comisión Nacional de Energía (CNE), en la resolución que definió el alcance de la exclusividad de giro establecida en la Ley N° 21.194, dispuso que en el caso de las empresas distribuidoras que operen en Sistemas Medianos se da cumplimiento a esta obligación mediante la implementación de un sistema de control y registro de gastos e ingresos que permita establecer de forma diferenciada los resultados de la gestión económica correspondiente a la prestación de los servicios comprendidos dentro del giro exclusivo de distribución.</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En particular, el mercado ha sido dividido en dos categorías: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14"/>
        </w:numPr>
        <w:spacing w:before="0" w:after="0" w:line="240" w:lineRule="exact"/>
        <w:ind w:left="1417" w:right="0" w:hanging="709"/>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Clientes sujetos a fijación de precios o clientes regulados, que corresponden principalmente a aquellos cuya potencia conectada es igual o inferior a 5.000 kW y;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14"/>
        </w:numPr>
        <w:spacing w:before="0" w:after="0" w:line="240" w:lineRule="exact"/>
        <w:ind w:left="1417" w:right="0" w:hanging="709"/>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Clientes no sujetos a fijación de precios o clientes libres. Las tarifas aplicables a clientes regulados son fijadas por la autoridad, mientras que los precios de suministro para clientes libres se pactan libremente.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Adicionalmente, los clientes regulados que tienen una potencia conectada mayor a 300 kW se encuentran facultados para optar entre la tarifa regulada y una de precio libre, con un periodo mínimo de cuatro años de permanencia en cada régimen, y comunicado con una antelación de, al menos, 12 meses. Se hace presente que, a partir del 9 de diciembre de 2024, mediante la publicación de la Resolución Exenta N° 58-2024 del Ministerio de Energía, dicho límite fue rebajado de 500 kW a 300 kW, previa consulta del Ministerio al Tribunal de la Libre Competencia.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Demanda: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crecimiento de la demanda va a depender del incremento del consumo, el cual se relaciona con el mejoramiento del ingreso y el desarrollo tecnológico asociado a mayor acceso a equipos electrodomésticos y de automatización en la industria. Otro factor influyente es el incremento de la población y las viviendas, lo que está fuertemente asociado a los planes de desarrollo urbano. Lo anterior permite concluir que el crecimiento de este mercado está asociado al crecimiento de la región. Podemos inferir que el consumo per cápita aún es bajo, en comparación a países desarrollados, por lo tanto, las perspectivas de crecimiento del consumo de energía eléctrica son positivas, lo que se traduce en que el riesgo relacionado a la volatilidad y evolución de la demanda es bastante reducido.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Precios Generación – Transmisión:</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Los segmentos de generación y transmisión de las empresas cuya capacidad instalada sea mayor a </w:t>
      </w:r>
      <w:r>
        <w:rPr>
          <w:rFonts w:ascii="Calibri" w:eastAsia="Calibri" w:hAnsi="Calibri" w:cs="Calibri"/>
          <w:b w:val="0"/>
          <w:i w:val="0"/>
          <w:sz w:val="20"/>
        </w:rPr>
        <w:t>1,5 MW y menor a 200 MW, denominados Sistemas Medianos, están regulados por el Estado. La regulación establece las condiciones de precios y define la expansión de los sistemas en el mediano plazo</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El marco regulatorio está definido por la Ley General de Servicios Eléctricos cuyo texto se encuentra contenido en el DFL N° 4-2006 del Ministerio de Economía, Fomento y Reconstrucción, el Reglamento de la Ley General de Servicios Eléctricos (Decreto N° 327- 1997 del Ministerio de Minería), el Reglamento de Valorización y Expansión de los Sistemas Medianos (Decreto N° 229-2005 del Ministerio de Economía, Fomento y Reconstrucción) y los decretos tarifarios y demás normas técnicas y reglamentarias emanadas del referido Ministerio, de la Comisión Nacional de Energía (CNE) y de la Superintendencia de Electricidad y Combustibles (SEC).</w:t>
      </w:r>
    </w:p>
    <w:p>
      <w:pPr>
        <w:keepNext w:val="0"/>
        <w:keepLines/>
        <w:pageBreakBefore w:val="0"/>
        <w:widowControl w:val="0"/>
        <w:numPr>
          <w:ilvl w:val="0"/>
          <w:numId w:val="0"/>
        </w:numPr>
        <w:spacing w:before="0" w:after="0" w:line="276"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Este segmento no opera bajo concesión de servicio público y por consiguiente existe libertad para que otros actores participen del sistema eléctrico, debiéndose operar en estos casos las instalaciones en forma coordinada.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Al respecto, con fecha 30 de abril de 2020 fue publicado el Decreto N° 10T-2019 del Ministerio de Energía, que fija precios a nivel generación y transmisión en Sistemas Medianos de Punta Arenas, Puerto Natales, Porvenir y Puerto Williams, y establece planes de expansión en los sistemas señalados para el periodo 2018-2022. Este decreto determinó como parte del Plan de Expansión del sistema Punta Arenas, la entrada en operación de un parque eólico de propiedad de la empresa Vientos Patagónicos S.A. a partir de enero de 2020 con una potencia instalada de 10,35 MW, así como la conexión de una Línea de Transmisión, de propiedad de Pecket Energy S.A., que unirá este nuevo parque con la Central Tres Puentes, siendo dicha empresa también propietaria del parque eólico de 2,55 MW que se encuentra en operación en el mismo sistema desde julio de 2015. De acuerdo a lo informado por su dueño y aprobado por la Comisión Nacional de Energía (CNE) en su Resolución Exenta N° 385-2020, el parque eólico Vientos Patagónicos inició sus operaciones en el mes de octubre de 2020. La capacidad instalada de ambos parques eólicos representa un 13,65% de la potencia instalada total del sistema mediano de Punta Arenas.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 fecha 4 de julio de 2025 fue publicado el Decreto N° 8T-2024 del Ministerio de Energía, que fija precios a nivel generación y transmisión en Sistemas Medianos de Punta Arenas, Puerto Natales, Porvenir y Puerto Williams, y establece planes de expansión en los sistemas señalados para el periodo 2022-2026. Este Decreto reemplazará en Decreto 10T-2019 a contar del 1° de enero de 2026.</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tarifas de generación y transmisión se fijan por decreto supremo cada 4 años, considerando una metodología basada en la determinación del costo incremental de desarrollo y el costo total de largo plazo de una empresa eficiente. A partir del dimensionamiento de esta empresa eficiente, se fijan las tarifas considerando una tasa de descuento de 10% antes de impuestos. Este estudio considera una capacidad de generación adaptada a la demanda, que permita cumplir con una óptima calidad de servicio.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E</w:t>
      </w:r>
      <w:r>
        <w:rPr>
          <w:rFonts w:ascii="Calibri" w:eastAsia="Calibri" w:hAnsi="Calibri" w:cs="Calibri"/>
          <w:b w:val="0"/>
          <w:i w:val="0"/>
          <w:color w:val="000000"/>
          <w:sz w:val="20"/>
          <w:highlight w:val="white"/>
          <w:u w:val="none"/>
        </w:rPr>
        <w:t>stas tarifas se indexan semestralmente o cada vez que ocurra una variación superior al 10%, según las fórmulas establecidas en los decretos respectivos. En el caso de las tarifas de generación, las fórmulas de indexación vigentes incorporan como parámetro indexador de los combustibles, el promedio de tres meses del precio del gas natural y de seis meses del precio del petróleo diésel. En este contexto, cuando las condiciones de precio de estos combustibles se modifican, no es posible traspasar inmediatamente a tarifa sus efectos. Al no existir un esquema pass-through perfecto existe un riesgo asociado a las modificaciones de precios de los combustibles, principalmente el precio del gas natural por su mayor incidencia en la generación de Edelmag. El decreto tarifario permite traspasar las diferencias de costos de combustibles cuando existan restricciones de gas que obliguen a generar con diésel, debidamente instruido por la autoridad competente.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Aptos" w:eastAsia="Aptos" w:hAnsi="Aptos" w:cs="Aptos"/>
          <w:b w:val="0"/>
          <w:i w:val="0"/>
          <w:color w:val="000000"/>
          <w:sz w:val="22"/>
          <w:highlight w:val="white"/>
          <w:u w:val="none"/>
        </w:rPr>
      </w:pPr>
      <w:r>
        <w:rPr>
          <w:rFonts w:ascii="Calibri" w:eastAsia="Calibri" w:hAnsi="Calibri" w:cs="Calibri"/>
          <w:b w:val="0"/>
          <w:i w:val="0"/>
          <w:color w:val="000000"/>
          <w:sz w:val="20"/>
          <w:highlight w:val="white"/>
          <w:u w:val="none"/>
        </w:rPr>
        <w:t>Estabilización de precios de generación: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Mediante la Ley N° 21.185 publicada el 2 de noviembre de 2019, se estableció un mecanismo transitorio de estabilización de precios de generación de energía eléctrica para clientes sujetos a regulación de tarifas, el cual es aplicable a las empresas que operan en el Sistema Eléctrico Nacional. Posteriormente, mediante la Ley N° 21.194, publicada el 21 de diciembre de 2019 se hizo extensiva la aplicación de dicho mecanismo a los Sistemas Medianos. Dicho mecanismo implica que las tarifas aplicadas no se modifiquen durante un tiempo, no obstante, los ingresos que se generen como diferencial entre la facturación de consumos con la tarifa estabilizada y las tarifas que correspondería aplicar según la normativa vigente conformará un saldo que será retribuido entre el año 2024 y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2 de agosto de 2022 fue promulgada la Ley N° 21.472. Esta ley modifica la Ley General de Servicios Eléctricos creando un Fondo de Estabilización de Tarifas (FET), el cual será administrado por la Tesorería General de la República, y cuyo objeto será la estabilización de las tarifas eléctricas para clientes regulados. Establece que, dentro del cargo por servicio público, se considerará un pago adicional máximo, que tendrá por objeto financiar el Fondo de Estabilización de Tarifas, y que será diferenciado por tramos de consumo de acuerdo con los parámetros establecidos en la ley. Además, establece un Mecanismo Transitorio de Protección al Cliente. Su vigencia se extiende hasta el 31 de diciembre de 2032.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Times New Roman" w:eastAsia="Times New Roman" w:hAnsi="Times New Roman" w:cs="Times New Roman"/>
          <w:b w:val="0"/>
          <w:i w:val="0"/>
          <w:color w:val="000000"/>
          <w:sz w:val="22"/>
          <w:highlight w:val="white"/>
          <w:u w:val="none"/>
        </w:rPr>
      </w:pPr>
      <w:r>
        <w:rPr>
          <w:rFonts w:ascii="Calibri" w:eastAsia="Calibri" w:hAnsi="Calibri" w:cs="Calibri"/>
          <w:b w:val="0"/>
          <w:i w:val="0"/>
          <w:color w:val="000000"/>
          <w:sz w:val="20"/>
          <w:highlight w:val="white"/>
          <w:u w:val="none"/>
        </w:rPr>
        <w:t>Posteriormente, el 30 de abril de 2024 se publicó en el Diario Oficial la Ley N° 21.667 que “Modifica diversos cuerpos legales en materia de estabilización tarifaria”. cuyo objeto consiste en mitigar el alza en las cuentas de la luz. También, busca implementar un subsidio transitorio para el consumo eléctrico de clientes residenciales vulnerables durante 2024-2026.</w:t>
      </w: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También considera una reformulación del c</w:t>
      </w:r>
      <w:r>
        <w:rPr>
          <w:rFonts w:ascii="Calibri" w:eastAsia="Calibri" w:hAnsi="Calibri" w:cs="Calibri"/>
          <w:b w:val="0"/>
          <w:i w:val="0"/>
          <w:sz w:val="20"/>
        </w:rPr>
        <w:t>argo MPC. A</w:t>
      </w:r>
      <w:r>
        <w:rPr>
          <w:rFonts w:ascii="Calibri" w:eastAsia="Calibri" w:hAnsi="Calibri" w:cs="Calibri"/>
          <w:b w:val="0"/>
          <w:i w:val="0"/>
          <w:color w:val="000000"/>
          <w:sz w:val="20"/>
          <w:highlight w:val="white"/>
          <w:u w:val="none"/>
        </w:rPr>
        <w:t>quí se establece un valor fijo para el cargo, con ajustes semestrales según el Indice</w:t>
      </w:r>
      <w:r>
        <w:rPr>
          <w:rFonts w:ascii="Calibri" w:eastAsia="Calibri" w:hAnsi="Calibri" w:cs="Calibri"/>
          <w:b w:val="0"/>
          <w:i w:val="0"/>
          <w:color w:val="000000"/>
          <w:sz w:val="20"/>
          <w:highlight w:val="white"/>
          <w:u w:val="none"/>
        </w:rPr>
        <w:t xml:space="preserve"> de Precios al Cons</w:t>
      </w:r>
      <w:r>
        <w:rPr>
          <w:rFonts w:ascii="Calibri" w:eastAsia="Calibri" w:hAnsi="Calibri" w:cs="Calibri"/>
          <w:b w:val="0"/>
          <w:i w:val="0"/>
          <w:color w:val="000000"/>
          <w:sz w:val="20"/>
          <w:u w:val="none"/>
        </w:rPr>
        <w:t>umidor (</w:t>
      </w:r>
      <w:r>
        <w:rPr>
          <w:rFonts w:ascii="Calibri" w:eastAsia="Calibri" w:hAnsi="Calibri" w:cs="Calibri"/>
          <w:b w:val="0"/>
          <w:i w:val="0"/>
          <w:sz w:val="20"/>
        </w:rPr>
        <w:t>IPC), par</w:t>
      </w:r>
      <w:r>
        <w:rPr>
          <w:rFonts w:ascii="Calibri" w:eastAsia="Calibri" w:hAnsi="Calibri" w:cs="Calibri"/>
          <w:b w:val="0"/>
          <w:i w:val="0"/>
          <w:color w:val="000000"/>
          <w:sz w:val="20"/>
          <w:highlight w:val="white"/>
          <w:u w:val="none"/>
        </w:rPr>
        <w:t>a extinguir los saldos originados por las leyes anteriores, aplicables a todos los clientes regulados a partir de 2025.</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Por otra parte, se incluye la creación de una mesa técnica de trabajo. Esta permitirá evaluar otras fuentes de financiamiento, a efectos de aumentar el monto anual del subsidio a familias vulnerables. También, favorece el análisis de otras políticas destinadas a disminuir el alza de las tarifas eléctricas para los clientes regulados.</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cuanto al subsidio mencionado, en su artículo sexto transitorio la ley establece que durante los años 2024, 2025 y 2026, el subsidio transitorio al pago del consumo de energía eléctrica para usuarios residenciales a que se refiere el artículo 151 de la Ley General de Servicios Eléctricos será dispuesto mediante decreto supremo, fundado, expedido a través del Ministerio de Energía, dictado bajo la fórmula “por orden del Presidente de la República”, el que deberá ser suscrito además, por el Ministro de Hacienda y el Ministro de Desarrollo Social y Familia. Este subsidio favorecerá a usuarios residenciales pertenecientes a los hogares identificados de acuerdo al instrumento del artículo 5° de la Ley N° 20.379, o el instrumento que lo reemplace, que se encuentren al día en el pago de las cuentas por concepto de dicho consumo y según los requisitos que se establezcan en el decreto supremo previamente indicado, en el cual, además, se regulará el procedimiento de concesión, pago y demás normas necesarias para su otorgamiento. Asimismo, este decreto supremo podrá establecer mecanismos alternativos al establecido en los incisos tercero y final del artículo 151 de la Ley General de Servicios Eléctricos.</w:t>
      </w:r>
    </w:p>
    <w:p>
      <w:pPr>
        <w:keepNext w:val="0"/>
        <w:keepLines/>
        <w:pageBreakBefore w:val="0"/>
        <w:widowControl w:val="0"/>
        <w:numPr>
          <w:ilvl w:val="0"/>
          <w:numId w:val="0"/>
        </w:numPr>
        <w:spacing w:before="0" w:after="0" w:line="257" w:lineRule="auto"/>
        <w:ind w:left="144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Durante los años 2024, 2025 y 2026, el Ministerio de Hacienda realizará aportes anuales de 20 millones de dólares de los Estados Unidos de América, o su equivalente en moneda nacional, al Fondo de Estabilización de Tarifas del artículo 1 de la Ley N° 21.472, mediante uno o más decretos expedidos bajo la fórmula “por orden del Presidente de la República”, recursos que serán utilizados para los fines establecidos en el presente artículo. Para el financiamiento de este subsidio se podrá destinar hasta un monto anual máximo de 120 millones de dólares de los Estados Unidos de América o su equivalente en moneda nacional, del Fondo de Estabilización de Tarifas, establecido en el artículo 212-14 de la Ley General de Servicios Eléctricos, así como los demás recursos que disponga la ley.</w:t>
      </w:r>
    </w:p>
    <w:p>
      <w:pPr>
        <w:keepNext w:val="0"/>
        <w:keepLines/>
        <w:pageBreakBefore w:val="0"/>
        <w:widowControl w:val="0"/>
        <w:numPr>
          <w:ilvl w:val="0"/>
          <w:numId w:val="0"/>
        </w:numPr>
        <w:spacing w:before="0" w:after="0" w:line="257" w:lineRule="auto"/>
        <w:ind w:left="144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Su vigencia se extiende hasta el 31 de diciembre de 2035.</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suministro de gas natural, necesario para la generación de energía eléctrica, se encuentra regulado por la normativa vigente Ley de Servicios de Gas y el Decreto 8T-2019 del Ministerio de Energía, que fija fórmulas tarifarias aplicables a los servicios de gas y servicios afines en la Región de Magallanes y de la Antártica Chilena, la que asegura su disponibilidad y garantiza su tarifa con independencia del nivel de consumo mensual. Por su parte, el Decreto 7T, publicado el 22 de febrero de 2022 actualiza el valor del gas al ingreso de sistema de distribución determinado en el Decreto 8T.</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D</w:t>
      </w:r>
      <w:r>
        <w:rPr>
          <w:rFonts w:ascii="Calibri" w:eastAsia="Calibri" w:hAnsi="Calibri" w:cs="Calibri"/>
          <w:b w:val="0"/>
          <w:i w:val="0"/>
          <w:color w:val="000000"/>
          <w:sz w:val="20"/>
          <w:highlight w:val="white"/>
          <w:u w:val="none"/>
        </w:rPr>
        <w:t xml:space="preserve">e lo indicado anteriormente se puede concluir que el negocio de generación–transmisión de los Sistemas Medianos posee un bajo nivel de riesgo desde el punto de vista tarifario, ya que los precios son determinados por la legislación vigente mediante un mecanismo de carácter técnico, el cual permite obtener una rentabilidad razonable para los activos invertidos en este sector. </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Precios Distribución:</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segmento de distribución de electricidad en Chile se encuentra regulado por el Estado debido a que presenta las características propias de monopolio natural.</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Consecuentemente, se establece un régimen de concesiones para el establecimiento, operación y explotación de redes de distribución de servicio público, donde se delimita territorialmente la zona de operación de las empresas distribuidoras. Asimismo, se regulan las condiciones de explotación de este negocio, los precios que se pueden cobrar a clientes regulados y la calidad de servicio que debe prestar.</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marco regulatorio de la industria eléctrica en Chile está definido por la Ley General de Servicios Eléctricos, cuyo texto se encuentra contenido en el DFL N° 4-2006 del Ministerio de Economía, Fomento y Reconstrucción, el Reglamento de la Ley General de Servicios Eléctricos (Decreto N° 327-1997 del Ministerio de Minería), los decretos tarifarios y demás normas técnicas y reglamentarias emanadas del Ministerio de Energía, de la Comisión Nacional de Energía (CNE) y de la Superintendencia de Electricidad y Combustibles (SEC).</w:t>
      </w:r>
    </w:p>
    <w:p>
      <w:pPr>
        <w:pStyle w:val="Normal-wk"/>
        <w:keepNext w:val="0"/>
        <w:keepLines/>
        <w:pageBreakBefore w:val="0"/>
        <w:widowControl w:val="0"/>
        <w:numPr>
          <w:ilvl w:val="0"/>
          <w:numId w:val="0"/>
        </w:numPr>
        <w:spacing w:before="0" w:after="0" w:line="240" w:lineRule="exact"/>
        <w:ind w:left="720"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i)</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Valor agregado de distribución (VAD).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w:t>
      </w:r>
      <w:r>
        <w:rPr>
          <w:rFonts w:ascii="Calibri" w:eastAsia="Calibri" w:hAnsi="Calibri" w:cs="Calibri"/>
          <w:b w:val="0"/>
          <w:i w:val="0"/>
          <w:color w:val="000000"/>
          <w:sz w:val="20"/>
          <w:highlight w:val="white"/>
          <w:u w:val="none"/>
        </w:rPr>
        <w:t>a tarifa regulada de distribución, que es fijada por el Ministerio de Energía en un procedimiento que es encabezado por la Comisión Nacional de Energía (CNE), resulta de la suma de tres componentes: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Precio de Nudo de Generación-Transmisión: Corresponde al precio aplicable a la compra de energía para consumos regulados. Dicho valor es fijado por la autoridad, de acuerdo con lo indicado precedentemente;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Cargo por Servicio Público y;</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V</w:t>
      </w:r>
      <w:r>
        <w:rPr>
          <w:rFonts w:ascii="Calibri" w:eastAsia="Calibri" w:hAnsi="Calibri" w:cs="Calibri"/>
          <w:b w:val="0"/>
          <w:i w:val="0"/>
          <w:color w:val="000000"/>
          <w:sz w:val="20"/>
          <w:highlight w:val="white"/>
          <w:u w:val="none"/>
        </w:rPr>
        <w:t>alor Agregado de Distribución (VAD), que permite cubrir los costos de operación y manteni</w:t>
      </w:r>
      <w:r>
        <w:rPr>
          <w:rFonts w:ascii="Calibri" w:eastAsia="Calibri" w:hAnsi="Calibri" w:cs="Calibri"/>
          <w:b w:val="0"/>
          <w:i w:val="0"/>
          <w:color w:val="000000"/>
          <w:sz w:val="20"/>
          <w:highlight w:val="white"/>
          <w:u w:val="none"/>
        </w:rPr>
        <w:t>miento del sistema de distribución, los correspondientes costos de comercialización y rentar sobre todas sus instalaciones.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Precio de Nudo de Generación-Transmisión y el Cargo por Servicio Público son traspasados a los clientes finales, correspondiendo el Valor Agregado de Distribución (VAD) a la retribución de la empresa distribuidora.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 Ley General de Servicios Eléctricos establece que cada 4 años se debe efectuar el cálculo de los costos de los componentes del Valor Agregado de Distribución (VAD), basado en el dimensionamiento de empresas modelo de distribución de energía eléctrica, las cuales deben ser eficientes y satisfacer óptimamente la demanda con la calidad de servicio determinada en la normativa vigente.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0" w:right="0" w:firstLine="1417"/>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Valor Agregado de Distribución retribuye: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Costos fijos por concepto de gastos de administración, facturación y atención del usuario, independiente de su consumo;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Pérdidas medias de distribución en potencia y energía;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Costos estándares de inversión, mantención y operación asociados a la distribución por unidad de potencia suministrada. Los costos anuales de inversión se calculan considerando el Valor Nuevo de Reemplazo, de instalaciones adaptadas a la demanda, su vida útil, y una tasa de actualización determinada en cada proceso tarifario, la que no puede ser inferior al 6% ni superior al 8% real anual después de impuestos.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Para la determinación del Valor Agregado de Distribución (VAD), en conformidad con el procedimiento definido en la Ley N° 21.194, el estudio de costos debe ser licitado y adjudicado, siendo ejecutado y supervisado por un comité integrado por representantes de las distribuidoras, dos representantes del Ministerio de Energía y dos representantes de la </w:t>
      </w:r>
      <w:r>
        <w:rPr>
          <w:rFonts w:ascii="Calibri" w:eastAsia="Calibri" w:hAnsi="Calibri" w:cs="Calibri"/>
          <w:b w:val="0"/>
          <w:i w:val="0"/>
          <w:color w:val="000000"/>
          <w:sz w:val="20"/>
          <w:highlight w:val="white"/>
          <w:u w:val="none"/>
        </w:rPr>
        <w:t>Comisión Nacional de Energía (CNE)</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 Comisión Nacional de Energía (CNE) debe elaborar un informe técnico sobre la base del señalado estudio, respecto del cual se podrán presentar observaciones ante ese mismo organismo y, posteriormente, discrepancias ante el Panel de Expertos.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C</w:t>
      </w:r>
      <w:r>
        <w:rPr>
          <w:rFonts w:ascii="Calibri" w:eastAsia="Calibri" w:hAnsi="Calibri" w:cs="Calibri"/>
          <w:b w:val="0"/>
          <w:i w:val="0"/>
          <w:color w:val="000000"/>
          <w:sz w:val="20"/>
          <w:highlight w:val="white"/>
          <w:u w:val="none"/>
        </w:rPr>
        <w:t>on el Valor Agregado de Distribución (VAD) definitivo, la Comisión Nacional de Energía (CNE) estructura las fórmulas tarifarias finales y sus fórmulas de indexación, las cuales, de acuerdo con los procedimientos establecidos, son fijadas mediante decreto del Ministerio de Energía. Dichas fórmulas de indexación, que son aplicadas mensualmente, reflejan las variaciones de los precios de los principales insumos que afectan los costos de la actividad de distribución de electricidad. Esto es sin perjuicio que en la Ley N° 21.194 se estableció un mecanismo transitorio que para que los niveles de precios asociados al Valor Agregado de Distribución que estén siendo aplicados a la fecha de su publicación, permanezcan constantes hasta el término de su vigencia, debiendo las diferencias ser incorporadas a las tarifas resultantes de los siguientes procesos de tarificación de los suministros a clientes regulados.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Dada la existencia de economías de escala en la actividad de distribución de electricidad, las empresas alcanzan anualmente rendimientos crecientes en función del aumento de sus costos y de la demanda en sus zonas de concesión, los cuales son incorporados en las tarifas reguladas y transferidos a los clientes mediante la aplicación de factores de ajuste anuales determinados por la Comisión Nacional de Energía (CNE) e incluidos en el decreto tarifario cuadrienal.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 Ley General de Servicios Eléctricos establece que al momento de la fijación de tarifas las concesionarias deben mantener una rentabilidad agregada, esto es considerando a todas las empresas como un conjunto, dentro de una banda comprendida entre -3 puntos porcentuales por debajo y 2 puntos porcentuales por arriba de la tasa de descuento que haya sido determinada. De este modo, el retorno sobre la inversión para una distribuidora dependerá de su desempeño relativo a los estándares determinados para una empresa modelo.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El</w:t>
      </w:r>
      <w:r>
        <w:rPr>
          <w:rFonts w:ascii="Calibri" w:eastAsia="Calibri" w:hAnsi="Calibri" w:cs="Calibri"/>
          <w:b w:val="0"/>
          <w:i w:val="0"/>
          <w:color w:val="000000"/>
          <w:sz w:val="20"/>
          <w:highlight w:val="white"/>
          <w:u w:val="none"/>
        </w:rPr>
        <w:t xml:space="preserve"> 7 de junio de 2024 fue publicado en el Diario Oficial el Decreto N° 5T-2024 del Ministerio de Energía, que fija las fórmulas tarifarias aplicables a clientes finales sujetos a fijación de precios regulados, las cuales tienen vigencia desde el 4 de noviembre de 2020 hasta el 3 de noviembre de 2024. Posteriormente, el 9 de abril de 2025 la Contraloría General de la República dio curso al Decreto N° 5T-2024, el que, en atención a las enmiendas incorporadas por ese organismo, fue publicado nuevamente el 21 de abril de 2025 en el Diario Oficial.No obstante lo anterior, la Ley establece que, una vez vencido el ejercicio de vigencia de las fórmulas tarifarias, estas continuarán vigentes, incluidas sus cláusulas de indexación, mientras no sean fijadas las nuevas fórmulas.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30" w:lineRule="exact"/>
        <w:ind w:left="1417" w:right="0" w:firstLine="0"/>
        <w:jc w:val="both"/>
        <w:outlineLvl w:val="9"/>
        <w:rPr>
          <w:rFonts w:ascii="Times New Roman" w:eastAsia="Times New Roman" w:hAnsi="Times New Roman" w:cs="Times New Roman"/>
          <w:b w:val="0"/>
          <w:i w:val="0"/>
          <w:color w:val="000000"/>
          <w:sz w:val="22"/>
          <w:highlight w:val="white"/>
          <w:u w:val="none"/>
        </w:rPr>
      </w:pPr>
      <w:r>
        <w:rPr>
          <w:rFonts w:ascii="Calibri" w:eastAsia="Calibri" w:hAnsi="Calibri" w:cs="Calibri"/>
          <w:b w:val="0"/>
          <w:i w:val="0"/>
          <w:color w:val="000000"/>
          <w:sz w:val="20"/>
          <w:highlight w:val="white"/>
          <w:u w:val="none"/>
        </w:rPr>
        <w:t>Actualmente se encuentra en curso el proceso de fijación de tarifas correspondiente al cálculo de las componentes del Valor Agregado de Distribución (VAD), cuadrienio noviembre 2024–2028, cuya aplicación debió iniciarse a partir del 4 de noviembre de 2024. Así, las diferencias que se produzcan entre lo efectivamente facturado y lo que corresponda acorde a las fórmulas tarifarias que en definitiva se establezcan, deberán ser abonadas o cargadas a la cuenta de los clientes finales.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30" w:lineRule="exact"/>
        <w:ind w:left="720" w:right="0" w:firstLine="0"/>
        <w:jc w:val="both"/>
        <w:outlineLvl w:val="9"/>
        <w:rPr>
          <w:rFonts w:ascii="Times New Roman" w:eastAsia="Times New Roman" w:hAnsi="Times New Roman" w:cs="Times New Roman"/>
          <w:b w:val="0"/>
          <w:i w:val="0"/>
          <w:color w:val="000000"/>
          <w:sz w:val="22"/>
          <w:highlight w:val="white"/>
          <w:u w:val="none"/>
        </w:rPr>
      </w:pPr>
      <w:r>
        <w:rPr>
          <w:rFonts w:ascii="Calibri" w:eastAsia="Calibri" w:hAnsi="Calibri" w:cs="Calibri"/>
          <w:b w:val="0"/>
          <w:i w:val="0"/>
          <w:color w:val="000000"/>
          <w:sz w:val="20"/>
          <w:highlight w:val="white"/>
          <w:u w:val="none"/>
        </w:rPr>
        <w:t>ii)</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Precios de servicios no consistentes en suministro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14"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Por otra parte, en la misma ocasión en que se fija el Valor Agregado de Distribución (VAD), cada cuatro años, se fijan los precios de los servicios no consistentes en suministros de energía, entre los cuales destacan los servicios de apoyo de redes de telecomunicaciones, arriendo de medidores y conexión y desconexión de empalmes.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procedimiento para la fijación de los precios de dichos servicios se encuentra contenido en el Decreto     N° 341-2007 del Ministerio de Economía, Fomento y Reconstrucción, publicado en el Diario Oficial del 10 de marzo de 2008.</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En d</w:t>
      </w:r>
      <w:r>
        <w:rPr>
          <w:rFonts w:ascii="Calibri" w:eastAsia="Calibri" w:hAnsi="Calibri" w:cs="Calibri"/>
          <w:b w:val="0"/>
          <w:i w:val="0"/>
          <w:color w:val="000000"/>
          <w:sz w:val="20"/>
          <w:highlight w:val="white"/>
          <w:u w:val="none"/>
        </w:rPr>
        <w:t>icho reglamento se establece que la revisión y determinación de nuevos precios de servicios no consistentes en suministro de energía, la que debe efectuarse con ocasión del proceso de fijación de tarifas de suministro de distribución, debe hacerse sobre la base de los estudios de costos del valor agregado de distribución y de criterios de eficiencia, debiendo ser plenamente coherentes. Dicha coherencia se funda en el hecho que una misma empresa es la que provee el servicio de distribución, así como los servicios no consistentes en suministro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Para d</w:t>
      </w:r>
      <w:r>
        <w:rPr>
          <w:rFonts w:ascii="Calibri" w:eastAsia="Calibri" w:hAnsi="Calibri" w:cs="Calibri"/>
          <w:b w:val="0"/>
          <w:i w:val="0"/>
          <w:color w:val="000000"/>
          <w:sz w:val="20"/>
          <w:highlight w:val="white"/>
          <w:u w:val="none"/>
        </w:rPr>
        <w:t>ar cumplimiento a lo anterior, la Comisión Nacional de Energía (CNE) debe encargar un estudio de costos que es financiado, licitado y supervisado por ella, en el cual se estiman los costos del valor agregado de distribución y de los servicios no consistentes en suministro de energía. Dicho informe es sometido a la revisión de las empresas de distribución de electricidad y en caso de discrepancias, ellas son sometidas al dictamen del Panel de Expertos.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Por ot</w:t>
      </w:r>
      <w:r>
        <w:rPr>
          <w:rFonts w:ascii="Calibri" w:eastAsia="Calibri" w:hAnsi="Calibri" w:cs="Calibri"/>
          <w:b w:val="0"/>
          <w:i w:val="0"/>
          <w:color w:val="000000"/>
          <w:sz w:val="20"/>
          <w:highlight w:val="white"/>
          <w:u w:val="none"/>
        </w:rPr>
        <w:t>ra parte, la Comisión Nacional de Energía (CNE), mediante Resolución Exenta N° 503 del 24 de septiembre de 2024, luego rectificada por la Resolución Exenta N° 539 del 4 de octubre de 2024, comunicó el informe técnico que fija las fórmulas tarifarias de servicios no consistentes en suministro de energía, asociados a la distribución de electricidad, del cuadrienio noviembre 2020-noviembre 2024, respecto del cual, con fecha 12 de noviembre de 2024, la Empresa Eléctrica de Magallanes en conjunto con Compañía General de Electricidad S.A. (CGE) presentaron sus discrepancias al Panel de Expertos y el 31 de marzo de 2025 el Panel evacuó sus respectivos dictámenes.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color w:val="242424"/>
          <w:sz w:val="20"/>
          <w:highlight w:val="white"/>
          <w:u w:val="none"/>
        </w:rPr>
      </w:pPr>
      <w:r>
        <w:rPr>
          <w:rFonts w:ascii="Calibri" w:eastAsia="Calibri" w:hAnsi="Calibri" w:cs="Calibri"/>
          <w:b w:val="0"/>
          <w:i w:val="0"/>
          <w:sz w:val="20"/>
        </w:rPr>
        <w:t>P</w:t>
      </w:r>
      <w:r>
        <w:rPr>
          <w:rFonts w:ascii="Calibri" w:eastAsia="Calibri" w:hAnsi="Calibri" w:cs="Calibri"/>
          <w:b w:val="0"/>
          <w:i w:val="0"/>
          <w:color w:val="000000"/>
          <w:sz w:val="20"/>
          <w:u w:val="none"/>
        </w:rPr>
        <w:t xml:space="preserve">osteriormente, la Resolución Exenta N° 395 de fecha 8 de julio de 2025, comunica a las empresas concesionarias de distribución la aprobación del Informe Técnico Definitivo “Fijación de fórmulas tarifarias de servicios no consistentes en suministro de energía, asociados a la distribución de electricidad, cuadrienio noviembre 2020-noviembre 2024”. A esta fecha no se ha emitido el decreto tarifario correspondiente.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Finalmente, el 10 de abril de 2026, fue publicado en el Diario Oficial el Decreto 2T-2026 del Ministerio de Energía, que fija los nuevos precios de servicios no consistentes en suministros de energía, asociados a la distribución eléctrica, correspondiente al cuadrienio noviembre 2020-noviembre 2024</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1" w:name="Section10"/>
      <w:bookmarkEnd w:id="11"/>
      <w:bookmarkStart w:id="12" w:name="fa666b8347e9441a9d8a74862f9e31a3"/>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2"/>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intermedios se detallan a continuación. Estas políticas han sido aplicadas uniformemente en todos los periodos y ejercicios presentados, a menos que se indique lo contrario.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 w:name="Section11"/>
      <w:bookmarkEnd w:id="13"/>
      <w:bookmarkStart w:id="14" w:name="aecb8394f29045d39d21137407f6914a"/>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intermedios.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intermedios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 Internacional de Contabilidad N° 34 (NIC 34) incorporada a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intermedios han sido preparados de acuerdo con el principio de costo, modificado por la revaluación de propiedades de inversión.</w:t>
      </w:r>
    </w:p>
    <w:p>
      <w:pPr>
        <w:keepNext w:val="0"/>
        <w:keepLines/>
        <w:pageBreakBefore w:val="0"/>
        <w:widowControl w:val="0"/>
        <w:numPr>
          <w:ilvl w:val="0"/>
          <w:numId w:val="0"/>
        </w:numPr>
        <w:spacing w:before="0" w:after="0" w:line="288" w:lineRule="auto"/>
        <w:ind w:left="1418" w:right="0" w:hanging="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preparación de los estados financieros intermedios se han utilizado las políticas emanadas desde State Grid Chile Electricity SpA.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preparación de los estados financieros intermedios se han utilizado estimaciones contables críticas para cuantificar algunos activos, pasivos, ingresos y gastos. Las áreas que involucran un mayor grado de juicio o complejidad o áreas en las que los supuestos y estimaciones son significativos para los estados financieros intermedios se describen en Nota 4.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highlight w:val="yellow"/>
          <w:u w:val="none"/>
        </w:rPr>
      </w:pPr>
      <w:bookmarkStart w:id="15" w:name="Section12"/>
      <w:bookmarkEnd w:id="15"/>
      <w:bookmarkStart w:id="16" w:name="2835aad8c4164df69b1e993b6abb5aea"/>
      <w:r>
        <w:rPr>
          <w:rFonts w:ascii="Calibri" w:eastAsia="Calibri" w:hAnsi="Calibri" w:cs="Calibri"/>
          <w:b/>
          <w:i w:val="0"/>
          <w:color w:val="000000"/>
          <w:sz w:val="20"/>
          <w:highlight w:val="yellow"/>
          <w:u w:val="none"/>
        </w:rPr>
        <w:t>3.2.-</w:t>
      </w:r>
      <w:r>
        <w:rPr>
          <w:rFonts w:ascii="Calibri" w:eastAsia="Calibri" w:hAnsi="Calibri" w:cs="Calibri"/>
          <w:b/>
          <w:i w:val="0"/>
          <w:color w:val="000000"/>
          <w:sz w:val="20"/>
          <w:highlight w:val="yellow"/>
          <w:u w:val="none"/>
        </w:rPr>
        <w:tab/>
      </w:r>
      <w:r>
        <w:rPr>
          <w:rFonts w:ascii="Calibri" w:eastAsia="Calibri" w:hAnsi="Calibri" w:cs="Calibri"/>
          <w:b/>
          <w:i w:val="0"/>
          <w:color w:val="000000"/>
          <w:sz w:val="20"/>
          <w:highlight w:val="yellow"/>
          <w:u w:val="none"/>
        </w:rPr>
        <w:t>Nuevos estándares, interpretaciones y enmiendas adoptadas por la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3.2.1.-</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76" w:lineRule="auto"/>
        <w:ind w:left="2844" w:right="0" w:hanging="708"/>
        <w:jc w:val="left"/>
        <w:outlineLvl w:val="9"/>
        <w:rPr>
          <w:rFonts w:ascii="Calibri" w:eastAsia="Calibri" w:hAnsi="Calibri" w:cs="Calibri"/>
          <w:b w:val="0"/>
          <w:i w:val="0"/>
          <w:sz w:val="20"/>
        </w:rPr>
      </w:pPr>
    </w:p>
    <w:p>
      <w:pPr>
        <w:keepNext w:val="0"/>
        <w:keepLines/>
        <w:pageBreakBefore w:val="0"/>
        <w:widowControl w:val="0"/>
        <w:numPr>
          <w:ilvl w:val="0"/>
          <w:numId w:val="16"/>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tabs>
          <w:tab w:val="left" w:pos="700"/>
        </w:tabs>
        <w:spacing w:before="0" w:after="0" w:line="269"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3"/>
          <w:numId w:val="15"/>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tabs>
          <w:tab w:val="left" w:pos="700"/>
        </w:tabs>
        <w:spacing w:before="0" w:after="0" w:line="276" w:lineRule="auto"/>
        <w:ind w:left="1440" w:right="0" w:firstLine="0"/>
        <w:jc w:val="both"/>
        <w:outlineLvl w:val="9"/>
        <w:rPr>
          <w:rFonts w:ascii="Calibri" w:eastAsia="Calibri" w:hAnsi="Calibri" w:cs="Calibri"/>
          <w:b w:val="0"/>
          <w:i w:val="0"/>
          <w:sz w:val="24"/>
        </w:rPr>
      </w:pPr>
    </w:p>
    <w:p>
      <w:pPr>
        <w:keepNext w:val="0"/>
        <w:keepLines/>
        <w:pageBreakBefore w:val="0"/>
        <w:widowControl w:val="0"/>
        <w:numPr>
          <w:ilvl w:val="3"/>
          <w:numId w:val="15"/>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0"/>
        </w:numPr>
        <w:tabs>
          <w:tab w:val="left" w:pos="700"/>
        </w:tabs>
        <w:spacing w:before="0" w:after="0" w:line="276"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17"/>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3.2.2.-</w:t>
      </w:r>
      <w:r>
        <w:rPr>
          <w:rFonts w:ascii="Calibri" w:eastAsia="Calibri" w:hAnsi="Calibri" w:cs="Calibri"/>
          <w:b w:val="0"/>
          <w:i w:val="0"/>
          <w:sz w:val="20"/>
        </w:rPr>
        <w:tab/>
      </w:r>
      <w:r>
        <w:rPr>
          <w:rFonts w:ascii="Calibri" w:eastAsia="Calibri" w:hAnsi="Calibri" w:cs="Calibri"/>
          <w:b w:val="0"/>
          <w:i w:val="0"/>
          <w:sz w:val="20"/>
        </w:rPr>
        <w:t xml:space="preserve">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3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3.2.3.-</w:t>
      </w:r>
      <w:r>
        <w:rPr>
          <w:rFonts w:ascii="Calibri" w:eastAsia="Calibri" w:hAnsi="Calibri" w:cs="Calibri"/>
          <w:b w:val="0"/>
          <w:i w:val="0"/>
          <w:sz w:val="20"/>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69"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18"/>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19"/>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2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24" w:lineRule="exact"/>
        <w:ind w:left="2160" w:right="0" w:firstLine="0"/>
        <w:jc w:val="both"/>
        <w:outlineLvl w:val="9"/>
        <w:rPr>
          <w:rFonts w:ascii="Aptos" w:eastAsia="Aptos" w:hAnsi="Aptos" w:cs="Aptos"/>
          <w:b w:val="0"/>
          <w:i w:val="0"/>
          <w:sz w:val="24"/>
        </w:rPr>
      </w:pPr>
      <w:r>
        <w:rPr>
          <w:rFonts w:ascii="Calibri" w:eastAsia="Calibri" w:hAnsi="Calibri" w:cs="Calibri"/>
          <w:b w:val="0"/>
          <w:i w:val="0"/>
          <w:sz w:val="20"/>
        </w:rPr>
        <w:t>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adopción de esta norma y su enmienda no generó impactos en los estados financieros intermedios de la Sociedad en la fecha de aplicación inicial.</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val="0"/>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highlight w:val="yellow"/>
          <w:u w:val="none"/>
        </w:rPr>
      </w:pPr>
      <w:bookmarkStart w:id="17" w:name="Section13"/>
      <w:bookmarkEnd w:id="17"/>
      <w:bookmarkStart w:id="18" w:name="b469dc1e55bb4e038df4099626f6c62e"/>
      <w:r>
        <w:rPr>
          <w:rFonts w:ascii="Calibri" w:eastAsia="Calibri" w:hAnsi="Calibri" w:cs="Calibri"/>
          <w:b/>
          <w:i w:val="0"/>
          <w:color w:val="000000"/>
          <w:sz w:val="20"/>
          <w:highlight w:val="yellow"/>
          <w:u w:val="none"/>
        </w:rPr>
        <w:t>3.3.-</w:t>
      </w:r>
      <w:r>
        <w:rPr>
          <w:rFonts w:ascii="Calibri" w:eastAsia="Calibri" w:hAnsi="Calibri" w:cs="Calibri"/>
          <w:b/>
          <w:i w:val="0"/>
          <w:color w:val="000000"/>
          <w:sz w:val="20"/>
          <w:highlight w:val="yellow"/>
          <w:u w:val="none"/>
        </w:rPr>
        <w:tab/>
      </w:r>
      <w:r>
        <w:rPr>
          <w:rFonts w:ascii="Calibri" w:eastAsia="Calibri" w:hAnsi="Calibri" w:cs="Calibri"/>
          <w:b/>
          <w:i w:val="0"/>
          <w:color w:val="000000"/>
          <w:sz w:val="20"/>
          <w:highlight w:val="yellow"/>
          <w:u w:val="none"/>
        </w:rPr>
        <w:t>Nuevas normas, interpretaciones y enmiendas emitidas, no vigentes para el ejercicio 2026, para las cuales no se ha efectuado adopción anticipada de las mismas.</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bookmarkEnd w:id="18"/>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3.3.1.-</w:t>
      </w:r>
      <w:r>
        <w:rPr>
          <w:rFonts w:ascii="Calibri" w:eastAsia="Calibri" w:hAnsi="Calibri" w:cs="Calibri"/>
          <w:b w:val="0"/>
          <w:i w:val="0"/>
          <w:color w:val="000000"/>
          <w:sz w:val="20"/>
          <w:u w:val="none"/>
        </w:rPr>
        <w:tab/>
      </w:r>
      <w:r>
        <w:rPr>
          <w:rFonts w:ascii="Calibri" w:eastAsia="Calibri" w:hAnsi="Calibri" w:cs="Calibri"/>
          <w:b w:val="0"/>
          <w:i w:val="0"/>
          <w:sz w:val="20"/>
        </w:rPr>
        <w:t>En abril de 2024, el IASB emitió la NIIF 18 “Presentación e Información a Revelar en los Estados Financieros”, que sustituye a la NIC 1. Si bien se han incorporado la mayoría de las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hanging="708"/>
        <w:jc w:val="both"/>
        <w:outlineLvl w:val="9"/>
        <w:rPr>
          <w:rFonts w:ascii="Aptos" w:eastAsia="Aptos" w:hAnsi="Aptos" w:cs="Aptos"/>
          <w:b w:val="0"/>
          <w:i w:val="0"/>
          <w:sz w:val="24"/>
        </w:rPr>
      </w:pPr>
      <w:r>
        <w:rPr>
          <w:rFonts w:ascii="Calibri" w:eastAsia="Calibri" w:hAnsi="Calibri" w:cs="Calibri"/>
          <w:b w:val="0"/>
          <w:i w:val="0"/>
          <w:sz w:val="20"/>
        </w:rPr>
        <w:t xml:space="preserve"> </w:t>
      </w:r>
      <w:r>
        <w:rPr>
          <w:rFonts w:ascii="Calibri" w:eastAsia="Calibri" w:hAnsi="Calibri" w:cs="Calibri"/>
          <w:b w:val="0"/>
          <w:i w:val="0"/>
          <w:sz w:val="20"/>
        </w:rPr>
        <w:tab/>
      </w:r>
      <w:r>
        <w:rPr>
          <w:rFonts w:ascii="Calibri" w:eastAsia="Calibri" w:hAnsi="Calibri" w:cs="Calibri"/>
          <w:b w:val="0"/>
          <w:i w:val="0"/>
          <w:sz w:val="20"/>
        </w:rPr>
        <w:t>Además, 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tabs>
          <w:tab w:val="left" w:pos="700"/>
        </w:tabs>
        <w:spacing w:before="0" w:after="0" w:line="276" w:lineRule="auto"/>
        <w:ind w:left="2126"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NIIF 18 y todas las modificaciones consiguientes entran en vigor para los ejercicios que comiencen a partir del 1 de enero de 2027, permitiéndose su aplicación anticipada. Se requiere su aplicación retroactiva.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Entre los principales impactos se contempla la modificación del estado de resultados correspondiente al ejercicio 2026, junto con sus notas asociadas, los cuales serán objeto de reformulación en los estados financieros del ejercicio 2027. Esta reformulación implicará la incorporación de nuevos totales y subtotales en conformidad con los requerimientos establecidos por la NIIF 18. Adicionalmente, se anticipan cambios en la presentación de las notas explicativas, derivados de la aplicación de nuevos criterios de agregación y desagregación de la información financiera. Asimismo, se incorporará una nota específica destinada a la revelación de las medidas de desempeño definidas por la Administración.</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3.3.2.-</w:t>
      </w:r>
      <w:r>
        <w:rPr>
          <w:rFonts w:ascii="Calibri" w:eastAsia="Calibri" w:hAnsi="Calibri" w:cs="Calibri"/>
          <w:b w:val="0"/>
          <w:i w:val="0"/>
          <w:sz w:val="20"/>
        </w:rPr>
        <w:tab/>
      </w:r>
      <w:r>
        <w:rPr>
          <w:rFonts w:ascii="Calibri" w:eastAsia="Calibri" w:hAnsi="Calibri" w:cs="Calibri"/>
          <w:b w:val="0"/>
          <w:i w:val="0"/>
          <w:sz w:val="20"/>
        </w:rPr>
        <w:t xml:space="preserve">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NIIF 19 entrará en vigor para los períodos sobre los que se informa que comiencen a partir del 1 de enero de 2027, permitiéndose su aplicación anticipada.</w:t>
      </w:r>
    </w:p>
    <w:p>
      <w:pPr>
        <w:keepNext w:val="0"/>
        <w:keepLines/>
        <w:pageBreakBefore w:val="0"/>
        <w:widowControl w:val="0"/>
        <w:numPr>
          <w:ilvl w:val="0"/>
          <w:numId w:val="0"/>
        </w:numPr>
        <w:tabs>
          <w:tab w:val="left" w:pos="700"/>
        </w:tabs>
        <w:spacing w:before="0" w:after="0" w:line="276" w:lineRule="auto"/>
        <w:ind w:left="2126"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3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3.3.3.-</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w:t>
      </w:r>
      <w:r>
        <w:rPr>
          <w:rFonts w:ascii="Calibri" w:eastAsia="Calibri" w:hAnsi="Calibri" w:cs="Calibri"/>
          <w:b w:val="0"/>
          <w:i w:val="0"/>
          <w:sz w:val="20"/>
        </w:rPr>
        <w:t>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3.3.4.-</w:t>
      </w:r>
      <w:r>
        <w:rPr>
          <w:rFonts w:ascii="Calibri" w:eastAsia="Calibri" w:hAnsi="Calibri" w:cs="Calibri"/>
          <w:b w:val="0"/>
          <w:i w:val="0"/>
          <w:sz w:val="20"/>
        </w:rPr>
        <w:tab/>
      </w:r>
      <w:r>
        <w:rPr>
          <w:rFonts w:ascii="Calibri" w:eastAsia="Calibri" w:hAnsi="Calibri" w:cs="Calibri"/>
          <w:b w:val="0"/>
          <w:i w:val="0"/>
          <w:sz w:val="20"/>
        </w:rPr>
        <w:t xml:space="preserve">En noviembre de 2025, el IASB emitió las Enmiendas a los Ejemplos Ilustrativos de las NIIF 7, NIIF 18, NIC 1, NIC 8, NIC 36 y NIC 37 – Revelaciones sobre Incertidumbres en los Estados Financieros (“los ejemplos”), que agregaron ejemplos ilustrativos a varias Normas de Contabilidad de las NIIF. </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76"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Estos ejemplos ilustran requerimientos existentes en las Normas de Contabilidad de las NIIF. No agregan ni modifican los requerimientos vigentes. </w:t>
      </w: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21"/>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Juicios relacionados con la materialidad.</w:t>
      </w:r>
    </w:p>
    <w:p>
      <w:pPr>
        <w:keepNext w:val="0"/>
        <w:keepLines/>
        <w:pageBreakBefore w:val="0"/>
        <w:widowControl w:val="0"/>
        <w:numPr>
          <w:ilvl w:val="0"/>
          <w:numId w:val="22"/>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23"/>
        </w:numPr>
        <w:tabs>
          <w:tab w:val="left" w:pos="700"/>
        </w:tabs>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Supuestos: requisitos generales.</w:t>
      </w:r>
    </w:p>
    <w:p>
      <w:pPr>
        <w:keepNext w:val="0"/>
        <w:keepLines/>
        <w:pageBreakBefore w:val="0"/>
        <w:widowControl w:val="0"/>
        <w:numPr>
          <w:ilvl w:val="0"/>
          <w:numId w:val="24"/>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Riesg</w:t>
      </w:r>
      <w:r>
        <w:rPr>
          <w:rFonts w:ascii="Calibri" w:eastAsia="Calibri" w:hAnsi="Calibri" w:cs="Calibri"/>
          <w:b w:val="0"/>
          <w:i w:val="0"/>
          <w:sz w:val="20"/>
        </w:rPr>
        <w:t>o</w:t>
      </w:r>
      <w:r>
        <w:rPr>
          <w:rFonts w:ascii="Calibri" w:eastAsia="Calibri" w:hAnsi="Calibri" w:cs="Calibri"/>
          <w:b w:val="0"/>
          <w:i w:val="0"/>
          <w:sz w:val="20"/>
        </w:rPr>
        <w:t xml:space="preserve"> de crédito.</w:t>
      </w:r>
    </w:p>
    <w:p>
      <w:pPr>
        <w:keepNext w:val="0"/>
        <w:keepLines/>
        <w:pageBreakBefore w:val="0"/>
        <w:widowControl w:val="0"/>
        <w:numPr>
          <w:ilvl w:val="0"/>
          <w:numId w:val="25"/>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26"/>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4"/>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tabs>
          <w:tab w:val="left" w:pos="700"/>
        </w:tabs>
        <w:spacing w:before="0" w:after="0" w:line="276" w:lineRule="auto"/>
        <w:ind w:left="216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3.3.5.-</w:t>
      </w:r>
      <w:r>
        <w:rPr>
          <w:rFonts w:ascii="Calibri" w:eastAsia="Calibri" w:hAnsi="Calibri" w:cs="Calibri"/>
          <w:b w:val="0"/>
          <w:i w:val="0"/>
          <w:sz w:val="20"/>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76" w:lineRule="auto"/>
        <w:ind w:left="2126" w:right="0" w:firstLine="0"/>
        <w:jc w:val="both"/>
        <w:outlineLvl w:val="9"/>
        <w:rPr>
          <w:rFonts w:ascii="Arial" w:eastAsia="Arial" w:hAnsi="Arial" w:cs="Arial"/>
          <w:b w:val="0"/>
          <w:i w:val="0"/>
          <w:sz w:val="24"/>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76" w:lineRule="auto"/>
        <w:ind w:left="0" w:right="0" w:firstLine="0"/>
        <w:jc w:val="both"/>
        <w:outlineLvl w:val="9"/>
        <w:rPr>
          <w:rFonts w:ascii="Arial" w:eastAsia="Arial" w:hAnsi="Arial" w:cs="Arial"/>
          <w:b w:val="0"/>
          <w:i w:val="0"/>
          <w:sz w:val="24"/>
        </w:rPr>
      </w:pP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Administración de la Sociedad estima que la adopción de las Normas, Enmiendas e Interpretaciones (distintas de la NIIF 18) y que </w:t>
      </w:r>
      <w:r>
        <w:rPr>
          <w:rFonts w:ascii="Calibri" w:eastAsia="Calibri" w:hAnsi="Calibri" w:cs="Calibri"/>
          <w:b w:val="0"/>
          <w:i w:val="0"/>
          <w:color w:val="000000"/>
          <w:sz w:val="20"/>
          <w:u w:val="none"/>
        </w:rPr>
        <w:t>pudiesen</w:t>
      </w:r>
      <w:r>
        <w:rPr>
          <w:rFonts w:ascii="Calibri" w:eastAsia="Calibri" w:hAnsi="Calibri" w:cs="Calibri"/>
          <w:b w:val="0"/>
          <w:i w:val="0"/>
          <w:sz w:val="20"/>
        </w:rPr>
        <w:t xml:space="preserve"> aplicar a la Sociedad, no tendrán un impacto significativo en los estados financieros en el ejercicio de su primera aplicación.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spacing w:before="0" w:after="0" w:line="288" w:lineRule="auto"/>
        <w:ind w:left="0" w:right="0" w:firstLine="709"/>
        <w:jc w:val="both"/>
        <w:outlineLvl w:val="1"/>
        <w:rPr>
          <w:rFonts w:ascii="Calibri" w:eastAsia="Calibri" w:hAnsi="Calibri" w:cs="Calibri"/>
          <w:b/>
          <w:i w:val="0"/>
          <w:color w:val="000000"/>
          <w:sz w:val="20"/>
          <w:highlight w:val="yellow"/>
          <w:u w:val="none"/>
        </w:rPr>
      </w:pPr>
      <w:bookmarkStart w:id="19" w:name="Section14"/>
      <w:bookmarkEnd w:id="19"/>
      <w:bookmarkStart w:id="20" w:name="3d048849a3b14e0489225f8a34a4b1ca"/>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partidas incluidas en los estados financieros de la Sociedad se valoran utilizando la moneda del entorno económico principal en que la entidad opera (“moneda funcional”). La moneda funcional de </w:t>
      </w:r>
      <w:r>
        <w:rPr>
          <w:rFonts w:ascii="Calibri" w:eastAsia="Calibri" w:hAnsi="Calibri" w:cs="Calibri"/>
          <w:b w:val="0"/>
          <w:i w:val="0"/>
          <w:sz w:val="20"/>
        </w:rPr>
        <w:t>Empresa Eléctrica de Magallanes</w:t>
      </w:r>
      <w:r>
        <w:rPr>
          <w:rFonts w:ascii="Calibri" w:eastAsia="Calibri" w:hAnsi="Calibri" w:cs="Calibri"/>
          <w:b w:val="0"/>
          <w:i w:val="0"/>
          <w:color w:val="000000"/>
          <w:sz w:val="20"/>
          <w:u w:val="none"/>
        </w:rPr>
        <w:t xml:space="preserve"> S.A. es el Peso chileno, que constituye además la moneda de presentación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 resultado integral,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yellow"/>
          <w:u w:val="none"/>
        </w:rPr>
      </w:pPr>
    </w:p>
    <w:tbl>
      <w:tblPr>
        <w:tblW w:w="501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20"/>
        <w:gridCol w:w="1395"/>
        <w:gridCol w:w="1395"/>
      </w:tblGrid>
      <w:tr>
        <w:tblPrEx>
          <w:tblW w:w="5010" w:type="dxa"/>
          <w:tblInd w:w="2126"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3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39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r>
      <w:tr>
        <w:tblPrEx>
          <w:tblW w:w="5010" w:type="dxa"/>
          <w:tblInd w:w="2126"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3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p>
        </w:tc>
      </w:tr>
      <w:tr>
        <w:tblPrEx>
          <w:tblW w:w="5010" w:type="dxa"/>
          <w:tblInd w:w="2126"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31-12-2025</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907,13</w:t>
            </w:r>
          </w:p>
        </w:tc>
        <w:tc>
          <w:tcPr>
            <w:tcW w:w="13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39.727,96</w:t>
            </w:r>
          </w:p>
        </w:tc>
      </w:tr>
      <w:tr>
        <w:tblPrEx>
          <w:tblW w:w="5010" w:type="dxa"/>
          <w:tblInd w:w="2126"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30-06-2025</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933,42</w:t>
            </w:r>
          </w:p>
        </w:tc>
        <w:tc>
          <w:tcPr>
            <w:tcW w:w="13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39.267,07</w:t>
            </w: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tbl>
      <w:tblPr>
        <w:tblW w:w="5715" w:type="dxa"/>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700"/>
        <w:gridCol w:w="450"/>
        <w:gridCol w:w="1845"/>
      </w:tblGrid>
      <w:tr>
        <w:tblPrEx>
          <w:tblW w:w="5715" w:type="dxa"/>
          <w:tblInd w:w="2127"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6"/>
                <w:u w:val="none"/>
              </w:rPr>
              <w:t>CL $</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6"/>
                <w:u w:val="none"/>
              </w:rPr>
              <w:t>Peso chileno</w:t>
            </w:r>
          </w:p>
        </w:tc>
        <w:tc>
          <w:tcPr>
            <w:tcW w:w="45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84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5715" w:type="dxa"/>
          <w:tblInd w:w="2127"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6"/>
                <w:u w:val="none"/>
              </w:rPr>
              <w:t>US $</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6"/>
                <w:u w:val="none"/>
              </w:rPr>
              <w:t>Dólar estadounidense</w:t>
            </w:r>
          </w:p>
        </w:tc>
        <w:tc>
          <w:tcPr>
            <w:tcW w:w="45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84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5715" w:type="dxa"/>
          <w:tblInd w:w="2127"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6"/>
                <w:u w:val="none"/>
              </w:rPr>
              <w:t xml:space="preserve">UF </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6"/>
                <w:u w:val="none"/>
              </w:rPr>
              <w:t>Unidad de fomento</w:t>
            </w:r>
          </w:p>
        </w:tc>
        <w:tc>
          <w:tcPr>
            <w:tcW w:w="45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84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 w:name="Section15"/>
      <w:bookmarkEnd w:id="21"/>
      <w:bookmarkStart w:id="22" w:name="609f5f473b0647cbafe26f67710a4bdd"/>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eléctrico, para los que se toman las decisiones estratégicas. Esta información se detalla en Nota 30.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 w:name="Section16"/>
      <w:bookmarkEnd w:id="23"/>
      <w:bookmarkStart w:id="24" w:name="696ca09229ea4b7f9765d7c441d701e9"/>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periodo o ejercicio en el que se incurren.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incluyen los siguientes conceptos devengados únicamente durante el período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7"/>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8"/>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periodo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 con excepción de las unidades de generación, las cuales se deprecian en base a horas de uso.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pérdidas y ganancias por la venta de una propiedad, planta y equipo se calculan comparando los ingresos obtenidos con el valor en libros y se incluyen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 w:name="Section17"/>
      <w:bookmarkEnd w:id="25"/>
      <w:bookmarkStart w:id="26" w:name="bb25a094ec2042fbb46524a924f97ecd"/>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incluyen principalmente los terrenos y construcciones que se mantienen con el propósito de obtener ganancias en futuras ventas (fuera del curso ordinario de los negocios), plusvalías, o bien explotarlos bajo un régimen de arrendamientos, y no son ocupados por la Sociedad. El criterio de valorización inicial de las propiedades de inversión es al costo y la medición posterior es a su valor razonable, por medio de retasaciones independientes que reflejan su valor de mercado.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o ganancias derivadas de un cambio en el valor razonable de las propiedades de inversión se incluyen en el resultado del ejercicio en que se generan, y se presentan en el rubro otras ganancias (pérdidas) del estado de resultados por función.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da de baja cuando se enajene o disponga de la misma por otra vía, o cuando no se espere obtener beneficios económicos futuros por su utilización, enajenación o disposición por otra vía.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que surgen en la venta o retiro de propiedades de inversión se reconocen en los resultados del ejercicio y se determina como la diferencia entre el valor de venta y el valor neto contable del activo.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alquileres de propiedades de inversión se reconocen como otros ingresos durante el plazo del arrendamiento. Los incentivos de arrendamiento otorgados, en caso de existir, se reconocen como parte integral de los ingresos totales por arrendamiento,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7" w:name="Section18"/>
      <w:bookmarkEnd w:id="27"/>
      <w:bookmarkStart w:id="28" w:name="3a184a9818114e0788ab288a011681d1"/>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3.8.1.-</w:t>
      </w:r>
      <w:r>
        <w:rPr>
          <w:rFonts w:ascii="Calibri" w:eastAsia="Calibri" w:hAnsi="Calibri" w:cs="Calibri"/>
          <w:b w:val="0"/>
          <w:i w:val="0"/>
          <w:sz w:val="20"/>
        </w:rPr>
        <w:tab/>
      </w:r>
      <w:r>
        <w:rPr>
          <w:rFonts w:ascii="Calibri" w:eastAsia="Calibri" w:hAnsi="Calibri" w:cs="Calibri"/>
          <w:b w:val="0"/>
          <w:i w:val="0"/>
          <w:sz w:val="20"/>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derechos de servidumbre se presentan a costo o al valor asignado en una combinación de negocios. La explotación de dichos derechos en general no tiene una vida útil definida, por lo cual no estarán afectos a amortización. Sin embargo, la vida útil indefinida es objeto de revisión en cada ejercicio para el que se presente información, para determinar si la consideración de vida útil indefinida sigue siendo aplicable. Estos activos se someten a pruebas por deterioro de valor anualmente.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0" w:right="0" w:firstLine="141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3.8.2.-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la Sociedad, y que es probable que vayan a generar beneficios económicos superiores a los costos durante más de un año, se reconocen como activos intangibles. Los costos directos incluyen los gastos del personal que desarrolla los programas informáticos.</w:t>
      </w: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de se revisan en cada fecha de presentación y se ajustan si corresponde.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9" w:name="Section19"/>
      <w:bookmarkEnd w:id="29"/>
      <w:bookmarkStart w:id="30" w:name="81a63acbeda74cd18a86003059c40e41"/>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30"/>
    </w:p>
    <w:p>
      <w:pPr>
        <w:pStyle w:val="Normal-wk"/>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por intereses incurridos para la construcción de cualquier activo apto se capitalizan durante el período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val="0"/>
        <w:keepLines/>
        <w:pageBreakBefore w:val="0"/>
        <w:widowControl w:val="0"/>
        <w:numPr>
          <w:ilvl w:val="0"/>
          <w:numId w:val="0"/>
        </w:numPr>
        <w:spacing w:before="0" w:after="0" w:line="288" w:lineRule="auto"/>
        <w:ind w:left="0" w:right="0" w:firstLine="709"/>
        <w:jc w:val="both"/>
        <w:outlineLvl w:val="1"/>
        <w:rPr>
          <w:rFonts w:ascii="Calibri" w:eastAsia="Calibri" w:hAnsi="Calibri" w:cs="Calibri"/>
          <w:b/>
          <w:i w:val="0"/>
          <w:color w:val="000000"/>
          <w:sz w:val="20"/>
          <w:u w:val="none"/>
        </w:rPr>
      </w:pPr>
      <w:bookmarkStart w:id="31" w:name="Section20"/>
      <w:bookmarkEnd w:id="31"/>
      <w:bookmarkStart w:id="32" w:name="410b4b6064584a65bf3cec2d1d677375"/>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pérdidas por deterioro se reconocen en resultados del período o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3" w:name="Section21"/>
      <w:bookmarkEnd w:id="33"/>
      <w:bookmarkStart w:id="34" w:name="0e80de7e29cb477cbf169d59cb00d721"/>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no corrientes mantenidos para la venta y grupos en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4"/>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no corrientes (y grupos en disposición) son clasificados como disponibles para la venta cuando su valor de libros será recuperado principalmente a través de una transacción de venta y la venta es considerada altamente probable dentro de los siguientes 12 meses. Estos activos se registran al valor de libros o al valor razonable menos costos necesarios para efectuar su venta, el que fuera menor. Se reconoce una pérdida o ganancia por disposición de activos no corrientes mantenidos para la venta en el rubro Otras ganancias (pérdidas) en el período o ejercicio de su realización.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en la clasificación inicial como mantenido para la venta o grupo en disposición y las ganancias y pérdidas subsiguientes por la nueva medición se reconocen en resultados del período o ejercicio.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Una vez clasificados como mantenidos para la venta, los activos intangibles y las propiedades, planta y equipo no se amortizarán o depreciarán, y cualquier inversión contabilizada por el método de la participación no se le aplicará dicho método.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5" w:name="Section22"/>
      <w:bookmarkEnd w:id="35"/>
      <w:bookmarkStart w:id="36" w:name="9c6cbc5fb1574591b02ece21634f3e65"/>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36"/>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mide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la Sociedad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la sociedad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9"/>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30"/>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en otro resultado integral, con ganancias o pérdidas recicladas a resu</w:t>
      </w:r>
      <w:r>
        <w:rPr>
          <w:rFonts w:ascii="Calibri" w:eastAsia="Calibri" w:hAnsi="Calibri" w:cs="Calibri"/>
          <w:b w:val="0"/>
          <w:i w:val="0"/>
          <w:color w:val="000000"/>
          <w:sz w:val="20"/>
          <w:u w:val="none"/>
        </w:rPr>
        <w:t>ltados en el momento de su realización. Los activos financieros en esta categoría son los instrumentos de deuda cotizados de la Sociedad que cumplen con el criterio SPPI y se mantienen dentro de un modelo comercial tanto para cobrar los flujos de efectivo como para vender.</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1"/>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capital en otro resultado integral, sin reciclaje de ganancias o pérdidas a resultados en el momento de su realización. Esta categoría solo incluye los instrumentos de </w:t>
      </w:r>
      <w:r>
        <w:rPr>
          <w:rFonts w:ascii="Calibri" w:eastAsia="Calibri" w:hAnsi="Calibri" w:cs="Calibri"/>
          <w:b w:val="0"/>
          <w:i w:val="0"/>
          <w:color w:val="000000"/>
          <w:sz w:val="20"/>
          <w:u w:val="none"/>
        </w:rPr>
        <w:t xml:space="preserve">capital, que la Sociedad tiene la intención de mantener en el futuro previsible y que la Sociedad ha elegido irrevocablemente para clasificarlos en el reconocimiento inicial o la transición. La Sociedad clasificó sus instrumentos de patrimonio no cotizados como instrumentos de patrimonio en otro resultado integral.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32"/>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financieros a valor razonable con cambios en resultados comprenden instrumentos derivados e instrumentos de capital cotizados que la Sociedad no ha elegido irrevocablemente, en el reconocimiento inicial o transición, para clasificar en otro resultado </w:t>
      </w:r>
      <w:r>
        <w:rPr>
          <w:rFonts w:ascii="Calibri" w:eastAsia="Calibri" w:hAnsi="Calibri" w:cs="Calibri"/>
          <w:b w:val="0"/>
          <w:i w:val="0"/>
          <w:color w:val="000000"/>
          <w:sz w:val="20"/>
          <w:u w:val="none"/>
        </w:rPr>
        <w:t>integral.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la Sociedad registre las pérdidas crediticias esperadas de todos sus títulos de deuda, préstamos y deudores comerciales, ya sea sobre una base de 12 meses o de por vida.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ha establecido una matriz de provisiones que se basa en la experiencia histórica de pérdidas crediticias de la Sociedad, ajustada por factores prospectivos específicos para los deudores y el entorno económico.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val="0"/>
        <w:keepLines/>
        <w:pageBreakBefore w:val="0"/>
        <w:widowControl w:val="0"/>
        <w:numPr>
          <w:ilvl w:val="0"/>
          <w:numId w:val="0"/>
        </w:numPr>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7" w:name="Section23"/>
      <w:bookmarkEnd w:id="37"/>
      <w:bookmarkStart w:id="38" w:name="20131af52e8b4574a47165e2d34ded57"/>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existencias se valorizan a su costo o a su valor neto realizable, el menor de los dos. El costo se determina de acuerdo al método de precio medio ponderado (PMP).</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9" w:name="Section24"/>
      <w:bookmarkEnd w:id="39"/>
      <w:bookmarkStart w:id="40" w:name="04b0378787f44fda934b3bcf733faf3b"/>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1" w:name="Section25"/>
      <w:bookmarkEnd w:id="41"/>
      <w:bookmarkStart w:id="42" w:name="92a677b371164502981b57bcd1216fa1"/>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2"/>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3" w:name="Section26"/>
      <w:bookmarkEnd w:id="43"/>
      <w:bookmarkStart w:id="44" w:name="71766062f3514c03951d2a298612f4b6"/>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4"/>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pStyle w:val="Normal-wk"/>
        <w:keepNext w:val="0"/>
        <w:keepLines/>
        <w:pageBreakBefore w:val="0"/>
        <w:widowControl w:val="0"/>
        <w:numPr>
          <w:ilvl w:val="0"/>
          <w:numId w:val="0"/>
        </w:numPr>
        <w:spacing w:before="0" w:after="0" w:line="240" w:lineRule="exact"/>
        <w:ind w:left="1416" w:right="0" w:firstLine="0"/>
        <w:jc w:val="both"/>
        <w:outlineLvl w:val="9"/>
        <w:sectPr>
          <w:headerReference w:type="default" r:id="rId18"/>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5" w:name="Section27"/>
      <w:bookmarkEnd w:id="45"/>
      <w:bookmarkStart w:id="46" w:name="6c3b44856bd9403ca13ff24df7215771"/>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19"/>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47" w:name="Section28"/>
      <w:bookmarkEnd w:id="47"/>
      <w:bookmarkStart w:id="48" w:name="a3522ec5253c4cb394d973453efde86e"/>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4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préstamos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obligaciones financieras se clasifican como pasivos corrientes a menos que la Sociedad tenga un derecho incondicional a diferir su liquidación durante al menos 12 meses después de la fecha de los estados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9" w:name="Section29"/>
      <w:bookmarkEnd w:id="49"/>
      <w:bookmarkStart w:id="50" w:name="b4aa20d45a774881892a4852c3e04f68"/>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gasto por impuesto a las ganancias del período o ejercicio comprende al impuesto a la renta corriente y al impuesto diferido. El impuesto se reconoce en el estado de resultados, excepto cuando se trata de partidas que se reconocen directamente en el patrimonio, en otro resultado integral o provienen de una combinación de negocios.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 sociedad.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pStyle w:val="Normal-wk"/>
        <w:keepNext w:val="0"/>
        <w:keepLines/>
        <w:pageBreakBefore w:val="0"/>
        <w:widowControl w:val="0"/>
        <w:numPr>
          <w:ilvl w:val="0"/>
          <w:numId w:val="0"/>
        </w:numPr>
        <w:spacing w:before="0" w:after="0" w:line="240" w:lineRule="exact"/>
        <w:ind w:left="1417"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1" w:name="Section30"/>
      <w:bookmarkEnd w:id="51"/>
      <w:bookmarkStart w:id="52" w:name="21e39a7cba114d54a3af7419a0cede88"/>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2"/>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3.20.1.-</w:t>
      </w:r>
      <w:r>
        <w:rPr>
          <w:rFonts w:ascii="Calibri" w:eastAsia="Calibri" w:hAnsi="Calibri" w:cs="Calibri"/>
          <w:b w:val="0"/>
          <w:i w:val="0"/>
          <w:sz w:val="20"/>
        </w:rPr>
        <w:tab/>
      </w:r>
      <w:r>
        <w:rPr>
          <w:rFonts w:ascii="Calibri" w:eastAsia="Calibri" w:hAnsi="Calibri" w:cs="Calibri"/>
          <w:b w:val="0"/>
          <w:i w:val="0"/>
          <w:sz w:val="20"/>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3.20.2.-</w:t>
      </w:r>
      <w:r>
        <w:rPr>
          <w:rFonts w:ascii="Calibri" w:eastAsia="Calibri" w:hAnsi="Calibri" w:cs="Calibri"/>
          <w:b w:val="0"/>
          <w:i w:val="0"/>
          <w:sz w:val="20"/>
        </w:rPr>
        <w:tab/>
      </w:r>
      <w:r>
        <w:rPr>
          <w:rFonts w:ascii="Calibri" w:eastAsia="Calibri" w:hAnsi="Calibri" w:cs="Calibri"/>
          <w:b w:val="0"/>
          <w:i w:val="0"/>
          <w:sz w:val="20"/>
        </w:rPr>
        <w:t>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constituye pasivos por obligaciones por indemnizaciones por cese de servicios, en base a lo estipulado en los contratos colectivos e individuales del personal. Si este beneficio se encuentra pactado, la obligación se trata de acuerdo con NIC 19 (r),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 resultado integral en los periodos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3.20.3.-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beneficios por cese que no califican con lo descrito en el punto 3.20.2.- se pagan cuando la relación laboral se interrumpe antes de la fecha normal de retiro o cuando un empleado acepta voluntariamente el cese a cambio de estos beneficios. La Sociedad reconoce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33"/>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3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3.20.4.-</w:t>
      </w:r>
      <w:r>
        <w:rPr>
          <w:rFonts w:ascii="Calibri" w:eastAsia="Calibri" w:hAnsi="Calibri" w:cs="Calibri"/>
          <w:b w:val="0"/>
          <w:i w:val="0"/>
          <w:sz w:val="20"/>
        </w:rPr>
        <w:tab/>
      </w:r>
      <w:r>
        <w:rPr>
          <w:rFonts w:ascii="Calibri" w:eastAsia="Calibri" w:hAnsi="Calibri" w:cs="Calibri"/>
          <w:b w:val="0"/>
          <w:i w:val="0"/>
          <w:sz w:val="20"/>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tiene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 resultado integral en los períodos o ejercicios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3.20.5.-</w:t>
      </w:r>
      <w:r>
        <w:rPr>
          <w:rFonts w:ascii="Calibri" w:eastAsia="Calibri" w:hAnsi="Calibri" w:cs="Calibri"/>
          <w:b w:val="0"/>
          <w:i w:val="0"/>
          <w:sz w:val="20"/>
        </w:rPr>
        <w:tab/>
      </w:r>
      <w:r>
        <w:rPr>
          <w:rFonts w:ascii="Calibri" w:eastAsia="Calibri" w:hAnsi="Calibri" w:cs="Calibri"/>
          <w:b w:val="0"/>
          <w:i w:val="0"/>
          <w:sz w:val="20"/>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un pasivo y un gasto por participación en las utilidades en base a contratos colectivos e individuales de sus trabajadores, sobre la base de una fórmula que toma en cuenta la utilidad atribuible a los accionistas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53" w:name="Section31"/>
      <w:bookmarkEnd w:id="53"/>
      <w:bookmarkStart w:id="54" w:name="5416252554c24cdfa5496b791c30341e"/>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una provisión cuando está obligado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provisiones para contratos onerosos, litigios y otras contingencias se reconocen cuando: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una obligación presente, ya sea legal o constructiva, como resultado de sucesos pasados;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6"/>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probable que vaya a ser necesaria una salida de recursos para liquidar la obligación;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7"/>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importe puede ser estimado de forma fiable. </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se valoran por el valor actual de los desembolsos que se espera que sean necesarios para liquidar la obligación usando la mejor estimación de la Sociedad.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55" w:name="Section32"/>
      <w:bookmarkEnd w:id="55"/>
      <w:bookmarkStart w:id="56" w:name="e9cac8e9fb0b4fb2b8e7a01e28d64d77"/>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Subvenciones estatales.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se reconocen por su valor razonable, cuando hay una seguridad razonable de que la subvención se cobrará, y la Sociedad cumplirá con todas las condiciones establecidas.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costos se difieren como pasivo y se reconocen en el estado de resultados durante el ejercicio necesario para correlacionarlas con los costos que pretenden compensar. Las subvenciones estatales relacionadas con la adquisición de propiedades, planta y equipo se presentan netas del valor del activo correspondiente y se abonan en el estado de resultados sobre una base lineal durante las vidas esperadas de los activos (Ley Austral y Fondo Nacional de Desarrollo Regional).</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bonificación a la mano de obra se abonan directamente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57" w:name="Section33"/>
      <w:bookmarkEnd w:id="57"/>
      <w:bookmarkStart w:id="58" w:name="fb95a37c147d414a9a8fc6a3d505ef29"/>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periodo.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keepNext/>
        <w:keepLines/>
        <w:pageBreakBefore w:val="0"/>
        <w:widowControl w:val="0"/>
        <w:numPr>
          <w:ilvl w:val="0"/>
          <w:numId w:val="0"/>
        </w:numPr>
        <w:tabs>
          <w:tab w:val="left" w:pos="700"/>
        </w:tabs>
        <w:spacing w:before="0" w:after="0" w:line="288" w:lineRule="auto"/>
        <w:ind w:left="0" w:right="0" w:firstLine="708"/>
        <w:jc w:val="both"/>
        <w:outlineLvl w:val="9"/>
        <w:rPr>
          <w:rFonts w:ascii="Times New Roman" w:eastAsia="Times New Roman" w:hAnsi="Times New Roman" w:cs="Times New Roman"/>
          <w:b/>
          <w:i w:val="0"/>
          <w:color w:val="000000"/>
          <w:sz w:val="24"/>
          <w:u w:val="none"/>
        </w:rPr>
      </w:pPr>
      <w:bookmarkStart w:id="59" w:name="Section34"/>
      <w:bookmarkEnd w:id="59"/>
    </w:p>
    <w:p>
      <w:pPr>
        <w:pStyle w:val="Heading2-wk"/>
        <w:keepNext/>
        <w:keepLines/>
        <w:pageBreakBefore/>
        <w:widowControl w:val="0"/>
        <w:numPr>
          <w:ilvl w:val="0"/>
          <w:numId w:val="0"/>
        </w:numPr>
        <w:tabs>
          <w:tab w:val="left" w:pos="700"/>
        </w:tabs>
        <w:spacing w:before="0" w:after="0" w:line="240" w:lineRule="auto"/>
        <w:ind w:left="0" w:right="0" w:firstLine="708"/>
        <w:jc w:val="both"/>
        <w:outlineLvl w:val="1"/>
        <w:rPr>
          <w:rFonts w:ascii="Times New Roman" w:eastAsia="Times New Roman" w:hAnsi="Times New Roman" w:cs="Times New Roman"/>
          <w:b/>
          <w:i w:val="0"/>
          <w:color w:val="000000"/>
          <w:sz w:val="24"/>
          <w:u w:val="none"/>
        </w:rPr>
      </w:pPr>
      <w:bookmarkStart w:id="60" w:name="75363d81b5e2422d99c8789f755695eb"/>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Sociedad reconoce los ingresos cuando se han cumplido satisfactoriamente los pasos establecidos en la norma y es probable que los beneficios económicos futuros vayan a fluir a la entidad y se cumplen las condiciones específicas para cada una de las actividades de la Sociedad, tal y como se describe a continuación: </w:t>
      </w:r>
    </w:p>
    <w:p>
      <w:pPr>
        <w:keepNext w:val="0"/>
        <w:keepLines/>
        <w:pageBreakBefore w:val="0"/>
        <w:widowControl w:val="0"/>
        <w:numPr>
          <w:ilvl w:val="0"/>
          <w:numId w:val="0"/>
        </w:numPr>
        <w:tabs>
          <w:tab w:val="left" w:pos="700"/>
        </w:tabs>
        <w:spacing w:before="0" w:after="0" w:line="288" w:lineRule="auto"/>
        <w:ind w:left="708" w:right="0" w:firstLine="141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141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Ventas </w:t>
      </w:r>
      <w:r>
        <w:rPr>
          <w:rFonts w:ascii="Calibri" w:eastAsia="Calibri" w:hAnsi="Calibri" w:cs="Calibri"/>
          <w:b w:val="0"/>
          <w:i w:val="0"/>
          <w:sz w:val="20"/>
        </w:rPr>
        <w:t>de</w:t>
      </w:r>
      <w:r>
        <w:rPr>
          <w:rFonts w:ascii="Calibri" w:eastAsia="Calibri" w:hAnsi="Calibri" w:cs="Calibri"/>
          <w:b w:val="0"/>
          <w:i w:val="0"/>
          <w:color w:val="000000"/>
          <w:sz w:val="20"/>
          <w:u w:val="none"/>
        </w:rPr>
        <w:t xml:space="preserve"> electricidad y servicios y recargos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contratos de la Sociedad con clientes para la venta de energía y servicios y recargos regulados incluyen una obligación de desempeño, por lo que el ingreso por ventas de electricidad se registra en base a la facturación efectiva del periodo de consumo, además de incluir una estimación de energía por facturar que ha sido suministrado hasta la fecha de cierre del periodo o ejercicio.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1417"/>
        <w:jc w:val="both"/>
        <w:outlineLvl w:val="9"/>
        <w:rPr>
          <w:rFonts w:ascii="Calibri" w:eastAsia="Calibri" w:hAnsi="Calibri" w:cs="Calibri"/>
          <w:b w:val="0"/>
          <w:i w:val="0"/>
          <w:sz w:val="20"/>
        </w:rPr>
      </w:pPr>
      <w:r>
        <w:rPr>
          <w:rFonts w:ascii="Calibri" w:eastAsia="Calibri" w:hAnsi="Calibri" w:cs="Calibri"/>
          <w:b w:val="0"/>
          <w:i w:val="0"/>
          <w:sz w:val="20"/>
        </w:rPr>
        <w:t>3.24.2.-</w:t>
      </w:r>
      <w:r>
        <w:rPr>
          <w:rFonts w:ascii="Calibri" w:eastAsia="Calibri" w:hAnsi="Calibri" w:cs="Calibri"/>
          <w:b w:val="0"/>
          <w:i w:val="0"/>
          <w:sz w:val="20"/>
        </w:rPr>
        <w:tab/>
      </w:r>
      <w:r>
        <w:rPr>
          <w:rFonts w:ascii="Calibri" w:eastAsia="Calibri" w:hAnsi="Calibri" w:cs="Calibri"/>
          <w:b w:val="0"/>
          <w:i w:val="0"/>
          <w:sz w:val="20"/>
        </w:rPr>
        <w:t>Ventas de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ventas de bienes incluyen por lo general una obligación de desempeño, por lo que el ingreso por ventas de bienes se registra con base en la facturación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3.24.3.-</w:t>
      </w:r>
      <w:r>
        <w:rPr>
          <w:rFonts w:ascii="Calibri" w:eastAsia="Calibri" w:hAnsi="Calibri" w:cs="Calibri"/>
          <w:b w:val="0"/>
          <w:i w:val="0"/>
          <w:sz w:val="20"/>
        </w:rPr>
        <w:tab/>
      </w:r>
      <w:r>
        <w:rPr>
          <w:rFonts w:ascii="Calibri" w:eastAsia="Calibri" w:hAnsi="Calibri" w:cs="Calibri"/>
          <w:b w:val="0"/>
          <w:i w:val="0"/>
          <w:sz w:val="20"/>
        </w:rPr>
        <w:t>Ingresos por construcción de obras.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periodo del contrato.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3.24.4.-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intereses se reconocen usando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61" w:name="Section35"/>
      <w:bookmarkEnd w:id="61"/>
      <w:bookmarkStart w:id="62" w:name="e226b13f6c9e4204a9671a9fc1e625fc"/>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2"/>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3.25.1.-</w:t>
      </w:r>
      <w:r>
        <w:rPr>
          <w:rFonts w:ascii="Calibri" w:eastAsia="Calibri" w:hAnsi="Calibri" w:cs="Calibri"/>
          <w:b w:val="0"/>
          <w:i w:val="0"/>
          <w:sz w:val="20"/>
        </w:rPr>
        <w:tab/>
      </w:r>
      <w:r>
        <w:rPr>
          <w:rFonts w:ascii="Calibri" w:eastAsia="Calibri" w:hAnsi="Calibri" w:cs="Calibri"/>
          <w:b w:val="0"/>
          <w:i w:val="0"/>
          <w:sz w:val="20"/>
        </w:rPr>
        <w:t>Cuando la Sociedad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arrienda determinadas propiedades, planta y equipo. Para los arrendamientos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Cada pago por arrendamiento se distribuye entre el pasivo y las cargas financieras para obtener una tasa de interés constante sobre el saldo pendiente de la deuda. Las correspondientes obligaciones por arrendamiento, netas de cargas financieras, se incluyen en el rubro pasivos por arrendamientos. El elemento de interés del costo financiero se carga en el estado de resultados durante el periodo de arrendamiento de forma que se obtenga una tasa periódica constante de interés sobre el saldo restante del pasivo para cada periodo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3.25.2.-</w:t>
      </w:r>
      <w:r>
        <w:rPr>
          <w:rFonts w:ascii="Calibri" w:eastAsia="Calibri" w:hAnsi="Calibri" w:cs="Calibri"/>
          <w:b w:val="0"/>
          <w:i w:val="0"/>
          <w:sz w:val="20"/>
        </w:rPr>
        <w:tab/>
      </w:r>
      <w:r>
        <w:rPr>
          <w:rFonts w:ascii="Calibri" w:eastAsia="Calibri" w:hAnsi="Calibri" w:cs="Calibri"/>
          <w:b w:val="0"/>
          <w:i w:val="0"/>
          <w:sz w:val="20"/>
        </w:rPr>
        <w:t>Cuando la Sociedad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Sociedad actúa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arrienda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3" w:name="Section36"/>
      <w:bookmarkEnd w:id="63"/>
      <w:bookmarkStart w:id="64" w:name="12de208815124195a4a85002ee4703d6"/>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a pagar a los accionistas de la Sociedad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5" w:name="Section37"/>
      <w:bookmarkEnd w:id="65"/>
      <w:bookmarkStart w:id="66" w:name="27c60157f1284ebea604d0239689d76b"/>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de ventas incluyen el costo de adquisición de las materias primas e insumos necesarios para el desarrollo de los negocios de generación, distribución de energía eléctrica,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7" w:name="Section38"/>
      <w:bookmarkEnd w:id="67"/>
      <w:bookmarkStart w:id="68" w:name="34e13d64ebdb42c6bdc3fd96e6d49cf3"/>
      <w:r>
        <w:rPr>
          <w:rFonts w:ascii="Calibri" w:eastAsia="Calibri" w:hAnsi="Calibri" w:cs="Calibri"/>
          <w:b/>
          <w:i w:val="0"/>
          <w:color w:val="000000"/>
          <w:sz w:val="20"/>
          <w:u w:val="none"/>
        </w:rPr>
        <w:t>3.28.-</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8"/>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8"/>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 la sociedad, así como otras actividades que no pueden ser calificadas como de inversión o financiación.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39"/>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4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ha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69" w:name="Section39"/>
      <w:bookmarkEnd w:id="69"/>
      <w:bookmarkStart w:id="70" w:name="5ac17f12c7b34353a55e348eb010a16b"/>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0"/>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efectúa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1" w:name="Section40"/>
      <w:bookmarkEnd w:id="71"/>
      <w:bookmarkStart w:id="72" w:name="59ca045f2b6645bda5330c54ea6ad9dc"/>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Estimación del deterioro de activos no corrientes de vida útil indefinida.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evalúa anualmente si los activos no corrientes de vida útil indefinida han sufrido algún deterioro, de acuerdo con la política contable que se describe en la Nota 3.10. Los montos recuperables de las unidades generadoras de efectivo han sido determinados sobre la base de cálculos de sus valores en uso. Los resultados de las estimaciones efectuadas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arrojaron deterioro alguno sobre los activos no corrientes de vida útil indefinida.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73" w:name="Section41"/>
      <w:bookmarkEnd w:id="73"/>
      <w:bookmarkStart w:id="74" w:name="c16c136777574a679997c1b357db5043"/>
      <w:r>
        <w:rPr>
          <w:rFonts w:ascii="Calibri" w:eastAsia="Calibri" w:hAnsi="Calibri" w:cs="Calibri"/>
          <w:b/>
          <w:i w:val="0"/>
          <w:color w:val="000000"/>
          <w:sz w:val="20"/>
          <w:u w:val="none"/>
        </w:rPr>
        <w:t>4.2.-</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determina la tasa de descuento al final de cada año que considera más apropiada de acuerdo a las condiciones de mercado a la fecha de valoración. Esta tasa de interés es la que utiliza la Sociedad para determinar el valor presente de las futuras salidas de flujos de efectivo estimadas que se prevé se requerirá para cancelar las obligaciones por planes de beneficios. Al determinar la tasa de descuento, la Sociedad considera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21.5 se presenta información adicional al respecto.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highlight w:val="yellow"/>
          <w:u w:val="none"/>
        </w:rPr>
      </w:pPr>
      <w:bookmarkStart w:id="75" w:name="Section42"/>
      <w:bookmarkEnd w:id="75"/>
      <w:bookmarkStart w:id="76" w:name="be04e906bddf4f299c5d5e500c47a963"/>
      <w:r>
        <w:rPr>
          <w:rFonts w:ascii="Calibri" w:eastAsia="Calibri" w:hAnsi="Calibri" w:cs="Calibri"/>
          <w:b/>
          <w:i w:val="0"/>
          <w:color w:val="000000"/>
          <w:sz w:val="20"/>
          <w:highlight w:val="yellow"/>
          <w:u w:val="none"/>
        </w:rPr>
        <w:t>4.3.-</w:t>
      </w:r>
      <w:r>
        <w:rPr>
          <w:rFonts w:ascii="Calibri" w:eastAsia="Calibri" w:hAnsi="Calibri" w:cs="Calibri"/>
          <w:b/>
          <w:i w:val="0"/>
          <w:color w:val="000000"/>
          <w:sz w:val="20"/>
          <w:highlight w:val="yellow"/>
          <w:u w:val="none"/>
        </w:rPr>
        <w:tab/>
      </w:r>
      <w:r>
        <w:rPr>
          <w:rFonts w:ascii="Calibri" w:eastAsia="Calibri" w:hAnsi="Calibri" w:cs="Calibri"/>
          <w:b/>
          <w:i w:val="0"/>
          <w:color w:val="000000"/>
          <w:sz w:val="20"/>
          <w:highlight w:val="yellow"/>
          <w:u w:val="none"/>
        </w:rPr>
        <w:t>Reconocimiento de ingresos y costos de energía - Efectos de Precios de Nudo de Generación-Transmisión y Valor Agregado de Distribución.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highlight w:val="yellow"/>
          <w:u w:val="none"/>
        </w:rPr>
      </w:pPr>
      <w:bookmarkEnd w:id="76"/>
    </w:p>
    <w:p>
      <w:pPr>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E</w:t>
      </w:r>
      <w:r>
        <w:rPr>
          <w:rFonts w:ascii="Calibri" w:eastAsia="Calibri" w:hAnsi="Calibri" w:cs="Calibri"/>
          <w:b w:val="0"/>
          <w:i w:val="0"/>
          <w:sz w:val="20"/>
        </w:rPr>
        <w:t>n el Sistema Eléctrico Nacional (SEN), los precios de compra de energía y potencia establecidos en los diversos contratos de suministro suscritos con generadores como resultado de los procesos licitatorios son traspasados a las tarifas de los clientes regulados mediante las fijaciones de precios de nudo promedio. En cambio, en los Sistemas Medianos (SSMM) los mismos precios son fijados mediante un proceso regulatorio denominado Estudio de Planificación y Tarificación de los sistemas medianos de Punta Arenas, Puerto Natales, Porvenir y Puerto Williams, los una vez definidos regirán para un cuadrienio.</w:t>
      </w: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Times New Roman" w:eastAsia="Times New Roman" w:hAnsi="Times New Roman" w:cs="Times New Roman"/>
          <w:b w:val="0"/>
          <w:i w:val="0"/>
          <w:sz w:val="22"/>
        </w:rPr>
      </w:pPr>
      <w:r>
        <w:rPr>
          <w:rFonts w:ascii="Calibri" w:eastAsia="Calibri" w:hAnsi="Calibri" w:cs="Calibri"/>
          <w:b w:val="0"/>
          <w:i w:val="0"/>
          <w:sz w:val="20"/>
        </w:rPr>
        <w:t>En este contexto, el 20 de enero de 2025 fue publicado el Decretos N° 24T-2025, del Ministerio de Energía, mediante el cual se fijan los precios de nudo promedio (PNP) para el Sistema Eléctrico Nacional (SEN) con vigencia a contar del 1 de enero de 2026. Debido a que los Sistemas Medianos (SSMM) no participan en el proceso de nudos promedios, en este decreto los precios de nudo de los sistemas medianos sólo son actualizados, mediante la aplicación de la fórmula de indexación antes fijadas, y promediados ponderadamente para fijar un precio equivalente que puede ser transferido a los clientes de la distribuidora.</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40" w:right="0" w:firstLine="0"/>
        <w:jc w:val="both"/>
        <w:outlineLvl w:val="9"/>
        <w:rPr>
          <w:rFonts w:ascii="Calibri" w:eastAsia="Calibri" w:hAnsi="Calibri" w:cs="Calibri"/>
          <w:b w:val="0"/>
          <w:i w:val="0"/>
          <w:sz w:val="20"/>
        </w:rPr>
      </w:pPr>
      <w:r>
        <w:rPr>
          <w:rFonts w:ascii="Calibri" w:eastAsia="Calibri" w:hAnsi="Calibri" w:cs="Calibri"/>
          <w:b w:val="0"/>
          <w:i w:val="0"/>
          <w:sz w:val="20"/>
        </w:rPr>
        <w:t>Sin perjuicio de lo anterior, debe tenerse en cuenta que el 2 de noviembre de 2019 fue publicada en el Diario Oficial la Ley N° 21.185 que crea un mecanismo transitorio de estabilización de precios de la energía eléctrica para clientes regulados. Esta ley considera esencialmente</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Entre el 1 de julio de 2019 y el 31 de diciembre de 2020, los precios que las distribuidoras traspasarán a sus clientes corresponderán a los de enero de 2019 Precio Estabilizado a Clientes (PEC).</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Entre el 1</w:t>
      </w:r>
      <w:r>
        <w:rPr>
          <w:rFonts w:ascii="Calibri" w:eastAsia="Calibri" w:hAnsi="Calibri" w:cs="Calibri"/>
          <w:b w:val="0"/>
          <w:i w:val="0"/>
          <w:color w:val="000000"/>
          <w:sz w:val="20"/>
          <w:highlight w:val="white"/>
          <w:u w:val="none"/>
        </w:rPr>
        <w:t xml:space="preserve"> de enero de 2021 y hasta el término del mecanismo de estabilización (diciembre de 2027), podrán traspasar los Precios de Nudo Promedio (PNP), los que no podrán superar el Precio Estabilizado a Clientes (PEC) reajustado por el Indice de Precios al Consumidor (IPC) a partir de enero de 202</w:t>
      </w:r>
      <w:r>
        <w:rPr>
          <w:rFonts w:ascii="Calibri" w:eastAsia="Calibri" w:hAnsi="Calibri" w:cs="Calibri"/>
          <w:b w:val="0"/>
          <w:i w:val="0"/>
          <w:color w:val="000000"/>
          <w:sz w:val="20"/>
          <w:u w:val="none"/>
        </w:rPr>
        <w:t>1, denominado PEC Ajustado.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Times New Roman" w:eastAsia="Times New Roman" w:hAnsi="Times New Roman" w:cs="Times New Roman"/>
          <w:b w:val="0"/>
          <w:i w:val="0"/>
          <w:color w:val="000000"/>
          <w:sz w:val="22"/>
          <w:u w:val="none"/>
        </w:rPr>
      </w:pPr>
      <w:r>
        <w:rPr>
          <w:rFonts w:ascii="Calibri" w:eastAsia="Calibri" w:hAnsi="Calibri" w:cs="Calibri"/>
          <w:b w:val="0"/>
          <w:i w:val="0"/>
          <w:color w:val="000000"/>
          <w:sz w:val="20"/>
          <w:u w:val="none"/>
        </w:rPr>
        <w:t xml:space="preserve">A partir de esta ley y hasta el término del mecanismo, las distribuidoras pagarán los </w:t>
      </w:r>
      <w:r>
        <w:rPr>
          <w:rFonts w:ascii="Calibri" w:eastAsia="Calibri" w:hAnsi="Calibri" w:cs="Calibri"/>
          <w:b w:val="0"/>
          <w:i w:val="0"/>
          <w:sz w:val="20"/>
        </w:rPr>
        <w:t>precios de nudo promedio</w:t>
      </w:r>
      <w:r>
        <w:rPr>
          <w:rFonts w:ascii="Calibri" w:eastAsia="Calibri" w:hAnsi="Calibri" w:cs="Calibri"/>
          <w:b w:val="0"/>
          <w:i w:val="0"/>
          <w:color w:val="000000"/>
          <w:sz w:val="20"/>
          <w:u w:val="none"/>
        </w:rPr>
        <w:t xml:space="preserve"> con un factor de ajuste que asegure la coherencia con la recaudación esperada del Precio Estabilizado a Clientes (PEC). En caso de que el cálculo de </w:t>
      </w:r>
      <w:r>
        <w:rPr>
          <w:rFonts w:ascii="Calibri" w:eastAsia="Calibri" w:hAnsi="Calibri" w:cs="Calibri"/>
          <w:b w:val="0"/>
          <w:i w:val="0"/>
          <w:sz w:val="20"/>
        </w:rPr>
        <w:t xml:space="preserve">precios de nudo promedio </w:t>
      </w:r>
      <w:r>
        <w:rPr>
          <w:rFonts w:ascii="Calibri" w:eastAsia="Calibri" w:hAnsi="Calibri" w:cs="Calibri"/>
          <w:b w:val="0"/>
          <w:i w:val="0"/>
          <w:color w:val="000000"/>
          <w:sz w:val="20"/>
          <w:u w:val="none"/>
        </w:rPr>
        <w:t xml:space="preserve">sea mayor al Precio Estabilizado a Clientes (PEC), </w:t>
      </w:r>
      <w:r>
        <w:rPr>
          <w:rFonts w:ascii="Calibri" w:eastAsia="Calibri" w:hAnsi="Calibri" w:cs="Calibri"/>
          <w:b w:val="0"/>
          <w:i w:val="0"/>
          <w:sz w:val="20"/>
        </w:rPr>
        <w:t>los precios se ajustaron a la baja; en caso contrario, fueron incrementados para cubrir saldos no recaudado</w:t>
      </w:r>
      <w:r>
        <w:rPr>
          <w:rFonts w:ascii="Calibri" w:eastAsia="Calibri" w:hAnsi="Calibri" w:cs="Calibri"/>
          <w:b w:val="0"/>
          <w:i w:val="0"/>
          <w:color w:val="000000"/>
          <w:sz w:val="20"/>
          <w:u w:val="none"/>
        </w:rPr>
        <w:t>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 Comisión Nacional de Energía calculó, para cada contrato (en el caso de los sistemas medianos el precio contrato es el precio fijado), las diferencias de facturación que se produzco entre el precio </w:t>
      </w:r>
      <w:r>
        <w:rPr>
          <w:rFonts w:ascii="Calibri" w:eastAsia="Calibri" w:hAnsi="Calibri" w:cs="Calibri"/>
          <w:b w:val="0"/>
          <w:i w:val="0"/>
          <w:color w:val="000000"/>
          <w:sz w:val="20"/>
          <w:u w:val="none"/>
        </w:rPr>
        <w:t>establecido</w:t>
      </w:r>
      <w:r>
        <w:rPr>
          <w:rFonts w:ascii="Calibri" w:eastAsia="Calibri" w:hAnsi="Calibri" w:cs="Calibri"/>
          <w:b w:val="0"/>
          <w:i w:val="0"/>
          <w:sz w:val="20"/>
        </w:rPr>
        <w:t xml:space="preserve"> y el precio que se hubiera aplicado de acuerdo a dicho contrato. Este saldo, expresado en dólares, fue incorporado en los decretos tarifarios semestrales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Se estableció que los saldos no recaudados no devengaran interés, salvo a partir del 1 de enero de 2026 (libor </w:t>
      </w:r>
      <w:r>
        <w:rPr>
          <w:rFonts w:ascii="Calibri" w:eastAsia="Calibri" w:hAnsi="Calibri" w:cs="Calibri"/>
          <w:b w:val="0"/>
          <w:i w:val="0"/>
          <w:color w:val="000000"/>
          <w:sz w:val="20"/>
          <w:u w:val="none"/>
        </w:rPr>
        <w:t>de</w:t>
      </w:r>
      <w:r>
        <w:rPr>
          <w:rFonts w:ascii="Calibri" w:eastAsia="Calibri" w:hAnsi="Calibri" w:cs="Calibri"/>
          <w:b w:val="0"/>
          <w:i w:val="0"/>
          <w:sz w:val="20"/>
        </w:rPr>
        <w:t xml:space="preserve"> 6 meses, o su tasa equivalente, más un spread correspondiente al riesgo país a la fecha de aplicación).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Se considerarán para el mecanismo sólo aquellos contratos que inicien suministro antes de 2021.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 </w:t>
      </w:r>
      <w:r>
        <w:rPr>
          <w:rFonts w:ascii="Calibri" w:eastAsia="Calibri" w:hAnsi="Calibri" w:cs="Calibri"/>
          <w:b w:val="0"/>
          <w:i w:val="0"/>
          <w:sz w:val="20"/>
        </w:rPr>
        <w:t>Comisión</w:t>
      </w:r>
      <w:r>
        <w:rPr>
          <w:rFonts w:ascii="Calibri" w:eastAsia="Calibri" w:hAnsi="Calibri" w:cs="Calibri"/>
          <w:b w:val="0"/>
          <w:i w:val="0"/>
          <w:color w:val="000000"/>
          <w:sz w:val="20"/>
          <w:highlight w:val="white"/>
          <w:u w:val="none"/>
        </w:rPr>
        <w:t xml:space="preserve"> Nacional de Energía deberá establecer mediante resolución exenta las reglas necesarias para la implementación del mecanismo de estabilización.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Se deroga el Decreto N° 7T-2019 (precios de nudo promedio de julio de 2019), extendiéndose la vigencia del Decreto 20T-2018 hasta la publicación del decreto que corresponda dictar con posterioridad a la entrada en vigencia de la ley.</w:t>
      </w:r>
    </w:p>
    <w:p>
      <w:pPr>
        <w:keepNext w:val="0"/>
        <w:keepLines/>
        <w:pageBreakBefore w:val="0"/>
        <w:widowControl w:val="0"/>
        <w:numPr>
          <w:ilvl w:val="0"/>
          <w:numId w:val="0"/>
        </w:numPr>
        <w:spacing w:before="0" w:after="0" w:line="288" w:lineRule="auto"/>
        <w:ind w:left="1265" w:right="0" w:hanging="207"/>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white"/>
          <w:u w:val="none"/>
        </w:rPr>
        <w:t xml:space="preserve">Así, </w:t>
      </w:r>
      <w:r>
        <w:rPr>
          <w:rFonts w:ascii="Calibri" w:eastAsia="Calibri" w:hAnsi="Calibri" w:cs="Calibri"/>
          <w:b w:val="0"/>
          <w:i w:val="0"/>
          <w:color w:val="000000"/>
          <w:sz w:val="20"/>
          <w:highlight w:val="white"/>
          <w:u w:val="none"/>
        </w:rPr>
        <w:t>mediante Resolución Exenta N° 72-2020 del 5 de marzo de 2020, la Comisión Nacional de Energía estableció las disposiciones, procedimientos, plazos y condiciones para la implementación del señalado mecanismo transitorio de estabilización de precios de energía eléctrica establecido en la Ley N° 21.185, la cual fue rectificada por diversas resoluciones exentas, fijándose un nuevo texto refundido mediante Resolución Exenta N° 342-2021 del 9 de septiembre de 2021, modificada mediante resoluciones exentas N° 514-2021 del 30 de noviembre de 2021 y N° 283-2022 del 21 de abril de 2022</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Adicionalmente, </w:t>
      </w:r>
      <w:r>
        <w:rPr>
          <w:rFonts w:ascii="Calibri" w:eastAsia="Calibri" w:hAnsi="Calibri" w:cs="Calibri"/>
          <w:b w:val="0"/>
          <w:i w:val="0"/>
          <w:color w:val="000000"/>
          <w:sz w:val="20"/>
          <w:highlight w:val="white"/>
          <w:u w:val="none"/>
        </w:rPr>
        <w:t>en este mismo contexto, el 2 de agosto de 2022 fue publicada la Ley N° 21.472, mediante la cual se crea un Fondo de Estabilización Tarifaria (FET),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(MPC – Mecanismo de protección al cliente), complementario a aquel establecido en la Ley N° 21.185, que tiene por objetivo impedir el alza de las cuentas eléctricas durante el año 2022 y permitir únicamente alzas graduales hasta</w:t>
      </w:r>
      <w:r>
        <w:rPr>
          <w:rFonts w:ascii="Calibri" w:eastAsia="Calibri" w:hAnsi="Calibri" w:cs="Calibri"/>
          <w:b w:val="0"/>
          <w:i w:val="0"/>
          <w:color w:val="000000"/>
          <w:sz w:val="20"/>
          <w:highlight w:val="white"/>
          <w:u w:val="none"/>
        </w:rPr>
        <w:t xml:space="preserve"> 2032.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highlight w:val="white"/>
          <w:u w:val="none"/>
        </w:rPr>
        <w:t xml:space="preserve">Las </w:t>
      </w:r>
      <w:r>
        <w:rPr>
          <w:rFonts w:ascii="Calibri" w:eastAsia="Calibri" w:hAnsi="Calibri" w:cs="Calibri"/>
          <w:b w:val="0"/>
          <w:i w:val="0"/>
          <w:color w:val="000000"/>
          <w:sz w:val="20"/>
          <w:highlight w:val="white"/>
          <w:u w:val="none"/>
        </w:rPr>
        <w:t>normas que regulan la operación del Fondo de Estabilización Tarifaria (FET) se encuentran establecidas en el reglamento aprobado mediante Decreto N° 49-2023 del Ministerio de Hacienda, suscrito además por el Ministro de Energía, publicado en el diario oficial el 29 de julio de 2023, mientras que las reglas necesarias para la implementación de</w:t>
      </w:r>
      <w:r>
        <w:rPr>
          <w:rFonts w:ascii="Calibri" w:eastAsia="Calibri" w:hAnsi="Calibri" w:cs="Calibri"/>
          <w:b w:val="0"/>
          <w:i w:val="0"/>
          <w:sz w:val="20"/>
        </w:rPr>
        <w:t xml:space="preserve">l MPC, de </w:t>
      </w:r>
      <w:r>
        <w:rPr>
          <w:rFonts w:ascii="Calibri" w:eastAsia="Calibri" w:hAnsi="Calibri" w:cs="Calibri"/>
          <w:b w:val="0"/>
          <w:i w:val="0"/>
          <w:color w:val="000000"/>
          <w:sz w:val="20"/>
          <w:highlight w:val="white"/>
          <w:u w:val="none"/>
        </w:rPr>
        <w:t>manera coordinada y complementaria con el mecanismo de estabilización establecido en la Ley N° 21.185 y en concordancia con los principios dispuestos en el artículo 2 de la referida ley, se establecieron mediante Resolución Exenta N° 86, de la Comisión Nacional de Energía, publicada en el diario oficial el 14 de marzo de 2023, modificada por Resolución Exenta N° 334-2023, publicada el 9 de agosto de</w:t>
      </w:r>
      <w:r>
        <w:rPr>
          <w:rFonts w:ascii="Calibri" w:eastAsia="Calibri" w:hAnsi="Calibri" w:cs="Calibri"/>
          <w:b w:val="0"/>
          <w:i w:val="0"/>
          <w:color w:val="000000"/>
          <w:sz w:val="20"/>
          <w:highlight w:val="white"/>
          <w:u w:val="none"/>
        </w:rPr>
        <w:t xml:space="preserve"> 2023.</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particular, en la citada resolución se establece lo siguiente:</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Los </w:t>
      </w:r>
      <w:r>
        <w:rPr>
          <w:rFonts w:ascii="Calibri" w:eastAsia="Calibri" w:hAnsi="Calibri" w:cs="Calibri"/>
          <w:b w:val="0"/>
          <w:i w:val="0"/>
          <w:color w:val="000000"/>
          <w:sz w:val="20"/>
          <w:highlight w:val="white"/>
          <w:u w:val="none"/>
        </w:rPr>
        <w:t>procedimientos y criterios para determinar los precios a nivel de generación traspasable a los clientes regulados necesarios para la aplicación de dicho mecanismo durante toda la vigencia de este y las reglas bajo las cuales los pagos de los precios de nudo de largo plazo deben ser efectuados por las empresas concesionarias de distribución a sus respectivos suministradores durante la vigencia del Mecanismo de Protección al</w:t>
      </w:r>
      <w:r>
        <w:rPr>
          <w:rFonts w:ascii="Calibri" w:eastAsia="Calibri" w:hAnsi="Calibri" w:cs="Calibri"/>
          <w:b w:val="0"/>
          <w:i w:val="0"/>
          <w:color w:val="000000"/>
          <w:sz w:val="20"/>
          <w:highlight w:val="white"/>
          <w:u w:val="none"/>
        </w:rPr>
        <w:t xml:space="preserve"> Cliente.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w:t>
      </w:r>
      <w:r>
        <w:rPr>
          <w:rFonts w:ascii="Calibri" w:eastAsia="Calibri" w:hAnsi="Calibri" w:cs="Calibri"/>
          <w:b w:val="0"/>
          <w:i w:val="0"/>
          <w:color w:val="000000"/>
          <w:sz w:val="20"/>
          <w:highlight w:val="white"/>
          <w:u w:val="none"/>
        </w:rPr>
        <w:t xml:space="preserve">características de los Documentos de Pago emitidos por el Ministerio de Hacienda con el objeto de cubrir las diferencias que se produzcan entre la facturación de las empresas de distribución y el monto que corresponda pagar por el suministro eléctrico a las empresas de generación. La operación del Mecanismo de Protección al Cliente deberá resguardar el pago de la totalidad de los saldos originados bajo el mecanismo de estabilización de precios de la Ley N° 21.185, a más tardar, el 31 de diciembre de </w:t>
      </w:r>
      <w:r>
        <w:rPr>
          <w:rFonts w:ascii="Calibri" w:eastAsia="Calibri" w:hAnsi="Calibri" w:cs="Calibri"/>
          <w:b w:val="0"/>
          <w:i w:val="0"/>
          <w:color w:val="000000"/>
          <w:sz w:val="20"/>
          <w:highlight w:val="white"/>
          <w:u w:val="none"/>
        </w:rPr>
        <w:t>2027;</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Mecanismo de Protección al Cliente regirá a partir del 2 de agosto del año 2022, fecha en que se publicó y entró en vigencia la Ley N° 21.472, y hasta la fecha en que se pague todo el saldo final restante originado por la aplicación del mismo, lo que deberá efectuarse, a más tardar, el 31 de diciembre de </w:t>
      </w:r>
      <w:r>
        <w:rPr>
          <w:rFonts w:ascii="Calibri" w:eastAsia="Calibri" w:hAnsi="Calibri" w:cs="Calibri"/>
          <w:b w:val="0"/>
          <w:i w:val="0"/>
          <w:color w:val="000000"/>
          <w:sz w:val="20"/>
          <w:highlight w:val="white"/>
          <w:u w:val="none"/>
        </w:rPr>
        <w:t>2032;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40"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Finalmente, </w:t>
      </w:r>
      <w:r>
        <w:rPr>
          <w:rFonts w:ascii="Calibri" w:eastAsia="Calibri" w:hAnsi="Calibri" w:cs="Calibri"/>
          <w:b w:val="0"/>
          <w:i w:val="0"/>
          <w:color w:val="000000"/>
          <w:sz w:val="20"/>
          <w:highlight w:val="white"/>
          <w:u w:val="none"/>
        </w:rPr>
        <w:t>en relación con los precios de compra de energía y potencia, el 30 de abril de 2024 se publicó en el diario oficial la Ley N° 21.667, mediante la cual se modifica diversos cuerpos legales en materia de estabilización tarifaria. Las principales materias establecidas en la ley corresponden 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Fondo de Estabilización de Tarifas tiene por objeto estabilizar las tarifas de los clientes regulados y pagar los saldos originados por las Leyes N° 21.185 y N° 21.472; será administrado por la Tesorería General de la Republica; su vigencia y los cargos que lo financian no excederán del 31 de diciembre de 2035.</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relación con el Mecanismo de protección al cliente (MPC):</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1"/>
        </w:numPr>
        <w:spacing w:before="0" w:after="0" w:line="288" w:lineRule="auto"/>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Se </w:t>
      </w:r>
      <w:r>
        <w:rPr>
          <w:rFonts w:ascii="Calibri" w:eastAsia="Calibri" w:hAnsi="Calibri" w:cs="Calibri"/>
          <w:b w:val="0"/>
          <w:i w:val="0"/>
          <w:color w:val="000000"/>
          <w:sz w:val="20"/>
          <w:highlight w:val="white"/>
          <w:u w:val="none"/>
        </w:rPr>
        <w:t>aumenta</w:t>
      </w:r>
      <w:r>
        <w:rPr>
          <w:rFonts w:ascii="Calibri" w:eastAsia="Calibri" w:hAnsi="Calibri" w:cs="Calibri"/>
          <w:b w:val="0"/>
          <w:i w:val="0"/>
          <w:color w:val="000000"/>
          <w:sz w:val="20"/>
          <w:highlight w:val="white"/>
          <w:u w:val="none"/>
        </w:rPr>
        <w:t xml:space="preserve"> monto de </w:t>
      </w:r>
      <w:r>
        <w:rPr>
          <w:rFonts w:ascii="Calibri" w:eastAsia="Calibri" w:hAnsi="Calibri" w:cs="Calibri"/>
          <w:b w:val="0"/>
          <w:i w:val="0"/>
          <w:color w:val="000000"/>
          <w:sz w:val="20"/>
          <w:highlight w:val="white"/>
          <w:u w:val="none"/>
        </w:rPr>
        <w:t xml:space="preserve">US$ </w:t>
      </w:r>
      <w:r>
        <w:rPr>
          <w:rFonts w:ascii="Calibri" w:eastAsia="Calibri" w:hAnsi="Calibri" w:cs="Calibri"/>
          <w:b w:val="0"/>
          <w:i w:val="0"/>
          <w:color w:val="000000"/>
          <w:sz w:val="20"/>
          <w:highlight w:val="white"/>
          <w:u w:val="none"/>
        </w:rPr>
        <w:t>1.800 millones a US$ 5.500 millones.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2"/>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Para el año 2023 se deberán aplicar los valores del decreto N° 16T-2022 (precio de nudo promedio del segundo semestre de 2022).</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3"/>
        </w:numPr>
        <w:spacing w:before="0" w:after="0" w:line="288" w:lineRule="auto"/>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Se definen 2 tramos de consumo (antes eran 3): clientes con consumo menor o igual a 350 kWh y clientes con consumo mayor a 350 kWh.</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4"/>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cargo MPC de la Ley N° 21.472 se fijará en 22 $/kWh (reajustable por IPC) para los años 2024 a 2027 y en 9 $/kWh (reajustable por IPC) para los años 2028 a 2035.</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Pagos de saldos Leyes N° 21.185 y N° 21.472:</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5"/>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Desde la entrada en vigencia de la ley y el 31 de diciembre de 2027 se pagarán los saldos de la Ley N° 21.185 y documentos de pago emitidos por la Tesorería General de la Republica hasta alcanzar un monto de US$ 1.800 millones.</w:t>
      </w:r>
    </w:p>
    <w:p>
      <w:pPr>
        <w:keepNext w:val="0"/>
        <w:keepLines/>
        <w:pageBreakBefore w:val="0"/>
        <w:widowControl w:val="0"/>
        <w:numPr>
          <w:ilvl w:val="0"/>
          <w:numId w:val="0"/>
        </w:numPr>
        <w:spacing w:before="0" w:after="0" w:line="288" w:lineRule="auto"/>
        <w:ind w:left="1984"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6"/>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Desde el 1 de enero de 2028 se restituirán los saldos adeudados de la Ley N° 21.472 y documentos de pago que se originen con aplicación de la ley, debiéndose extinguir la deuda, a más tardar, el 31 de diciembre de 2035.</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7"/>
        </w:numPr>
        <w:spacing w:before="0" w:after="0" w:line="23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Con fecha 20 de enero de 2026 se publicó el Decreto 24T, que fija los Precios de Nudo Promedio (PNP) para el primer semestre de dicho año. Este decreto incorpora ajustes a la valorización de las diferencias de facturación, derivados de una inconsistencia metodológica asociada a la aplicación simultánea de la variación del IPC y la tasa de interés corriente, la cual ya incluía dicho efecto. En el caso de EDELMAG, el monto a normalizar asciende a M$ 771.745, el cual será restituido durante el período tarifario correspondiente al primer semestre de 2026. Asimismo, para dicho semestre se contempla un esquema de pago consistente en seis cuotas mensuales iguales, a partir</w:t>
      </w:r>
      <w:r>
        <w:rPr>
          <w:rFonts w:ascii="Calibri" w:eastAsia="Calibri" w:hAnsi="Calibri" w:cs="Calibri"/>
          <w:b w:val="0"/>
          <w:i w:val="0"/>
          <w:color w:val="000000"/>
          <w:sz w:val="20"/>
          <w:highlight w:val="white"/>
          <w:u w:val="none"/>
        </w:rPr>
        <w:t xml:space="preserve"> de enero, que totalizan aproximadamente MUS$ 1.874, destinadas a la amortización del saldo acumulado derivado de la aplicación de la Ley N° 21.185 (PEC), el cual alcanza a MUS$ 9.098.</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06" w:right="0" w:firstLine="2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Descongelamiento progresivo del Valor Agregado de Distribución (VAD), según las siguientes reglas: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8"/>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Para las Cooperativas: Se descongela VAD a contar de la publicación del decreto de precio de nudo promedio (decreto PNP) del primer semestre de 2024.</w:t>
      </w:r>
    </w:p>
    <w:p>
      <w:pPr>
        <w:keepNext w:val="0"/>
        <w:keepLines/>
        <w:pageBreakBefore w:val="0"/>
        <w:widowControl w:val="0"/>
        <w:numPr>
          <w:ilvl w:val="0"/>
          <w:numId w:val="0"/>
        </w:numPr>
        <w:spacing w:before="0" w:after="0" w:line="288" w:lineRule="auto"/>
        <w:ind w:left="-11" w:right="0" w:firstLine="77"/>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49"/>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Para las demás concesionarias de distribución: Se descongela VAD a contar de la publicación del decreto PNP segundo semestre de 2024, con límite de aumento de 10% respecto a la tarifa congeladas. A contar de la publicación del decreto PNP del primer semestre de 2025 se aumenta el límite a 20%, y a contar de la publicación del decreto PNP del segundo semestre 2025 no habrá límite.</w:t>
      </w:r>
    </w:p>
    <w:p>
      <w:pPr>
        <w:keepNext w:val="0"/>
        <w:keepLines/>
        <w:pageBreakBefore w:val="0"/>
        <w:widowControl w:val="0"/>
        <w:numPr>
          <w:ilvl w:val="0"/>
          <w:numId w:val="0"/>
        </w:numPr>
        <w:spacing w:before="0" w:after="0" w:line="288" w:lineRule="auto"/>
        <w:ind w:left="-11" w:right="0" w:firstLine="77"/>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0"/>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Una vez que se publique el decreto VAD 2020-2024, se deberán aplicar los nuevos niveles tarifarios que en él se establezcan y se deberán aplicar las correspondientes reliquidaciones.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highlight w:val="white"/>
          <w:u w:val="none"/>
        </w:rPr>
      </w:pPr>
    </w:p>
    <w:p>
      <w:pPr>
        <w:keepNext w:val="0"/>
        <w:keepLines/>
        <w:pageBreakBefore/>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r>
        <w:rPr>
          <w:rFonts w:ascii="Calibri" w:eastAsia="Calibri" w:hAnsi="Calibri" w:cs="Calibri"/>
          <w:b w:val="0"/>
          <w:i w:val="0"/>
          <w:color w:val="000000"/>
          <w:sz w:val="20"/>
          <w:highlight w:val="white"/>
          <w:u w:val="none"/>
        </w:rPr>
        <w:t>Subsidio transitorio: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1"/>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Se establece un subsidio transitorio de hasta US$ 120 millones anuales, para los años 2024, 2025 y 2026, dirigido a familias de menores recursos, con el fin de paliar los aumentos en el período en que los precios de energía experimentarán las mayores alzas.</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highlight w:val="white"/>
          <w:u w:val="none"/>
        </w:rPr>
      </w:pPr>
    </w:p>
    <w:p>
      <w:pPr>
        <w:keepNext/>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Disposiciones transitorias: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2"/>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Los informes técnicos de precios de nudo promedio del primer semestre de 2024, del segundo semestre de 2024 y del primer semestre de 2025, incluyeron el cálculo de las diferencias de facturación no pagadas contabilizadas en los períodos comprendidos hasta el 31 de octubre de 2023, entre el 1 de noviembre de 2023 y el 29 de febrero de 2024, y entre el 1 de marzo de 2024 y el 30 de junio de 2024, respectivamente. Una vez publicados en el Diario Oficial los respectivos decretos tarifarios de precios de nudo promedio, los suministradores emitieron al Coordinador Independiente del Sistema Eléctrico Nacional un documento de cobro por las referidas diferencias de facturación.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3"/>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esa ocasión se facultó al Ministerio de Energía para publicar los precios de nudo promedio, correspondientes al primer y segundo semestre del 2024, sin contar con la toma de razón por parte de la Contraloría General de la República.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4"/>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 manera similar, se facultó al Ministerio de Energía para publicar el decreto de fijación del Valor Agregado de Distribución del cuadrienio 2020-2024, sin contar con la toma de razón por parte de la Contraloría General de la República. Sin perjuicio de ello, se dispuso que las reliquidaciones que le corresponde instruir a la Superintendencia de Electricidad y Combustible (SEC), sólo podrán ser realizadas una vez que se concluya la total tramitación del decreto por parte de Contraloría.</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5"/>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Por otra parte, hay que considerar que la Ley N° 21.194, publicada el 21 de diciembre de 2019, estableció un mecanismo transitorio para que los niveles de precios asociados al Valor Agregado de Distribución que estén siendo aplicados a la fecha de su publicación, permanezcan constantes hasta el término de su vigencia, debiendo las diferencias ser incorporadas a las tarifas resultantes de los siguientes procesos de tarificación de los suministros a clientes regulados.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6"/>
        </w:numPr>
        <w:spacing w:before="0" w:after="0" w:line="240" w:lineRule="exact"/>
        <w:ind w:left="2126"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Al respecto, de acuerdo con lo establecido en la Ley N° 21.667, a contar del 7 de junio de 2024, fecha de publicación del Decreto N° 5T-2024 del Ministerio de Energía, que fija las fórmulas tarifarias aplicables a clientes finales sujetos a fijación de precios regulados, la sociedad ha aplicado los niveles tarifarios contenidos en este. Posteriormente, el 9 de abril de 2025 la Contraloría General de la República dio curso al Decreto N° 5T-2024, el que, en atención a las enmiendas incorporadas por ese organismo, fue publicado nuevamente en el Diario Oficial, lo que dará lugar a las reliquidaciones que correspondan, previas instrucciones de la Superintendencia de Electricidad y Combustibles.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 todo, las diferencias originadas por la aplicación de los referidos decretos de precios de nudo promedio y de los decretos que fijen los cargos de distribución, ya sea debido a que se publiquen en fechas posteriores a las del inicio de sus vigencias o a la implementación de los mecanismos de estabilización descritos precedentemente, deberán ser traspasadas a los clientes regulados, lo que hace necesario reflejar en los balances y estados de resultados los efectos que tendrá en las cuentas de los clientes finales.</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40" w:right="0" w:firstLine="0"/>
        <w:jc w:val="both"/>
        <w:outlineLvl w:val="9"/>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highlight w:val="yellow"/>
          <w:u w:val="none"/>
        </w:rPr>
      </w:pPr>
      <w:bookmarkStart w:id="77" w:name="Section43"/>
      <w:bookmarkEnd w:id="77"/>
      <w:bookmarkStart w:id="78" w:name="3d14cedc0deb430ab6d0117fd906a3ca"/>
      <w:r>
        <w:rPr>
          <w:rFonts w:ascii="Calibri" w:eastAsia="Calibri" w:hAnsi="Calibri" w:cs="Calibri"/>
          <w:b/>
          <w:i w:val="0"/>
          <w:color w:val="000000"/>
          <w:sz w:val="20"/>
          <w:highlight w:val="yellow"/>
          <w:u w:val="none"/>
        </w:rPr>
        <w:t>5.-</w:t>
      </w:r>
      <w:r>
        <w:rPr>
          <w:rFonts w:ascii="Calibri" w:eastAsia="Calibri" w:hAnsi="Calibri" w:cs="Calibri"/>
          <w:b/>
          <w:i w:val="0"/>
          <w:color w:val="000000"/>
          <w:sz w:val="20"/>
          <w:highlight w:val="yellow"/>
          <w:u w:val="none"/>
        </w:rPr>
        <w:tab/>
      </w:r>
      <w:r>
        <w:rPr>
          <w:rFonts w:ascii="Calibri" w:eastAsia="Calibri" w:hAnsi="Calibri" w:cs="Calibri"/>
          <w:b/>
          <w:i w:val="0"/>
          <w:color w:val="000000"/>
          <w:sz w:val="20"/>
          <w:highlight w:val="yellow"/>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8"/>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factores de riesgo a los que está sometida la Sociedad son de carácter general y se enumeran a continuación: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0"/>
          <w:cols w:space="708"/>
        </w:sectPr>
      </w:pPr>
    </w:p>
    <w:p>
      <w:pPr>
        <w:pStyle w:val="Heading2-wk"/>
        <w:keepNext w:val="0"/>
        <w:keepLines/>
        <w:pageBreakBefore w:val="0"/>
        <w:widowControl w:val="0"/>
        <w:numPr>
          <w:ilvl w:val="0"/>
          <w:numId w:val="0"/>
        </w:numPr>
        <w:spacing w:before="0" w:after="0" w:line="288" w:lineRule="auto"/>
        <w:ind w:left="0" w:right="0" w:firstLine="709"/>
        <w:jc w:val="both"/>
        <w:outlineLvl w:val="1"/>
        <w:rPr>
          <w:rFonts w:ascii="Calibri" w:eastAsia="Calibri" w:hAnsi="Calibri" w:cs="Calibri"/>
          <w:b/>
          <w:i w:val="0"/>
          <w:color w:val="000000"/>
          <w:sz w:val="20"/>
          <w:u w:val="none"/>
        </w:rPr>
      </w:pPr>
      <w:bookmarkStart w:id="79" w:name="Section44"/>
      <w:bookmarkEnd w:id="79"/>
      <w:bookmarkStart w:id="80" w:name="16987ea1745f4f7696896ae03bbdb46a"/>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0"/>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Los negocios en que participa la Sociedad en el sector eléctrico, fuente de sus resultados y flujos, corresponden a inversiones con un perfil de retornos de largo plazo y estabilidad regulatoria, ya que los precios de venta son determinados mediante un mecanismo de carácter técnico, el cual permite obtener una rentabilidad razonable acorde a actividades de distribución y generación de electricidad.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atención a lo anterior, se definen, coordinan y controlan las estructuras financieras de las empresas en orden a prevenir y mitigar los principales riesgos financieros identificados.</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0" w:right="0" w:firstLine="1417"/>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5.1.1.-</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 xml:space="preserve">Riesgo de tipo de cambio y/o unidades de reajuste. </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A pesar de que los negocios en que participa </w:t>
      </w:r>
      <w:r>
        <w:rPr>
          <w:rFonts w:ascii="Calibri" w:eastAsia="Calibri" w:hAnsi="Calibri" w:cs="Calibri"/>
          <w:b w:val="0"/>
          <w:i w:val="0"/>
          <w:color w:val="000000"/>
          <w:sz w:val="20"/>
          <w:highlight w:val="white"/>
          <w:u w:val="none"/>
        </w:rPr>
        <w:t>Empresa Eléctrica de Magallanes S.A.</w:t>
      </w:r>
      <w:r>
        <w:rPr>
          <w:rFonts w:ascii="Calibri" w:eastAsia="Calibri" w:hAnsi="Calibri" w:cs="Calibri"/>
          <w:b w:val="0"/>
          <w:i w:val="0"/>
          <w:color w:val="000000"/>
          <w:sz w:val="20"/>
          <w:highlight w:val="white"/>
          <w:u w:val="none"/>
        </w:rPr>
        <w:t xml:space="preserve"> son fundamentalmente en pesos, se ha determinado como política mantener un equilibrio entre los flujos operacionales y los flujos de sus deudas financieras, con el objetivo de minimizar una eventual exposición al riesgo de variación del tipo de cambio y la unidad de reajuste.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highlight w:val="white"/>
          <w:u w:val="none"/>
        </w:rPr>
        <w:t>, la deuda financiera de Empresa Eléctrica de Magallanes S.A. se encuentra denominada en pesos y en dólares, en consecuencia, se encuentra afecta al riesgo de variación de tipo de cambio.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900"/>
        <w:gridCol w:w="900"/>
        <w:gridCol w:w="900"/>
      </w:tblGrid>
      <w:tr>
        <w:tblPrEx>
          <w:tblW w:w="7845" w:type="dxa"/>
          <w:tblInd w:w="2126" w:type="dxa"/>
          <w:tblLayout w:type="fixed"/>
        </w:tblPrEx>
        <w:trPr>
          <w:cantSplit/>
          <w:trHeight w:hRule="auto" w:val="0"/>
        </w:trPr>
        <w:tc>
          <w:tcPr>
            <w:tcW w:w="4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deuda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424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Deuda en CL$.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10.788.626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95"/>
              </w:tabs>
              <w:spacing w:before="0" w:after="0" w:line="240" w:lineRule="auto"/>
              <w:jc w:val="right"/>
            </w:pPr>
            <w:r>
              <w:rPr>
                <w:rFonts w:ascii="Calibri" w:eastAsia="Calibri" w:hAnsi="Calibri" w:cs="Calibri"/>
                <w:b w:val="0"/>
                <w:i w:val="0"/>
                <w:color w:val="000000"/>
                <w:sz w:val="14"/>
                <w:u w:val="none"/>
              </w:rPr>
              <w:tab/>
              <w:t>32,40 %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10.792.266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495"/>
              </w:tabs>
              <w:spacing w:before="0" w:after="0" w:line="240" w:lineRule="auto"/>
              <w:jc w:val="right"/>
            </w:pPr>
            <w:r>
              <w:rPr>
                <w:rFonts w:ascii="Calibri" w:eastAsia="Calibri" w:hAnsi="Calibri" w:cs="Calibri"/>
                <w:b w:val="0"/>
                <w:i w:val="0"/>
                <w:color w:val="000000"/>
                <w:sz w:val="14"/>
                <w:u w:val="none"/>
              </w:rPr>
              <w:tab/>
              <w:t>32,78 %</w:t>
              <w:tab/>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Deuda en moneda extranjera.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22.513.357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95"/>
              </w:tabs>
              <w:spacing w:before="0" w:after="0" w:line="240" w:lineRule="auto"/>
              <w:jc w:val="right"/>
            </w:pPr>
            <w:r>
              <w:rPr>
                <w:rFonts w:ascii="Calibri" w:eastAsia="Calibri" w:hAnsi="Calibri" w:cs="Calibri"/>
                <w:b w:val="0"/>
                <w:i w:val="0"/>
                <w:color w:val="000000"/>
                <w:sz w:val="14"/>
                <w:u w:val="none"/>
              </w:rPr>
              <w:tab/>
              <w:t>67,60 %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22.129.061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495"/>
              </w:tabs>
              <w:spacing w:before="0" w:after="0" w:line="240" w:lineRule="auto"/>
              <w:jc w:val="right"/>
            </w:pPr>
            <w:r>
              <w:rPr>
                <w:rFonts w:ascii="Calibri" w:eastAsia="Calibri" w:hAnsi="Calibri" w:cs="Calibri"/>
                <w:b w:val="0"/>
                <w:i w:val="0"/>
                <w:color w:val="000000"/>
                <w:sz w:val="14"/>
                <w:u w:val="none"/>
              </w:rPr>
              <w:tab/>
              <w:t>67,22 %</w:t>
              <w:tab/>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deuda financiera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33.301.983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567"/>
              </w:tabs>
              <w:spacing w:before="0" w:after="0" w:line="240" w:lineRule="auto"/>
              <w:jc w:val="right"/>
            </w:pPr>
            <w:r>
              <w:rPr>
                <w:rFonts w:ascii="Calibri" w:eastAsia="Calibri" w:hAnsi="Calibri" w:cs="Calibri"/>
                <w:b/>
                <w:i w:val="0"/>
                <w:color w:val="FFFFFF"/>
                <w:sz w:val="14"/>
                <w:u w:val="none"/>
              </w:rPr>
              <w:tab/>
              <w:t>100,00 %</w:t>
              <w:tab/>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32.921.327</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567"/>
              </w:tabs>
              <w:spacing w:before="0" w:after="0" w:line="240" w:lineRule="auto"/>
              <w:jc w:val="right"/>
            </w:pPr>
            <w:r>
              <w:rPr>
                <w:rFonts w:ascii="Calibri" w:eastAsia="Calibri" w:hAnsi="Calibri" w:cs="Calibri"/>
                <w:b/>
                <w:i w:val="0"/>
                <w:color w:val="FFFFFF"/>
                <w:sz w:val="14"/>
                <w:u w:val="none"/>
              </w:rPr>
              <w:tab/>
              <w:t>100,00 %</w:t>
              <w:tab/>
            </w: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highlight w:val="white"/>
          <w:u w:val="none"/>
        </w:rPr>
        <w:t>Empresa Eléctrica de Magallanes</w:t>
      </w:r>
      <w:r>
        <w:rPr>
          <w:rFonts w:ascii="Calibri" w:eastAsia="Calibri" w:hAnsi="Calibri" w:cs="Calibri"/>
          <w:b w:val="0"/>
          <w:i w:val="0"/>
          <w:color w:val="000000"/>
          <w:sz w:val="20"/>
          <w:highlight w:val="white"/>
          <w:u w:val="none"/>
        </w:rPr>
        <w:t xml:space="preserve"> S.A. no posee deuda denominada en unidades de fomento, en consecuencia, no se encuentra afecta al riesgo de variación de la unidad de fomento</w:t>
      </w:r>
      <w:r>
        <w:rPr>
          <w:rFonts w:ascii="Calibri" w:eastAsia="Calibri" w:hAnsi="Calibri" w:cs="Calibri"/>
          <w:b w:val="0"/>
          <w:i w:val="0"/>
          <w:color w:val="000000"/>
          <w:sz w:val="20"/>
          <w:u w:val="none"/>
        </w:rPr>
        <w:t xml:space="preserve"> asociado a deuda financiera.</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En el período terminado el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highlight w:val="white"/>
          <w:u w:val="none"/>
        </w:rPr>
        <w:t>Empresa Eléctrica de Magallanes</w:t>
      </w:r>
      <w:r>
        <w:rPr>
          <w:rFonts w:ascii="Calibri" w:eastAsia="Calibri" w:hAnsi="Calibri" w:cs="Calibri"/>
          <w:b w:val="0"/>
          <w:i w:val="0"/>
          <w:color w:val="000000"/>
          <w:sz w:val="20"/>
          <w:highlight w:val="white"/>
          <w:u w:val="none"/>
        </w:rPr>
        <w:t xml:space="preserve"> S.A. mantiene un </w:t>
      </w:r>
      <w:r>
        <w:rPr>
          <w:rFonts w:ascii="Calibri" w:eastAsia="Calibri" w:hAnsi="Calibri" w:cs="Calibri"/>
          <w:b w:val="0"/>
          <w:i w:val="0"/>
          <w:color w:val="000000"/>
          <w:sz w:val="20"/>
          <w:highlight w:val="white"/>
          <w:u w:val="none"/>
        </w:rPr>
        <w:t>67,60%</w:t>
      </w:r>
      <w:r>
        <w:rPr>
          <w:rFonts w:ascii="Calibri" w:eastAsia="Calibri" w:hAnsi="Calibri" w:cs="Calibri"/>
          <w:b w:val="0"/>
          <w:i w:val="0"/>
          <w:color w:val="000000"/>
          <w:sz w:val="20"/>
          <w:highlight w:val="white"/>
          <w:u w:val="none"/>
        </w:rPr>
        <w:t xml:space="preserve"> de su deuda financiera denominada en dólares (al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 xml:space="preserve"> fue de </w:t>
      </w:r>
      <w:r>
        <w:rPr>
          <w:rFonts w:ascii="Calibri" w:eastAsia="Calibri" w:hAnsi="Calibri" w:cs="Calibri"/>
          <w:b w:val="0"/>
          <w:i w:val="0"/>
          <w:color w:val="000000"/>
          <w:sz w:val="20"/>
          <w:highlight w:val="white"/>
          <w:u w:val="none"/>
        </w:rPr>
        <w:t>67,22%</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Debido a esta razón, se efectúa un análisis de sensibilidad sobre aquella parte de la deuda expresada en moneda extranjera que no posee algún instrumento de cobertura asociado, con el objeto de determinar el impacto en los resultados de </w:t>
      </w:r>
      <w:r>
        <w:rPr>
          <w:rFonts w:ascii="Calibri" w:eastAsia="Calibri" w:hAnsi="Calibri" w:cs="Calibri"/>
          <w:b w:val="0"/>
          <w:i w:val="0"/>
          <w:color w:val="000000"/>
          <w:sz w:val="20"/>
          <w:highlight w:val="white"/>
          <w:u w:val="none"/>
        </w:rPr>
        <w:t>Empresa Eléctrica de Magallanes</w:t>
      </w:r>
      <w:r>
        <w:rPr>
          <w:rFonts w:ascii="Calibri" w:eastAsia="Calibri" w:hAnsi="Calibri" w:cs="Calibri"/>
          <w:b w:val="0"/>
          <w:i w:val="0"/>
          <w:color w:val="000000"/>
          <w:sz w:val="20"/>
          <w:highlight w:val="white"/>
          <w:u w:val="none"/>
        </w:rPr>
        <w:t xml:space="preserve"> S.A. ante la variación en el tipo de cambio.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highlight w:val="white"/>
          <w:u w:val="none"/>
        </w:rPr>
        <w:t>e</w:t>
      </w:r>
      <w:r>
        <w:rPr>
          <w:rFonts w:ascii="Calibri" w:eastAsia="Calibri" w:hAnsi="Calibri" w:cs="Calibri"/>
          <w:b w:val="0"/>
          <w:i w:val="0"/>
          <w:color w:val="000000"/>
          <w:sz w:val="20"/>
          <w:highlight w:val="white"/>
          <w:u w:val="none"/>
        </w:rPr>
        <w:t xml:space="preserve">l valor del dólar estadounidense se ubicó en $ </w:t>
      </w:r>
      <w:r>
        <w:rPr>
          <w:rFonts w:ascii="Calibri" w:eastAsia="Calibri" w:hAnsi="Calibri" w:cs="Calibri"/>
          <w:b w:val="0"/>
          <w:i w:val="0"/>
          <w:color w:val="000000"/>
          <w:sz w:val="20"/>
          <w:highlight w:val="white"/>
          <w:u w:val="none"/>
        </w:rPr>
        <w:t>0,00</w:t>
      </w:r>
      <w:r>
        <w:rPr>
          <w:rFonts w:ascii="Calibri" w:eastAsia="Calibri" w:hAnsi="Calibri" w:cs="Calibri"/>
          <w:b w:val="0"/>
          <w:i w:val="0"/>
          <w:color w:val="000000"/>
          <w:sz w:val="20"/>
          <w:highlight w:val="white"/>
          <w:u w:val="none"/>
        </w:rPr>
        <w:t xml:space="preserve">, es decir un </w:t>
      </w:r>
      <w:r>
        <w:rPr>
          <w:rFonts w:ascii="Calibri" w:eastAsia="Calibri" w:hAnsi="Calibri" w:cs="Calibri"/>
          <w:b w:val="0"/>
          <w:i w:val="0"/>
          <w:color w:val="000000"/>
          <w:sz w:val="20"/>
          <w:u w:val="none"/>
        </w:rPr>
        <w:t>100,00%</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u w:val="none"/>
        </w:rPr>
        <w:t>menor</w:t>
      </w:r>
      <w:r>
        <w:rPr>
          <w:rFonts w:ascii="Calibri" w:eastAsia="Calibri" w:hAnsi="Calibri" w:cs="Calibri"/>
          <w:b w:val="0"/>
          <w:i w:val="0"/>
          <w:color w:val="000000"/>
          <w:sz w:val="20"/>
          <w:highlight w:val="white"/>
          <w:u w:val="none"/>
        </w:rPr>
        <w:t xml:space="preserve"> al valor de cierre al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 xml:space="preserve">, fecha en que alcanzó un valor de $ </w:t>
      </w:r>
      <w:r>
        <w:rPr>
          <w:rFonts w:ascii="Calibri" w:eastAsia="Calibri" w:hAnsi="Calibri" w:cs="Calibri"/>
          <w:b w:val="0"/>
          <w:i w:val="0"/>
          <w:color w:val="000000"/>
          <w:sz w:val="20"/>
          <w:highlight w:val="white"/>
          <w:u w:val="none"/>
        </w:rPr>
        <w:t>907,13</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Variación % </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t/c</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t/c</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Saldos al 30 de junio de 2026</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#DIV/0!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22.513.357</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#DIV/0!</w:t>
            </w:r>
          </w:p>
        </w:tc>
      </w:tr>
      <w:tr>
        <w:tblPrEx>
          <w:tblW w:w="7845" w:type="dxa"/>
          <w:tblInd w:w="2126"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#DIV/0!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75"/>
        <w:gridCol w:w="1005"/>
        <w:gridCol w:w="1005"/>
        <w:gridCol w:w="1005"/>
        <w:gridCol w:w="1005"/>
        <w:gridCol w:w="1005"/>
      </w:tblGrid>
      <w:tr>
        <w:tblPrEx>
          <w:tblW w:w="7800" w:type="dxa"/>
          <w:tblInd w:w="2126" w:type="dxa"/>
          <w:tblLayout w:type="fixed"/>
        </w:tblPrEx>
        <w:trPr>
          <w:cantSplit/>
          <w:trHeight w:hRule="auto" w:val="0"/>
        </w:trPr>
        <w:tc>
          <w:tcPr>
            <w:tcW w:w="27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Variación %</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t/c</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t/c</w:t>
            </w:r>
          </w:p>
        </w:tc>
      </w:tr>
      <w:tr>
        <w:tblPrEx>
          <w:tblW w:w="7800" w:type="dxa"/>
          <w:tblInd w:w="2126" w:type="dxa"/>
          <w:tblLayout w:type="fixed"/>
        </w:tblPrEx>
        <w:trPr>
          <w:cantSplit/>
          <w:trHeight w:hRule="auto" w:val="0"/>
        </w:trPr>
        <w:tc>
          <w:tcPr>
            <w:tcW w:w="2775"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exact" w:val="60"/>
        </w:trPr>
        <w:tc>
          <w:tcPr>
            <w:tcW w:w="27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auto" w:val="0"/>
        </w:trPr>
        <w:tc>
          <w:tcPr>
            <w:tcW w:w="27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Saldos al 31 de diciembre de 2025</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907,13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24.395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22.129.061</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auto" w:val="0"/>
        </w:trPr>
        <w:tc>
          <w:tcPr>
            <w:tcW w:w="27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898,06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21.907.770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(221.291)</w:t>
            </w:r>
          </w:p>
        </w:tc>
      </w:tr>
      <w:tr>
        <w:tblPrEx>
          <w:tblW w:w="7800" w:type="dxa"/>
          <w:tblInd w:w="2126" w:type="dxa"/>
          <w:tblLayout w:type="fixed"/>
        </w:tblPrEx>
        <w:trPr>
          <w:cantSplit/>
          <w:trHeight w:hRule="auto" w:val="0"/>
        </w:trPr>
        <w:tc>
          <w:tcPr>
            <w:tcW w:w="2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916,20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24.395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22.350.352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221.291</w:t>
            </w:r>
          </w:p>
        </w:tc>
      </w:tr>
    </w:tbl>
    <w:p>
      <w:pPr>
        <w:keepNext w:val="0"/>
        <w:keepLines/>
        <w:pageBreakBefore w:val="0"/>
        <w:widowControl w:val="0"/>
        <w:numPr>
          <w:ilvl w:val="0"/>
          <w:numId w:val="0"/>
        </w:numPr>
        <w:spacing w:before="0" w:after="0" w:line="288" w:lineRule="auto"/>
        <w:ind w:left="216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Se estima que el impacto de un alza de un 1% en la tasa de cambio del peso chileno con respecto al dólar estadounidense habría generado un impacto negativo en M$ </w:t>
      </w:r>
      <w:r>
        <w:rPr>
          <w:rFonts w:ascii="Calibri" w:eastAsia="Calibri" w:hAnsi="Calibri" w:cs="Calibri"/>
          <w:b w:val="0"/>
          <w:i w:val="0"/>
          <w:color w:val="000000"/>
          <w:sz w:val="20"/>
          <w:highlight w:val="white"/>
          <w:u w:val="none"/>
        </w:rPr>
        <w:t>#DIV/0!</w:t>
      </w:r>
      <w:r>
        <w:rPr>
          <w:rFonts w:ascii="Calibri" w:eastAsia="Calibri" w:hAnsi="Calibri" w:cs="Calibri"/>
          <w:b w:val="0"/>
          <w:i w:val="0"/>
          <w:color w:val="000000"/>
          <w:sz w:val="20"/>
          <w:highlight w:val="white"/>
          <w:u w:val="none"/>
        </w:rPr>
        <w:t xml:space="preserve"> en el resultado financiero de Empresa Eléctrica de Magallanes S.A. al cierre del período terminado el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de M$ </w:t>
      </w:r>
      <w:r>
        <w:rPr>
          <w:rFonts w:ascii="Calibri" w:eastAsia="Calibri" w:hAnsi="Calibri" w:cs="Calibri"/>
          <w:b w:val="0"/>
          <w:i w:val="0"/>
          <w:color w:val="000000"/>
          <w:sz w:val="20"/>
          <w:highlight w:val="white"/>
          <w:u w:val="none"/>
        </w:rPr>
        <w:t>221.291</w:t>
      </w:r>
      <w:r>
        <w:rPr>
          <w:rFonts w:ascii="Calibri" w:eastAsia="Calibri" w:hAnsi="Calibri" w:cs="Calibri"/>
          <w:b w:val="0"/>
          <w:i w:val="0"/>
          <w:color w:val="000000"/>
          <w:sz w:val="20"/>
          <w:highlight w:val="white"/>
          <w:u w:val="none"/>
        </w:rPr>
        <w:t xml:space="preserve"> al cierre del ejercicio terminado al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 Asimismo, se estima un impacto positivo de la misma magnitud ante una disminución del tipo de cambio. Cabe mencionar que este impacto compensará parcialmente el efecto de la variación de la cuenta por cobrar en moneda extranjera producto del mecanismo transitorio de estabilización de precios de generación de energía eléctrica.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5.1.2.-</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 xml:space="preserve">Riesgo de tasa de interés.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riesgo de tasa de interés es el riesgo de que flujos de instrumentos financieros fluctúen debido a cambios en las tasas de interés de mercado. La exposición de la Sociedad al riesgo de cambio en tasas de interés se relaciona principalmente con obligaciones financieras a tasas de interés variables.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w:t>
      </w:r>
      <w:r>
        <w:rPr>
          <w:rFonts w:ascii="Calibri" w:eastAsia="Calibri" w:hAnsi="Calibri" w:cs="Calibri"/>
          <w:b w:val="0"/>
          <w:i w:val="0"/>
          <w:sz w:val="20"/>
        </w:rPr>
        <w:t>a</w:t>
      </w:r>
      <w:r>
        <w:rPr>
          <w:rFonts w:ascii="Calibri" w:eastAsia="Calibri" w:hAnsi="Calibri" w:cs="Calibri"/>
          <w:b w:val="0"/>
          <w:i w:val="0"/>
          <w:color w:val="000000"/>
          <w:sz w:val="20"/>
          <w:u w:val="none"/>
        </w:rPr>
        <w:t xml:space="preserve"> deuda financiera de la Sociedad se estructura en un 87,91% a tasa variable y en un 100% respecto en el periodo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Se estima que un incremento de 100 puntos base en las tasas de interés variables en base anual hubiese significado un mayor gasto financiero de M$ 72.632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de M$ 89.008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 de liquidez y estructura de pasivos financieros.</w:t>
      </w:r>
    </w:p>
    <w:p>
      <w:pPr>
        <w:keepNext w:val="0"/>
        <w:keepLines/>
        <w:pageBreakBefore w:val="0"/>
        <w:widowControl w:val="0"/>
        <w:numPr>
          <w:ilvl w:val="0"/>
          <w:numId w:val="0"/>
        </w:numPr>
        <w:spacing w:before="0" w:after="0" w:line="288" w:lineRule="auto"/>
        <w:ind w:left="283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riesgo de liquidez está relacionado con las necesidades de fondos para hacer frente a las obligaciones de pago con instituciones bancarias, proveedores y empresas relacionadas.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w:t>
      </w:r>
      <w:r>
        <w:rPr>
          <w:rFonts w:ascii="Calibri" w:eastAsia="Calibri" w:hAnsi="Calibri" w:cs="Calibri"/>
          <w:b w:val="0"/>
          <w:i w:val="0"/>
          <w:color w:val="000000"/>
          <w:sz w:val="20"/>
          <w:highlight w:val="white"/>
          <w:u w:val="none"/>
        </w:rPr>
        <w:t>mpresa Eléctrica de Magallanes</w:t>
      </w:r>
      <w:r>
        <w:rPr>
          <w:rFonts w:ascii="Calibri" w:eastAsia="Calibri" w:hAnsi="Calibri" w:cs="Calibri"/>
          <w:b w:val="0"/>
          <w:i w:val="0"/>
          <w:color w:val="000000"/>
          <w:sz w:val="20"/>
          <w:highlight w:val="white"/>
          <w:u w:val="none"/>
        </w:rPr>
        <w:t xml:space="preserve"> S.A</w:t>
      </w:r>
      <w:r>
        <w:rPr>
          <w:rFonts w:ascii="Calibri" w:eastAsia="Calibri" w:hAnsi="Calibri" w:cs="Calibri"/>
          <w:b w:val="0"/>
          <w:i w:val="0"/>
          <w:color w:val="000000"/>
          <w:sz w:val="20"/>
          <w:highlight w:val="white"/>
          <w:u w:val="none"/>
        </w:rPr>
        <w:t>. mantiene una adecuada gestión de los activos y pasivos, optimizando los excedentes de caja diarios y de esa manera asegurar el cumplimiento de los co</w:t>
      </w:r>
      <w:r>
        <w:rPr>
          <w:rFonts w:ascii="Calibri" w:eastAsia="Calibri" w:hAnsi="Calibri" w:cs="Calibri"/>
          <w:b w:val="0"/>
          <w:i w:val="0"/>
          <w:color w:val="000000"/>
          <w:sz w:val="20"/>
          <w:u w:val="none"/>
        </w:rPr>
        <w:t xml:space="preserve">mpromisos de deudas en el momento de su vencimiento. En efecto,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un 88,43% de la deuda financiera (capital vigente adeudado) se encuentra estructurada a corto plazo en créditos bancarios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fue de 93,26%). Además, la generación de flujos de la sociedad es suficiente para afrontar las obligaciones por los servicios asociados a la operación comercial.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 Sociedad continuamente efectúa proyecciones de flujos de caja, análisis de la situación financiera, del entorno económico y análisis del mercado de deuda con el objeto de, en caso de requerirlo, contratar nuevos financiamientos o reestructurar créditos existentes a plazos que sean coherentes con la capacidad de generación de flujos. Sin perjuicio de lo anterior, la Sociedad cuenta con una tesorería centralizada con la matriz que permite reducir ostensiblemente el riesgo de liquidez.</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highlight w:val="white"/>
          <w:u w:val="none"/>
        </w:rPr>
        <w:t>En los siguientes cuadros se puede apreciar el perfil de vencimiento de capital e intereses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900"/>
        <w:gridCol w:w="900"/>
        <w:gridCol w:w="900"/>
      </w:tblGrid>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3 meses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3 meses y hasta 1 año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y hasta 3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7845" w:type="dxa"/>
          <w:tblInd w:w="2126" w:type="dxa"/>
          <w:tblLayout w:type="fixed"/>
        </w:tblPrEx>
        <w:trPr>
          <w:cantSplit/>
          <w:trHeight w:hRule="auto" w:val="0"/>
        </w:trPr>
        <w:tc>
          <w:tcPr>
            <w:tcW w:w="424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exact" w:val="6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Bancos.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13.306.152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16.909.544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3.995.267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34.210.963</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13.306.152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16.909.544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3.995.267</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34.210.963</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25"/>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4"/>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39 %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49 %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12 %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100 %</w:t>
            </w:r>
          </w:p>
        </w:tc>
      </w:tr>
    </w:tbl>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tbl>
      <w:tblPr>
        <w:tblW w:w="7845" w:type="dxa"/>
        <w:tblInd w:w="2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885"/>
        <w:gridCol w:w="915"/>
        <w:gridCol w:w="900"/>
      </w:tblGrid>
      <w:tr>
        <w:tblPrEx>
          <w:tblW w:w="7845" w:type="dxa"/>
          <w:tblInd w:w="2124" w:type="dxa"/>
          <w:tblLayout w:type="fixed"/>
        </w:tblPrEx>
        <w:trPr>
          <w:cantSplit/>
          <w:trHeight w:hRule="auto" w:val="0"/>
        </w:trPr>
        <w:tc>
          <w:tcPr>
            <w:tcW w:w="424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3 meses</w:t>
            </w:r>
          </w:p>
        </w:tc>
        <w:tc>
          <w:tcPr>
            <w:tcW w:w="8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3 meses y hasta 1 año</w:t>
            </w:r>
          </w:p>
        </w:tc>
        <w:tc>
          <w:tcPr>
            <w:tcW w:w="91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y hasta 3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7845" w:type="dxa"/>
          <w:tblInd w:w="2124" w:type="dxa"/>
          <w:tblLayout w:type="fixed"/>
        </w:tblPrEx>
        <w:trPr>
          <w:cantSplit/>
          <w:trHeight w:hRule="auto" w:val="0"/>
        </w:trPr>
        <w:tc>
          <w:tcPr>
            <w:tcW w:w="424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4" w:type="dxa"/>
          <w:tblLayout w:type="fixed"/>
        </w:tblPrEx>
        <w:trPr>
          <w:cantSplit/>
          <w:trHeight w:hRule="exact" w:val="6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4"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Bancos.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3.201.995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28.509.052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2.324.465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34.035.512</w:t>
            </w:r>
          </w:p>
        </w:tc>
      </w:tr>
      <w:tr>
        <w:tblPrEx>
          <w:tblW w:w="7845" w:type="dxa"/>
          <w:tblInd w:w="2124"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4"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3.201.995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28.509.052</w:t>
            </w:r>
          </w:p>
        </w:tc>
        <w:tc>
          <w:tcPr>
            <w:tcW w:w="9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2.324.465</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34.035.512</w:t>
            </w:r>
          </w:p>
        </w:tc>
      </w:tr>
      <w:tr>
        <w:tblPrEx>
          <w:tblW w:w="7845" w:type="dxa"/>
          <w:tblInd w:w="2124"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4" w:type="dxa"/>
          <w:tblLayout w:type="fixed"/>
        </w:tblPrEx>
        <w:trPr>
          <w:cantSplit/>
          <w:trHeight w:hRule="exact" w:val="225"/>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4"/>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9 %</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84 %</w:t>
            </w:r>
          </w:p>
        </w:tc>
        <w:tc>
          <w:tcPr>
            <w:tcW w:w="91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7 %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100 %</w:t>
            </w:r>
          </w:p>
        </w:tc>
      </w:tr>
    </w:tbl>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5.1.4.-</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Riesgo de crédito deudores comerciales y otras cuentas por cobrar.</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la actividad de distribución de electricidad el riesgo de crédito es históricamente bajo. El reducido plazo de cobro a los clientes y la relevancia que tiene el suministro de electricidad en el diario vivir hace que éstos no acumulen montos significativos de deudas antes que pueda producirse la suspensión del suministro, conforme a las herramientas de cobranza definidas en la Ley</w:t>
      </w:r>
      <w:r>
        <w:rPr>
          <w:rFonts w:ascii="Calibri" w:eastAsia="Calibri" w:hAnsi="Calibri" w:cs="Calibri"/>
          <w:b w:val="0"/>
          <w:i w:val="0"/>
          <w:color w:val="000000"/>
          <w:sz w:val="20"/>
          <w:highlight w:val="white"/>
          <w:u w:val="none"/>
        </w:rPr>
        <w:t xml:space="preserve">.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Adicionalmente, la regulación vigente prevé la radicación de la deuda en la propiedad del usuario del servicio eléctrico, reduciendo la probabilidad de incobrabilidad. Otro factor que permite reducir el riesgo de crédito es la elevada atomización de la cartera de clientes, cuyos montos individuales adeudados no son significativos en relación al total de ingresos operacionales.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 xml:space="preserve">En el siguiente cuadro se puede apreciar lo planteado anteriormente en el sentido que el riesgo de crédito es bajo. En efecto, el monto de deudas comerciales vencidas y deterioradas acumuladas representa un </w:t>
      </w:r>
      <w:r>
        <w:rPr>
          <w:rFonts w:ascii="Calibri" w:eastAsia="Calibri" w:hAnsi="Calibri" w:cs="Calibri"/>
          <w:b w:val="0"/>
          <w:i w:val="0"/>
          <w:color w:val="000000"/>
          <w:sz w:val="20"/>
          <w:u w:val="none"/>
        </w:rPr>
        <w:t>1,33%</w:t>
      </w:r>
      <w:r>
        <w:rPr>
          <w:rFonts w:ascii="Calibri" w:eastAsia="Calibri" w:hAnsi="Calibri" w:cs="Calibri"/>
          <w:b w:val="0"/>
          <w:i w:val="0"/>
          <w:sz w:val="20"/>
        </w:rPr>
        <w:t xml:space="preserve"> del total de ingresos ordinarios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     (</w:t>
      </w:r>
      <w:r>
        <w:rPr>
          <w:rFonts w:ascii="Calibri" w:eastAsia="Calibri" w:hAnsi="Calibri" w:cs="Calibri"/>
          <w:b w:val="0"/>
          <w:i w:val="0"/>
          <w:color w:val="000000"/>
          <w:sz w:val="20"/>
          <w:u w:val="none"/>
        </w:rPr>
        <w:t>1,00 %</w:t>
      </w:r>
      <w:r>
        <w:rPr>
          <w:rFonts w:ascii="Calibri" w:eastAsia="Calibri" w:hAnsi="Calibri" w:cs="Calibri"/>
          <w:b w:val="0"/>
          <w:i w:val="0"/>
          <w:sz w:val="20"/>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Por otra parte, la rotación de cuentas por cobrar de la Sociedad es aproximadamente de </w:t>
      </w:r>
      <w:r>
        <w:rPr>
          <w:rFonts w:ascii="Calibri" w:eastAsia="Calibri" w:hAnsi="Calibri" w:cs="Calibri"/>
          <w:b w:val="0"/>
          <w:i w:val="0"/>
          <w:color w:val="000000"/>
          <w:sz w:val="20"/>
          <w:u w:val="none"/>
        </w:rPr>
        <w:t>0,0</w:t>
      </w:r>
      <w:r>
        <w:rPr>
          <w:rFonts w:ascii="Calibri" w:eastAsia="Calibri" w:hAnsi="Calibri" w:cs="Calibri"/>
          <w:b w:val="0"/>
          <w:i w:val="0"/>
          <w:sz w:val="20"/>
        </w:rPr>
        <w:t xml:space="preserve"> meses de ventas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7,3</w:t>
      </w:r>
      <w:r>
        <w:rPr>
          <w:rFonts w:ascii="Calibri" w:eastAsia="Calibri" w:hAnsi="Calibri" w:cs="Calibri"/>
          <w:b w:val="0"/>
          <w:i w:val="0"/>
          <w:sz w:val="20"/>
        </w:rPr>
        <w:t xml:space="preserve"> meses de ventas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En los últimos años, la rotación de cuentas por cobrar se ha visto afectada principalmente por el retraso de la publicación de las tarifas definitivas del Valor Agregado de Distribución (VAD), además de la implementación del mecanismo transitorio de estabilización de precios de generación de energía eléctrica para clientes sujetos a regulación de tarifas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operacionales. (últimos 12 meses).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34.203.144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64.151.389</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bruto.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46.545.233</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vencidas y deterioradas.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543.200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766.428</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Rotación cuentas por cobrar. (meses)</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0,0</w:t>
            </w:r>
          </w:p>
        </w:tc>
        <w:tc>
          <w:tcPr>
            <w:tcW w:w="10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7,3</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Deudores comerciales y otras cuentas por cobrar deterioradas / ingresos operacionales.</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1,33 %</w:t>
            </w:r>
          </w:p>
        </w:tc>
        <w:tc>
          <w:tcPr>
            <w:tcW w:w="10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1,00 %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Análisis de la deuda financiera que no está a valor de mercado.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u w:val="none"/>
        </w:rPr>
        <w:t xml:space="preserve">Como parte del análisis de riesgo, se ha realizado un análisis del valor de mercado que tendrían los pasivos bancarios de </w:t>
      </w:r>
      <w:r>
        <w:rPr>
          <w:rFonts w:ascii="Calibri" w:eastAsia="Calibri" w:hAnsi="Calibri" w:cs="Calibri"/>
          <w:b w:val="0"/>
          <w:i w:val="0"/>
          <w:sz w:val="20"/>
        </w:rPr>
        <w:t xml:space="preserve">Empresa Eléctrica de Magallanes </w:t>
      </w:r>
      <w:r>
        <w:rPr>
          <w:rFonts w:ascii="Calibri" w:eastAsia="Calibri" w:hAnsi="Calibri" w:cs="Calibri"/>
          <w:b w:val="0"/>
          <w:i w:val="0"/>
          <w:color w:val="000000"/>
          <w:sz w:val="20"/>
          <w:u w:val="none"/>
        </w:rPr>
        <w:t xml:space="preserve">S.A.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E</w:t>
      </w:r>
      <w:r>
        <w:rPr>
          <w:rFonts w:ascii="Calibri" w:eastAsia="Calibri" w:hAnsi="Calibri" w:cs="Calibri"/>
          <w:b w:val="0"/>
          <w:i w:val="0"/>
          <w:color w:val="000000"/>
          <w:sz w:val="20"/>
          <w:highlight w:val="white"/>
          <w:u w:val="none"/>
        </w:rPr>
        <w:t xml:space="preserve">ste análisis consiste en obtener el valor presente de los flujos de caja futuros de cada deuda financiera vigente, utilizando tasas representativas de las condiciones de mercado a esas fechas de acuerdo al riesgo de la empresa y al plazo remanente de la deuda.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 esta forma, se presenta a continuación el resumen del valor libro y de mercado del saldo insoluto de los pasivos financieros de la Sociedad:</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30"/>
        <w:gridCol w:w="1005"/>
        <w:gridCol w:w="1005"/>
        <w:gridCol w:w="1005"/>
      </w:tblGrid>
      <w:tr>
        <w:tblPrEx>
          <w:tblW w:w="7845" w:type="dxa"/>
          <w:tblInd w:w="2126" w:type="dxa"/>
          <w:tblLayout w:type="fixed"/>
        </w:tblPrEx>
        <w:trPr>
          <w:cantSplit/>
          <w:trHeight w:hRule="auto" w:val="0"/>
        </w:trPr>
        <w:tc>
          <w:tcPr>
            <w:tcW w:w="48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Deuda al 30 de junio de 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 a valor libro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 a valor justo</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justo v/s valor libro</w:t>
            </w:r>
          </w:p>
        </w:tc>
      </w:tr>
      <w:tr>
        <w:tblPrEx>
          <w:tblW w:w="7845" w:type="dxa"/>
          <w:tblInd w:w="2126" w:type="dxa"/>
          <w:tblLayout w:type="fixed"/>
        </w:tblPrEx>
        <w:trPr>
          <w:cantSplit/>
          <w:trHeight w:hRule="auto" w:val="0"/>
        </w:trPr>
        <w:tc>
          <w:tcPr>
            <w:tcW w:w="48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r>
      <w:tr>
        <w:tblPrEx>
          <w:tblW w:w="7845" w:type="dxa"/>
          <w:tblInd w:w="2126" w:type="dxa"/>
          <w:tblLayout w:type="fixed"/>
        </w:tblPrEx>
        <w:trPr>
          <w:cantSplit/>
          <w:trHeight w:hRule="auto" w:val="0"/>
        </w:trPr>
        <w:tc>
          <w:tcPr>
            <w:tcW w:w="48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Bancos.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33.301.983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33.231.477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(0,21 %)</w:t>
            </w:r>
          </w:p>
        </w:tc>
      </w:tr>
      <w:tr>
        <w:tblPrEx>
          <w:tblW w:w="7845" w:type="dxa"/>
          <w:tblInd w:w="2126" w:type="dxa"/>
          <w:tblLayout w:type="fixed"/>
        </w:tblPrEx>
        <w:trPr>
          <w:cantSplit/>
          <w:trHeight w:hRule="auto" w:val="0"/>
        </w:trPr>
        <w:tc>
          <w:tcPr>
            <w:tcW w:w="48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 financiero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33.301.983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33.231.477</w:t>
            </w:r>
          </w:p>
        </w:tc>
        <w:tc>
          <w:tcPr>
            <w:tcW w:w="10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4"/>
                <w:u w:val="none"/>
              </w:rPr>
              <w:t>(0,21 %)</w:t>
            </w: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30"/>
        <w:gridCol w:w="1005"/>
        <w:gridCol w:w="1005"/>
        <w:gridCol w:w="1005"/>
      </w:tblGrid>
      <w:tr>
        <w:tblPrEx>
          <w:tblW w:w="7845" w:type="dxa"/>
          <w:tblInd w:w="2126" w:type="dxa"/>
          <w:tblLayout w:type="fixed"/>
        </w:tblPrEx>
        <w:trPr>
          <w:cantSplit/>
          <w:trHeight w:hRule="auto" w:val="0"/>
        </w:trPr>
        <w:tc>
          <w:tcPr>
            <w:tcW w:w="48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Deuda al 31 de diciembre de 2025</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 a valor libro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 a valor justo</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justo v/s valor libro</w:t>
            </w:r>
          </w:p>
        </w:tc>
      </w:tr>
      <w:tr>
        <w:tblPrEx>
          <w:tblW w:w="7845" w:type="dxa"/>
          <w:tblInd w:w="2126" w:type="dxa"/>
          <w:tblLayout w:type="fixed"/>
        </w:tblPrEx>
        <w:trPr>
          <w:cantSplit/>
          <w:trHeight w:hRule="auto" w:val="0"/>
        </w:trPr>
        <w:tc>
          <w:tcPr>
            <w:tcW w:w="48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r>
      <w:tr>
        <w:tblPrEx>
          <w:tblW w:w="7845" w:type="dxa"/>
          <w:tblInd w:w="2126" w:type="dxa"/>
          <w:tblLayout w:type="fixed"/>
        </w:tblPrEx>
        <w:trPr>
          <w:cantSplit/>
          <w:trHeight w:hRule="auto" w:val="0"/>
        </w:trPr>
        <w:tc>
          <w:tcPr>
            <w:tcW w:w="48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Bancos.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32.921.327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32.898.027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(0,07 %)</w:t>
            </w:r>
          </w:p>
        </w:tc>
      </w:tr>
      <w:tr>
        <w:tblPrEx>
          <w:tblW w:w="7845" w:type="dxa"/>
          <w:tblInd w:w="2126" w:type="dxa"/>
          <w:tblLayout w:type="fixed"/>
        </w:tblPrEx>
        <w:trPr>
          <w:cantSplit/>
          <w:trHeight w:hRule="auto" w:val="0"/>
        </w:trPr>
        <w:tc>
          <w:tcPr>
            <w:tcW w:w="48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 financiero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32.921.327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32.898.027</w:t>
            </w:r>
          </w:p>
        </w:tc>
        <w:tc>
          <w:tcPr>
            <w:tcW w:w="10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4"/>
                <w:u w:val="none"/>
              </w:rPr>
              <w:t>(0,07 %)</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Riesgos Regulatorios.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u w:val="none"/>
        </w:rPr>
        <w:t>Eventuales cambios regulatorios pueden generar efectos de diversa índole en los resultados de la empresa. Actualmente, las materias que están en desarrollo y que se están monitoreando constantemente son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57"/>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Implementación de la Ley N° 21.194, conocida como Ley Corta de Distribución, publicada el 21 de diciembre de 2019, particularmente en lo relacionado con la extensión a las empresas de los Sistemas Medianos del mecanismo de estabilización de precios de generación definido en la Ley N°21.185 y con la aplicación del mecanismo de estabilización de los niveles de precios asociados al valor agregado por concepto de costos de distribución.</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58"/>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El 9 de abril de 2025, fue publicado el Decreto N° 5T-2024 - del Ministerio de Energía - que fija las fórmulas tarifarias aplicables a clientes finales sujetos a fijación de precios regulados.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59"/>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Con fecha 9 de febrero de 2026, la Superintendencia de Electricidad y Combustibles, mediante Resolución Exenta N° 37613-2026, comunicó los plazos, forma y condiciones en que las empresas deberán abonar o cargar el valor de las diferencias tarifarias producidas por la entrada en vigencia del decreto tarifario 2020-2024 (Decreto N° 5T-2024 ), de acuerdo a lo indicado en el artículo 192° de la Ley General de Servicios Eléctricos. Según lo instruido por la SEC, el proceso de reliquidación se realizará bajo las siguientes condiciones: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2"/>
          <w:numId w:val="15"/>
        </w:numPr>
        <w:spacing w:before="0" w:after="0" w:line="240" w:lineRule="exact"/>
        <w:ind w:left="2976" w:right="0" w:hanging="425"/>
        <w:jc w:val="both"/>
        <w:outlineLvl w:val="9"/>
        <w:rPr>
          <w:rFonts w:ascii="Calibri" w:eastAsia="Calibri" w:hAnsi="Calibri" w:cs="Calibri"/>
          <w:b w:val="0"/>
          <w:i w:val="0"/>
          <w:sz w:val="20"/>
        </w:rPr>
      </w:pPr>
      <w:r>
        <w:rPr>
          <w:rFonts w:ascii="Calibri" w:eastAsia="Calibri" w:hAnsi="Calibri" w:cs="Calibri"/>
          <w:b w:val="0"/>
          <w:i w:val="0"/>
          <w:sz w:val="20"/>
        </w:rPr>
        <w:t>Saldos a cobrar a clientes (cargos): deberán dividirse en 48 cuotas mensuales, pudiendo ampliarse hasta 60 cuotas cuando la cuota mensual supere el 20% del valor promedio de las boletas del año 2025.</w:t>
      </w:r>
    </w:p>
    <w:p>
      <w:pPr>
        <w:keepNext w:val="0"/>
        <w:keepLines/>
        <w:pageBreakBefore w:val="0"/>
        <w:widowControl w:val="0"/>
        <w:numPr>
          <w:ilvl w:val="2"/>
          <w:numId w:val="15"/>
        </w:numPr>
        <w:spacing w:before="0" w:after="0" w:line="240" w:lineRule="exact"/>
        <w:ind w:left="2976" w:right="0" w:hanging="425"/>
        <w:jc w:val="both"/>
        <w:outlineLvl w:val="9"/>
        <w:rPr>
          <w:rFonts w:ascii="Calibri" w:eastAsia="Calibri" w:hAnsi="Calibri" w:cs="Calibri"/>
          <w:b w:val="0"/>
          <w:i w:val="0"/>
          <w:sz w:val="20"/>
        </w:rPr>
      </w:pPr>
      <w:r>
        <w:rPr>
          <w:rFonts w:ascii="Calibri" w:eastAsia="Calibri" w:hAnsi="Calibri" w:cs="Calibri"/>
          <w:b w:val="0"/>
          <w:i w:val="0"/>
          <w:sz w:val="20"/>
        </w:rPr>
        <w:t>Saldos a favor de clientes (abonos): deberán devolverse en un máximo de 12 cuotas mensuales.</w:t>
      </w:r>
    </w:p>
    <w:p>
      <w:pPr>
        <w:keepNext w:val="0"/>
        <w:keepLines/>
        <w:pageBreakBefore w:val="0"/>
        <w:widowControl w:val="0"/>
        <w:numPr>
          <w:ilvl w:val="2"/>
          <w:numId w:val="15"/>
        </w:numPr>
        <w:spacing w:before="0" w:after="0" w:line="240" w:lineRule="exact"/>
        <w:ind w:left="2976" w:right="0" w:hanging="425"/>
        <w:jc w:val="both"/>
        <w:outlineLvl w:val="9"/>
        <w:rPr>
          <w:rFonts w:ascii="Calibri" w:eastAsia="Calibri" w:hAnsi="Calibri" w:cs="Calibri"/>
          <w:b w:val="0"/>
          <w:i w:val="0"/>
          <w:sz w:val="20"/>
        </w:rPr>
      </w:pPr>
      <w:r>
        <w:rPr>
          <w:rFonts w:ascii="Calibri" w:eastAsia="Calibri" w:hAnsi="Calibri" w:cs="Calibri"/>
          <w:b w:val="0"/>
          <w:i w:val="0"/>
          <w:sz w:val="20"/>
        </w:rPr>
        <w:t>Los cargos o abonos deberán comenzar a reflejarse en las boletas emitidas a partir de abril de 2026.</w:t>
      </w:r>
    </w:p>
    <w:p>
      <w:pPr>
        <w:keepNext w:val="0"/>
        <w:keepLines/>
        <w:pageBreakBefore w:val="0"/>
        <w:widowControl w:val="0"/>
        <w:numPr>
          <w:ilvl w:val="2"/>
          <w:numId w:val="15"/>
        </w:numPr>
        <w:spacing w:before="0" w:after="0" w:line="240" w:lineRule="exact"/>
        <w:ind w:left="2976" w:right="0" w:hanging="425"/>
        <w:jc w:val="both"/>
        <w:outlineLvl w:val="9"/>
        <w:rPr>
          <w:rFonts w:ascii="Calibri" w:eastAsia="Calibri" w:hAnsi="Calibri" w:cs="Calibri"/>
          <w:b w:val="0"/>
          <w:i w:val="0"/>
          <w:sz w:val="20"/>
        </w:rPr>
      </w:pPr>
      <w:r>
        <w:rPr>
          <w:rFonts w:ascii="Calibri" w:eastAsia="Calibri" w:hAnsi="Calibri" w:cs="Calibri"/>
          <w:b w:val="0"/>
          <w:i w:val="0"/>
          <w:sz w:val="20"/>
        </w:rPr>
        <w:t>Las empresas deberán informar a la SEC, antes del 25 de febrero de 2026, el detalle individual de los montos de deuda o abono y su respectiva cuota mensual.</w:t>
      </w:r>
    </w:p>
    <w:p>
      <w:pPr>
        <w:keepNext w:val="0"/>
        <w:keepLines/>
        <w:pageBreakBefore w:val="0"/>
        <w:widowControl w:val="0"/>
        <w:numPr>
          <w:ilvl w:val="0"/>
          <w:numId w:val="0"/>
        </w:numPr>
        <w:spacing w:before="0" w:after="0" w:line="288" w:lineRule="auto"/>
        <w:ind w:left="2551"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firstLine="20"/>
        <w:jc w:val="both"/>
        <w:outlineLvl w:val="9"/>
        <w:rPr>
          <w:rFonts w:ascii="Calibri" w:eastAsia="Calibri" w:hAnsi="Calibri" w:cs="Calibri"/>
          <w:b w:val="0"/>
          <w:i w:val="0"/>
          <w:sz w:val="20"/>
        </w:rPr>
      </w:pPr>
      <w:r>
        <w:rPr>
          <w:rFonts w:ascii="Calibri" w:eastAsia="Calibri" w:hAnsi="Calibri" w:cs="Calibri"/>
          <w:b w:val="0"/>
          <w:i w:val="0"/>
          <w:sz w:val="20"/>
        </w:rPr>
        <w:t>Posteriormente, mediante Resolución Exenta N° 38341-2026, de fecha 27 de marzo de 2026, la Superintendencia de Electricidad y Combustibles instruyó a las empresas distribuidoras aplazar el cobro de la reliquidación del Decreto N° 5T-2024 hasta el 1 de julio 2026.</w:t>
      </w:r>
    </w:p>
    <w:p>
      <w:pPr>
        <w:keepNext w:val="0"/>
        <w:keepLines/>
        <w:pageBreakBefore w:val="0"/>
        <w:widowControl w:val="0"/>
        <w:numPr>
          <w:ilvl w:val="0"/>
          <w:numId w:val="6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Proceso de tarificación de distribución correspondiente a cuadrienio 2024-2028, el cual ya se ha iniciado, habiéndose efectuado la correspondiente determinación de áreas típicas de distribución y la selección de empresas de referencia. Además, el 30 de mayo de 2023, la Comisión Nacional de Energía comunicó las Bases Técnicas Definitivas del proceso, las cuales incluyen los dictámenes del Panel de Expertos respecto de las observaciones presentadas por las empresas concesionarias de distribución y el resto de los participantes del proceso. Por otra parte, el 26 de octubre de 2023 la Comisión Nacional de Energía adjudicó la realización de los estudios a la empresa consultora INECON, Ingenieros y Economistas Consultores, cuyo contrato de servicios fue aprobado por la Contraloría General de la República el 4 de enero de 2024, estableciendo en ese día la fecha oficial de inicio de los estudios.</w:t>
      </w:r>
    </w:p>
    <w:p>
      <w:pPr>
        <w:keepNext w:val="0"/>
        <w:keepLines/>
        <w:pageBreakBefore w:val="0"/>
        <w:widowControl w:val="0"/>
        <w:numPr>
          <w:ilvl w:val="0"/>
          <w:numId w:val="0"/>
        </w:numPr>
        <w:spacing w:before="0" w:after="0" w:line="288" w:lineRule="auto"/>
        <w:ind w:left="1831" w:right="0" w:firstLine="20"/>
        <w:jc w:val="both"/>
        <w:outlineLvl w:val="9"/>
        <w:rPr>
          <w:rFonts w:ascii="Calibri" w:eastAsia="Calibri" w:hAnsi="Calibri" w:cs="Calibri"/>
          <w:b w:val="0"/>
          <w:i w:val="0"/>
          <w:sz w:val="20"/>
        </w:rPr>
      </w:pPr>
    </w:p>
    <w:p>
      <w:pPr>
        <w:keepNext w:val="0"/>
        <w:keepLines/>
        <w:pageBreakBefore w:val="0"/>
        <w:widowControl w:val="0"/>
        <w:numPr>
          <w:ilvl w:val="0"/>
          <w:numId w:val="61"/>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El 4 de marzo de 2024, el consultor INECON entregó a la Comisión Nacional de Energía el Informe de Avance N°1 del citado estudio, respecto del cual el Comité de supervisión y las empresas distribuidoras enviaron sus observaciones el 25 de marzo de 2024. Posteriormente, el 25 de junio de 2024 el consultor entregó a la Comisión Nacional de Energía el Informe de Avance N°2, respecto del cual el Comité de supervisión y las empresas distribuidoras enviaron sus observaciones el 24 de julio de 2024. Luego, el 13 de septiembre de 2024 el consultor entregó el Informe Final, para el cual el Comité de Supervisión y las empresas distribuidoras enviaron sus observaciones el 22 de octubre de 2024 y, finalmente, el 27 de diciembre de 2024 el consultor entregó el Informe Final Definitivo, considerando las observaciones entregadas por el Comité de Supervisor y las empresas distribuidoras, el 16 de enero de 2025 y 21 de marzo de 2025. El 14 de abril de 2025 el Comité aprobó solicitar a INECON una nueva versión del Informe Final Definitivo, insistiendo en 9 de las 35 observaciones que se habían presentado respecto de la anterior versión y agregando 8 nuevas observaciones, propuestas por la CNE. El 4 de septiembre de 2025 la Comisión comunicó a las empresas una nueva versión corregida del Informe Final Definitivo de INECON, que incluye las correcciones solicitadas por el Comité Supervisor.</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62"/>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 xml:space="preserve">El 10 de octubre de 2025, la Comisión Nacional de Energía publicó el Informe Técnico Preliminar asociado al Proceso de tarificación de distribución correspondiente a cuadrienio 2024-2028, respecto del cual las empresas distribuidoras enviaron sus observaciones el 24 de noviembre de 2025. El 23 de diciembre de 2025, mediante el Oficio Ordinario 1190, la CNE comunicó que emitirá una nueva versión corregida del Informe Técnico Preliminar durante enero 2026. El 30 de enero de 2026, la CNE publicó la nueva versión del Informe Técnico Preliminar respecto del cual las empresas distribuidoras enviaron sus observaciones el 27 de febrero de 2026. A la fecha la Comisión se encuentra en revisión de las mencionadas observaciones y en la elaboración del Informe Técnico Corregido. </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63"/>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Respecto al proceso de tarificación de generación y transmisión de los Sistemas Medianos correspondiente al cuadrienio 2022-2026, el 4 de julio de 2025 fue publicado el Decreto 8T-2024 del Ministerio de Energía, que fija los respectivos precios de generación y transmisión, con lo que se cierra el proceso para el cuadrienio 2022-2026.</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A la fecha, se encuentra pendiente el proceso de reliquidación correspondiente al Decreto 8T-2024 el cual se origina debido a que, si bien el decreto fue publicado en julio de 2025, las tarifas que establece tienen efecto retroactivo desde el año 2022.</w:t>
      </w:r>
    </w:p>
    <w:p>
      <w:pPr>
        <w:keepNext w:val="0"/>
        <w:keepLines/>
        <w:pageBreakBefore w:val="0"/>
        <w:widowControl w:val="0"/>
        <w:numPr>
          <w:ilvl w:val="0"/>
          <w:numId w:val="6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El día 11 de agosto de 2025, mediante Resolución Exenta N° 470, la Comisión Nacional de Energía aprobó las bases preliminares para la realización de los estudios de los Sistemas Medianos de Aysén, Palena, General Carrera, Puerto Cisnes, Punta Arenas, Puerto Natales, Porvenir, Puerto Williams, Cochamó, y Hornopirén, para el cuadrienio 2026-2030, con la que se dio inicio al Proceso de tarificación de generación y transmisión de los Sistemas Medianos. El 22 de enero de 2026, mediante la Resolución Exenta N°28, la Comisión Nacional de Energía aprobó las Bases Definitivas para la realización de estos estudios de los Sistemas Medianos mencionados. El 06 de febrero de 2026, Edelmag y Edelaysen interpusieron discrepancias por estas Bases Definitivas, que a esta fecha aún no están resueltas por el Panel de Expertos.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65"/>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 xml:space="preserve">Proyecto de Ley sobre Portabilidad Eléctrica, ingresado en el mes de septiembre de 2020 al Congreso Nacional, cuyos objetivos principales son habilitar a todos los usuarios finales para que puedan elegir su suministrador de electricidad (comercializador) e incorporar la figura del gestor de información. </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66"/>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La Ley N° 21.249, publicada el 8 de agosto de 2020, dispuso beneficios excepcionales en favor de los usuarios finales de los servicios sanitarios, de electricidad y de gas de red, estableciendo principalmente: a) la prohibición de cortar el suministro eléctrico por mora en el pago de las cuentas durante 90 días y; b) que, a solicitud de los clientes (vulnerables, tercera edad, cesantes y afectados en sus ingresos, entre otros), las deudas generadas entre el 18 de marzo de 2020 y los 90 días posteriores al 8 de agosto de 2020 se deberán prorratear en hasta 12 cuotas mensuales, sin multas, ni intereses, ni gastos asociados. El 5 de enero de 2021 fue publicada la Ley N° 21.301, que básicamente extendió en 180 días adicionales los efectos de la Ley N° 21.249. Luego, el 22 de mayo de 2021, fue publicada la Ley N° 21.340, la que: a) prorrogó nuevamente los efectos de la Ley N° 21.249, esta vez hasta el 31 de diciembre de 2021; b) amplió los beneficiarios para la postergación de las deudas desde el 60% más vulnerable al 80% y; c) amplió a 48 las cuotas para la postergación de pagos.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67"/>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Posteriormente, la Ley N° 21.423, publicada el 11 de febrero de 2022, extendió hasta el 31 de marzo de 2022 el plazo para que los clientes señalados previamente se acojan al mecanismo de prorrateo de las deudas. Sin perjuicio de lo anterior, la vigencia de la Ley     N° 21.249 expiró el 31 de diciembre de 2021 y sus efectos se complementarán con los de la Ley N° 21.423, limitándose principalmente a aquellos clientes que cumplen las condiciones para optar el mecanismo de prorrateo de las deudas y no cumplan las condiciones para ser beneficiarios de esta última.</w:t>
      </w:r>
    </w:p>
    <w:p>
      <w:pPr>
        <w:keepNext w:val="0"/>
        <w:keepLines/>
        <w:pageBreakBefore w:val="0"/>
        <w:widowControl w:val="0"/>
        <w:numPr>
          <w:ilvl w:val="0"/>
          <w:numId w:val="68"/>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Adicionalmente, la Ley N° 21.423, que regula el prorrateo y pago de deudas durante la pandemia y establece subsidios, disponiendo principalmente que a) las deudas de los usuarios beneficiarios de la suspensión del corte de suministro por falta de pago, de acuerdo con la Ley de Servicios Básicos, generadas durante el período comprendido entre el 18 de marzo de 2020 y el 31 de diciembre de 2021, cuyo consumo promedio del año 2021 no sea superior a 250 kWh/mes, serán pagadas en cuotas mensuales y sucesivas, determinadas dividiendo el monto total de lo adeudado por 48, no pudiendo incorporarse multas, intereses, ni gastos; b) dicha cuota no podrá exceder el 15% del cobro asociado al consumo promedio del año 2021; c) una vez pagadas las 48 cuotas, en caso de existir un saldo de la deuda, éste se extinguirá mediante convenios celebrados por el Ministerio de Obras Públicas o el Ministerio de Energía, según corresponda, con las empresas sanitarias o las empresas y cooperativas eléctricas, respectivamente, los que deberán ser aprobados por el correspondiente acto administrativo. Además, se agrega que el saldo de la deuda que se hubiere extinguido en virtud de los referidos convenios se considerará como gasto aceptado tributariamente; d) se establecerán subsidios automáticos para estos usuarios por un máximo de 48 meses, correspondientes al valor de las cuotas calculadas, los cuales deben ser descontados mensualmente por las empresas a los correspondientes usuarios. Una vez efectuados los descuentos, las empresas deben acreditar mensualmente ante la Superintendencia de Electricidad y Combustibles (SEC) los montos descontados, a efectos de que ésta autorice el pago del monto mediante resolución exenta, la que será remitida a la Tesorería General de la República para que proceda al pago y; e) el procedimiento de pago de los subsidios y las demás normas necesarias para la implementación de dicha ley fueron determinados mediante decreto supremo exento número 130 de 17 de junio de 2022 del Ministerio de Energía, publicado en el Diario Oficial con fecha 23 de junio de 2022.</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69"/>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Ley N° 21.472, publicada el 2 de agosto de 2022, mediante la cual se crea un fondo de estabilización tarifaria,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que tiene por objetivo impedir el alza de las cuentas eléctricas durante el año 2022 y permitir únicamente alzas graduales hasta 2032.</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7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Ley N° 21.667, publicada el 30 de abril de 2024, mediante la cual se modifica diversos cuerpos legales en materia de estabilización tarifaria, cuyos objetivos principales son a) definir que el Fondo de Estabilización de Tarifas tiene por objeto estabilizar las tarifas de los clientes regulados y pagar los saldos originados por las Leyes N° 21.185 y N° 21.472, que será administrado por la Tesorería General de la República (TGR) y que su vigencia y los cargos que lo financian no excederán del 31 de diciembre de 2035; b) reformular los tramos y monto del Mecanismo de Protección al Cliente (MPC); c) definir los valores del Cargo MPC para los ejercicios 2024 a 2027 y 2028 a 2035; d) establecer las reglas para descongelar gradualmente la estabilización de las tarifas del Valor Agregado de Distribución; y e) establecer un subsidio transitorio de hasta US$ 120 millones anuales, para los años 2024 a 2026, dirigido a familias de menores recursos, con el fin de paliar los aumentos en el período en que los precios de energía experimentarán las mayores alzas.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71"/>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 xml:space="preserve">Proyecto de Ley que perfecciona los sistemas medianos (Boletín N° 16.627-08) establecidos en la Ley General de Servicios Eléctricos, ingresado por el Ejecutivo a la Cámara de Diputados y Diputadas el 30 de enero de 2024. </w:t>
      </w: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El citado Proyecto de Ley contiene cuatro ejes: 1) Revisión y ajuste a la definición y categorización de los sistemas medianos y aislados (se aborda transición de un tipo de sistema a otro); 2) Actualización del procedimiento de planificación que considera el desarrollo óptimo de las inversiones, seguridad de los sistemas y propender a la incorporación de energías renovables y almacenamiento; 3) Cambios en la tarificación de los Sistemas Medianos (estudio contratado por la Comisión Nacional de Energía en reemplazo de estudio empresa; ajustes en Equidad Tarifaria Residencial (ETR) en beneficio de clientes de Sistemas Medianos); 4) Introducir incentivos a generación renovable; y aumento en la participación ciudadana.</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Con fecha 29 de julio 2024, en Sesión N° 70, la Comisión de Zonas Extremas y Antártica Chilena de la Cámara de Diputados inició el estudio del proyecto de ley que “Perfecciona los sistemas medianos en la Ley General de Servicios Eléctricos”, correspondiente al Boletín 16.627-08. Luego, en Sesión N° 9 del 16 de octubre de 2024, con la incorporación de indicaciones por parte de esa comisión, el Proyecto de Ley fue despachado a la Comisión de Minería y Energía.</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La iniciativa presentada por el Ejecutivo fue aprobada en la sesión N° 128 de la Comisión de Minería y Energía, y posteriormente despachada a la Comisión de Hacienda, la que en sesión del 8 de julio de 2025 la remitió a la Sala para votación. Luego, con fecha 15 de julio de 2025, la modificación a la Ley General de Servicios Eléctricos fue respaldada por la Cámara de Diputados con 106 votos favorables, siendo remitida al Senado de la República para continuar su tramitación, mediante el Oficio N° 20.658.</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Con fecha 13 de febrero de 2026, fue publicada en el Diario Oficial la Ley N° 21.804, que perfecciona los sistemas medianos en la Ley General de Servicios Eléctricos, cuyo proyecto correspondió al Boletín N.º 16.627‑08.</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5.1.7.-</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Riesgos ambientales.</w:t>
      </w:r>
    </w:p>
    <w:p>
      <w:pPr>
        <w:keepNext/>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riesgos medioambientales, se presentan principalmente en el segmento de generación, debido a que las centrales térmicas generadoras, durante su operación podrían superar los límites ambientales, referidos a ruido y emisiones gaseosas. Para hacer seguimiento, se mantiene un adecuado monitoreo anual de los niveles de emisión, respecto de lo indicado en el Decreto N°38/2012, Establece Norma de Emisión de Ruidos Generados por Fuentes que Indica y el Decreto N°13/2011, Establece Norma de Emisión para Centrales Termoeléctricas. Por su parte, la calidad de aire se monitorea en relación con los máximos permitidos señalados en el Decreto N°12/2011, Establece Norma Primaria de Calidad Ambiental para Material Particulado Fino Respirable MP2,5 Decreto N°12/2022, Establece Norma Primaria de Calidad Ambiental para Material Particulado Respirable MP10, Decreto N°N°40/2024, Establece Norma Primaria de Calidad de Aire para Dióxido de Nitrógeno (NO2) y Decreto N°115/2002, Establece Norma Primaria de Calidad de Aire para Monóxido de Carbono (CO).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Respecto de posibles contaminaciones con residuos peligrosos, Empresa Eléctrica de Magallanes S.A. efectúa la gestión de éstos, de acuerdo con las directrices establecidas en el Decreto            N° 148/2004 que Aprueba Reglamento Sanitario sobre Manejo de Residuos Peligrosos. Los procesos incluyen acciones desde el origen hasta la eliminación de los residuos y consideran actividades para un adecuado manejo, rotulación, segregación, almacenamiento, transporte y disposición final.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5.1.8.-</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Riesgos de cambio climático.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transición energética que se ha registrado en Magallanes desde el año 2015 con la incorporación de energías renovables, a través de dos proyectos eólicos de terceros ubicados en Punta Arenas, no ha tenido gran impacto para la compañía, debido a que los costos del gas natural continúan siendo los más competitivos dentro las distintas alternativas energéticas que se presentan en los correspondientes estudios tarifarios, condición sobre la cual no se proyectan cambios a mediano plazo.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Por otro lado, las condiciones climáticas en la zona de concesión de Empresa Eléctrica de Magallanes S.A. al igual que en otros puntos del país, han variado en los últimos años presentando aumento de temperaturas y mayores niveles de precipitaciones, ante lo cual las áreas técnicas han dispuesto de planes de contingencia que recogen estas condiciones de manera de disminuir el impacto de condiciones extremas en la continuidad del servicio eléctrico, así como la ejecución de planes de mantenimiento basados en inspecciones de estructuras. No obstante lo anterior, la Sociedad cuenta con infraestructura diseñada y planes de operación para soportar las condiciones climáticas que puedan darse en su zona de operación. Respecto de eventos climáticos extremos poco frecuentes que puedan generar daños en los activos y afectación de la operación normal de los negocios de la sociedad, con el objeto de mitigar los efectos negativos que éstos pudiesen ocasionar en los negocios y resultados de la Compañía, se cuenta con mecanismos de detección temprana de incidentes, sin perjuicio de no poder desconocerse que la ocurrencia de este tipo de fenómenos es inevitable.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Por último, Empresa Eléctrica de Magallanes S.A. ha previsto tanto por efectos del cambio climático, como de impactos por eventos inesperados que afecten la disponibilidad de sus activos fijos, entre los que se encuentran edificaciones, infraestructura y equipamiento, así como los riesgos de responsabilidad civil que ellos pudiesen originar, se ha contemplado su cobertura a través de pólizas de seguro cuyos términos y condiciones corresponden a los usuales en el mercado.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1-wk"/>
        <w:keepNext w:val="0"/>
        <w:keepLines/>
        <w:pageBreakBefore w:val="0"/>
        <w:widowControl w:val="0"/>
        <w:numPr>
          <w:ilvl w:val="0"/>
          <w:numId w:val="0"/>
        </w:numPr>
        <w:tabs>
          <w:tab w:val="left" w:pos="700"/>
        </w:tabs>
        <w:spacing w:before="20" w:after="0" w:line="288" w:lineRule="auto"/>
        <w:ind w:left="0" w:right="0" w:firstLine="0"/>
        <w:jc w:val="left"/>
        <w:outlineLvl w:val="0"/>
        <w:rPr>
          <w:rFonts w:ascii="Cambria" w:eastAsia="Cambria" w:hAnsi="Cambria" w:cs="Cambria"/>
          <w:b/>
          <w:i w:val="0"/>
          <w:color w:val="365F91"/>
          <w:sz w:val="28"/>
          <w:u w:val="none"/>
        </w:rPr>
      </w:pPr>
      <w:bookmarkStart w:id="81" w:name="Section45"/>
      <w:bookmarkEnd w:id="81"/>
      <w:bookmarkStart w:id="82" w:name="e54360d45a8245d59460b6e7d95f4adc"/>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Y PASIVOS FINANCIEROS.</w:t>
      </w:r>
    </w:p>
    <w:p>
      <w:pPr>
        <w:keepNext w:val="0"/>
        <w:keepLines/>
        <w:pageBreakBefore w:val="0"/>
        <w:widowControl w:val="0"/>
        <w:numPr>
          <w:ilvl w:val="0"/>
          <w:numId w:val="0"/>
        </w:numPr>
        <w:spacing w:before="20" w:after="0" w:line="288" w:lineRule="auto"/>
        <w:ind w:left="0" w:right="0" w:firstLine="0"/>
        <w:jc w:val="both"/>
        <w:outlineLvl w:val="9"/>
        <w:rPr>
          <w:rFonts w:ascii="Calibri" w:eastAsia="Calibri" w:hAnsi="Calibri" w:cs="Calibri"/>
          <w:b w:val="0"/>
          <w:i w:val="0"/>
          <w:color w:val="000000"/>
          <w:sz w:val="20"/>
          <w:u w:val="none"/>
        </w:rPr>
      </w:pPr>
      <w:bookmarkEnd w:id="82"/>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y sus respectivos valores razonables.</w:t>
      </w: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 de junio de 2026</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 valor Razonable</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exact" w:val="6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25"/>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Préstamos Bancarios.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33.301.983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33.301.983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33.231.477</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33.301.983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33.301.983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33.231.477</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 de diciembre de 2025</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 valor Razonable</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exact" w:val="6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477.266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477.266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477.266</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45.778.805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45.778.805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45.778.805</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965.321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965.321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965.321</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47.221.392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47.221.392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47.221.392</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25"/>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Préstamos Bancarios.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32.921.327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32.921.327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32.898.027</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17.871.957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17.871.957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17.871.957</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708.033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708.033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708.033</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219.482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219.482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219.482</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51.720.799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51.720.799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51.697.499</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83" w:name="Section46"/>
      <w:bookmarkEnd w:id="83"/>
      <w:bookmarkStart w:id="84" w:name="8cdfffa5dd9c40d7a99979bb47390e18"/>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84"/>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85" w:name="Section47"/>
      <w:bookmarkEnd w:id="85"/>
      <w:bookmarkStart w:id="86" w:name="aa5e42fc211e4cdb9186172000f258a2"/>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86"/>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4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6"/>
                <w:u w:val="none"/>
              </w:rPr>
              <w:t>Efectivo</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477.266</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efectivo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477.266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por tipo de monedas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rPr>
        <w:tc>
          <w:tcPr>
            <w:tcW w:w="55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5535"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553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476.849</w:t>
            </w:r>
          </w:p>
        </w:tc>
      </w:tr>
      <w:tr>
        <w:tblPrEx>
          <w:tblW w:w="8550" w:type="dxa"/>
          <w:tblInd w:w="1417" w:type="dxa"/>
          <w:tblLayout w:type="fixed"/>
        </w:tblPrEx>
        <w:trPr>
          <w:cantSplit/>
          <w:trHeight w:hRule="auto" w:val="0"/>
        </w:trPr>
        <w:tc>
          <w:tcPr>
            <w:tcW w:w="5535" w:type="dxa"/>
            <w:vMerge/>
            <w:tcBorders>
              <w:top w:val="nil"/>
              <w:left w:val="single" w:sz="2" w:space="0" w:color="000000"/>
              <w:bottom w:val="nil"/>
              <w:right w:val="nil"/>
            </w:tcBorders>
          </w:tcPr>
          <w:p>
            <w:pPr>
              <w:keepNext/>
              <w:pageBreakBefore w:val="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417</w:t>
            </w:r>
          </w:p>
        </w:tc>
      </w:tr>
      <w:tr>
        <w:tblPrEx>
          <w:tblW w:w="8550" w:type="dxa"/>
          <w:tblInd w:w="1417" w:type="dxa"/>
          <w:tblLayout w:type="fixed"/>
        </w:tblPrEx>
        <w:trPr>
          <w:cantSplit/>
          <w:trHeight w:hRule="auto" w:val="0"/>
        </w:trPr>
        <w:tc>
          <w:tcPr>
            <w:tcW w:w="654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477.266</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tiene disponibles y no utilizadas líneas de sobregiro por M$ 400.000.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0"/>
          <w:cols w:space="708"/>
        </w:sectPr>
      </w:pPr>
    </w:p>
    <w:p>
      <w:pPr>
        <w:keepNext/>
        <w:keepLines/>
        <w:pageBreakBefore w:val="0"/>
        <w:widowControl w:val="0"/>
        <w:numPr>
          <w:ilvl w:val="0"/>
          <w:numId w:val="0"/>
        </w:numPr>
        <w:tabs>
          <w:tab w:val="left" w:pos="700"/>
        </w:tabs>
        <w:spacing w:before="0" w:after="0" w:line="288" w:lineRule="auto"/>
        <w:ind w:left="0" w:right="0" w:firstLine="709"/>
        <w:jc w:val="both"/>
        <w:outlineLvl w:val="9"/>
        <w:rPr>
          <w:rFonts w:ascii="Times New Roman" w:eastAsia="Times New Roman" w:hAnsi="Times New Roman" w:cs="Times New Roman"/>
          <w:b/>
          <w:i w:val="0"/>
          <w:color w:val="000000"/>
          <w:sz w:val="24"/>
          <w:highlight w:val="white"/>
          <w:u w:val="none"/>
        </w:rPr>
      </w:pPr>
      <w:bookmarkStart w:id="87" w:name="Section48"/>
      <w:bookmarkEnd w:id="87"/>
    </w:p>
    <w:p>
      <w:pPr>
        <w:pStyle w:val="Heading2-wk"/>
        <w:keepNext/>
        <w:keepLines/>
        <w:pageBreakBefore/>
        <w:widowControl w:val="0"/>
        <w:numPr>
          <w:ilvl w:val="0"/>
          <w:numId w:val="0"/>
        </w:numPr>
        <w:tabs>
          <w:tab w:val="left" w:pos="700"/>
        </w:tabs>
        <w:spacing w:before="0" w:after="0" w:line="240" w:lineRule="auto"/>
        <w:ind w:left="0" w:right="0" w:firstLine="709"/>
        <w:jc w:val="both"/>
        <w:outlineLvl w:val="1"/>
        <w:rPr>
          <w:rFonts w:ascii="Times New Roman" w:eastAsia="Times New Roman" w:hAnsi="Times New Roman" w:cs="Times New Roman"/>
          <w:b/>
          <w:i w:val="0"/>
          <w:color w:val="000000"/>
          <w:sz w:val="24"/>
          <w:u w:val="none"/>
        </w:rPr>
      </w:pPr>
      <w:bookmarkStart w:id="88" w:name="dfddaadd66284167b4f30ba598d3d6b1"/>
      <w:r>
        <w:rPr>
          <w:rFonts w:ascii="Calibri" w:eastAsia="Calibri" w:hAnsi="Calibri" w:cs="Calibri"/>
          <w:b/>
          <w:i w:val="0"/>
          <w:color w:val="000000"/>
          <w:sz w:val="20"/>
          <w:highlight w:val="white"/>
          <w:u w:val="none"/>
        </w:rPr>
        <w:t>7.2.-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cobros y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7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(1.108.684)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(887.698)</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pagos (Remuneración del directorio y otros).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(58.626)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(46.494)</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(1.167.310)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(934.192)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7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cobros por actividades de operación</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Bonificación zona extrema.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65.716</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Indemnizaciones varias.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224.109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130</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cobros por actividades de operación</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224.109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65.846</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9" w:name="Section49"/>
      <w:bookmarkEnd w:id="89"/>
      <w:bookmarkStart w:id="90" w:name="0532e46005434f88a6ad9ca166c05f1d"/>
      <w:r>
        <w:rPr>
          <w:rFonts w:ascii="Calibri" w:eastAsia="Calibri" w:hAnsi="Calibri" w:cs="Calibri"/>
          <w:b/>
          <w:i w:val="0"/>
          <w:color w:val="000000"/>
          <w:sz w:val="20"/>
          <w:u w:val="none"/>
        </w:rPr>
        <w:t>7.3.-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keepLines/>
        <w:pageBreakBefore w:val="0"/>
        <w:widowControl w:val="0"/>
        <w:numPr>
          <w:ilvl w:val="0"/>
          <w:numId w:val="0"/>
        </w:numPr>
        <w:spacing w:before="0" w:after="0" w:line="288" w:lineRule="auto"/>
        <w:ind w:left="0" w:right="0" w:firstLine="708"/>
        <w:jc w:val="both"/>
        <w:outlineLvl w:val="9"/>
        <w:rPr>
          <w:rFonts w:ascii="Times New Roman" w:eastAsia="Times New Roman" w:hAnsi="Times New Roman" w:cs="Times New Roman"/>
          <w:b/>
          <w:i w:val="0"/>
          <w:color w:val="000000"/>
          <w:sz w:val="20"/>
          <w:u w:val="none"/>
        </w:rPr>
      </w:pPr>
      <w:bookmarkEnd w:id="9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Conciliación de los pasivos que surgen de las actividades de financiamiento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210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00"/>
        <w:gridCol w:w="945"/>
        <w:gridCol w:w="945"/>
        <w:gridCol w:w="945"/>
        <w:gridCol w:w="945"/>
        <w:gridCol w:w="945"/>
        <w:gridCol w:w="945"/>
        <w:gridCol w:w="945"/>
        <w:gridCol w:w="945"/>
        <w:gridCol w:w="945"/>
      </w:tblGrid>
      <w:tr>
        <w:tblPrEx>
          <w:tblW w:w="12105" w:type="dxa"/>
          <w:tblInd w:w="1417" w:type="dxa"/>
          <w:tblLayout w:type="fixed"/>
        </w:tblPrEx>
        <w:trPr>
          <w:cantSplit/>
          <w:trHeight w:hRule="auto" w:val="0"/>
        </w:trPr>
        <w:tc>
          <w:tcPr>
            <w:tcW w:w="360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4725"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Flujo de efectivo de financiamiento</w:t>
            </w:r>
          </w:p>
        </w:tc>
        <w:tc>
          <w:tcPr>
            <w:tcW w:w="378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Cambios que no representan flujo de efectivo</w:t>
            </w:r>
          </w:p>
        </w:tc>
      </w:tr>
      <w:tr>
        <w:tblPrEx>
          <w:tblW w:w="12105" w:type="dxa"/>
          <w:tblInd w:w="1417" w:type="dxa"/>
          <w:tblLayout w:type="fixed"/>
        </w:tblPrEx>
        <w:trPr>
          <w:cantSplit/>
          <w:trHeight w:hRule="exact" w:val="225"/>
        </w:trPr>
        <w:tc>
          <w:tcPr>
            <w:tcW w:w="36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45" w:type="dxa"/>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Saldo al</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Provenientes</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Utilizados</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Intereses pagados</w:t>
            </w:r>
          </w:p>
        </w:tc>
        <w:tc>
          <w:tcPr>
            <w:tcW w:w="94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Total</w:t>
            </w:r>
          </w:p>
        </w:tc>
        <w:tc>
          <w:tcPr>
            <w:tcW w:w="94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Diferencias de cambio/Unidad de Reajuste</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Costos financieros</w:t>
            </w:r>
          </w:p>
        </w:tc>
        <w:tc>
          <w:tcPr>
            <w:tcW w:w="94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Otros</w:t>
            </w:r>
          </w:p>
        </w:tc>
        <w:tc>
          <w:tcPr>
            <w:tcW w:w="94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Saldo al</w:t>
            </w:r>
          </w:p>
        </w:tc>
      </w:tr>
      <w:tr>
        <w:tblPrEx>
          <w:tblW w:w="12105" w:type="dxa"/>
          <w:tblInd w:w="1417" w:type="dxa"/>
          <w:tblLayout w:type="fixed"/>
        </w:tblPrEx>
        <w:trPr>
          <w:cantSplit/>
          <w:trHeight w:hRule="exact" w:val="225"/>
        </w:trPr>
        <w:tc>
          <w:tcPr>
            <w:tcW w:w="360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31-12-2025</w:t>
            </w: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nil"/>
            </w:tcBorders>
          </w:tcPr>
          <w:p>
            <w:pPr>
              <w:keepNext/>
              <w:pageBreakBefore w:val="0"/>
            </w:pPr>
          </w:p>
        </w:tc>
        <w:tc>
          <w:tcPr>
            <w:tcW w:w="945" w:type="dxa"/>
            <w:vMerge/>
            <w:tcBorders>
              <w:top w:val="nil"/>
              <w:left w:val="single" w:sz="4" w:space="0" w:color="FFFFFF"/>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val="restart"/>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30-06-2026</w:t>
            </w:r>
          </w:p>
        </w:tc>
      </w:tr>
      <w:tr>
        <w:tblPrEx>
          <w:tblW w:w="12105" w:type="dxa"/>
          <w:tblInd w:w="1417" w:type="dxa"/>
          <w:tblLayout w:type="fixed"/>
        </w:tblPrEx>
        <w:trPr>
          <w:cantSplit/>
          <w:trHeight w:hRule="exact" w:val="225"/>
        </w:trPr>
        <w:tc>
          <w:tcPr>
            <w:tcW w:w="360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nil"/>
            </w:tcBorders>
          </w:tcPr>
          <w:p>
            <w:pPr>
              <w:keepNext/>
              <w:pageBreakBefore w:val="0"/>
            </w:pPr>
          </w:p>
        </w:tc>
        <w:tc>
          <w:tcPr>
            <w:tcW w:w="945" w:type="dxa"/>
            <w:vMerge/>
            <w:tcBorders>
              <w:top w:val="nil"/>
              <w:left w:val="single" w:sz="4" w:space="0" w:color="FFFFFF"/>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2105" w:type="dxa"/>
          <w:tblInd w:w="1417" w:type="dxa"/>
          <w:tblLayout w:type="fixed"/>
        </w:tblPrEx>
        <w:trPr>
          <w:cantSplit/>
          <w:trHeight w:hRule="auto" w:val="0"/>
        </w:trPr>
        <w:tc>
          <w:tcPr>
            <w:tcW w:w="36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5"/>
                <w:u w:val="none"/>
              </w:rPr>
              <w:t>Otros pasivos financieros (préstamos bancarios).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32.921.327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32.921.327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32.921.327</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5"/>
                <w:u w:val="none"/>
              </w:rPr>
              <w:t>Pasivos por arrendamientos.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219.482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37.761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257.243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(1.752)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(11.706)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243.785</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5"/>
                <w:u w:val="none"/>
              </w:rPr>
              <w:t>Pasivos por arrendamientos de empresas relacionadas.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626.282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(37.761)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588.521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1.752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11.706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601.979</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5"/>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33.767.091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33.767.091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0</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33.767.091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210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00"/>
        <w:gridCol w:w="945"/>
        <w:gridCol w:w="945"/>
        <w:gridCol w:w="945"/>
        <w:gridCol w:w="945"/>
        <w:gridCol w:w="945"/>
        <w:gridCol w:w="945"/>
        <w:gridCol w:w="945"/>
        <w:gridCol w:w="945"/>
        <w:gridCol w:w="945"/>
      </w:tblGrid>
      <w:tr>
        <w:tblPrEx>
          <w:tblW w:w="12105" w:type="dxa"/>
          <w:tblInd w:w="1417" w:type="dxa"/>
          <w:tblLayout w:type="fixed"/>
        </w:tblPrEx>
        <w:trPr>
          <w:cantSplit/>
          <w:trHeight w:hRule="auto" w:val="0"/>
        </w:trPr>
        <w:tc>
          <w:tcPr>
            <w:tcW w:w="360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4725"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Flujo de efectivo de financiamiento</w:t>
            </w:r>
          </w:p>
        </w:tc>
        <w:tc>
          <w:tcPr>
            <w:tcW w:w="378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Cambios que no representan flujo de efectivo</w:t>
            </w:r>
          </w:p>
        </w:tc>
      </w:tr>
      <w:tr>
        <w:tblPrEx>
          <w:tblW w:w="12105" w:type="dxa"/>
          <w:tblInd w:w="1417" w:type="dxa"/>
          <w:tblLayout w:type="fixed"/>
        </w:tblPrEx>
        <w:trPr>
          <w:cantSplit/>
          <w:trHeight w:hRule="exact" w:val="225"/>
        </w:trPr>
        <w:tc>
          <w:tcPr>
            <w:tcW w:w="36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45" w:type="dxa"/>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Saldo al</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Provenientes</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Utilizados</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Intereses pagados</w:t>
            </w:r>
          </w:p>
        </w:tc>
        <w:tc>
          <w:tcPr>
            <w:tcW w:w="94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Total</w:t>
            </w:r>
          </w:p>
        </w:tc>
        <w:tc>
          <w:tcPr>
            <w:tcW w:w="94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Diferencias de cambio/Unidad de Reajuste</w:t>
            </w: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Costos financieros</w:t>
            </w:r>
          </w:p>
        </w:tc>
        <w:tc>
          <w:tcPr>
            <w:tcW w:w="94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Otros</w:t>
            </w:r>
          </w:p>
        </w:tc>
        <w:tc>
          <w:tcPr>
            <w:tcW w:w="94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Saldo al</w:t>
            </w:r>
          </w:p>
        </w:tc>
      </w:tr>
      <w:tr>
        <w:tblPrEx>
          <w:tblW w:w="12105" w:type="dxa"/>
          <w:tblInd w:w="1417" w:type="dxa"/>
          <w:tblLayout w:type="fixed"/>
        </w:tblPrEx>
        <w:trPr>
          <w:cantSplit/>
          <w:trHeight w:hRule="exact" w:val="225"/>
        </w:trPr>
        <w:tc>
          <w:tcPr>
            <w:tcW w:w="360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4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31-12-2024</w:t>
            </w: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nil"/>
            </w:tcBorders>
          </w:tcPr>
          <w:p>
            <w:pPr>
              <w:keepNext/>
              <w:pageBreakBefore w:val="0"/>
            </w:pPr>
          </w:p>
        </w:tc>
        <w:tc>
          <w:tcPr>
            <w:tcW w:w="945" w:type="dxa"/>
            <w:vMerge/>
            <w:tcBorders>
              <w:top w:val="nil"/>
              <w:left w:val="single" w:sz="4" w:space="0" w:color="FFFFFF"/>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nil"/>
            </w:tcBorders>
          </w:tcPr>
          <w:p>
            <w:pPr>
              <w:keepNext/>
              <w:pageBreakBefore w:val="0"/>
            </w:pPr>
          </w:p>
        </w:tc>
        <w:tc>
          <w:tcPr>
            <w:tcW w:w="945" w:type="dxa"/>
            <w:vMerge w:val="restart"/>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31-12-2025</w:t>
            </w:r>
          </w:p>
        </w:tc>
      </w:tr>
      <w:tr>
        <w:tblPrEx>
          <w:tblW w:w="12105" w:type="dxa"/>
          <w:tblInd w:w="1417" w:type="dxa"/>
          <w:tblLayout w:type="fixed"/>
        </w:tblPrEx>
        <w:trPr>
          <w:cantSplit/>
          <w:trHeight w:hRule="exact" w:val="225"/>
        </w:trPr>
        <w:tc>
          <w:tcPr>
            <w:tcW w:w="360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nil"/>
            </w:tcBorders>
          </w:tcPr>
          <w:p>
            <w:pPr>
              <w:keepNext/>
              <w:pageBreakBefore w:val="0"/>
            </w:pPr>
          </w:p>
        </w:tc>
        <w:tc>
          <w:tcPr>
            <w:tcW w:w="945" w:type="dxa"/>
            <w:vMerge/>
            <w:tcBorders>
              <w:top w:val="nil"/>
              <w:left w:val="single" w:sz="4" w:space="0" w:color="FFFFFF"/>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nil"/>
            </w:tcBorders>
          </w:tcPr>
          <w:p>
            <w:pPr>
              <w:keepNext/>
              <w:pageBreakBefore w:val="0"/>
            </w:pPr>
          </w:p>
        </w:tc>
        <w:tc>
          <w:tcPr>
            <w:tcW w:w="945" w:type="dxa"/>
            <w:vMerge/>
            <w:tcBorders>
              <w:top w:val="nil"/>
              <w:left w:val="single" w:sz="4" w:space="0" w:color="FFFFFF"/>
              <w:bottom w:val="nil"/>
              <w:right w:val="single" w:sz="2" w:space="0" w:color="000000"/>
            </w:tcBorders>
          </w:tcPr>
          <w:p>
            <w:pPr>
              <w:keepNext/>
              <w:pageBreakBefore w:val="0"/>
            </w:pPr>
          </w:p>
        </w:tc>
      </w:tr>
      <w:tr>
        <w:tblPrEx>
          <w:tblW w:w="12105" w:type="dxa"/>
          <w:tblInd w:w="1417" w:type="dxa"/>
          <w:tblLayout w:type="fixed"/>
        </w:tblPrEx>
        <w:trPr>
          <w:cantSplit/>
          <w:trHeight w:hRule="auto" w:val="0"/>
        </w:trPr>
        <w:tc>
          <w:tcPr>
            <w:tcW w:w="36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5"/>
                <w:u w:val="none"/>
              </w:rPr>
              <w:t>M$</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5"/>
                <w:u w:val="none"/>
              </w:rPr>
              <w:t>Otros pasivos financieros (préstamos bancarios).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37.127.721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(2.490.137)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(1.990.920)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32.646.664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(1.705.169)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1.979.581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251</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32.921.327</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5"/>
                <w:u w:val="none"/>
              </w:rPr>
              <w:t>Pasivos por arrendamientos.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318.804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(155.894)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162.910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9.401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27.767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19.404</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219.482</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5"/>
                <w:u w:val="none"/>
              </w:rPr>
              <w:t>Pasivos por arrendamientos de empresas relacionadas.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701.641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(148.868)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552.773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22.667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50.842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626.282</w:t>
            </w: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5"/>
                <w:u w:val="none"/>
              </w:rPr>
              <w:t>Tesorería centralizada.</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910.479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3.267.394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(4.177.873)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(2.264)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(2.264)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5"/>
                <w:u w:val="none"/>
              </w:rPr>
              <w:t>2.264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05"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5"/>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39.058.645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3.267.394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(6.972.772)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(1.993.184)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33.360.083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(1.673.101)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2.060.454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19.655</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5"/>
                <w:u w:val="none"/>
              </w:rPr>
              <w:t>33.767.091</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
        </w:rPr>
        <w:sectPr>
          <w:headerReference w:type="default" r:id="rId20"/>
          <w:footerReference w:type="default" r:id="rId21"/>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1" w:name="Section50"/>
      <w:bookmarkEnd w:id="91"/>
      <w:bookmarkStart w:id="92" w:name="9687b8e438e34a5ea2840fcf38d78414"/>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92"/>
    </w:p>
    <w:p>
      <w:pPr>
        <w:keepNext w:val="0"/>
        <w:keepLines/>
        <w:pageBreakBefore w:val="0"/>
        <w:widowControl w:val="0"/>
        <w:numPr>
          <w:ilvl w:val="0"/>
          <w:numId w:val="0"/>
        </w:numPr>
        <w:spacing w:before="0" w:after="0" w:line="288" w:lineRule="auto"/>
        <w:ind w:left="0" w:right="0" w:firstLine="0"/>
        <w:jc w:val="both"/>
        <w:outlineLvl w:val="9"/>
        <w:sectPr>
          <w:headerReference w:type="default" r:id="rId22"/>
          <w:footerReference w:type="default" r:id="rId23"/>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3" w:name="Section51"/>
      <w:bookmarkEnd w:id="93"/>
      <w:bookmarkStart w:id="94" w:name="3e930da2faef49a2b46668fc5fe88b9c"/>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4"/>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900"/>
        <w:gridCol w:w="900"/>
        <w:gridCol w:w="900"/>
      </w:tblGrid>
      <w:tr>
        <w:tblPrEx>
          <w:tblW w:w="7845" w:type="dxa"/>
          <w:tblInd w:w="2126" w:type="dxa"/>
          <w:tblLayout w:type="fixed"/>
        </w:tblPrEx>
        <w:trPr>
          <w:cantSplit/>
          <w:trHeight w:hRule="auto" w:val="0"/>
        </w:trPr>
        <w:tc>
          <w:tcPr>
            <w:tcW w:w="4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424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424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(543.200)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11.079.698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356.467</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4.657.637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29.685.003</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(543.200)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15.737.335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30.041.470</w:t>
            </w:r>
          </w:p>
        </w:tc>
      </w:tr>
    </w:tbl>
    <w:p>
      <w:pPr>
        <w:keepNext w:val="0"/>
        <w:keepLines/>
        <w:pageBreakBefore w:val="0"/>
        <w:widowControl w:val="0"/>
        <w:numPr>
          <w:ilvl w:val="0"/>
          <w:numId w:val="0"/>
        </w:numPr>
        <w:spacing w:before="0" w:after="0" w:line="288" w:lineRule="auto"/>
        <w:ind w:left="2574" w:right="0" w:hanging="1134"/>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900"/>
        <w:gridCol w:w="900"/>
        <w:gridCol w:w="900"/>
      </w:tblGrid>
      <w:tr>
        <w:tblPrEx>
          <w:tblW w:w="7845" w:type="dxa"/>
          <w:tblInd w:w="2126" w:type="dxa"/>
          <w:tblLayout w:type="fixed"/>
        </w:tblPrEx>
        <w:trPr>
          <w:cantSplit/>
          <w:trHeight w:hRule="auto" w:val="0"/>
        </w:trPr>
        <w:tc>
          <w:tcPr>
            <w:tcW w:w="4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424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424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al personal.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93.998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Fondos por rendir.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6.203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100.201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varios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4.233.774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29.762.167</w:t>
            </w:r>
          </w:p>
        </w:tc>
      </w:tr>
      <w:tr>
        <w:tblPrEx>
          <w:tblW w:w="7845" w:type="dxa"/>
          <w:tblInd w:w="2126" w:type="dxa"/>
          <w:tblLayout w:type="fixed"/>
        </w:tblPrEx>
        <w:trPr>
          <w:cantSplit/>
          <w:trHeight w:hRule="exact" w:val="255"/>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Anticipo proveedores.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310.010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Otros documentos por cobrar.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13.652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Provisión de deterioro.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(77.164)</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4.557.436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29.685.003</w:t>
            </w:r>
          </w:p>
        </w:tc>
      </w:tr>
      <w:tr>
        <w:tblPrEx>
          <w:tblW w:w="7845" w:type="dxa"/>
          <w:tblInd w:w="2126"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4.657.637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29.685.003</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r>
        <w:rPr>
          <w:rFonts w:ascii="Calibri" w:eastAsia="Calibri" w:hAnsi="Calibri" w:cs="Calibri"/>
          <w:b w:val="0"/>
          <w:i w:val="0"/>
          <w:sz w:val="20"/>
        </w:rPr>
        <w:t>Con fecha 2 de noviembre de 2019, es publicada la Ley N° 21.185, que estableció un mecanismo transitorio de estabilización de precios de generación de energía eléctrica para clientes sujetos a regulación de tarifas, el cual es aplicable a las empresas que operan en el Sistema Eléctrico Nacional. Posteriormente, mediante la Ley N° 21.194, publicada el 21 de diciembre de 2019 se hizo extensiva la aplicación de dicho mecanismo a los Sistemas Medianos.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Dicha ley estipula los criterios para la determinación de los precios estabilizados que deberán ser traspasados a clientes finales, </w:t>
      </w:r>
      <w:r>
        <w:rPr>
          <w:rFonts w:ascii="Calibri" w:eastAsia="Calibri" w:hAnsi="Calibri" w:cs="Calibri"/>
          <w:b w:val="0"/>
          <w:i w:val="0"/>
          <w:color w:val="000000"/>
          <w:sz w:val="20"/>
          <w:u w:val="none"/>
        </w:rPr>
        <w:t>que</w:t>
      </w:r>
      <w:r>
        <w:rPr>
          <w:rFonts w:ascii="Calibri" w:eastAsia="Calibri" w:hAnsi="Calibri" w:cs="Calibri"/>
          <w:b w:val="0"/>
          <w:i w:val="0"/>
          <w:sz w:val="20"/>
        </w:rPr>
        <w:t xml:space="preserve"> implica que los ingresos correspondientes al diferencial entre la facturación de consumos con la tarifa estabilizada y las tarifas que correspondería aplicar de conformidad a las condiciones establecidas en los contratos con los suministradores conformarán un saldo que será retribuido a más tardar el 31 de diciembre de 2027.</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Durante la vigencia </w:t>
      </w:r>
      <w:r>
        <w:rPr>
          <w:rFonts w:ascii="Calibri" w:eastAsia="Calibri" w:hAnsi="Calibri" w:cs="Calibri"/>
          <w:b w:val="0"/>
          <w:i w:val="0"/>
          <w:color w:val="000000"/>
          <w:sz w:val="20"/>
          <w:u w:val="none"/>
        </w:rPr>
        <w:t>de</w:t>
      </w:r>
      <w:r>
        <w:rPr>
          <w:rFonts w:ascii="Calibri" w:eastAsia="Calibri" w:hAnsi="Calibri" w:cs="Calibri"/>
          <w:b w:val="0"/>
          <w:i w:val="0"/>
          <w:sz w:val="20"/>
        </w:rPr>
        <w:t xml:space="preserve"> la ley de estabilización de precios, estos diferenciales han sido contabilizados en el largo plazo.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Posteriormente, con la publicación de </w:t>
      </w:r>
      <w:r>
        <w:rPr>
          <w:rFonts w:ascii="Calibri" w:eastAsia="Calibri" w:hAnsi="Calibri" w:cs="Calibri"/>
          <w:b w:val="0"/>
          <w:i w:val="0"/>
          <w:color w:val="000000"/>
          <w:sz w:val="20"/>
          <w:u w:val="none"/>
        </w:rPr>
        <w:t>la</w:t>
      </w:r>
      <w:r>
        <w:rPr>
          <w:rFonts w:ascii="Calibri" w:eastAsia="Calibri" w:hAnsi="Calibri" w:cs="Calibri"/>
          <w:b w:val="0"/>
          <w:i w:val="0"/>
          <w:sz w:val="20"/>
        </w:rPr>
        <w:t xml:space="preserve"> Ley N° 21.472, el 2 de agosto de 2022, y sus correspondientes adecuaciones indicadas en la Ley N° 21.667, publicada el 30 de abril de 2024, se estableció un fondo adicional de estabilización de tarifas y un nuevo mecanismo de estabilización transitorio de precios de la electricidad para clientes sometidos a regulación de precios.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Además, establece que la Tesorería General de la República deberá destinar los recursos del Fondo de Estabilización de Tarifas para extinguir los saldos adeudados por la Ley N° 21.185 en representación de las distribuidoras a los suministradores, o a sus cesionarios, con cargo al Fondo de Estabilización de Tarifas, lo que no implicará un cambio de deudor a efectos del cumplimiento del pago.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Entre la entrada en vigencia de la Ley N° 21.667 y el 31 de diciembre de 2027, los recursos se destinarán a la restitución de los saldos adeudados con ocasión de la ley N° 21.185, debiéndose extinguir esta deuda a más tardar en dicha fecha. Debido a lo anterior, aquella parte de los saldos contabilizados en el ítem Deudores Varios con vencimiento inferior a 12 meses ha sido registrado como una cuenta por cobrar corriente y su saldo remanente con vencimiento hasta el 31 de diciembre de 2027, como una cuenta por cobrar de largo plazo.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Por otra parte, con fecha 7 de junio de 2024 fue publicado el Decreto N° 5T-2024 del Ministerio de Energía, que fija las fórmulas tarifarias para suministros regulados de distribución para el período noviembre de 2020 a noviembre 2024, comenzando a ser aplicado de forma inmediata.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sz w:val="20"/>
        </w:rPr>
        <w:t>No obstante, lo anterior, conforme a lo establecido en la Ley N° 21.667, las reliquidaciones que ordena la ley sólo podrán efectuarse cuando el decreto se encuentre totalmente tramitado, es decir, cuando cuente con la toma de razón de la Contraloría General de la República, y luego que la Superintendencia de Electricidad y Combustible imparta las instrucciones respecto del plazo, forma y condiciones de dicha reliquidación. Al respecto, el 9 de abril de 2025 Contraloría dio curso al Decreto 5T-2024, no obstante al 31 de diciembre de 2025 aún se encontraban pendientes las instrucciones de reliquidación por parte de la Superintendencia, por lo que los montos registrados en el ítem Deudores Varios asociados a esta reliquidación se encuentran registrados como no corrientes, incluida la estimación de los intereses devengados a la fecha de publicación del citado decreto, conforme a lo establecido en el artículo 192° de la Ley General de Servicios Eléctricos.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9 de febrero de 2026, la Superintendencia de Electricidad y Combustibles mediante Resolución Exenta N° 37.613-2026, comunicó plazo, forma y condiciones en que las empresas deberán abonar o cargar el valor de las diferencias tarifarias producidas por la entrada en vigencia del decreto tarifario 2020-2024 (Decreto N° 5T-2024), de acuerdo a lo indicado en el artículo 192° de la Ley General de Servicios Eléctricos. Posteriormente, mediante Resolución Exenta N° 38.341-2026, de fecha 27 de marzo de 2026, la Superintendencia de Electricidad y Combustibles instruyó a las empresas distribuidoras aplazar el cobro de la reliquidación del Decreto 5T-2024 hasta el 1 de julio 2026. Por consecuencia al 31 de marzo de 2026 se encuentra registrado como Corriente las cuotas de reliquidación que serán cobradas en el corto plazo.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bruto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Deudores comerciales,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11.768.962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356.467</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Otras cuentas por cobrar,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4.657.637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29.762.167</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16.426.599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30.118.634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20"/>
        <w:gridCol w:w="1020"/>
        <w:gridCol w:w="1005"/>
      </w:tblGrid>
      <w:tr>
        <w:tblPrEx>
          <w:tblW w:w="7845" w:type="dxa"/>
          <w:tblInd w:w="2126" w:type="dxa"/>
          <w:tblLayout w:type="fixed"/>
        </w:tblPrEx>
        <w:trPr>
          <w:cantSplit/>
          <w:trHeight w:hRule="auto" w:val="0"/>
        </w:trPr>
        <w:tc>
          <w:tcPr>
            <w:tcW w:w="5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Importe en libros de deudores comerciales, otras cuentas por cobrar deteriorados</w:t>
            </w:r>
          </w:p>
        </w:tc>
        <w:tc>
          <w:tcPr>
            <w:tcW w:w="102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820" w:type="dxa"/>
            <w:vMerge/>
            <w:tcBorders>
              <w:top w:val="nil"/>
              <w:left w:val="single" w:sz="2" w:space="0" w:color="000000"/>
              <w:bottom w:val="single" w:sz="2" w:space="0" w:color="000000"/>
              <w:right w:val="nil"/>
            </w:tcBorders>
          </w:tcPr>
          <w:p>
            <w:pPr>
              <w:keepNext/>
              <w:pageBreakBefore w:val="0"/>
            </w:pPr>
          </w:p>
        </w:tc>
        <w:tc>
          <w:tcPr>
            <w:tcW w:w="10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(543.200)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(689.264)</w:t>
            </w:r>
          </w:p>
        </w:tc>
      </w:tr>
      <w:tr>
        <w:tblPrEx>
          <w:tblW w:w="7845" w:type="dxa"/>
          <w:tblInd w:w="2126"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Otras cuentas por cobrar.</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(77.164)</w:t>
            </w:r>
          </w:p>
        </w:tc>
      </w:tr>
      <w:tr>
        <w:tblPrEx>
          <w:tblW w:w="7845" w:type="dxa"/>
          <w:tblInd w:w="2126"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(543.200)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(766.428)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la provisión por deterioro de los deudores comerciales y otras cuentas por cobrar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se </w:t>
      </w:r>
      <w:r>
        <w:rPr>
          <w:rFonts w:ascii="Calibri" w:eastAsia="Calibri" w:hAnsi="Calibri" w:cs="Calibri"/>
          <w:b w:val="0"/>
          <w:i w:val="0"/>
          <w:sz w:val="20"/>
        </w:rPr>
        <w:t>muestra</w:t>
      </w:r>
      <w:r>
        <w:rPr>
          <w:rFonts w:ascii="Calibri" w:eastAsia="Calibri" w:hAnsi="Calibri" w:cs="Calibri"/>
          <w:b w:val="0"/>
          <w:i w:val="0"/>
          <w:color w:val="000000"/>
          <w:sz w:val="20"/>
          <w:u w:val="none"/>
        </w:rPr>
        <w:t xml:space="preserve"> en el siguiente cuadro: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deudores comerciales y otras cuentas por cobrar vencidos y no pagados con deterioro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Saldo inicial. </w:t>
            </w:r>
          </w:p>
        </w:tc>
        <w:tc>
          <w:tcPr>
            <w:tcW w:w="1005"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(766.428)</w:t>
            </w:r>
          </w:p>
        </w:tc>
        <w:tc>
          <w:tcPr>
            <w:tcW w:w="1005"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(1.328.277)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Baja (reversiones) de deudores comerciales y otras cuentas por cobrar deterioradas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223.228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749.914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(Aumento) disminución del período o ejercicio.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(188.065)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(543.200)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(766.428)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la Sociedad no será capaz de cobrar el importe que se le adeuda, ello aún luego de aplicar las acciones de cobranza.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Respecto a la calidad crediticia, en materia de energía eléctrica, las empresas distribuidoras se rigen por el Decreto con Fuerza de Ley Nº 1, de Minería de 1982, Ley General de Servicios Eléctricos, y por su Reglamento Eléctrico, Decreto Supremo Nº 327 de diciembre de 1997. Las disposiciones de este último, en su Art. N° 146, fija los plazos para el pago del suministro eléctrico por parte del usuario o cliente definido, no siendo éste </w:t>
      </w:r>
      <w:r>
        <w:rPr>
          <w:rFonts w:ascii="Calibri" w:eastAsia="Calibri" w:hAnsi="Calibri" w:cs="Calibri"/>
          <w:b w:val="0"/>
          <w:i w:val="0"/>
          <w:color w:val="000000"/>
          <w:sz w:val="20"/>
          <w:u w:val="none"/>
        </w:rPr>
        <w:t>considerado</w:t>
      </w:r>
      <w:r>
        <w:rPr>
          <w:rFonts w:ascii="Calibri" w:eastAsia="Calibri" w:hAnsi="Calibri" w:cs="Calibri"/>
          <w:b w:val="0"/>
          <w:i w:val="0"/>
          <w:sz w:val="20"/>
        </w:rPr>
        <w:t xml:space="preserve"> como un crédito y por otro lado, señala que en el inmueble o instalación quedarán radicadas todas las obligaciones derivadas del servicio para con la empresa suministradora, y sumado a que en Art. N° 147 se establecen los plazos para suspensión del suministro eléctrico, es que podemos concluir que la cuenta por cobrar proveniente de la actividad comercial del negocio eléctrico es de riesgo limitado</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consideran saldos de dudoso cobro, todos aquellos que se incluyen en la matriz de cálculo de pérdida esperada basado en la experiencia histórica de pérdidas crediticias de la Sociedad, ajustada por factores prospectivos específicos para los deudores y el entorno económico.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w:t>
      </w:r>
      <w:r>
        <w:rPr>
          <w:rFonts w:ascii="Calibri" w:eastAsia="Calibri" w:hAnsi="Calibri" w:cs="Calibri"/>
          <w:b w:val="0"/>
          <w:i w:val="0"/>
          <w:sz w:val="20"/>
        </w:rPr>
        <w:t xml:space="preserve">a política de provisión de incobrables de la </w:t>
      </w:r>
      <w:r>
        <w:rPr>
          <w:rFonts w:ascii="Calibri" w:eastAsia="Calibri" w:hAnsi="Calibri" w:cs="Calibri"/>
          <w:b w:val="0"/>
          <w:i w:val="0"/>
          <w:color w:val="000000"/>
          <w:sz w:val="20"/>
          <w:u w:val="none"/>
        </w:rPr>
        <w:t>Sociedad</w:t>
      </w:r>
      <w:r>
        <w:rPr>
          <w:rFonts w:ascii="Calibri" w:eastAsia="Calibri" w:hAnsi="Calibri" w:cs="Calibri"/>
          <w:b w:val="0"/>
          <w:i w:val="0"/>
          <w:sz w:val="20"/>
        </w:rPr>
        <w:t xml:space="preserve"> contempla la actualización de las variables macroeconómicas cuando lo amerite en caso de visualizar un cambio significativo.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castigos tributarios son realizados en la </w:t>
      </w:r>
      <w:r>
        <w:rPr>
          <w:rFonts w:ascii="Calibri" w:eastAsia="Calibri" w:hAnsi="Calibri" w:cs="Calibri"/>
          <w:b w:val="0"/>
          <w:i w:val="0"/>
          <w:color w:val="000000"/>
          <w:sz w:val="20"/>
          <w:u w:val="none"/>
        </w:rPr>
        <w:t>medida</w:t>
      </w:r>
      <w:r>
        <w:rPr>
          <w:rFonts w:ascii="Calibri" w:eastAsia="Calibri" w:hAnsi="Calibri" w:cs="Calibri"/>
          <w:b w:val="0"/>
          <w:i w:val="0"/>
          <w:sz w:val="20"/>
        </w:rPr>
        <w:t xml:space="preserve"> que las deudas son declaradas sin posibilidad alguna de recupero, de acuerdo con las normas tributarias vigentes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5" w:name="Section52"/>
      <w:bookmarkEnd w:id="95"/>
      <w:bookmarkStart w:id="96" w:name="b96d1a6b32b747ad9cd836d47e48297a"/>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96"/>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925"/>
        <w:gridCol w:w="840"/>
        <w:gridCol w:w="840"/>
        <w:gridCol w:w="840"/>
        <w:gridCol w:w="840"/>
        <w:gridCol w:w="840"/>
        <w:gridCol w:w="840"/>
        <w:gridCol w:w="840"/>
        <w:gridCol w:w="840"/>
        <w:gridCol w:w="840"/>
        <w:gridCol w:w="840"/>
        <w:gridCol w:w="840"/>
        <w:gridCol w:w="840"/>
        <w:gridCol w:w="840"/>
      </w:tblGrid>
      <w:tr>
        <w:tblPrEx>
          <w:tblW w:w="13845" w:type="dxa"/>
          <w:tblInd w:w="709" w:type="dxa"/>
          <w:tblLayout w:type="fixed"/>
        </w:tblPrEx>
        <w:trPr>
          <w:cantSplit/>
          <w:trHeight w:hRule="auto" w:val="0"/>
        </w:trPr>
        <w:tc>
          <w:tcPr>
            <w:tcW w:w="29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corrientes</w:t>
            </w:r>
          </w:p>
        </w:tc>
        <w:tc>
          <w:tcPr>
            <w:tcW w:w="84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auto" w:val="0"/>
        </w:trPr>
        <w:tc>
          <w:tcPr>
            <w:tcW w:w="2925" w:type="dxa"/>
            <w:vMerge/>
            <w:tcBorders>
              <w:top w:val="nil"/>
              <w:left w:val="single" w:sz="2" w:space="0" w:color="000000"/>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2925" w:type="dxa"/>
            <w:vMerge/>
            <w:tcBorders>
              <w:top w:val="nil"/>
              <w:left w:val="single" w:sz="2" w:space="0" w:color="000000"/>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2925" w:type="dxa"/>
            <w:vMerge/>
            <w:tcBorders>
              <w:top w:val="nil"/>
              <w:left w:val="single" w:sz="2" w:space="0" w:color="000000"/>
              <w:bottom w:val="single" w:sz="2" w:space="0" w:color="000000"/>
              <w:right w:val="nil"/>
            </w:tcBorders>
          </w:tcPr>
          <w:p>
            <w:pPr>
              <w:keepNext/>
              <w:pageBreakBefore w:val="0"/>
            </w:pP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9.772.800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1.866.660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488.027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254.916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95.358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55.073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85.651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77.010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77.739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666.327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13.439.561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33.325.761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33.325.761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4.000.726</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29.325.035</w:t>
            </w: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Deudores Comerciales.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(9.170)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(4.870)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(5.522)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(21.242)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(14.507)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(10.916)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(26.102)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(28.955)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(33.071)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(388.848)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(543.203)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(543.200)</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otras cuentas por cobrar.</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(80.653)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(80.653)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43.008.738</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1.861.790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482.505</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233.674</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80.851</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44.157</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59.549</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48.055</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44.668</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277.479</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46.141.466</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3.457.526</w:t>
            </w:r>
          </w:p>
        </w:tc>
        <w:tc>
          <w:tcPr>
            <w:tcW w:w="84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29.325.035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925"/>
        <w:gridCol w:w="840"/>
        <w:gridCol w:w="840"/>
        <w:gridCol w:w="840"/>
        <w:gridCol w:w="840"/>
        <w:gridCol w:w="840"/>
        <w:gridCol w:w="840"/>
        <w:gridCol w:w="840"/>
        <w:gridCol w:w="840"/>
        <w:gridCol w:w="840"/>
        <w:gridCol w:w="840"/>
        <w:gridCol w:w="840"/>
        <w:gridCol w:w="840"/>
        <w:gridCol w:w="840"/>
      </w:tblGrid>
      <w:tr>
        <w:tblPrEx>
          <w:tblW w:w="13845" w:type="dxa"/>
          <w:tblInd w:w="709" w:type="dxa"/>
          <w:tblLayout w:type="fixed"/>
        </w:tblPrEx>
        <w:trPr>
          <w:cantSplit/>
          <w:trHeight w:hRule="auto" w:val="0"/>
        </w:trPr>
        <w:tc>
          <w:tcPr>
            <w:tcW w:w="29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84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auto" w:val="0"/>
        </w:trPr>
        <w:tc>
          <w:tcPr>
            <w:tcW w:w="2925" w:type="dxa"/>
            <w:vMerge/>
            <w:tcBorders>
              <w:top w:val="nil"/>
              <w:left w:val="single" w:sz="2" w:space="0" w:color="000000"/>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2925" w:type="dxa"/>
            <w:vMerge/>
            <w:tcBorders>
              <w:top w:val="nil"/>
              <w:left w:val="single" w:sz="2" w:space="0" w:color="000000"/>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2925" w:type="dxa"/>
            <w:vMerge/>
            <w:tcBorders>
              <w:top w:val="nil"/>
              <w:left w:val="single" w:sz="2" w:space="0" w:color="000000"/>
              <w:bottom w:val="single" w:sz="2" w:space="0" w:color="000000"/>
              <w:right w:val="nil"/>
            </w:tcBorders>
          </w:tcPr>
          <w:p>
            <w:pPr>
              <w:keepNext/>
              <w:pageBreakBefore w:val="0"/>
            </w:pP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9.203.980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1.452.422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363.102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143.369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108.237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83.779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69.783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69.611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48.438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582.708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12.125.429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11.768.962</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356.467</w:t>
            </w: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34.419.804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34.419.804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4.657.637</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29.762.167</w:t>
            </w: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Deudores Comerciales.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(249.561)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(5.249)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(4.645)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(12.390)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(17.074)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(18.340)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(21.050)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(27.501)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(18.464)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(314.990)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(689.264)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(689.264)</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otras cuentas por cobrar.</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(77.164)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(77.164)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(77.164)</w:t>
            </w:r>
          </w:p>
        </w:tc>
      </w:tr>
      <w:tr>
        <w:tblPrEx>
          <w:tblW w:w="13845" w:type="dxa"/>
          <w:tblInd w:w="709" w:type="dxa"/>
          <w:tblLayout w:type="fixed"/>
        </w:tblPrEx>
        <w:trPr>
          <w:cantSplit/>
          <w:trHeight w:hRule="auto" w:val="0"/>
        </w:trPr>
        <w:tc>
          <w:tcPr>
            <w:tcW w:w="29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43.297.059</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1.447.173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358.457</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130.979</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91.163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65.439</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48.733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42.110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29.974</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267.718</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45.778.805</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15.737.335</w:t>
            </w:r>
          </w:p>
        </w:tc>
        <w:tc>
          <w:tcPr>
            <w:tcW w:w="84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30.041.470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4"/>
          <w:footerReference w:type="default" r:id="rId25"/>
          <w:type w:val="continuous"/>
          <w:pgSz w:w="16834" w:h="11909"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7" w:name="Section53"/>
      <w:bookmarkEnd w:id="97"/>
      <w:bookmarkStart w:id="98" w:name="ecbba375510b4e688a4873090a60700c"/>
      <w:r>
        <w:rPr>
          <w:rFonts w:ascii="Calibri" w:eastAsia="Calibri" w:hAnsi="Calibri" w:cs="Calibri"/>
          <w:b/>
          <w:i w:val="0"/>
          <w:color w:val="000000"/>
          <w:sz w:val="20"/>
          <w:u w:val="none"/>
        </w:rPr>
        <w:t>8.3.-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70"/>
        <w:gridCol w:w="705"/>
        <w:gridCol w:w="795"/>
        <w:gridCol w:w="795"/>
        <w:gridCol w:w="705"/>
        <w:gridCol w:w="795"/>
        <w:gridCol w:w="795"/>
        <w:gridCol w:w="795"/>
        <w:gridCol w:w="795"/>
      </w:tblGrid>
      <w:tr>
        <w:tblPrEx>
          <w:tblW w:w="8550" w:type="dxa"/>
          <w:tblInd w:w="1417" w:type="dxa"/>
          <w:tblLayout w:type="fixed"/>
        </w:tblPrEx>
        <w:trPr>
          <w:cantSplit/>
          <w:trHeight w:hRule="auto" w:val="0"/>
        </w:trPr>
        <w:tc>
          <w:tcPr>
            <w:tcW w:w="855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237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Tramos de deudas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no repactada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no repactada, bruta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repactada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repactada, bruta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cartera, bruta</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provisión deterioro</w:t>
            </w:r>
          </w:p>
        </w:tc>
      </w:tr>
      <w:tr>
        <w:tblPrEx>
          <w:tblW w:w="8550" w:type="dxa"/>
          <w:tblInd w:w="1417" w:type="dxa"/>
          <w:tblLayout w:type="fixed"/>
        </w:tblPrEx>
        <w:trPr>
          <w:cantSplit/>
          <w:trHeight w:hRule="auto" w:val="0"/>
        </w:trPr>
        <w:tc>
          <w:tcPr>
            <w:tcW w:w="2370" w:type="dxa"/>
            <w:vMerge/>
            <w:tcBorders>
              <w:top w:val="nil"/>
              <w:left w:val="single" w:sz="2" w:space="0" w:color="000000"/>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23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Por vencer</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Vendida y no facturada (1).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4.267.929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4.267.929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Por vencer (2).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14.423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4.753.640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(8.577)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1.578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751.230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(593)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5.504.870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(9.170)</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por vencer</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14.423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9.021.569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(8.577)</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1.578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751.230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(593)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9.772.799</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(9.170)</w:t>
            </w:r>
          </w:p>
        </w:tc>
      </w:tr>
      <w:tr>
        <w:tblPrEx>
          <w:tblW w:w="8550" w:type="dxa"/>
          <w:tblInd w:w="1417" w:type="dxa"/>
          <w:tblLayout w:type="fixed"/>
        </w:tblPrEx>
        <w:trPr>
          <w:cantSplit/>
          <w:trHeight w:hRule="exact" w:val="60"/>
        </w:trPr>
        <w:tc>
          <w:tcPr>
            <w:tcW w:w="23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Vencidos (3)</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 y 30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14.007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1.314.827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(4.775)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551.833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1.866.660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(4.870)</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31 y 60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466.718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(5.303)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21.309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488.027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(5.521)</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61 y 90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2.534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222.615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(18.485)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32.301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254.916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(21.241)</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91 y 120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89.093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(13.521)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6.265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(985)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95.358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(14.506)</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121 y 150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50.641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(10.087)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4.432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(829)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55.073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(10.916)</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151 y 180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77.563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(23.761)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8.089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(2.341)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85.652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(26.102)</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181 y 210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69.739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(26.513)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7.271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(2.442)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77.010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(28.955)</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211 y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1.223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68.883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(29.815)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8.856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77.739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(33.071)</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Más de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6.469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547.065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(323.714)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119.263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(65.134)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666.328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(388.848)</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vencidos</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30.675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2.907.144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(455.974)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2.062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759.619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(78.056)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3.666.763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(534.030)</w:t>
            </w:r>
          </w:p>
        </w:tc>
      </w:tr>
      <w:tr>
        <w:tblPrEx>
          <w:tblW w:w="8550" w:type="dxa"/>
          <w:tblInd w:w="1417" w:type="dxa"/>
          <w:tblLayout w:type="fixed"/>
        </w:tblPrEx>
        <w:trPr>
          <w:cantSplit/>
          <w:trHeight w:hRule="exact" w:val="60"/>
        </w:trPr>
        <w:tc>
          <w:tcPr>
            <w:tcW w:w="23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45.098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11.928.713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(464.551)</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3.640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1.510.849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(78.649)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13.439.562</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(543.200)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70"/>
        <w:gridCol w:w="705"/>
        <w:gridCol w:w="795"/>
        <w:gridCol w:w="795"/>
        <w:gridCol w:w="705"/>
        <w:gridCol w:w="795"/>
        <w:gridCol w:w="795"/>
        <w:gridCol w:w="795"/>
        <w:gridCol w:w="795"/>
      </w:tblGrid>
      <w:tr>
        <w:tblPrEx>
          <w:tblW w:w="8550" w:type="dxa"/>
          <w:tblInd w:w="1417" w:type="dxa"/>
          <w:tblLayout w:type="fixed"/>
        </w:tblPrEx>
        <w:trPr>
          <w:cantSplit/>
          <w:trHeight w:hRule="auto" w:val="0"/>
        </w:trPr>
        <w:tc>
          <w:tcPr>
            <w:tcW w:w="855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37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Tramos de deudas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no repactada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no repactada, bruta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Clientes de cartera repactada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repactada, bruta</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deterioro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cartera, bruta</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provisión deterioro</w:t>
            </w:r>
          </w:p>
        </w:tc>
      </w:tr>
      <w:tr>
        <w:tblPrEx>
          <w:tblW w:w="8550" w:type="dxa"/>
          <w:tblInd w:w="1417" w:type="dxa"/>
          <w:tblLayout w:type="fixed"/>
        </w:tblPrEx>
        <w:trPr>
          <w:cantSplit/>
          <w:trHeight w:hRule="auto" w:val="0"/>
        </w:trPr>
        <w:tc>
          <w:tcPr>
            <w:tcW w:w="2370" w:type="dxa"/>
            <w:vMerge/>
            <w:tcBorders>
              <w:top w:val="nil"/>
              <w:left w:val="single" w:sz="2" w:space="0" w:color="000000"/>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23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Por vencer</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Vendida y no facturada (1).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4.171.940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4.171.940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Por vencer (2).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14.449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3.567.332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(7.666)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1.464.708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(241.895)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5.032.040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(249.561)</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por vencer</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14.449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7.739.272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(7.666)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1.581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1.464.708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(241.895)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9.203.980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(249.561)</w:t>
            </w:r>
          </w:p>
        </w:tc>
      </w:tr>
      <w:tr>
        <w:tblPrEx>
          <w:tblW w:w="8550" w:type="dxa"/>
          <w:tblInd w:w="1417" w:type="dxa"/>
          <w:tblLayout w:type="fixed"/>
        </w:tblPrEx>
        <w:trPr>
          <w:cantSplit/>
          <w:trHeight w:hRule="exact" w:val="60"/>
        </w:trPr>
        <w:tc>
          <w:tcPr>
            <w:tcW w:w="23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Vencidos (3)</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 y 30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14.032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1.421.068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(5.182)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31.354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1.452.422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(5.249)</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31 y 60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2.485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354.413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(4.525)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8.689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363.102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(4.645)</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61 y 90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2.539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135.872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(11.696)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7.497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143.369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(12.390)</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91 y 120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102.655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(16.243)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5.582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108.237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(17.074)</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121 y 150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78.883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(17.394)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(946)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83.779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(18.340)</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151 y 180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1.383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64.340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(19.839)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5.443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69.783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(21.050)</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181 y 210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66.006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(26.644)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69.611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(27.501)</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Entre 211 y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44.320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(17.343)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4.118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(1.121)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48.438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(18.464)</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Más de 250 días.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475.900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(259.796)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106.808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(55.194)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582.708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(314.990)</w:t>
            </w: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 total vencidos</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30.730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2.743.457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(378.662)</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2.063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177.992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(61.041)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2.921.449</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(439.703)</w:t>
            </w:r>
          </w:p>
        </w:tc>
      </w:tr>
      <w:tr>
        <w:tblPrEx>
          <w:tblW w:w="8550" w:type="dxa"/>
          <w:tblInd w:w="1417" w:type="dxa"/>
          <w:tblLayout w:type="fixed"/>
        </w:tblPrEx>
        <w:trPr>
          <w:cantSplit/>
          <w:trHeight w:hRule="exact" w:val="60"/>
        </w:trPr>
        <w:tc>
          <w:tcPr>
            <w:tcW w:w="23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45.179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10.482.729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(386.328)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3.644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1.642.700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(302.936)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12.125.429</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(689.264)</w:t>
            </w:r>
          </w:p>
        </w:tc>
      </w:tr>
    </w:tbl>
    <w:p>
      <w:pPr>
        <w:keepNext w:val="0"/>
        <w:keepLines/>
        <w:pageBreakBefore w:val="0"/>
        <w:widowControl w:val="0"/>
        <w:numPr>
          <w:ilvl w:val="0"/>
          <w:numId w:val="0"/>
        </w:numPr>
        <w:spacing w:before="0" w:after="0" w:line="288" w:lineRule="auto"/>
        <w:ind w:left="127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Vendida y no facturada: Corresponde a la estimación de energía por facturar que ha sido suministrada hasta la fecha de cierre de los estados financieros.</w:t>
      </w:r>
    </w:p>
    <w:p>
      <w:pPr>
        <w:keepNext w:val="0"/>
        <w:keepLines/>
        <w:pageBreakBefore w:val="0"/>
        <w:widowControl w:val="0"/>
        <w:numPr>
          <w:ilvl w:val="0"/>
          <w:numId w:val="0"/>
        </w:numPr>
        <w:spacing w:before="0" w:after="0" w:line="288" w:lineRule="auto"/>
        <w:ind w:left="1701" w:right="0" w:hanging="284"/>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Por vencer: Corresponde a las facturas y boletas emitidas que al cierre de los estados financieros se encuentran sin vencer su fecha de pago.</w:t>
      </w:r>
    </w:p>
    <w:p>
      <w:pPr>
        <w:keepNext w:val="0"/>
        <w:keepLines/>
        <w:pageBreakBefore w:val="0"/>
        <w:widowControl w:val="0"/>
        <w:numPr>
          <w:ilvl w:val="0"/>
          <w:numId w:val="0"/>
        </w:numPr>
        <w:spacing w:before="0" w:after="0" w:line="288" w:lineRule="auto"/>
        <w:ind w:left="1701" w:right="0" w:hanging="284"/>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Vencidos: Corresponde a las facturas y boletas emitidas que al cierre de los estados financieros tienen como mínimo un día de morosidad con respecto a su fecha de vencimiento.</w:t>
      </w: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sz w:val="20"/>
        </w:rPr>
        <w:sectPr>
          <w:headerReference w:type="default" r:id="rId26"/>
          <w:footerReference w:type="default" r:id="rId27"/>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99" w:name="Section54"/>
      <w:bookmarkEnd w:id="99"/>
      <w:bookmarkStart w:id="100" w:name="30c0e7e03e7544468932995336eff91a"/>
      <w:r>
        <w:rPr>
          <w:rFonts w:ascii="Calibri" w:eastAsia="Calibri" w:hAnsi="Calibri" w:cs="Calibri"/>
          <w:b/>
          <w:i w:val="0"/>
          <w:color w:val="000000"/>
          <w:sz w:val="20"/>
          <w:u w:val="none"/>
        </w:rPr>
        <w:t>8.4.-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0"/>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cartera protestada y en cobranza judicial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e</w:t>
      </w:r>
      <w:r>
        <w:rPr>
          <w:rFonts w:ascii="Calibri" w:eastAsia="Calibri" w:hAnsi="Calibri" w:cs="Calibri"/>
          <w:b w:val="0"/>
          <w:i w:val="0"/>
          <w:color w:val="000000"/>
          <w:sz w:val="20"/>
          <w:u w:val="none"/>
        </w:rPr>
        <w:t>s la siguiente, las cuales forman parte de la cartera morosa: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40" w:type="dxa"/>
          <w:tblLayout w:type="fixed"/>
        </w:tblPrEx>
        <w:trPr>
          <w:cantSplit/>
          <w:trHeight w:hRule="auto" w:val="0"/>
        </w:trPr>
        <w:tc>
          <w:tcPr>
            <w:tcW w:w="852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20" w:type="dxa"/>
          <w:tblInd w:w="1440" w:type="dxa"/>
          <w:tblLayout w:type="fixed"/>
        </w:tblPrEx>
        <w:trPr>
          <w:cantSplit/>
          <w:trHeight w:hRule="auto" w:val="0"/>
        </w:trPr>
        <w:tc>
          <w:tcPr>
            <w:tcW w:w="45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en cobranza judicial</w:t>
            </w: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cartera protestada, cartera no securitizada</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cobranza judicial, cartera no securitizada</w:t>
            </w:r>
          </w:p>
        </w:tc>
      </w:tr>
      <w:tr>
        <w:tblPrEx>
          <w:tblW w:w="8520" w:type="dxa"/>
          <w:tblInd w:w="1440" w:type="dxa"/>
          <w:tblLayout w:type="fixed"/>
        </w:tblPrEx>
        <w:trPr>
          <w:cantSplit/>
          <w:trHeight w:hRule="auto" w:val="0"/>
        </w:trPr>
        <w:tc>
          <w:tcPr>
            <w:tcW w:w="45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39.059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39.059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40" w:type="dxa"/>
          <w:tblLayout w:type="fixed"/>
        </w:tblPrEx>
        <w:trPr>
          <w:cantSplit/>
          <w:trHeight w:hRule="auto" w:val="0"/>
        </w:trPr>
        <w:tc>
          <w:tcPr>
            <w:tcW w:w="852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45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en cobranza judicial</w:t>
            </w:r>
          </w:p>
        </w:tc>
        <w:tc>
          <w:tcPr>
            <w:tcW w:w="201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cartera protestada, cartera no securitizada</w:t>
            </w:r>
          </w:p>
        </w:tc>
        <w:tc>
          <w:tcPr>
            <w:tcW w:w="201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Documentos por cobrar en cobranza judicial, cartera no securitizada</w:t>
            </w:r>
          </w:p>
        </w:tc>
      </w:tr>
      <w:tr>
        <w:tblPrEx>
          <w:tblW w:w="8520" w:type="dxa"/>
          <w:tblInd w:w="1440" w:type="dxa"/>
          <w:tblLayout w:type="fixed"/>
        </w:tblPrEx>
        <w:trPr>
          <w:cantSplit/>
          <w:trHeight w:hRule="auto" w:val="0"/>
        </w:trPr>
        <w:tc>
          <w:tcPr>
            <w:tcW w:w="45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4.575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101" w:name="Section55"/>
      <w:bookmarkEnd w:id="101"/>
      <w:bookmarkStart w:id="102" w:name="8406be8be1294736a1151dfeed359a21"/>
      <w:r>
        <w:rPr>
          <w:rFonts w:ascii="Calibri" w:eastAsia="Calibri" w:hAnsi="Calibri" w:cs="Calibri"/>
          <w:b/>
          <w:i w:val="0"/>
          <w:color w:val="000000"/>
          <w:sz w:val="20"/>
          <w:u w:val="none"/>
        </w:rPr>
        <w:t xml:space="preserve">8.5.- </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Provisión y castigos.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0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provisión y castigo de la cartera no repactada y repactada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y castigos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no repactada.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(224.287)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(42.851)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(154.721)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(52.286)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repactada.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224.287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2.115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(7.036)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(40.736)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(154.721)</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(59.322)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3" w:name="Section56"/>
      <w:bookmarkEnd w:id="103"/>
      <w:bookmarkStart w:id="104" w:name="d2f9f2606eab455e8830d270efecbf17"/>
      <w:r>
        <w:rPr>
          <w:rFonts w:ascii="Calibri" w:eastAsia="Calibri" w:hAnsi="Calibri" w:cs="Calibri"/>
          <w:b/>
          <w:i w:val="0"/>
          <w:color w:val="000000"/>
          <w:sz w:val="20"/>
          <w:u w:val="none"/>
        </w:rPr>
        <w:t>8.6.-</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0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venta de energía:</w:t>
      </w:r>
    </w:p>
    <w:p>
      <w:pPr>
        <w:keepNext w:val="0"/>
        <w:keepLines/>
        <w:pageBreakBefore w:val="0"/>
        <w:widowControl w:val="0"/>
        <w:numPr>
          <w:ilvl w:val="0"/>
          <w:numId w:val="0"/>
        </w:numPr>
        <w:spacing w:before="0" w:after="0" w:line="288" w:lineRule="auto"/>
        <w:ind w:left="707" w:right="0" w:firstLine="709"/>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01-04-2026</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vMerge/>
            <w:tcBorders>
              <w:top w:val="nil"/>
              <w:left w:val="nil"/>
              <w:bottom w:val="nil"/>
              <w:right w:val="nil"/>
            </w:tcBorders>
          </w:tcPr>
          <w:p>
            <w:pPr>
              <w:keepNext/>
              <w:pageBreakBefore w:val="0"/>
            </w:pP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(228.780)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(14.826.910)</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-228.780</w:t>
            </w:r>
          </w:p>
        </w:tc>
        <w:tc>
          <w:tcPr>
            <w:tcW w:w="1005" w:type="dxa"/>
            <w:tcBorders>
              <w:top w:val="single" w:sz="2" w:space="0" w:color="000000"/>
              <w:left w:val="single" w:sz="2"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(14.826.910)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1005" w:type="dxa"/>
            <w:vMerge/>
            <w:tcBorders>
              <w:top w:val="nil"/>
              <w:left w:val="nil"/>
              <w:bottom w:val="nil"/>
              <w:right w:val="nil"/>
            </w:tcBorders>
          </w:tcPr>
          <w:p>
            <w:pPr>
              <w:keepNext/>
              <w:pageBreakBefore w:val="0"/>
            </w:pP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436.853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29.902.611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218.008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14.267.403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436.853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29.902.611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218.008</w:t>
            </w:r>
          </w:p>
        </w:tc>
        <w:tc>
          <w:tcPr>
            <w:tcW w:w="1005" w:type="dxa"/>
            <w:tcBorders>
              <w:top w:val="single" w:sz="2" w:space="0" w:color="000000"/>
              <w:left w:val="nil"/>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14.267.403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05" w:name="Section57"/>
      <w:bookmarkEnd w:id="105"/>
      <w:bookmarkStart w:id="106" w:name="cd15acbb64dc42b899487d45cbc57745"/>
      <w:r>
        <w:rPr>
          <w:rFonts w:ascii="Calibri" w:eastAsia="Calibri" w:hAnsi="Calibri" w:cs="Calibri"/>
          <w:b/>
          <w:i w:val="0"/>
          <w:color w:val="000000"/>
          <w:sz w:val="20"/>
          <w:highlight w:val="white"/>
          <w:u w:val="none"/>
        </w:rPr>
        <w:t>9.-</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CUENTAS POR COBRAR</w:t>
      </w:r>
      <w:r>
        <w:rPr>
          <w:rFonts w:ascii="Calibri" w:eastAsia="Calibri" w:hAnsi="Calibri" w:cs="Calibri"/>
          <w:b/>
          <w:i w:val="0"/>
          <w:color w:val="000000"/>
          <w:sz w:val="20"/>
          <w:u w:val="none"/>
        </w:rPr>
        <w:t xml:space="preserve"> Y PAGAR A ENTIDADES RELACIONADAS.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06"/>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Empresa Eléctrica de Magallanes S.A., tiene como política informar todas las transacciones que efectúa con partes relacionadas durante el periodo o ejercicio, con excepción de los dividendos pagados, aportes de capital recibidos, los cuales no se entienden como transacciones. </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7" w:name="Section58"/>
      <w:bookmarkEnd w:id="107"/>
      <w:bookmarkStart w:id="108" w:name="0d2cfea0349c408cb68d7364d227981a"/>
      <w:r>
        <w:rPr>
          <w:rFonts w:ascii="Calibri" w:eastAsia="Calibri" w:hAnsi="Calibri" w:cs="Calibri"/>
          <w:b/>
          <w:i w:val="0"/>
          <w:color w:val="000000"/>
          <w:sz w:val="20"/>
          <w:u w:val="none"/>
        </w:rPr>
        <w:t>9.1.-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8"/>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1260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400"/>
        <w:gridCol w:w="795"/>
        <w:gridCol w:w="2175"/>
        <w:gridCol w:w="1005"/>
        <w:gridCol w:w="1005"/>
        <w:gridCol w:w="705"/>
        <w:gridCol w:w="885"/>
        <w:gridCol w:w="870"/>
        <w:gridCol w:w="870"/>
        <w:gridCol w:w="885"/>
      </w:tblGrid>
      <w:tr>
        <w:tblPrEx>
          <w:tblW w:w="12600" w:type="dxa"/>
          <w:tblInd w:w="709" w:type="dxa"/>
          <w:tblLayout w:type="fixed"/>
        </w:tblPrEx>
        <w:trPr>
          <w:cantSplit/>
          <w:trHeight w:hRule="auto" w:val="0"/>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1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55"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55"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600" w:type="dxa"/>
          <w:tblInd w:w="709" w:type="dxa"/>
          <w:tblLayout w:type="fixed"/>
        </w:tblPrEx>
        <w:trPr>
          <w:cantSplit/>
          <w:trHeight w:hRule="auto" w:val="0"/>
        </w:trPr>
        <w:tc>
          <w:tcPr>
            <w:tcW w:w="1005"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217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87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87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12600" w:type="dxa"/>
          <w:tblInd w:w="709"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217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87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87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12600" w:type="dxa"/>
          <w:tblInd w:w="709"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Recaudación interempresas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7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115.994</w:t>
            </w:r>
          </w:p>
        </w:tc>
        <w:tc>
          <w:tcPr>
            <w:tcW w:w="870"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600" w:type="dxa"/>
          <w:tblInd w:w="709"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849.327</w:t>
            </w:r>
          </w:p>
        </w:tc>
        <w:tc>
          <w:tcPr>
            <w:tcW w:w="87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600" w:type="dxa"/>
          <w:tblInd w:w="709" w:type="dxa"/>
          <w:tblLayout w:type="fixed"/>
        </w:tblPrEx>
        <w:trPr>
          <w:cantSplit/>
          <w:trHeight w:hRule="auto" w:val="0"/>
        </w:trPr>
        <w:tc>
          <w:tcPr>
            <w:tcW w:w="9090" w:type="dxa"/>
            <w:gridSpan w:val="7"/>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7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965.321</w:t>
            </w:r>
          </w:p>
        </w:tc>
        <w:tc>
          <w:tcPr>
            <w:tcW w:w="87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57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90"/>
        <w:gridCol w:w="2400"/>
        <w:gridCol w:w="795"/>
        <w:gridCol w:w="2175"/>
        <w:gridCol w:w="1005"/>
        <w:gridCol w:w="1005"/>
        <w:gridCol w:w="705"/>
        <w:gridCol w:w="885"/>
        <w:gridCol w:w="840"/>
        <w:gridCol w:w="885"/>
        <w:gridCol w:w="885"/>
      </w:tblGrid>
      <w:tr>
        <w:tblPrEx>
          <w:tblW w:w="12570" w:type="dxa"/>
          <w:tblInd w:w="709" w:type="dxa"/>
          <w:tblLayout w:type="fixed"/>
        </w:tblPrEx>
        <w:trPr>
          <w:cantSplit/>
          <w:trHeight w:hRule="auto" w:val="0"/>
        </w:trPr>
        <w:tc>
          <w:tcPr>
            <w:tcW w:w="99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1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25"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570" w:type="dxa"/>
          <w:tblInd w:w="709" w:type="dxa"/>
          <w:tblLayout w:type="fixed"/>
        </w:tblPrEx>
        <w:trPr>
          <w:cantSplit/>
          <w:trHeight w:hRule="auto" w:val="0"/>
        </w:trPr>
        <w:tc>
          <w:tcPr>
            <w:tcW w:w="990"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217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84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88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12570" w:type="dxa"/>
          <w:tblInd w:w="709" w:type="dxa"/>
          <w:tblLayout w:type="fixed"/>
        </w:tblPrEx>
        <w:trPr>
          <w:cantSplit/>
          <w:trHeight w:hRule="auto" w:val="0"/>
        </w:trPr>
        <w:tc>
          <w:tcPr>
            <w:tcW w:w="990"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217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84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12570" w:type="dxa"/>
          <w:tblInd w:w="709" w:type="dxa"/>
          <w:tblLayout w:type="fixed"/>
        </w:tblPrEx>
        <w:trPr>
          <w:cantSplit/>
          <w:trHeight w:hRule="auto" w:val="0"/>
        </w:trPr>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Recaudación interempresas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6.211</w:t>
            </w:r>
          </w:p>
        </w:tc>
        <w:tc>
          <w:tcPr>
            <w:tcW w:w="885"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570" w:type="dxa"/>
          <w:tblInd w:w="709" w:type="dxa"/>
          <w:tblLayout w:type="fixed"/>
        </w:tblPrEx>
        <w:trPr>
          <w:cantSplit/>
          <w:trHeight w:hRule="auto" w:val="0"/>
        </w:trPr>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14.927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570" w:type="dxa"/>
          <w:tblInd w:w="709" w:type="dxa"/>
          <w:tblLayout w:type="fixed"/>
        </w:tblPrEx>
        <w:trPr>
          <w:cantSplit/>
          <w:trHeight w:hRule="auto" w:val="0"/>
        </w:trPr>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Arriendos intangibles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Más de un año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107.095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519.187</w:t>
            </w:r>
          </w:p>
        </w:tc>
      </w:tr>
      <w:tr>
        <w:tblPrEx>
          <w:tblW w:w="12570" w:type="dxa"/>
          <w:tblInd w:w="709" w:type="dxa"/>
          <w:tblLayout w:type="fixed"/>
        </w:tblPrEx>
        <w:trPr>
          <w:cantSplit/>
          <w:trHeight w:hRule="auto" w:val="0"/>
        </w:trPr>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60.613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570" w:type="dxa"/>
          <w:tblInd w:w="709" w:type="dxa"/>
          <w:tblLayout w:type="fixed"/>
        </w:tblPrEx>
        <w:trPr>
          <w:cantSplit/>
          <w:trHeight w:hRule="auto" w:val="0"/>
        </w:trPr>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96.884.450-4</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Linares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570" w:type="dxa"/>
          <w:tblInd w:w="709" w:type="dxa"/>
          <w:tblLayout w:type="fixed"/>
        </w:tblPrEx>
        <w:trPr>
          <w:cantSplit/>
          <w:trHeight w:hRule="auto" w:val="0"/>
        </w:trPr>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96.866.680-0</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S.A.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570" w:type="dxa"/>
          <w:tblInd w:w="709" w:type="dxa"/>
          <w:tblLayout w:type="fixed"/>
        </w:tblPrEx>
        <w:trPr>
          <w:cantSplit/>
          <w:trHeight w:hRule="auto" w:val="0"/>
        </w:trPr>
        <w:tc>
          <w:tcPr>
            <w:tcW w:w="9075" w:type="dxa"/>
            <w:gridSpan w:val="7"/>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188.846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519.187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65"/>
        <w:gridCol w:w="1995"/>
        <w:gridCol w:w="495"/>
        <w:gridCol w:w="840"/>
        <w:gridCol w:w="1245"/>
        <w:gridCol w:w="780"/>
        <w:gridCol w:w="840"/>
        <w:gridCol w:w="840"/>
        <w:gridCol w:w="840"/>
        <w:gridCol w:w="840"/>
        <w:gridCol w:w="840"/>
        <w:gridCol w:w="840"/>
        <w:gridCol w:w="840"/>
        <w:gridCol w:w="840"/>
      </w:tblGrid>
      <w:tr>
        <w:tblPrEx>
          <w:tblW w:w="12840" w:type="dxa"/>
          <w:tblInd w:w="720" w:type="dxa"/>
          <w:tblLayout w:type="fixed"/>
        </w:tblPrEx>
        <w:trPr>
          <w:cantSplit/>
          <w:trHeight w:hRule="auto" w:val="0"/>
          <w:tblHeader/>
        </w:trPr>
        <w:tc>
          <w:tcPr>
            <w:tcW w:w="7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R.U.T.</w:t>
            </w:r>
          </w:p>
        </w:tc>
        <w:tc>
          <w:tcPr>
            <w:tcW w:w="19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Sociedad</w:t>
            </w:r>
          </w:p>
        </w:tc>
        <w:tc>
          <w:tcPr>
            <w:tcW w:w="4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País de origen</w:t>
            </w:r>
          </w:p>
        </w:tc>
        <w:tc>
          <w:tcPr>
            <w:tcW w:w="8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Naturaleza de la relación</w:t>
            </w:r>
          </w:p>
        </w:tc>
        <w:tc>
          <w:tcPr>
            <w:tcW w:w="12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Descripción de la transacción</w:t>
            </w:r>
          </w:p>
        </w:tc>
        <w:tc>
          <w:tcPr>
            <w:tcW w:w="78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Moneda</w:t>
            </w:r>
          </w:p>
        </w:tc>
        <w:tc>
          <w:tcPr>
            <w:tcW w:w="168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168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680" w:type="dxa"/>
            <w:gridSpan w:val="2"/>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01-04-2026</w:t>
            </w:r>
          </w:p>
        </w:tc>
        <w:tc>
          <w:tcPr>
            <w:tcW w:w="168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01-04-2025</w:t>
            </w:r>
          </w:p>
        </w:tc>
      </w:tr>
      <w:tr>
        <w:tblPrEx>
          <w:tblW w:w="12840" w:type="dxa"/>
          <w:tblInd w:w="720" w:type="dxa"/>
          <w:tblLayout w:type="fixed"/>
        </w:tblPrEx>
        <w:trPr>
          <w:cantSplit/>
          <w:trHeight w:hRule="auto" w:val="0"/>
          <w:tblHeader/>
        </w:trPr>
        <w:tc>
          <w:tcPr>
            <w:tcW w:w="765" w:type="dxa"/>
            <w:vMerge/>
            <w:tcBorders>
              <w:top w:val="nil"/>
              <w:left w:val="single" w:sz="2" w:space="0" w:color="000000"/>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495" w:type="dxa"/>
            <w:vMerge/>
            <w:tcBorders>
              <w:top w:val="nil"/>
              <w:left w:val="single" w:sz="4" w:space="0" w:color="FFFFFF"/>
              <w:bottom w:val="nil"/>
              <w:right w:val="nil"/>
            </w:tcBorders>
          </w:tcPr>
          <w:p>
            <w:pPr>
              <w:keepNext/>
              <w:pageBreakBefore w:val="0"/>
            </w:pPr>
          </w:p>
        </w:tc>
        <w:tc>
          <w:tcPr>
            <w:tcW w:w="840" w:type="dxa"/>
            <w:vMerge/>
            <w:tcBorders>
              <w:top w:val="nil"/>
              <w:left w:val="single" w:sz="4" w:space="0" w:color="FFFFFF"/>
              <w:bottom w:val="nil"/>
              <w:right w:val="nil"/>
            </w:tcBorders>
          </w:tcPr>
          <w:p>
            <w:pPr>
              <w:keepNext/>
              <w:pageBreakBefore w:val="0"/>
            </w:pPr>
          </w:p>
        </w:tc>
        <w:tc>
          <w:tcPr>
            <w:tcW w:w="1245" w:type="dxa"/>
            <w:vMerge/>
            <w:tcBorders>
              <w:top w:val="nil"/>
              <w:left w:val="single" w:sz="4" w:space="0" w:color="FFFFFF"/>
              <w:bottom w:val="nil"/>
              <w:right w:val="nil"/>
            </w:tcBorders>
          </w:tcPr>
          <w:p>
            <w:pPr>
              <w:keepNext/>
              <w:pageBreakBefore w:val="0"/>
            </w:pPr>
          </w:p>
        </w:tc>
        <w:tc>
          <w:tcPr>
            <w:tcW w:w="780" w:type="dxa"/>
            <w:vMerge/>
            <w:tcBorders>
              <w:top w:val="nil"/>
              <w:left w:val="single" w:sz="4" w:space="0" w:color="FFFFFF"/>
              <w:bottom w:val="nil"/>
              <w:right w:val="single" w:sz="4" w:space="0" w:color="FFFFFF"/>
            </w:tcBorders>
          </w:tcPr>
          <w:p>
            <w:pPr>
              <w:keepNext/>
              <w:pageBreakBefore w:val="0"/>
            </w:pPr>
          </w:p>
        </w:tc>
        <w:tc>
          <w:tcPr>
            <w:tcW w:w="168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68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680" w:type="dxa"/>
            <w:gridSpan w:val="2"/>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680" w:type="dxa"/>
            <w:gridSpan w:val="2"/>
            <w:tcBorders>
              <w:top w:val="nil"/>
              <w:left w:val="nil"/>
              <w:bottom w:val="single" w:sz="8" w:space="0" w:color="FFFFFF"/>
              <w:right w:val="single" w:sz="8" w:space="0" w:color="929292"/>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12840" w:type="dxa"/>
          <w:tblInd w:w="720" w:type="dxa"/>
          <w:tblLayout w:type="fixed"/>
        </w:tblPrEx>
        <w:trPr>
          <w:cantSplit/>
          <w:trHeight w:hRule="auto" w:val="0"/>
          <w:tblHeader/>
        </w:trPr>
        <w:tc>
          <w:tcPr>
            <w:tcW w:w="765" w:type="dxa"/>
            <w:vMerge/>
            <w:tcBorders>
              <w:top w:val="nil"/>
              <w:left w:val="single" w:sz="2" w:space="0" w:color="000000"/>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495" w:type="dxa"/>
            <w:vMerge/>
            <w:tcBorders>
              <w:top w:val="nil"/>
              <w:left w:val="single" w:sz="4" w:space="0" w:color="FFFFFF"/>
              <w:bottom w:val="nil"/>
              <w:right w:val="nil"/>
            </w:tcBorders>
          </w:tcPr>
          <w:p>
            <w:pPr>
              <w:keepNext/>
              <w:pageBreakBefore w:val="0"/>
            </w:pPr>
          </w:p>
        </w:tc>
        <w:tc>
          <w:tcPr>
            <w:tcW w:w="840" w:type="dxa"/>
            <w:vMerge/>
            <w:tcBorders>
              <w:top w:val="nil"/>
              <w:left w:val="single" w:sz="4" w:space="0" w:color="FFFFFF"/>
              <w:bottom w:val="nil"/>
              <w:right w:val="nil"/>
            </w:tcBorders>
          </w:tcPr>
          <w:p>
            <w:pPr>
              <w:keepNext/>
              <w:pageBreakBefore w:val="0"/>
            </w:pPr>
          </w:p>
        </w:tc>
        <w:tc>
          <w:tcPr>
            <w:tcW w:w="1245" w:type="dxa"/>
            <w:vMerge/>
            <w:tcBorders>
              <w:top w:val="nil"/>
              <w:left w:val="single" w:sz="4" w:space="0" w:color="FFFFFF"/>
              <w:bottom w:val="nil"/>
              <w:right w:val="nil"/>
            </w:tcBorders>
          </w:tcPr>
          <w:p>
            <w:pPr>
              <w:keepNext/>
              <w:pageBreakBefore w:val="0"/>
            </w:pPr>
          </w:p>
        </w:tc>
        <w:tc>
          <w:tcPr>
            <w:tcW w:w="780" w:type="dxa"/>
            <w:vMerge/>
            <w:tcBorders>
              <w:top w:val="nil"/>
              <w:left w:val="single" w:sz="4" w:space="0" w:color="FFFFFF"/>
              <w:bottom w:val="nil"/>
              <w:right w:val="nil"/>
            </w:tcBorders>
          </w:tcPr>
          <w:p>
            <w:pPr>
              <w:keepNext/>
              <w:pageBreakBefore w:val="0"/>
            </w:pP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Operación</w:t>
            </w:r>
          </w:p>
        </w:tc>
        <w:tc>
          <w:tcPr>
            <w:tcW w:w="84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en resultados (cargo) / abono</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Operación</w:t>
            </w:r>
          </w:p>
        </w:tc>
        <w:tc>
          <w:tcPr>
            <w:tcW w:w="84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en resultados (cargo) / abono</w:t>
            </w:r>
          </w:p>
        </w:tc>
        <w:tc>
          <w:tcPr>
            <w:tcW w:w="84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Operación</w:t>
            </w:r>
          </w:p>
        </w:tc>
        <w:tc>
          <w:tcPr>
            <w:tcW w:w="840"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en resultados (cargo) / abono</w:t>
            </w:r>
          </w:p>
        </w:tc>
        <w:tc>
          <w:tcPr>
            <w:tcW w:w="84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Operación</w:t>
            </w:r>
          </w:p>
        </w:tc>
        <w:tc>
          <w:tcPr>
            <w:tcW w:w="84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en resultados (cargo) / abono</w:t>
            </w:r>
          </w:p>
        </w:tc>
      </w:tr>
      <w:tr>
        <w:tblPrEx>
          <w:tblW w:w="12840" w:type="dxa"/>
          <w:tblInd w:w="720" w:type="dxa"/>
          <w:tblLayout w:type="fixed"/>
        </w:tblPrEx>
        <w:trPr>
          <w:cantSplit/>
          <w:trHeight w:hRule="auto" w:val="0"/>
          <w:tblHeader/>
        </w:trPr>
        <w:tc>
          <w:tcPr>
            <w:tcW w:w="765" w:type="dxa"/>
            <w:vMerge/>
            <w:tcBorders>
              <w:top w:val="nil"/>
              <w:left w:val="single" w:sz="2" w:space="0" w:color="000000"/>
              <w:bottom w:val="single" w:sz="2" w:space="0" w:color="000000"/>
              <w:right w:val="nil"/>
            </w:tcBorders>
          </w:tcPr>
          <w:p>
            <w:pPr>
              <w:keepNext/>
              <w:pageBreakBefore w:val="0"/>
            </w:pPr>
          </w:p>
        </w:tc>
        <w:tc>
          <w:tcPr>
            <w:tcW w:w="1995" w:type="dxa"/>
            <w:vMerge/>
            <w:tcBorders>
              <w:top w:val="nil"/>
              <w:left w:val="single" w:sz="4" w:space="0" w:color="FFFFFF"/>
              <w:bottom w:val="single" w:sz="2" w:space="0" w:color="000000"/>
              <w:right w:val="nil"/>
            </w:tcBorders>
          </w:tcPr>
          <w:p>
            <w:pPr>
              <w:keepNext/>
              <w:pageBreakBefore w:val="0"/>
            </w:pPr>
          </w:p>
        </w:tc>
        <w:tc>
          <w:tcPr>
            <w:tcW w:w="495" w:type="dxa"/>
            <w:vMerge/>
            <w:tcBorders>
              <w:top w:val="nil"/>
              <w:left w:val="single" w:sz="4" w:space="0" w:color="FFFFFF"/>
              <w:bottom w:val="single" w:sz="2" w:space="0" w:color="000000"/>
              <w:right w:val="nil"/>
            </w:tcBorders>
          </w:tcPr>
          <w:p>
            <w:pPr>
              <w:keepNext/>
              <w:pageBreakBefore w:val="0"/>
            </w:pPr>
          </w:p>
        </w:tc>
        <w:tc>
          <w:tcPr>
            <w:tcW w:w="840" w:type="dxa"/>
            <w:vMerge/>
            <w:tcBorders>
              <w:top w:val="nil"/>
              <w:left w:val="single" w:sz="4" w:space="0" w:color="FFFFFF"/>
              <w:bottom w:val="single" w:sz="2" w:space="0" w:color="000000"/>
              <w:right w:val="nil"/>
            </w:tcBorders>
          </w:tcPr>
          <w:p>
            <w:pPr>
              <w:keepNext/>
              <w:pageBreakBefore w:val="0"/>
            </w:pPr>
          </w:p>
        </w:tc>
        <w:tc>
          <w:tcPr>
            <w:tcW w:w="1245" w:type="dxa"/>
            <w:vMerge/>
            <w:tcBorders>
              <w:top w:val="nil"/>
              <w:left w:val="single" w:sz="4" w:space="0" w:color="FFFFFF"/>
              <w:bottom w:val="single" w:sz="2" w:space="0" w:color="000000"/>
              <w:right w:val="nil"/>
            </w:tcBorders>
          </w:tcPr>
          <w:p>
            <w:pPr>
              <w:keepNext/>
              <w:pageBreakBefore w:val="0"/>
            </w:pPr>
          </w:p>
        </w:tc>
        <w:tc>
          <w:tcPr>
            <w:tcW w:w="780" w:type="dxa"/>
            <w:vMerge/>
            <w:tcBorders>
              <w:top w:val="nil"/>
              <w:left w:val="single" w:sz="4" w:space="0" w:color="FFFFFF"/>
              <w:bottom w:val="single" w:sz="2" w:space="0" w:color="000000"/>
              <w:right w:val="nil"/>
            </w:tcBorders>
          </w:tcPr>
          <w:p>
            <w:pPr>
              <w:keepNext/>
              <w:pageBreakBefore w:val="0"/>
            </w:pP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(cargos)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37.656.726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36.943.305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37.155.343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35.177.714</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(abonos)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36.245.432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36.896.313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39.450.186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32.524.442</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Ingreso por intereses tesorería centralizada</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23.987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23.987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1.343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1.343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16.281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16.281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1.217</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(1.217)</w:t>
            </w:r>
          </w:p>
        </w:tc>
      </w:tr>
      <w:tr>
        <w:tblPrEx>
          <w:tblW w:w="12840" w:type="dxa"/>
          <w:tblInd w:w="720" w:type="dxa"/>
          <w:tblLayout w:type="fixed"/>
        </w:tblPrEx>
        <w:trPr>
          <w:cantSplit/>
          <w:trHeight w:hRule="exact" w:val="345"/>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Equidad tarifaria residencial</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1.659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1.659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1.317</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(1.317)</w:t>
            </w: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comerciales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19.956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(19.956)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19.386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(19.386)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19.083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19.083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17.892</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17.892</w:t>
            </w: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sistemas de información</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402.182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(402.182)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384.042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(384.042)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371.167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371.167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353.586</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353.586</w:t>
            </w: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administrativos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240.475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(240.475)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233.599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(233.599)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229.959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229.959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226.083</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226.083</w:t>
            </w:r>
          </w:p>
        </w:tc>
      </w:tr>
      <w:tr>
        <w:tblPrEx>
          <w:tblW w:w="12840" w:type="dxa"/>
          <w:tblInd w:w="720" w:type="dxa"/>
          <w:tblLayout w:type="fixed"/>
        </w:tblPrEx>
        <w:trPr>
          <w:cantSplit/>
          <w:trHeight w:hRule="exact" w:val="24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operativos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47.818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(47.818)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46.450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(46.450)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45.726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45.726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47.527</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47.527</w:t>
            </w:r>
          </w:p>
        </w:tc>
      </w:tr>
      <w:tr>
        <w:tblPrEx>
          <w:tblW w:w="12840" w:type="dxa"/>
          <w:tblInd w:w="720" w:type="dxa"/>
          <w:tblLayout w:type="fixed"/>
        </w:tblPrEx>
        <w:trPr>
          <w:cantSplit/>
          <w:trHeight w:hRule="exact" w:val="345"/>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77.402.186-8</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Chilquinta Servicios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arriendo de intangibles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11.706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(11.706)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13.211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(13.211)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14.446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14.446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13.211</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(13.211)</w:t>
            </w: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77.402.186-8</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Chilquinta Servicios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Arriendo de intangibles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37.735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36.682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36.091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73.826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33.643</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70.325</w:t>
            </w:r>
          </w:p>
        </w:tc>
      </w:tr>
      <w:tr>
        <w:tblPrEx>
          <w:tblW w:w="12840" w:type="dxa"/>
          <w:tblInd w:w="720" w:type="dxa"/>
          <w:tblLayout w:type="fixed"/>
        </w:tblPrEx>
        <w:trPr>
          <w:cantSplit/>
          <w:trHeight w:hRule="exact" w:val="345"/>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77.402.186-8</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Chilquinta Servicios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Tipo de cambio  arriendo intangibles</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1.752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8.567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16.431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18.183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8.567</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exact" w:val="345"/>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91.344.000-5</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Eléctrica del Litoral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Equidad tarifaria residencial</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96.766.110-4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Energía de Casablanca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Equidad tarifaria residencial</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w:t>
            </w:r>
          </w:p>
        </w:tc>
      </w:tr>
      <w:tr>
        <w:tblPrEx>
          <w:tblW w:w="12840" w:type="dxa"/>
          <w:tblInd w:w="720" w:type="dxa"/>
          <w:tblLayout w:type="fixed"/>
        </w:tblPrEx>
        <w:trPr>
          <w:cantSplit/>
          <w:trHeight w:hRule="exact" w:val="345"/>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96.813.520-1</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Chilquinta Distribución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Equidad tarifaria residencial</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256</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(256)</w:t>
            </w:r>
          </w:p>
        </w:tc>
      </w:tr>
      <w:tr>
        <w:tblPrEx>
          <w:tblW w:w="12840" w:type="dxa"/>
          <w:tblInd w:w="720" w:type="dxa"/>
          <w:tblLayout w:type="fixed"/>
        </w:tblPrEx>
        <w:trPr>
          <w:cantSplit/>
          <w:trHeight w:hRule="auto" w:val="0"/>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96.884.450-4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Luz Linares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Equidad tarifaria residencial</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19.550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(19.550)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13.030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(13.030)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13.125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13.125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1.828</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1.828</w:t>
            </w:r>
          </w:p>
        </w:tc>
      </w:tr>
      <w:tr>
        <w:tblPrEx>
          <w:tblW w:w="12840" w:type="dxa"/>
          <w:tblInd w:w="720" w:type="dxa"/>
          <w:tblLayout w:type="fixed"/>
        </w:tblPrEx>
        <w:trPr>
          <w:cantSplit/>
          <w:trHeight w:hRule="exact" w:val="345"/>
        </w:trPr>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96.866.680-0</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Luz Parral S.A.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1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Equidad tarifaria residencial</w:t>
            </w:r>
          </w:p>
        </w:tc>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16.930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(16.930)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10.323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(10.323)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10.315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10.315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2.688</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2.688</w:t>
            </w:r>
          </w:p>
        </w:tc>
      </w:tr>
    </w:tbl>
    <w:p>
      <w:pPr>
        <w:keepNext w:val="0"/>
        <w:keepLines/>
        <w:pageBreakBefore w:val="0"/>
        <w:widowControl w:val="0"/>
        <w:numPr>
          <w:ilvl w:val="0"/>
          <w:numId w:val="0"/>
        </w:numPr>
        <w:spacing w:before="0" w:after="0" w:line="288" w:lineRule="auto"/>
        <w:ind w:left="2126"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a State Grid Corporation of China como matriz de la Sociedad.</w:t>
      </w:r>
    </w:p>
    <w:p>
      <w:pPr>
        <w:pStyle w:val="Normal-wk"/>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color w:val="000000"/>
          <w:sz w:val="20"/>
          <w:u w:val="none"/>
        </w:rPr>
        <w:sectPr>
          <w:headerReference w:type="default" r:id="rId28"/>
          <w:footerReference w:type="default" r:id="rId29"/>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9" w:name="Section59"/>
      <w:bookmarkEnd w:id="109"/>
      <w:bookmarkStart w:id="110" w:name="f62b59a720a14b49bece1f9151c1eab3"/>
      <w:r>
        <w:rPr>
          <w:rFonts w:ascii="Calibri" w:eastAsia="Calibri" w:hAnsi="Calibri" w:cs="Calibri"/>
          <w:b/>
          <w:i w:val="0"/>
          <w:color w:val="000000"/>
          <w:sz w:val="20"/>
          <w:u w:val="none"/>
        </w:rPr>
        <w:t>9.2.-</w:t>
      </w:r>
      <w:r>
        <w:rPr>
          <w:rFonts w:ascii="Calibri" w:eastAsia="Calibri" w:hAnsi="Calibri" w:cs="Calibri"/>
          <w:b/>
          <w:i w:val="0"/>
          <w:color w:val="000000"/>
          <w:sz w:val="20"/>
          <w:u w:val="none"/>
        </w:rPr>
        <w:tab/>
      </w:r>
      <w:r>
        <w:rPr>
          <w:rFonts w:ascii="Calibri" w:eastAsia="Calibri" w:hAnsi="Calibri" w:cs="Calibri"/>
          <w:b/>
          <w:i w:val="0"/>
          <w:color w:val="000000"/>
          <w:sz w:val="20"/>
          <w:u w:val="none"/>
        </w:rPr>
        <w:t>Directorio y gerencia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0"/>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celebrada el 1</w:t>
      </w:r>
      <w:r>
        <w:rPr>
          <w:rFonts w:ascii="Calibri" w:eastAsia="Calibri" w:hAnsi="Calibri" w:cs="Calibri"/>
          <w:b w:val="0"/>
          <w:i w:val="0"/>
          <w:color w:val="000000"/>
          <w:sz w:val="20"/>
          <w:u w:val="none"/>
        </w:rPr>
        <w:t>5</w:t>
      </w:r>
      <w:r>
        <w:rPr>
          <w:rFonts w:ascii="Calibri" w:eastAsia="Calibri" w:hAnsi="Calibri" w:cs="Calibri"/>
          <w:b w:val="0"/>
          <w:i w:val="0"/>
          <w:color w:val="000000"/>
          <w:sz w:val="20"/>
          <w:u w:val="none"/>
        </w:rPr>
        <w:t xml:space="preserve"> de abril de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xml:space="preserve"> se eligió el nuevo directorio de Empresa Eléctrica de Magallanes S.A. el cual quedó compuesto por:</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Jorge Jordan Franulic</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Presidente</w:t>
      </w:r>
    </w:p>
    <w:p>
      <w:pPr>
        <w:pStyle w:val="Normal-wk"/>
        <w:keepNext w:val="0"/>
        <w:keepLines/>
        <w:pageBreakBefore w:val="0"/>
        <w:widowControl w:val="0"/>
        <w:numPr>
          <w:ilvl w:val="0"/>
          <w:numId w:val="0"/>
        </w:numPr>
        <w:tabs>
          <w:tab w:val="left" w:pos="700"/>
        </w:tabs>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Fang Wei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Vicepresidente</w:t>
      </w:r>
    </w:p>
    <w:p>
      <w:pPr>
        <w:keepNext w:val="0"/>
        <w:keepLines/>
        <w:pageBreakBefore w:val="0"/>
        <w:widowControl w:val="0"/>
        <w:numPr>
          <w:ilvl w:val="0"/>
          <w:numId w:val="0"/>
        </w:numPr>
        <w:tabs>
          <w:tab w:val="left" w:pos="700"/>
        </w:tabs>
        <w:spacing w:before="0" w:after="0" w:line="276" w:lineRule="auto"/>
        <w:ind w:left="1418"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sz w:val="20"/>
        </w:rPr>
        <w:t>Tomas Morales Jaureguiberry</w:t>
      </w:r>
      <w:r>
        <w:rPr>
          <w:rFonts w:ascii="Calibri" w:eastAsia="Calibri" w:hAnsi="Calibri" w:cs="Calibri"/>
          <w:b w:val="0"/>
          <w:i w:val="0"/>
          <w:sz w:val="20"/>
        </w:rPr>
        <w:tab/>
      </w:r>
      <w:r>
        <w:rPr>
          <w:rFonts w:ascii="Calibri" w:eastAsia="Calibri" w:hAnsi="Calibri" w:cs="Calibri"/>
          <w:b w:val="0"/>
          <w:i w:val="0"/>
          <w:sz w:val="20"/>
        </w:rPr>
        <w:t xml:space="preserve">Director </w:t>
      </w:r>
    </w:p>
    <w:p>
      <w:pPr>
        <w:keepNext w:val="0"/>
        <w:keepLines/>
        <w:pageBreakBefore w:val="0"/>
        <w:widowControl w:val="0"/>
        <w:numPr>
          <w:ilvl w:val="0"/>
          <w:numId w:val="0"/>
        </w:numPr>
        <w:spacing w:before="0" w:after="0" w:line="230" w:lineRule="exact"/>
        <w:ind w:left="720" w:right="0" w:firstLine="720"/>
        <w:jc w:val="left"/>
        <w:outlineLvl w:val="9"/>
        <w:rPr>
          <w:rFonts w:ascii="Calibri" w:eastAsia="Calibri" w:hAnsi="Calibri" w:cs="Calibri"/>
          <w:b w:val="0"/>
          <w:i w:val="0"/>
          <w:sz w:val="20"/>
        </w:rPr>
      </w:pPr>
      <w:r>
        <w:rPr>
          <w:rFonts w:ascii="Calibri" w:eastAsia="Calibri" w:hAnsi="Calibri" w:cs="Calibri"/>
          <w:b w:val="0"/>
          <w:i w:val="0"/>
          <w:sz w:val="20"/>
        </w:rPr>
        <w:t>Gladys Cárcamo Alarcón</w:t>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 xml:space="preserve">Director </w:t>
      </w:r>
    </w:p>
    <w:p>
      <w:pPr>
        <w:keepNext w:val="0"/>
        <w:keepLines/>
        <w:pageBreakBefore w:val="0"/>
        <w:widowControl w:val="0"/>
        <w:numPr>
          <w:ilvl w:val="0"/>
          <w:numId w:val="0"/>
        </w:numPr>
        <w:spacing w:before="0" w:after="0" w:line="230" w:lineRule="exact"/>
        <w:ind w:left="720" w:right="0" w:firstLine="720"/>
        <w:jc w:val="left"/>
        <w:outlineLvl w:val="9"/>
        <w:rPr>
          <w:rFonts w:ascii="Calibri" w:eastAsia="Calibri" w:hAnsi="Calibri" w:cs="Calibri"/>
          <w:b w:val="0"/>
          <w:i w:val="0"/>
          <w:sz w:val="20"/>
        </w:rPr>
      </w:pPr>
      <w:r>
        <w:rPr>
          <w:rFonts w:ascii="Calibri" w:eastAsia="Calibri" w:hAnsi="Calibri" w:cs="Calibri"/>
          <w:b w:val="0"/>
          <w:i w:val="0"/>
          <w:sz w:val="20"/>
        </w:rPr>
        <w:t>Matías Hepp Valenzuela</w:t>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Director</w:t>
      </w:r>
    </w:p>
    <w:p>
      <w:pPr>
        <w:keepNext w:val="0"/>
        <w:keepLines/>
        <w:pageBreakBefore w:val="0"/>
        <w:widowControl w:val="0"/>
        <w:numPr>
          <w:ilvl w:val="0"/>
          <w:numId w:val="0"/>
        </w:numPr>
        <w:spacing w:before="0" w:after="0" w:line="276" w:lineRule="auto"/>
        <w:ind w:left="720" w:right="0" w:firstLine="720"/>
        <w:jc w:val="left"/>
        <w:outlineLvl w:val="9"/>
        <w:rPr>
          <w:rFonts w:ascii="Calibri" w:eastAsia="Calibri" w:hAnsi="Calibri" w:cs="Calibri"/>
          <w:b w:val="0"/>
          <w:i w:val="0"/>
          <w:sz w:val="20"/>
        </w:rPr>
      </w:pPr>
      <w:r>
        <w:rPr>
          <w:rFonts w:ascii="Calibri" w:eastAsia="Calibri" w:hAnsi="Calibri" w:cs="Calibri"/>
          <w:b w:val="0"/>
          <w:i w:val="0"/>
          <w:sz w:val="20"/>
        </w:rPr>
        <w:t>Minna Wang</w:t>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 xml:space="preserve">Director </w:t>
      </w:r>
    </w:p>
    <w:p>
      <w:pPr>
        <w:keepNext w:val="0"/>
        <w:keepLines/>
        <w:pageBreakBefore w:val="0"/>
        <w:widowControl w:val="0"/>
        <w:numPr>
          <w:ilvl w:val="0"/>
          <w:numId w:val="0"/>
        </w:numPr>
        <w:spacing w:before="0" w:after="0" w:line="276" w:lineRule="auto"/>
        <w:ind w:left="720" w:right="0" w:firstLine="720"/>
        <w:jc w:val="left"/>
        <w:outlineLvl w:val="9"/>
        <w:rPr>
          <w:rFonts w:ascii="Calibri" w:eastAsia="Calibri" w:hAnsi="Calibri" w:cs="Calibri"/>
          <w:b w:val="0"/>
          <w:i w:val="0"/>
          <w:sz w:val="20"/>
        </w:rPr>
      </w:pPr>
      <w:r>
        <w:rPr>
          <w:rFonts w:ascii="Calibri" w:eastAsia="Calibri" w:hAnsi="Calibri" w:cs="Calibri"/>
          <w:b w:val="0"/>
          <w:i w:val="0"/>
          <w:sz w:val="20"/>
        </w:rPr>
        <w:t>Heraldo Caro Torres</w:t>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 xml:space="preserve">Director Independiente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w:t>
      </w:r>
      <w:r>
        <w:rPr>
          <w:rFonts w:ascii="Calibri" w:eastAsia="Calibri" w:hAnsi="Calibri" w:cs="Calibri"/>
          <w:b w:val="0"/>
          <w:i w:val="0"/>
          <w:color w:val="000000"/>
          <w:sz w:val="20"/>
          <w:u w:val="none"/>
        </w:rPr>
        <w:t>8</w:t>
      </w:r>
      <w:r>
        <w:rPr>
          <w:rFonts w:ascii="Calibri" w:eastAsia="Calibri" w:hAnsi="Calibri" w:cs="Calibri"/>
          <w:b w:val="0"/>
          <w:i w:val="0"/>
          <w:color w:val="000000"/>
          <w:sz w:val="20"/>
          <w:u w:val="none"/>
        </w:rPr>
        <w:t xml:space="preserve"> de abril de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xml:space="preserve"> en Sesión de Directorio fue designado como Presidente del Directorio el Señor Jorge Jordan Franulic y como Vicepresidente al señor</w:t>
      </w:r>
      <w:r>
        <w:rPr>
          <w:rFonts w:ascii="Calibri" w:eastAsia="Calibri" w:hAnsi="Calibri" w:cs="Calibri"/>
          <w:b w:val="0"/>
          <w:i w:val="0"/>
          <w:color w:val="000000"/>
          <w:sz w:val="20"/>
          <w:u w:val="none"/>
        </w:rPr>
        <w:t xml:space="preserve"> Wei Fang</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equipo gerencial de </w:t>
      </w:r>
      <w:r>
        <w:rPr>
          <w:rFonts w:ascii="Calibri" w:eastAsia="Calibri" w:hAnsi="Calibri" w:cs="Calibri"/>
          <w:b w:val="0"/>
          <w:i w:val="0"/>
          <w:sz w:val="20"/>
        </w:rPr>
        <w:t xml:space="preserve">Empresa Eléctrica de Magallanes S.A. </w:t>
      </w:r>
      <w:r>
        <w:rPr>
          <w:rFonts w:ascii="Calibri" w:eastAsia="Calibri" w:hAnsi="Calibri" w:cs="Calibri"/>
          <w:b w:val="0"/>
          <w:i w:val="0"/>
          <w:color w:val="000000"/>
          <w:sz w:val="20"/>
          <w:u w:val="none"/>
        </w:rPr>
        <w:t>lo componen un Gerente General y un Gerente de Área.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16"/>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Según lo establecido en el Artículo N° 33 de la Ley N° 18.046 sobre Sociedades Anónimas, la Junta Ordinaria de Accionistas de la Sociedad, celebrada con fecha 1</w:t>
      </w:r>
      <w:r>
        <w:rPr>
          <w:rFonts w:ascii="Calibri" w:eastAsia="Calibri" w:hAnsi="Calibri" w:cs="Calibri"/>
          <w:b w:val="0"/>
          <w:i w:val="0"/>
          <w:color w:val="000000"/>
          <w:sz w:val="20"/>
          <w:u w:val="none"/>
        </w:rPr>
        <w:t>5</w:t>
      </w:r>
      <w:r>
        <w:rPr>
          <w:rFonts w:ascii="Calibri" w:eastAsia="Calibri" w:hAnsi="Calibri" w:cs="Calibri"/>
          <w:b w:val="0"/>
          <w:i w:val="0"/>
          <w:color w:val="000000"/>
          <w:sz w:val="20"/>
          <w:u w:val="none"/>
        </w:rPr>
        <w:t xml:space="preserve"> de abril de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fijó los siguientes montos para el ejercicio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410" w:right="0" w:hanging="28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2"/>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Dietas por asistencia a sesiones. </w:t>
      </w:r>
    </w:p>
    <w:p>
      <w:pPr>
        <w:keepNext w:val="0"/>
        <w:keepLines/>
        <w:pageBreakBefore w:val="0"/>
        <w:widowControl w:val="0"/>
        <w:numPr>
          <w:ilvl w:val="0"/>
          <w:numId w:val="0"/>
        </w:numPr>
        <w:spacing w:before="0" w:after="0" w:line="288" w:lineRule="auto"/>
        <w:ind w:left="2410" w:right="0" w:hanging="28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Pagar a cada Director 30 unidades de fomento por asistencia a las sesiones del Directorio. La dieta del Presidente del Directorio será el equivalente a dos veces la dieta que le corresponda a un Director.</w:t>
      </w:r>
    </w:p>
    <w:p>
      <w:pPr>
        <w:keepNext w:val="0"/>
        <w:keepLines/>
        <w:pageBreakBefore w:val="0"/>
        <w:widowControl w:val="0"/>
        <w:numPr>
          <w:ilvl w:val="0"/>
          <w:numId w:val="0"/>
        </w:numPr>
        <w:spacing w:before="0" w:after="0" w:line="288" w:lineRule="auto"/>
        <w:ind w:left="2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3"/>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Participación de utilidades.</w:t>
      </w:r>
    </w:p>
    <w:p>
      <w:pPr>
        <w:keepNext w:val="0"/>
        <w:keepLines/>
        <w:pageBreakBefore w:val="0"/>
        <w:widowControl w:val="0"/>
        <w:numPr>
          <w:ilvl w:val="0"/>
          <w:numId w:val="0"/>
        </w:numPr>
        <w:spacing w:before="0" w:after="0" w:line="288" w:lineRule="auto"/>
        <w:ind w:left="2410" w:right="0" w:hanging="28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Pagar una participación del 1,5 por ciento de las utilidades del ejercicio con un tope máximo de un 5 por ciento de los dividendos con cargo a las utilidades del ejercicio y demás dividendos con cargo a otras utilidades o fondos que se hayan pagado durante el ejercicio. La participación del Presidente del Directorio será equivalente a dos veces la participación de un Director.</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Asistencia a Comité de Directores.</w:t>
      </w:r>
    </w:p>
    <w:p>
      <w:pPr>
        <w:keepNext w:val="0"/>
        <w:keepLines/>
        <w:pageBreakBefore w:val="0"/>
        <w:widowControl w:val="0"/>
        <w:numPr>
          <w:ilvl w:val="0"/>
          <w:numId w:val="0"/>
        </w:numPr>
        <w:spacing w:before="0" w:after="0" w:line="288" w:lineRule="auto"/>
        <w:ind w:left="2410" w:right="0" w:hanging="28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Pagar a cada integrante del Comité de Directores una dieta por asistencia a las sesiones de 10 unidades de fomento; y una participación de un tercio de la participación que el Director perciba en su calidad de tal conforme al punto anterior.</w:t>
      </w:r>
    </w:p>
    <w:p>
      <w:pPr>
        <w:pStyle w:val="Normal-wk"/>
        <w:keepNext w:val="0"/>
        <w:keepLines/>
        <w:pageBreakBefore/>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montos pagados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a los señores Directores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400" w:type="dxa"/>
        <w:tblInd w:w="1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65"/>
        <w:gridCol w:w="555"/>
        <w:gridCol w:w="525"/>
        <w:gridCol w:w="525"/>
        <w:gridCol w:w="645"/>
        <w:gridCol w:w="525"/>
        <w:gridCol w:w="525"/>
        <w:gridCol w:w="645"/>
        <w:gridCol w:w="525"/>
        <w:gridCol w:w="525"/>
        <w:gridCol w:w="645"/>
        <w:gridCol w:w="525"/>
        <w:gridCol w:w="525"/>
        <w:gridCol w:w="645"/>
      </w:tblGrid>
      <w:tr>
        <w:tblPrEx>
          <w:tblW w:w="8400" w:type="dxa"/>
          <w:tblInd w:w="1559" w:type="dxa"/>
          <w:tblLayout w:type="fixed"/>
        </w:tblPrEx>
        <w:trPr>
          <w:cantSplit/>
          <w:trHeight w:hRule="auto" w:val="0"/>
        </w:trPr>
        <w:tc>
          <w:tcPr>
            <w:tcW w:w="1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Nombre</w:t>
            </w:r>
          </w:p>
        </w:tc>
        <w:tc>
          <w:tcPr>
            <w:tcW w:w="55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Cargo</w:t>
            </w:r>
          </w:p>
        </w:tc>
        <w:tc>
          <w:tcPr>
            <w:tcW w:w="1695" w:type="dxa"/>
            <w:gridSpan w:val="3"/>
            <w:tcBorders>
              <w:top w:val="single" w:sz="2" w:space="0" w:color="000000"/>
              <w:left w:val="nil"/>
              <w:bottom w:val="nil"/>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0"/>
                <w:u w:val="none"/>
              </w:rPr>
              <w:t>01-01-2026</w:t>
            </w:r>
          </w:p>
        </w:tc>
        <w:tc>
          <w:tcPr>
            <w:tcW w:w="1695" w:type="dxa"/>
            <w:gridSpan w:val="3"/>
            <w:tcBorders>
              <w:top w:val="single" w:sz="2" w:space="0" w:color="000000"/>
              <w:left w:val="nil"/>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0"/>
                <w:u w:val="none"/>
              </w:rPr>
              <w:t>01-01-2025</w:t>
            </w:r>
          </w:p>
        </w:tc>
        <w:tc>
          <w:tcPr>
            <w:tcW w:w="1695" w:type="dxa"/>
            <w:gridSpan w:val="3"/>
            <w:tcBorders>
              <w:top w:val="nil"/>
              <w:left w:val="nil"/>
              <w:bottom w:val="nil"/>
              <w:right w:val="single" w:sz="8"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0"/>
                <w:u w:val="none"/>
              </w:rPr>
              <w:t>01-04-2026</w:t>
            </w:r>
          </w:p>
        </w:tc>
        <w:tc>
          <w:tcPr>
            <w:tcW w:w="1695" w:type="dxa"/>
            <w:gridSpan w:val="3"/>
            <w:tcBorders>
              <w:top w:val="nil"/>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0"/>
                <w:u w:val="none"/>
              </w:rPr>
              <w:t>01-04-2025</w:t>
            </w:r>
          </w:p>
        </w:tc>
      </w:tr>
      <w:tr>
        <w:tblPrEx>
          <w:tblW w:w="8400" w:type="dxa"/>
          <w:tblInd w:w="1559" w:type="dxa"/>
          <w:tblLayout w:type="fixed"/>
        </w:tblPrEx>
        <w:trPr>
          <w:cantSplit/>
          <w:trHeight w:hRule="auto" w:val="0"/>
        </w:trPr>
        <w:tc>
          <w:tcPr>
            <w:tcW w:w="1065" w:type="dxa"/>
            <w:vMerge/>
            <w:tcBorders>
              <w:top w:val="nil"/>
              <w:left w:val="single" w:sz="2" w:space="0" w:color="000000"/>
              <w:bottom w:val="nil"/>
              <w:right w:val="nil"/>
            </w:tcBorders>
          </w:tcPr>
          <w:p>
            <w:pPr>
              <w:keepNext/>
              <w:pageBreakBefore w:val="0"/>
            </w:pPr>
          </w:p>
        </w:tc>
        <w:tc>
          <w:tcPr>
            <w:tcW w:w="555" w:type="dxa"/>
            <w:vMerge/>
            <w:tcBorders>
              <w:top w:val="nil"/>
              <w:left w:val="single" w:sz="4" w:space="0" w:color="FFFFFF"/>
              <w:bottom w:val="nil"/>
              <w:right w:val="single" w:sz="4" w:space="0" w:color="FFFFFF"/>
            </w:tcBorders>
          </w:tcPr>
          <w:p>
            <w:pPr>
              <w:keepNext/>
              <w:pageBreakBefore w:val="0"/>
            </w:pPr>
          </w:p>
        </w:tc>
        <w:tc>
          <w:tcPr>
            <w:tcW w:w="1695" w:type="dxa"/>
            <w:gridSpan w:val="3"/>
            <w:tcBorders>
              <w:top w:val="nil"/>
              <w:left w:val="nil"/>
              <w:bottom w:val="single" w:sz="4" w:space="0" w:color="FFFFFF"/>
              <w:right w:val="single" w:sz="4" w:space="0" w:color="FFFFFF"/>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1695" w:type="dxa"/>
            <w:gridSpan w:val="3"/>
            <w:tcBorders>
              <w:top w:val="nil"/>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c>
          <w:tcPr>
            <w:tcW w:w="1695" w:type="dxa"/>
            <w:gridSpan w:val="3"/>
            <w:tcBorders>
              <w:top w:val="nil"/>
              <w:left w:val="nil"/>
              <w:bottom w:val="single" w:sz="8" w:space="0" w:color="FFFFFF"/>
              <w:right w:val="single" w:sz="8" w:space="0" w:color="FFFFFF"/>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1695" w:type="dxa"/>
            <w:gridSpan w:val="3"/>
            <w:tcBorders>
              <w:top w:val="nil"/>
              <w:left w:val="nil"/>
              <w:bottom w:val="single" w:sz="8"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r>
      <w:tr>
        <w:tblPrEx>
          <w:tblW w:w="8400" w:type="dxa"/>
          <w:tblInd w:w="1559" w:type="dxa"/>
          <w:tblLayout w:type="fixed"/>
        </w:tblPrEx>
        <w:trPr>
          <w:cantSplit/>
          <w:trHeight w:hRule="auto" w:val="0"/>
        </w:trPr>
        <w:tc>
          <w:tcPr>
            <w:tcW w:w="1065" w:type="dxa"/>
            <w:vMerge/>
            <w:tcBorders>
              <w:top w:val="nil"/>
              <w:left w:val="single" w:sz="2" w:space="0" w:color="000000"/>
              <w:bottom w:val="nil"/>
              <w:right w:val="nil"/>
            </w:tcBorders>
          </w:tcPr>
          <w:p>
            <w:pPr>
              <w:keepNext/>
              <w:pageBreakBefore w:val="0"/>
            </w:pPr>
          </w:p>
        </w:tc>
        <w:tc>
          <w:tcPr>
            <w:tcW w:w="555" w:type="dxa"/>
            <w:vMerge/>
            <w:tcBorders>
              <w:top w:val="nil"/>
              <w:left w:val="single" w:sz="4" w:space="0" w:color="FFFFFF"/>
              <w:bottom w:val="nil"/>
              <w:right w:val="nil"/>
            </w:tcBorders>
          </w:tcPr>
          <w:p>
            <w:pPr>
              <w:keepNext/>
              <w:pageBreakBefore w:val="0"/>
            </w:pPr>
          </w:p>
        </w:tc>
        <w:tc>
          <w:tcPr>
            <w:tcW w:w="5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Dieta</w:t>
            </w:r>
          </w:p>
        </w:tc>
        <w:tc>
          <w:tcPr>
            <w:tcW w:w="52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Comité</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Participación</w:t>
            </w:r>
          </w:p>
        </w:tc>
        <w:tc>
          <w:tcPr>
            <w:tcW w:w="5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Dieta</w:t>
            </w:r>
          </w:p>
        </w:tc>
        <w:tc>
          <w:tcPr>
            <w:tcW w:w="52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Comité</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Participación</w:t>
            </w:r>
          </w:p>
        </w:tc>
        <w:tc>
          <w:tcPr>
            <w:tcW w:w="52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Dieta</w:t>
            </w:r>
          </w:p>
        </w:tc>
        <w:tc>
          <w:tcPr>
            <w:tcW w:w="52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Comité</w:t>
            </w:r>
          </w:p>
        </w:tc>
        <w:tc>
          <w:tcPr>
            <w:tcW w:w="64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Participación</w:t>
            </w:r>
          </w:p>
        </w:tc>
        <w:tc>
          <w:tcPr>
            <w:tcW w:w="52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Dieta</w:t>
            </w:r>
          </w:p>
        </w:tc>
        <w:tc>
          <w:tcPr>
            <w:tcW w:w="52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Comité</w:t>
            </w:r>
          </w:p>
        </w:tc>
        <w:tc>
          <w:tcPr>
            <w:tcW w:w="64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Participación</w:t>
            </w:r>
          </w:p>
        </w:tc>
      </w:tr>
      <w:tr>
        <w:tblPrEx>
          <w:tblW w:w="8400" w:type="dxa"/>
          <w:tblInd w:w="1559" w:type="dxa"/>
          <w:tblLayout w:type="fixed"/>
        </w:tblPrEx>
        <w:trPr>
          <w:cantSplit/>
          <w:trHeight w:hRule="auto" w:val="0"/>
        </w:trPr>
        <w:tc>
          <w:tcPr>
            <w:tcW w:w="1065" w:type="dxa"/>
            <w:vMerge/>
            <w:tcBorders>
              <w:top w:val="nil"/>
              <w:left w:val="single" w:sz="2" w:space="0" w:color="000000"/>
              <w:bottom w:val="nil"/>
              <w:right w:val="nil"/>
            </w:tcBorders>
          </w:tcPr>
          <w:p>
            <w:pPr>
              <w:keepNext/>
              <w:pageBreakBefore w:val="0"/>
            </w:pPr>
          </w:p>
        </w:tc>
        <w:tc>
          <w:tcPr>
            <w:tcW w:w="555" w:type="dxa"/>
            <w:vMerge/>
            <w:tcBorders>
              <w:top w:val="nil"/>
              <w:left w:val="single" w:sz="4" w:space="0" w:color="FFFFFF"/>
              <w:bottom w:val="nil"/>
              <w:right w:val="nil"/>
            </w:tcBorders>
          </w:tcPr>
          <w:p>
            <w:pPr>
              <w:keepNext/>
              <w:pageBreakBefore w:val="0"/>
            </w:pPr>
          </w:p>
        </w:tc>
        <w:tc>
          <w:tcPr>
            <w:tcW w:w="52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directorio</w:t>
            </w:r>
          </w:p>
        </w:tc>
        <w:tc>
          <w:tcPr>
            <w:tcW w:w="52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directores</w:t>
            </w:r>
          </w:p>
        </w:tc>
        <w:tc>
          <w:tcPr>
            <w:tcW w:w="64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utilidades</w:t>
            </w:r>
          </w:p>
        </w:tc>
        <w:tc>
          <w:tcPr>
            <w:tcW w:w="52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directorio</w:t>
            </w:r>
          </w:p>
        </w:tc>
        <w:tc>
          <w:tcPr>
            <w:tcW w:w="52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directores</w:t>
            </w:r>
          </w:p>
        </w:tc>
        <w:tc>
          <w:tcPr>
            <w:tcW w:w="64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utilidades</w:t>
            </w:r>
          </w:p>
        </w:tc>
        <w:tc>
          <w:tcPr>
            <w:tcW w:w="525" w:type="dxa"/>
            <w:tcBorders>
              <w:top w:val="nil"/>
              <w:left w:val="single" w:sz="2" w:space="0" w:color="000000"/>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directorio</w:t>
            </w:r>
          </w:p>
        </w:tc>
        <w:tc>
          <w:tcPr>
            <w:tcW w:w="525"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directores</w:t>
            </w:r>
          </w:p>
        </w:tc>
        <w:tc>
          <w:tcPr>
            <w:tcW w:w="645"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utilidades</w:t>
            </w:r>
          </w:p>
        </w:tc>
        <w:tc>
          <w:tcPr>
            <w:tcW w:w="525"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directorio</w:t>
            </w:r>
          </w:p>
        </w:tc>
        <w:tc>
          <w:tcPr>
            <w:tcW w:w="525"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directores</w:t>
            </w:r>
          </w:p>
        </w:tc>
        <w:tc>
          <w:tcPr>
            <w:tcW w:w="645" w:type="dxa"/>
            <w:tcBorders>
              <w:top w:val="nil"/>
              <w:left w:val="single" w:sz="8" w:space="0" w:color="FFFFFF"/>
              <w:bottom w:val="nil"/>
              <w:right w:val="single" w:sz="2" w:space="0" w:color="000000"/>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0"/>
                <w:u w:val="none"/>
              </w:rPr>
              <w:t>utilidades</w:t>
            </w:r>
          </w:p>
        </w:tc>
      </w:tr>
      <w:tr>
        <w:tblPrEx>
          <w:tblW w:w="8400" w:type="dxa"/>
          <w:tblInd w:w="1559" w:type="dxa"/>
          <w:tblLayout w:type="fixed"/>
        </w:tblPrEx>
        <w:trPr>
          <w:cantSplit/>
          <w:trHeight w:hRule="auto" w:val="0"/>
        </w:trPr>
        <w:tc>
          <w:tcPr>
            <w:tcW w:w="1065" w:type="dxa"/>
            <w:vMerge/>
            <w:tcBorders>
              <w:top w:val="nil"/>
              <w:left w:val="single" w:sz="2" w:space="0" w:color="000000"/>
              <w:bottom w:val="single" w:sz="2" w:space="0" w:color="000000"/>
              <w:right w:val="nil"/>
            </w:tcBorders>
          </w:tcPr>
          <w:p>
            <w:pPr>
              <w:keepNext/>
              <w:pageBreakBefore w:val="0"/>
            </w:pPr>
          </w:p>
        </w:tc>
        <w:tc>
          <w:tcPr>
            <w:tcW w:w="555" w:type="dxa"/>
            <w:vMerge/>
            <w:tcBorders>
              <w:top w:val="nil"/>
              <w:left w:val="single" w:sz="4" w:space="0" w:color="FFFFFF"/>
              <w:bottom w:val="single" w:sz="2" w:space="0" w:color="000000"/>
              <w:right w:val="nil"/>
            </w:tcBorders>
          </w:tcPr>
          <w:p>
            <w:pPr>
              <w:keepNext/>
              <w:pageBreakBefore w:val="0"/>
            </w:pP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52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525"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525"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525"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64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r>
      <w:tr>
        <w:tblPrEx>
          <w:tblW w:w="8400" w:type="dxa"/>
          <w:tblInd w:w="1559"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 xml:space="preserve"> Jorge Jordan Franulic </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Presidente</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4.773</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28.252</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13.999</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30.250</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7.047</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9.075</w:t>
            </w:r>
          </w:p>
        </w:tc>
      </w:tr>
      <w:tr>
        <w:tblPrEx>
          <w:tblW w:w="8400" w:type="dxa"/>
          <w:tblInd w:w="1559"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 xml:space="preserve"> Edilia Mancilla Caro </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Ex-Director</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1.355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4.064</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4.647</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2.287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18.653</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1.171</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1.512</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4.537</w:t>
            </w:r>
          </w:p>
        </w:tc>
      </w:tr>
      <w:tr>
        <w:tblPrEx>
          <w:tblW w:w="8400" w:type="dxa"/>
          <w:tblInd w:w="1559"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 xml:space="preserve"> Heraldo Caro Torres </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Director</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5.969</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4.151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10.062</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3.524</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nil"/>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nil"/>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nil"/>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525" w:type="dxa"/>
            <w:tcBorders>
              <w:top w:val="single" w:sz="2" w:space="0" w:color="000000"/>
              <w:left w:val="single" w:sz="2" w:space="0" w:color="000000"/>
              <w:bottom w:val="nil"/>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3.524</w:t>
            </w:r>
          </w:p>
        </w:tc>
        <w:tc>
          <w:tcPr>
            <w:tcW w:w="525" w:type="dxa"/>
            <w:tcBorders>
              <w:top w:val="single" w:sz="2" w:space="0" w:color="000000"/>
              <w:left w:val="single" w:sz="2" w:space="0" w:color="000000"/>
              <w:bottom w:val="nil"/>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645" w:type="dxa"/>
            <w:tcBorders>
              <w:top w:val="single" w:sz="2" w:space="0" w:color="000000"/>
              <w:left w:val="single" w:sz="2" w:space="0" w:color="000000"/>
              <w:bottom w:val="nil"/>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400" w:type="dxa"/>
          <w:tblInd w:w="1559" w:type="dxa"/>
          <w:tblLayout w:type="fixed"/>
        </w:tblPrEx>
        <w:trPr>
          <w:cantSplit/>
          <w:trHeight w:hRule="auto" w:val="0"/>
        </w:trPr>
        <w:tc>
          <w:tcPr>
            <w:tcW w:w="162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5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10.742</w:t>
            </w:r>
          </w:p>
        </w:tc>
        <w:tc>
          <w:tcPr>
            <w:tcW w:w="5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5.506</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42.378</w:t>
            </w:r>
          </w:p>
        </w:tc>
        <w:tc>
          <w:tcPr>
            <w:tcW w:w="5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22.170</w:t>
            </w:r>
          </w:p>
        </w:tc>
        <w:tc>
          <w:tcPr>
            <w:tcW w:w="5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2.287</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48.903</w:t>
            </w:r>
          </w:p>
        </w:tc>
        <w:tc>
          <w:tcPr>
            <w:tcW w:w="525" w:type="dxa"/>
            <w:tcBorders>
              <w:top w:val="nil"/>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525" w:type="dxa"/>
            <w:tcBorders>
              <w:top w:val="nil"/>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645" w:type="dxa"/>
            <w:tcBorders>
              <w:top w:val="nil"/>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525" w:type="dxa"/>
            <w:tcBorders>
              <w:top w:val="nil"/>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11.742</w:t>
            </w:r>
          </w:p>
        </w:tc>
        <w:tc>
          <w:tcPr>
            <w:tcW w:w="525" w:type="dxa"/>
            <w:tcBorders>
              <w:top w:val="nil"/>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1.512</w:t>
            </w:r>
          </w:p>
        </w:tc>
        <w:tc>
          <w:tcPr>
            <w:tcW w:w="645" w:type="dxa"/>
            <w:tcBorders>
              <w:top w:val="nil"/>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13.612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se han pagado remuneraciones a los directores que representan al controlador, por renuncia expresa de éstos.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remuneraciones con cargo a resultado del equipo gerencial de la sociedad asciende a M$ </w:t>
      </w:r>
      <w:r>
        <w:rPr>
          <w:rFonts w:ascii="Calibri" w:eastAsia="Calibri" w:hAnsi="Calibri" w:cs="Calibri"/>
          <w:b w:val="0"/>
          <w:i w:val="0"/>
          <w:color w:val="000000"/>
          <w:sz w:val="20"/>
          <w:u w:val="none"/>
        </w:rPr>
        <w:t>82.270</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161.014</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establecido, para sus ejecutivos, un plan de incentivo por cumplimiento de objetivos individuales de aportación a los resultados de la sociedad, estos incentivos están estructurados en un mínimo y máximo de remuneraciones brutas y son canceladas una vez al año.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30"/>
          <w:footerReference w:type="default" r:id="rId31"/>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11" w:name="Section60"/>
      <w:bookmarkEnd w:id="111"/>
      <w:bookmarkStart w:id="112" w:name="593d3750963143719a8c6465af4cddad"/>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112"/>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inventarios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Suministros para la producción.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3.970.070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Suministros para mantención.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482.527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4.452.597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hay inventarios pignorados en garantía del cumplimiento de deudas contraídas.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113" w:name="Section61"/>
      <w:bookmarkEnd w:id="113"/>
      <w:bookmarkStart w:id="114" w:name="2c70723c72184048b7a071452e769d1b"/>
      <w:r>
        <w:rPr>
          <w:rFonts w:ascii="Calibri" w:eastAsia="Calibri" w:hAnsi="Calibri" w:cs="Calibri"/>
          <w:b/>
          <w:i w:val="0"/>
          <w:color w:val="000000"/>
          <w:sz w:val="20"/>
          <w:u w:val="none"/>
        </w:rPr>
        <w:t>10.1.-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adicional de inventarios.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4"/>
    </w:p>
    <w:tbl>
      <w:tblPr>
        <w:tblW w:w="85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45"/>
        <w:gridCol w:w="1005"/>
        <w:gridCol w:w="1005"/>
        <w:gridCol w:w="1005"/>
        <w:gridCol w:w="1005"/>
      </w:tblGrid>
      <w:tr>
        <w:tblPrEx>
          <w:tblW w:w="8565" w:type="dxa"/>
          <w:tblInd w:w="1417" w:type="dxa"/>
          <w:tblLayout w:type="fixed"/>
        </w:tblPrEx>
        <w:trPr>
          <w:cantSplit/>
          <w:trHeight w:hRule="auto" w:val="0"/>
        </w:trPr>
        <w:tc>
          <w:tcPr>
            <w:tcW w:w="45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 información de inventarios</w:t>
            </w:r>
          </w:p>
        </w:tc>
        <w:tc>
          <w:tcPr>
            <w:tcW w:w="4020" w:type="dxa"/>
            <w:gridSpan w:val="4"/>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8565" w:type="dxa"/>
          <w:tblInd w:w="1417" w:type="dxa"/>
          <w:tblLayout w:type="fixed"/>
        </w:tblPrEx>
        <w:trPr>
          <w:cantSplit/>
          <w:trHeight w:hRule="auto" w:val="0"/>
        </w:trPr>
        <w:tc>
          <w:tcPr>
            <w:tcW w:w="4545" w:type="dxa"/>
            <w:vMerge/>
            <w:tcBorders>
              <w:top w:val="nil"/>
              <w:left w:val="single" w:sz="2" w:space="0" w:color="000000"/>
              <w:bottom w:val="nil"/>
              <w:right w:val="nil"/>
            </w:tcBorders>
          </w:tcPr>
          <w:p>
            <w:pPr>
              <w:keepNext/>
              <w:pageBreakBefore w:val="0"/>
            </w:pPr>
          </w:p>
        </w:tc>
        <w:tc>
          <w:tcPr>
            <w:tcW w:w="1005" w:type="dxa"/>
            <w:tcBorders>
              <w:top w:val="single" w:sz="8"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01-01-2026</w:t>
            </w:r>
          </w:p>
        </w:tc>
        <w:tc>
          <w:tcPr>
            <w:tcW w:w="1005" w:type="dxa"/>
            <w:tcBorders>
              <w:top w:val="single" w:sz="8"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01-01-2025</w:t>
            </w:r>
          </w:p>
        </w:tc>
        <w:tc>
          <w:tcPr>
            <w:tcW w:w="1005" w:type="dxa"/>
            <w:tcBorders>
              <w:top w:val="single" w:sz="8"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01-04-2026</w:t>
            </w:r>
          </w:p>
        </w:tc>
        <w:tc>
          <w:tcPr>
            <w:tcW w:w="1005" w:type="dxa"/>
            <w:tcBorders>
              <w:top w:val="single" w:sz="8"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01-04-2025</w:t>
            </w:r>
          </w:p>
        </w:tc>
      </w:tr>
      <w:tr>
        <w:tblPrEx>
          <w:tblW w:w="8565" w:type="dxa"/>
          <w:tblInd w:w="1417" w:type="dxa"/>
          <w:tblLayout w:type="fixed"/>
        </w:tblPrEx>
        <w:trPr>
          <w:cantSplit/>
          <w:trHeight w:hRule="auto" w:val="0"/>
        </w:trPr>
        <w:tc>
          <w:tcPr>
            <w:tcW w:w="45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65" w:type="dxa"/>
          <w:tblInd w:w="1417" w:type="dxa"/>
          <w:tblLayout w:type="fixed"/>
        </w:tblPrEx>
        <w:trPr>
          <w:cantSplit/>
          <w:trHeight w:hRule="auto" w:val="0"/>
        </w:trPr>
        <w:tc>
          <w:tcPr>
            <w:tcW w:w="45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65" w:type="dxa"/>
          <w:tblInd w:w="1417" w:type="dxa"/>
          <w:tblLayout w:type="fixed"/>
        </w:tblPrEx>
        <w:trPr>
          <w:cantSplit/>
          <w:trHeight w:hRule="auto" w:val="0"/>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Costos de inventarios reconocidos como gastos durante 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(1.184.925)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(2.192.533)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(915.167)</w:t>
            </w:r>
          </w:p>
        </w:tc>
      </w:tr>
    </w:tbl>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reversiones de la provisión de deterioro, en caso de existir, están dadas por liquidaciones de inventarios y reversos de la provisión dado por el incremento en el valor neto realizable.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val="0"/>
        <w:keepLines/>
        <w:pageBreakBefore w:val="0"/>
        <w:widowControl w:val="0"/>
        <w:numPr>
          <w:ilvl w:val="0"/>
          <w:numId w:val="0"/>
        </w:numPr>
        <w:spacing w:before="0" w:after="0" w:line="288" w:lineRule="auto"/>
        <w:ind w:left="0" w:right="0" w:firstLine="0"/>
        <w:jc w:val="left"/>
        <w:outlineLvl w:val="0"/>
        <w:rPr>
          <w:rFonts w:ascii="Calibri" w:eastAsia="Calibri" w:hAnsi="Calibri" w:cs="Calibri"/>
          <w:b/>
          <w:i w:val="0"/>
          <w:color w:val="000000"/>
          <w:sz w:val="20"/>
          <w:u w:val="none"/>
        </w:rPr>
      </w:pPr>
      <w:bookmarkStart w:id="115" w:name="Section62"/>
      <w:bookmarkEnd w:id="115"/>
      <w:bookmarkStart w:id="116" w:name="50c424a0aeef4073aad6fbdfd821eb50"/>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6"/>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900"/>
        <w:gridCol w:w="900"/>
        <w:gridCol w:w="900"/>
        <w:gridCol w:w="900"/>
      </w:tblGrid>
      <w:tr>
        <w:tblPrEx>
          <w:tblW w:w="9255" w:type="dxa"/>
          <w:tblInd w:w="709" w:type="dxa"/>
          <w:tblLayout w:type="fixed"/>
        </w:tblPrEx>
        <w:trPr>
          <w:cantSplit/>
          <w:trHeight w:hRule="auto" w:val="0"/>
        </w:trPr>
        <w:tc>
          <w:tcPr>
            <w:tcW w:w="56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 por impuestos</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92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92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exact" w:val="6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por impuestos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Pagos provisionales mensuales.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628.330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Impuestos por recuperar ejercicios anteriores.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45.404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Créditos al impuesto.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34.000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Incentivo al desarrollo regiones extremas.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1.133.941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Subtotal activos por impuestos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1.841.675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92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25"/>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por impuestos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Impuesto a la renta de primera categoría.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(1.141.313)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Subtotal pasivos por impuestos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(1.141.313)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92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25"/>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activos (pasivos) por impuestos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700.362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17" w:name="Section63"/>
      <w:bookmarkEnd w:id="117"/>
      <w:bookmarkStart w:id="118" w:name="51d25d4a02bf44fd883de9b9830e2581"/>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18"/>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900"/>
        <w:gridCol w:w="900"/>
        <w:gridCol w:w="900"/>
        <w:gridCol w:w="900"/>
      </w:tblGrid>
      <w:tr>
        <w:tblPrEx>
          <w:tblW w:w="9255" w:type="dxa"/>
          <w:tblInd w:w="709" w:type="dxa"/>
          <w:tblLayout w:type="fixed"/>
        </w:tblPrEx>
        <w:trPr>
          <w:cantSplit/>
          <w:trHeight w:hRule="auto" w:val="0"/>
        </w:trPr>
        <w:tc>
          <w:tcPr>
            <w:tcW w:w="56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162.525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162.525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los gastos pagados por anticipados corresponden a pólizas de seguros anticipadas.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19" w:name="Section64"/>
      <w:bookmarkEnd w:id="119"/>
      <w:bookmarkStart w:id="120" w:name="37d1ee5a2908404d822923c9fb0d620c"/>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 DE LA PLUSVALÍA.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0"/>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1" w:name="Section65"/>
      <w:bookmarkEnd w:id="121"/>
      <w:bookmarkStart w:id="122" w:name="fa96b4de85954470bd6577bb629d52ea"/>
      <w:r>
        <w:rPr>
          <w:rFonts w:ascii="Calibri" w:eastAsia="Calibri" w:hAnsi="Calibri" w:cs="Calibri"/>
          <w:b/>
          <w:i w:val="0"/>
          <w:color w:val="000000"/>
          <w:sz w:val="20"/>
          <w:u w:val="none"/>
        </w:rPr>
        <w:t>13.1.-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los activos intangibles.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Este rubro está compuesto principalmente por servidumbres de paso y software computacionales. Su detalle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rPr>
        <w:tc>
          <w:tcPr>
            <w:tcW w:w="55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55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55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rPr>
        <w:tc>
          <w:tcPr>
            <w:tcW w:w="55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55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55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329.542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(179.881)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149.661</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18.384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18.384</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347.925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(179.881)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168.045</w:t>
            </w:r>
          </w:p>
        </w:tc>
      </w:tr>
    </w:tbl>
    <w:p>
      <w:pPr>
        <w:keepNext w:val="0"/>
        <w:keepLines/>
        <w:pageBreakBefore w:val="0"/>
        <w:widowControl w:val="0"/>
        <w:numPr>
          <w:ilvl w:val="0"/>
          <w:numId w:val="0"/>
        </w:numPr>
        <w:spacing w:before="0" w:after="0" w:line="288" w:lineRule="auto"/>
        <w:ind w:left="707"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otros activos intangibles identificables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se encuentra en nota 13.1.1.-</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amortización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alcanza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w:t>
      </w:r>
      <w:r>
        <w:rPr>
          <w:rFonts w:ascii="Calibri" w:eastAsia="Calibri" w:hAnsi="Calibri" w:cs="Calibri"/>
          <w:b w:val="0"/>
          <w:i w:val="0"/>
          <w:color w:val="FFFFFF"/>
          <w:sz w:val="20"/>
          <w:u w:val="none"/>
        </w:rPr>
        <w:t>_</w:t>
      </w:r>
      <w:r>
        <w:rPr>
          <w:rFonts w:ascii="Calibri" w:eastAsia="Calibri" w:hAnsi="Calibri" w:cs="Calibri"/>
          <w:b w:val="0"/>
          <w:i w:val="0"/>
          <w:color w:val="000000"/>
          <w:sz w:val="20"/>
          <w:u w:val="none"/>
        </w:rPr>
        <w:t>179.881</w:t>
      </w:r>
      <w:r>
        <w:rPr>
          <w:rFonts w:ascii="Calibri" w:eastAsia="Calibri" w:hAnsi="Calibri" w:cs="Calibri"/>
          <w:b w:val="0"/>
          <w:i w:val="0"/>
          <w:color w:val="000000"/>
          <w:sz w:val="20"/>
          <w:u w:val="none"/>
        </w:rPr>
        <w:t xml:space="preserve">, respectivamente, la que corresponde a los activos intangibles distintos a la plusvalía con vida útil finita. </w:t>
      </w:r>
      <w:r>
        <w:rPr>
          <w:rFonts w:ascii="Calibri" w:eastAsia="Calibri" w:hAnsi="Calibri" w:cs="Calibri"/>
          <w:b w:val="0"/>
          <w:i w:val="0"/>
          <w:color w:val="000000"/>
          <w:sz w:val="20"/>
          <w:u w:val="none"/>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vidas útiles aplicadas en el rubro Intangibles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60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05"/>
        <w:gridCol w:w="1200"/>
        <w:gridCol w:w="1200"/>
        <w:gridCol w:w="1200"/>
      </w:tblGrid>
      <w:tr>
        <w:tblPrEx>
          <w:tblW w:w="7605"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Vidas útiles estimadas o tasas de amortización utilizadas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 tasa</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Mínima</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Máxima</w:t>
            </w:r>
          </w:p>
        </w:tc>
      </w:tr>
      <w:tr>
        <w:tblPrEx>
          <w:tblW w:w="7605"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5</w:t>
            </w:r>
          </w:p>
        </w:tc>
      </w:tr>
      <w:tr>
        <w:tblPrEx>
          <w:tblW w:w="7605" w:type="dxa"/>
          <w:tblInd w:w="1417" w:type="dxa"/>
          <w:tblLayout w:type="fixed"/>
        </w:tblPrEx>
        <w:trPr>
          <w:cantSplit/>
          <w:trHeight w:hRule="auto" w:val="0"/>
        </w:trPr>
        <w:tc>
          <w:tcPr>
            <w:tcW w:w="4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intangibles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Programas informáticos, neto</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intangibles identificables, neto</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 identificables, neto</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149.661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168.045</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Incrementos distintos de los procedentes de combinaciones de negocios.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Retiros de servicio.</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p>
        </w:tc>
        <w:tc>
          <w:tcPr>
            <w:tcW w:w="1200" w:type="dxa"/>
            <w:tcBorders>
              <w:top w:val="single" w:sz="4" w:space="0" w:color="FFFFFF"/>
              <w:left w:val="single" w:sz="2" w:space="0" w:color="000000"/>
              <w:bottom w:val="single" w:sz="8"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6"/>
                <w:u w:val="none"/>
              </w:rPr>
              <w:t>(35.908)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200" w:type="dxa"/>
            <w:tcBorders>
              <w:top w:val="single" w:sz="8"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(35.908)</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(35.908)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(35.908)</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final al 30 de junio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113.753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132.137</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Programas informáticos, neto</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intangibles identificables, neto</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 identificables, neto</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37.335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55.719</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8" w:space="0" w:color="FFFFFF"/>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Incrementos distintos de los procedentes de combinaciones de negocios.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6"/>
                <w:u w:val="none"/>
              </w:rPr>
              <w:t>210.354</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p>
        </w:tc>
        <w:tc>
          <w:tcPr>
            <w:tcW w:w="1200" w:type="dxa"/>
            <w:tcBorders>
              <w:top w:val="single" w:sz="8" w:space="0" w:color="FFFFFF"/>
              <w:left w:val="single" w:sz="2" w:space="0" w:color="000000"/>
              <w:bottom w:val="single" w:sz="8" w:space="0" w:color="FFFFFF"/>
              <w:right w:val="single" w:sz="8" w:space="0" w:color="D9D9D9"/>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210.354</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6"/>
                <w:u w:val="none"/>
              </w:rPr>
              <w:t>(98.028)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200" w:type="dxa"/>
            <w:tcBorders>
              <w:top w:val="single" w:sz="8" w:space="0" w:color="FFFFFF"/>
              <w:left w:val="single" w:sz="2" w:space="0" w:color="000000"/>
              <w:bottom w:val="single" w:sz="8" w:space="0" w:color="FFFFFF"/>
              <w:right w:val="single" w:sz="8" w:space="0" w:color="D9D9D9"/>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(98.028)</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8" w:space="0" w:color="FFFFFF"/>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112.326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112.326</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final al 31 de diciembre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149.661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18.384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168.045</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El detalle del importe de activos intangibles identificables individuales significativos y su vida útil o periodo de amortización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3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90"/>
        <w:gridCol w:w="1500"/>
        <w:gridCol w:w="2940"/>
      </w:tblGrid>
      <w:tr>
        <w:tblPrEx>
          <w:tblW w:w="7830" w:type="dxa"/>
          <w:tblInd w:w="2126" w:type="dxa"/>
          <w:tblLayout w:type="fixed"/>
        </w:tblPrEx>
        <w:trPr>
          <w:cantSplit/>
          <w:trHeight w:hRule="auto" w:val="0"/>
        </w:trPr>
        <w:tc>
          <w:tcPr>
            <w:tcW w:w="3390"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de otros activos identificables al</w:t>
            </w:r>
          </w:p>
        </w:tc>
        <w:tc>
          <w:tcPr>
            <w:tcW w:w="1500" w:type="dxa"/>
            <w:vMerge w:val="restart"/>
            <w:tcBorders>
              <w:top w:val="single" w:sz="2" w:space="0" w:color="000000"/>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Importe en libros de activo individual intangible significativo</w:t>
            </w:r>
          </w:p>
        </w:tc>
        <w:tc>
          <w:tcPr>
            <w:tcW w:w="294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Explicación del período o ejercicio de amortización restante de activo intangible individual identificable significativo</w:t>
            </w:r>
          </w:p>
        </w:tc>
      </w:tr>
      <w:tr>
        <w:tblPrEx>
          <w:tblW w:w="7830" w:type="dxa"/>
          <w:tblInd w:w="2126" w:type="dxa"/>
          <w:tblLayout w:type="fixed"/>
        </w:tblPrEx>
        <w:trPr>
          <w:cantSplit/>
          <w:trHeight w:hRule="auto" w:val="0"/>
        </w:trPr>
        <w:tc>
          <w:tcPr>
            <w:tcW w:w="339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500" w:type="dxa"/>
            <w:vMerge/>
            <w:tcBorders>
              <w:top w:val="nil"/>
              <w:left w:val="nil"/>
              <w:bottom w:val="nil"/>
              <w:right w:val="nil"/>
            </w:tcBorders>
          </w:tcPr>
          <w:p>
            <w:pPr>
              <w:keepNext/>
              <w:pageBreakBefore w:val="0"/>
            </w:pPr>
          </w:p>
        </w:tc>
        <w:tc>
          <w:tcPr>
            <w:tcW w:w="2940" w:type="dxa"/>
            <w:vMerge/>
            <w:tcBorders>
              <w:top w:val="nil"/>
              <w:left w:val="single" w:sz="4" w:space="0" w:color="FFFFFF"/>
              <w:bottom w:val="nil"/>
              <w:right w:val="single" w:sz="2" w:space="0" w:color="000000"/>
            </w:tcBorders>
          </w:tcPr>
          <w:p>
            <w:pPr>
              <w:keepNext/>
              <w:pageBreakBefore w:val="0"/>
            </w:pPr>
          </w:p>
        </w:tc>
      </w:tr>
      <w:tr>
        <w:tblPrEx>
          <w:tblW w:w="7830" w:type="dxa"/>
          <w:tblInd w:w="2126" w:type="dxa"/>
          <w:tblLayout w:type="fixed"/>
        </w:tblPrEx>
        <w:trPr>
          <w:cantSplit/>
          <w:trHeight w:hRule="auto" w:val="0"/>
        </w:trPr>
        <w:tc>
          <w:tcPr>
            <w:tcW w:w="3390" w:type="dxa"/>
            <w:vMerge/>
            <w:tcBorders>
              <w:top w:val="nil"/>
              <w:left w:val="single" w:sz="2" w:space="0" w:color="000000"/>
              <w:bottom w:val="single" w:sz="2" w:space="0" w:color="000000"/>
              <w:right w:val="nil"/>
            </w:tcBorders>
          </w:tcPr>
          <w:p>
            <w:pPr>
              <w:keepNext/>
              <w:pageBreakBefore w:val="0"/>
            </w:pPr>
          </w:p>
        </w:tc>
        <w:tc>
          <w:tcPr>
            <w:tcW w:w="15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2940" w:type="dxa"/>
            <w:vMerge/>
            <w:tcBorders>
              <w:top w:val="nil"/>
              <w:left w:val="single" w:sz="4" w:space="0" w:color="FFFFFF"/>
              <w:bottom w:val="single" w:sz="2" w:space="0" w:color="000000"/>
              <w:right w:val="single" w:sz="2" w:space="0" w:color="000000"/>
            </w:tcBorders>
          </w:tcPr>
          <w:p>
            <w:pPr>
              <w:keepNext/>
              <w:pageBreakBefore w:val="0"/>
            </w:pPr>
          </w:p>
        </w:tc>
      </w:tr>
      <w:tr>
        <w:tblPrEx>
          <w:tblW w:w="7830" w:type="dxa"/>
          <w:tblInd w:w="2126" w:type="dxa"/>
          <w:tblLayout w:type="fixed"/>
        </w:tblPrEx>
        <w:trPr>
          <w:cantSplit/>
          <w:trHeight w:hRule="auto" w:val="0"/>
        </w:trPr>
        <w:tc>
          <w:tcPr>
            <w:tcW w:w="3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Servidumbres. </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18.384</w:t>
            </w:r>
          </w:p>
        </w:tc>
        <w:tc>
          <w:tcPr>
            <w:tcW w:w="294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Indefinida</w:t>
            </w:r>
          </w:p>
        </w:tc>
      </w:tr>
      <w:tr>
        <w:tblPrEx>
          <w:tblW w:w="7830" w:type="dxa"/>
          <w:tblInd w:w="2126" w:type="dxa"/>
          <w:tblLayout w:type="fixed"/>
        </w:tblPrEx>
        <w:trPr>
          <w:cantSplit/>
          <w:trHeight w:hRule="auto" w:val="0"/>
        </w:trPr>
        <w:tc>
          <w:tcPr>
            <w:tcW w:w="3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15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18.384</w:t>
            </w:r>
          </w:p>
        </w:tc>
        <w:tc>
          <w:tcPr>
            <w:tcW w:w="294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3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90"/>
        <w:gridCol w:w="1500"/>
        <w:gridCol w:w="2940"/>
      </w:tblGrid>
      <w:tr>
        <w:tblPrEx>
          <w:tblW w:w="7830" w:type="dxa"/>
          <w:tblInd w:w="2126" w:type="dxa"/>
          <w:tblLayout w:type="fixed"/>
        </w:tblPrEx>
        <w:trPr>
          <w:cantSplit/>
          <w:trHeight w:hRule="auto" w:val="0"/>
        </w:trPr>
        <w:tc>
          <w:tcPr>
            <w:tcW w:w="3390"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de otros activos identificables al</w:t>
            </w:r>
          </w:p>
        </w:tc>
        <w:tc>
          <w:tcPr>
            <w:tcW w:w="1500" w:type="dxa"/>
            <w:vMerge w:val="restart"/>
            <w:tcBorders>
              <w:top w:val="single" w:sz="2" w:space="0" w:color="000000"/>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Importe en libros de activo individual intangible significativo</w:t>
            </w:r>
          </w:p>
        </w:tc>
        <w:tc>
          <w:tcPr>
            <w:tcW w:w="294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Explicación del período o ejercicio de amortización restante de activo intangible individual identificable significativo</w:t>
            </w:r>
          </w:p>
        </w:tc>
      </w:tr>
      <w:tr>
        <w:tblPrEx>
          <w:tblW w:w="7830" w:type="dxa"/>
          <w:tblInd w:w="2126" w:type="dxa"/>
          <w:tblLayout w:type="fixed"/>
        </w:tblPrEx>
        <w:trPr>
          <w:cantSplit/>
          <w:trHeight w:hRule="auto" w:val="0"/>
        </w:trPr>
        <w:tc>
          <w:tcPr>
            <w:tcW w:w="339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500" w:type="dxa"/>
            <w:vMerge/>
            <w:tcBorders>
              <w:top w:val="nil"/>
              <w:left w:val="nil"/>
              <w:bottom w:val="nil"/>
              <w:right w:val="nil"/>
            </w:tcBorders>
          </w:tcPr>
          <w:p>
            <w:pPr>
              <w:keepNext/>
              <w:pageBreakBefore w:val="0"/>
            </w:pPr>
          </w:p>
        </w:tc>
        <w:tc>
          <w:tcPr>
            <w:tcW w:w="2940" w:type="dxa"/>
            <w:vMerge/>
            <w:tcBorders>
              <w:top w:val="nil"/>
              <w:left w:val="single" w:sz="4" w:space="0" w:color="FFFFFF"/>
              <w:bottom w:val="nil"/>
              <w:right w:val="single" w:sz="2" w:space="0" w:color="000000"/>
            </w:tcBorders>
          </w:tcPr>
          <w:p>
            <w:pPr>
              <w:keepNext/>
              <w:pageBreakBefore w:val="0"/>
            </w:pPr>
          </w:p>
        </w:tc>
      </w:tr>
      <w:tr>
        <w:tblPrEx>
          <w:tblW w:w="7830" w:type="dxa"/>
          <w:tblInd w:w="2126" w:type="dxa"/>
          <w:tblLayout w:type="fixed"/>
        </w:tblPrEx>
        <w:trPr>
          <w:cantSplit/>
          <w:trHeight w:hRule="auto" w:val="0"/>
        </w:trPr>
        <w:tc>
          <w:tcPr>
            <w:tcW w:w="3390" w:type="dxa"/>
            <w:vMerge/>
            <w:tcBorders>
              <w:top w:val="nil"/>
              <w:left w:val="single" w:sz="2" w:space="0" w:color="000000"/>
              <w:bottom w:val="single" w:sz="2" w:space="0" w:color="000000"/>
              <w:right w:val="nil"/>
            </w:tcBorders>
          </w:tcPr>
          <w:p>
            <w:pPr>
              <w:keepNext/>
              <w:pageBreakBefore w:val="0"/>
            </w:pPr>
          </w:p>
        </w:tc>
        <w:tc>
          <w:tcPr>
            <w:tcW w:w="15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2940" w:type="dxa"/>
            <w:vMerge/>
            <w:tcBorders>
              <w:top w:val="nil"/>
              <w:left w:val="single" w:sz="4" w:space="0" w:color="FFFFFF"/>
              <w:bottom w:val="single" w:sz="2" w:space="0" w:color="000000"/>
              <w:right w:val="single" w:sz="2" w:space="0" w:color="000000"/>
            </w:tcBorders>
          </w:tcPr>
          <w:p>
            <w:pPr>
              <w:keepNext/>
              <w:pageBreakBefore w:val="0"/>
            </w:pPr>
          </w:p>
        </w:tc>
      </w:tr>
      <w:tr>
        <w:tblPrEx>
          <w:tblW w:w="7830" w:type="dxa"/>
          <w:tblInd w:w="2126" w:type="dxa"/>
          <w:tblLayout w:type="fixed"/>
        </w:tblPrEx>
        <w:trPr>
          <w:cantSplit/>
          <w:trHeight w:hRule="auto" w:val="0"/>
        </w:trPr>
        <w:tc>
          <w:tcPr>
            <w:tcW w:w="3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Servidumbres. </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18.384</w:t>
            </w:r>
          </w:p>
        </w:tc>
        <w:tc>
          <w:tcPr>
            <w:tcW w:w="294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Indefinida</w:t>
            </w:r>
          </w:p>
        </w:tc>
      </w:tr>
      <w:tr>
        <w:tblPrEx>
          <w:tblW w:w="7830" w:type="dxa"/>
          <w:tblInd w:w="2126" w:type="dxa"/>
          <w:tblLayout w:type="fixed"/>
        </w:tblPrEx>
        <w:trPr>
          <w:cantSplit/>
          <w:trHeight w:hRule="auto" w:val="0"/>
        </w:trPr>
        <w:tc>
          <w:tcPr>
            <w:tcW w:w="3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15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18.384</w:t>
            </w:r>
          </w:p>
        </w:tc>
        <w:tc>
          <w:tcPr>
            <w:tcW w:w="294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cargo a resultados del período por amortización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40"/>
        <w:gridCol w:w="1200"/>
        <w:gridCol w:w="1200"/>
        <w:gridCol w:w="1005"/>
        <w:gridCol w:w="1005"/>
      </w:tblGrid>
      <w:tr>
        <w:tblPrEx>
          <w:tblW w:w="8550" w:type="dxa"/>
          <w:tblInd w:w="1417" w:type="dxa"/>
          <w:tblLayout w:type="fixed"/>
        </w:tblPrEx>
        <w:trPr>
          <w:cantSplit/>
          <w:trHeight w:hRule="auto" w:val="0"/>
        </w:trPr>
        <w:tc>
          <w:tcPr>
            <w:tcW w:w="41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Línea de partida en el estado de resultados que incluye amortización de activos intangibles identificables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2"/>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2"/>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2"/>
                <w:u w:val="none"/>
              </w:rPr>
              <w:t>01-04-2026</w:t>
            </w:r>
          </w:p>
        </w:tc>
        <w:tc>
          <w:tcPr>
            <w:tcW w:w="1005" w:type="dxa"/>
            <w:tcBorders>
              <w:top w:val="single" w:sz="2" w:space="0" w:color="000000"/>
              <w:left w:val="single" w:sz="8" w:space="0" w:color="FFFFFF"/>
              <w:bottom w:val="nil"/>
              <w:right w:val="single" w:sz="4"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2"/>
                <w:u w:val="none"/>
              </w:rPr>
              <w:t>01-04-2025</w:t>
            </w:r>
          </w:p>
        </w:tc>
      </w:tr>
      <w:tr>
        <w:tblPrEx>
          <w:tblW w:w="8550" w:type="dxa"/>
          <w:tblInd w:w="1417" w:type="dxa"/>
          <w:tblLayout w:type="fixed"/>
        </w:tblPrEx>
        <w:trPr>
          <w:cantSplit/>
          <w:trHeight w:hRule="auto" w:val="0"/>
        </w:trPr>
        <w:tc>
          <w:tcPr>
            <w:tcW w:w="41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30-06-2026</w:t>
            </w:r>
          </w:p>
        </w:tc>
        <w:tc>
          <w:tcPr>
            <w:tcW w:w="1200" w:type="dxa"/>
            <w:tcBorders>
              <w:top w:val="nil"/>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30-06-2025</w:t>
            </w:r>
          </w:p>
        </w:tc>
        <w:tc>
          <w:tcPr>
            <w:tcW w:w="1005" w:type="dxa"/>
            <w:tcBorders>
              <w:top w:val="nil"/>
              <w:left w:val="single" w:sz="2" w:space="0" w:color="000000"/>
              <w:bottom w:val="single" w:sz="8"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30-06-2026</w:t>
            </w:r>
          </w:p>
        </w:tc>
        <w:tc>
          <w:tcPr>
            <w:tcW w:w="1005" w:type="dxa"/>
            <w:tcBorders>
              <w:top w:val="nil"/>
              <w:left w:val="single" w:sz="8" w:space="0" w:color="FFFFFF"/>
              <w:bottom w:val="single" w:sz="8" w:space="0" w:color="FFFFFF"/>
              <w:right w:val="single" w:sz="4"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30-06-2025</w:t>
            </w:r>
          </w:p>
        </w:tc>
      </w:tr>
      <w:tr>
        <w:tblPrEx>
          <w:tblW w:w="8550" w:type="dxa"/>
          <w:tblInd w:w="1417" w:type="dxa"/>
          <w:tblLayout w:type="fixed"/>
        </w:tblPrEx>
        <w:trPr>
          <w:cantSplit/>
          <w:trHeight w:hRule="auto" w:val="0"/>
        </w:trPr>
        <w:tc>
          <w:tcPr>
            <w:tcW w:w="414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2"/>
                <w:u w:val="none"/>
              </w:rPr>
              <w:t>Programas informáticos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2"/>
                <w:u w:val="none"/>
              </w:rPr>
              <w:t>Programas informáticos</w:t>
            </w:r>
          </w:p>
        </w:tc>
        <w:tc>
          <w:tcPr>
            <w:tcW w:w="1005" w:type="dxa"/>
            <w:tcBorders>
              <w:top w:val="single" w:sz="8" w:space="0" w:color="FFFFFF"/>
              <w:left w:val="single" w:sz="2" w:space="0" w:color="000000"/>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2"/>
                <w:u w:val="none"/>
              </w:rPr>
              <w:t>Programas informáticos</w:t>
            </w:r>
          </w:p>
        </w:tc>
        <w:tc>
          <w:tcPr>
            <w:tcW w:w="1005" w:type="dxa"/>
            <w:tcBorders>
              <w:top w:val="single" w:sz="8" w:space="0" w:color="FFFFFF"/>
              <w:left w:val="single" w:sz="8" w:space="0" w:color="FFFFFF"/>
              <w:bottom w:val="nil"/>
              <w:right w:val="single" w:sz="4"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2"/>
                <w:u w:val="none"/>
              </w:rPr>
              <w:t>Programas informáticos</w:t>
            </w:r>
          </w:p>
        </w:tc>
      </w:tr>
      <w:tr>
        <w:tblPrEx>
          <w:tblW w:w="8550" w:type="dxa"/>
          <w:tblInd w:w="1417" w:type="dxa"/>
          <w:tblLayout w:type="fixed"/>
        </w:tblPrEx>
        <w:trPr>
          <w:cantSplit/>
          <w:trHeight w:hRule="auto" w:val="0"/>
        </w:trPr>
        <w:tc>
          <w:tcPr>
            <w:tcW w:w="41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M$</w:t>
            </w:r>
          </w:p>
        </w:tc>
        <w:tc>
          <w:tcPr>
            <w:tcW w:w="1005" w:type="dxa"/>
            <w:tcBorders>
              <w:top w:val="nil"/>
              <w:left w:val="single" w:sz="8" w:space="0" w:color="FFFFFF"/>
              <w:bottom w:val="single" w:sz="2" w:space="0" w:color="000000"/>
              <w:right w:val="single" w:sz="4"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35.908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34.843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17.573</w:t>
            </w:r>
          </w:p>
        </w:tc>
      </w:tr>
      <w:tr>
        <w:tblPrEx>
          <w:tblW w:w="855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35.908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34.843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8" w:space="0" w:color="FFFFFF"/>
              <w:bottom w:val="single" w:sz="2" w:space="0" w:color="000000"/>
              <w:right w:val="single" w:sz="4"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17.573</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3" w:name="Section66"/>
      <w:bookmarkEnd w:id="123"/>
      <w:bookmarkStart w:id="124" w:name="85c89c7ce5b2472881b8e7f4a3532936"/>
      <w:r>
        <w:rPr>
          <w:rFonts w:ascii="Calibri" w:eastAsia="Calibri" w:hAnsi="Calibri" w:cs="Calibri"/>
          <w:b/>
          <w:i w:val="0"/>
          <w:color w:val="000000"/>
          <w:sz w:val="20"/>
          <w:u w:val="none"/>
        </w:rPr>
        <w:t>13.2.-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con vida útil indefinida.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4"/>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Servidumbres.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servidumbre se presentan al costo. El periodo de explotación de dichos derechos en general no tiene límite por lo que son considerados activos con una vida útil indefinida, y en consecuencia no están sujetos a amortización.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25" w:name="Section67"/>
      <w:bookmarkEnd w:id="125"/>
      <w:bookmarkStart w:id="126" w:name="15e16c4f513a4244add21b6a8a33ecac"/>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bookmarkEnd w:id="126"/>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y el movimiento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7" w:name="Section68"/>
      <w:bookmarkEnd w:id="127"/>
      <w:bookmarkStart w:id="128" w:name="1a2498dfb2b04cc5884e1dec6b3e781e"/>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las propiedades de inversión.</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2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de inversión, modelo del valor razonable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Propiedades de inversión al comienzo del periodo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1.666.385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369.376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Transferencias de (a) bienes inmuebles ocupados por el propietario.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(60.009)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ajustes del valor razonable.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1.357.018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propiedades de inversión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1.297.009</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Propiedades de inversión al final del periodo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1.666.385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1.666.385</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Los edificios y terrenos de las propiedades de inversión </w:t>
      </w:r>
      <w:r>
        <w:rPr>
          <w:rFonts w:ascii="Calibri" w:eastAsia="Calibri" w:hAnsi="Calibri" w:cs="Calibri"/>
          <w:b w:val="0"/>
          <w:i w:val="0"/>
          <w:color w:val="000000"/>
          <w:sz w:val="20"/>
          <w:u w:val="none"/>
        </w:rPr>
        <w:t xml:space="preserve">han sido contabilizados a valor razonable en el estado de situación financiera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en base a lo previsto en la NIC 40. Dicha metodología aplicada para estos bienes se clasifica en Nivel II de la jerarquía de valor razonable, donde la información proviene de fuentes distintas a los valores de cotización del Nivel de jerarquía I, pero son observables en mercados para los activos y pasivos ya sea de manera directa (precios) o indirecta (obtenidos a partir de precios), ya que debido al método de retasación periódica los valores se obtienen de tasaciones que se llevan a cabo, a base del valor de mercado.</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tasaciones para los efectos de determinar el valor razonable de las propiedades de inversión son evaluadas y efectuadas en forma anual. El valor razonable de las propiedades de inversión fue determinada por peritos externos independientes con una capacidad profesional reconocida y experiencia en la valorización de activos similares.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de Tasación informado por dichos profesionales corresponde a una estimación metodológica del valor de cada activo a través de un enfoque de Valor de Mercado o Valor Comercial, que reconoce un mercado definido y comparable para cada activo.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valor de costo histórico de las propiedades de inversión alcanza a M$ </w:t>
      </w:r>
      <w:r>
        <w:rPr>
          <w:rFonts w:ascii="Calibri" w:eastAsia="Calibri" w:hAnsi="Calibri" w:cs="Calibri"/>
          <w:b w:val="0"/>
          <w:i w:val="0"/>
          <w:color w:val="000000"/>
          <w:sz w:val="20"/>
          <w:u w:val="none"/>
        </w:rPr>
        <w:t>343.720</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9" w:name="Section69"/>
      <w:bookmarkEnd w:id="129"/>
      <w:bookmarkStart w:id="130" w:name="d7bb5157ee0849589326c3d51299eb0d"/>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y gastos de propiedades de inversión.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0"/>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de propiedades de inversión</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Importe de ingresos por alquileres de propiedades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22.886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41.337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19.697</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 la Sociedad no ha incurrido en gastos directos de operación para sus 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31" w:name="Section70"/>
      <w:bookmarkEnd w:id="131"/>
      <w:bookmarkStart w:id="132" w:name="a9f26f55901b43aeb621be47df549bbc"/>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2"/>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3" w:name="Section71"/>
      <w:bookmarkEnd w:id="133"/>
      <w:bookmarkStart w:id="134" w:name="0b58109a067e4ac6b30d73818291ef22"/>
      <w:r>
        <w:rPr>
          <w:rFonts w:ascii="Calibri" w:eastAsia="Calibri" w:hAnsi="Calibri" w:cs="Calibri"/>
          <w:b/>
          <w:i w:val="0"/>
          <w:color w:val="000000"/>
          <w:sz w:val="20"/>
          <w:u w:val="none"/>
        </w:rPr>
        <w:t>15.1.-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edificios.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planta y equipo.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equipamiento de tecnologías de la información.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instalaciones fijas y accesorios.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vehículos de motor.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Vida útil para otras propiedades, planta y equipo.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w:t>
            </w:r>
          </w:p>
        </w:tc>
      </w:tr>
    </w:tbl>
    <w:p>
      <w:pPr>
        <w:keepNext w:val="0"/>
        <w:keepLines/>
        <w:pageBreakBefore w:val="0"/>
        <w:widowControl w:val="0"/>
        <w:numPr>
          <w:ilvl w:val="0"/>
          <w:numId w:val="0"/>
        </w:numPr>
        <w:spacing w:before="0" w:after="0" w:line="288" w:lineRule="auto"/>
        <w:ind w:left="1701" w:right="0" w:hanging="28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01"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Considera la depreciación de componentes por horas de uso para las unidades generadoras y sus repuestos.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135" w:name="Section72"/>
      <w:bookmarkEnd w:id="135"/>
      <w:bookmarkStart w:id="136" w:name="e2fc8eda347b45adb4b5adebe8fb5bfd"/>
      <w:r>
        <w:rPr>
          <w:rFonts w:ascii="Calibri" w:eastAsia="Calibri" w:hAnsi="Calibri" w:cs="Calibri"/>
          <w:b/>
          <w:i w:val="0"/>
          <w:color w:val="000000"/>
          <w:sz w:val="20"/>
          <w:u w:val="none"/>
        </w:rPr>
        <w:t>15.2.-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3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7" w:type="dxa"/>
          <w:tblLayout w:type="fixed"/>
        </w:tblPrEx>
        <w:trPr>
          <w:cantSplit/>
          <w:trHeight w:hRule="auto" w:val="0"/>
        </w:trPr>
        <w:tc>
          <w:tcPr>
            <w:tcW w:w="63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propiedades, planta y equipo, neto</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15.782.802</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740.467</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3.690.333</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37.883.816</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2.814.160</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348.011</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1.834.710</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10.955.613</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21.684.229</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247.093</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173.799</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902.781</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9.317</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672.154</w:t>
            </w:r>
          </w:p>
        </w:tc>
      </w:tr>
      <w:tr>
        <w:tblPrEx>
          <w:tblW w:w="8550" w:type="dxa"/>
          <w:tblInd w:w="1417" w:type="dxa"/>
          <w:tblLayout w:type="fixed"/>
        </w:tblPrEx>
        <w:trPr>
          <w:cantSplit/>
          <w:trHeight w:hRule="exact" w:val="255"/>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221.310</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160.578</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663.502</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8"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59.998.078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7" w:type="dxa"/>
          <w:tblLayout w:type="fixed"/>
        </w:tblPrEx>
        <w:trPr>
          <w:cantSplit/>
          <w:trHeight w:hRule="auto" w:val="0"/>
        </w:trPr>
        <w:tc>
          <w:tcPr>
            <w:tcW w:w="63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propiedades, planta y equipo, bruto</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15.782.802</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740.467</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10.465.334</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92.437.350</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5.182.826</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628.814</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3.881.531</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19.075.835</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62.716.559</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951.785</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515.471</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2.831.925</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138.809</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2.125.006</w:t>
            </w:r>
          </w:p>
        </w:tc>
      </w:tr>
      <w:tr>
        <w:tblPrEx>
          <w:tblW w:w="8550" w:type="dxa"/>
          <w:tblInd w:w="1417" w:type="dxa"/>
          <w:tblLayout w:type="fixed"/>
        </w:tblPrEx>
        <w:trPr>
          <w:cantSplit/>
          <w:trHeight w:hRule="exact" w:val="255"/>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568.110</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515.798</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1.854.365</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8"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125.143.512</w:t>
            </w:r>
          </w:p>
        </w:tc>
      </w:tr>
    </w:tbl>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7" w:type="dxa"/>
          <w:tblLayout w:type="fixed"/>
        </w:tblPrEx>
        <w:trPr>
          <w:cantSplit/>
          <w:trHeight w:hRule="auto" w:val="0"/>
        </w:trPr>
        <w:tc>
          <w:tcPr>
            <w:tcW w:w="63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Depreciación acumulada y deterioro, propiedades, planta y equipo</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6.775.001</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54.553.534</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2.368.666</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280.803</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2.046.821</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8.120.222</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41.032.330</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704.692</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341.672</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1.929.144</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129.492</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1.452.852</w:t>
            </w:r>
          </w:p>
        </w:tc>
      </w:tr>
      <w:tr>
        <w:tblPrEx>
          <w:tblW w:w="8550" w:type="dxa"/>
          <w:tblInd w:w="1417" w:type="dxa"/>
          <w:tblLayout w:type="fixed"/>
        </w:tblPrEx>
        <w:trPr>
          <w:cantSplit/>
          <w:trHeight w:hRule="exact" w:val="255"/>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346.800</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355.220</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1.190.863</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65.145.434</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7" w:name="Section73"/>
      <w:bookmarkEnd w:id="137"/>
      <w:bookmarkStart w:id="138" w:name="83f4a84ea54540059320f787e7228d61"/>
      <w:r>
        <w:rPr>
          <w:rFonts w:ascii="Calibri" w:eastAsia="Calibri" w:hAnsi="Calibri" w:cs="Calibri"/>
          <w:b/>
          <w:i w:val="0"/>
          <w:color w:val="000000"/>
          <w:sz w:val="20"/>
          <w:u w:val="none"/>
        </w:rPr>
        <w:t>15.3.-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8"/>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2355"/>
        <w:gridCol w:w="2355"/>
        <w:gridCol w:w="795"/>
        <w:gridCol w:w="795"/>
        <w:gridCol w:w="795"/>
        <w:gridCol w:w="795"/>
        <w:gridCol w:w="840"/>
        <w:gridCol w:w="795"/>
        <w:gridCol w:w="795"/>
        <w:gridCol w:w="795"/>
        <w:gridCol w:w="795"/>
      </w:tblGrid>
      <w:tr>
        <w:tblPrEx>
          <w:tblW w:w="12135" w:type="dxa"/>
          <w:tblInd w:w="1417" w:type="dxa"/>
          <w:tblLayout w:type="fixed"/>
        </w:tblPrEx>
        <w:trPr>
          <w:cantSplit/>
          <w:trHeight w:hRule="exact" w:val="195"/>
        </w:trPr>
        <w:tc>
          <w:tcPr>
            <w:tcW w:w="4935"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7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7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2135" w:type="dxa"/>
          <w:tblInd w:w="1417" w:type="dxa"/>
          <w:tblLayout w:type="fixed"/>
        </w:tblPrEx>
        <w:trPr>
          <w:cantSplit/>
          <w:trHeight w:hRule="exact" w:val="195"/>
        </w:trPr>
        <w:tc>
          <w:tcPr>
            <w:tcW w:w="4935"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35"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35"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35"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35"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40"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auto" w:val="0"/>
        </w:trPr>
        <w:tc>
          <w:tcPr>
            <w:tcW w:w="4935" w:type="dxa"/>
            <w:gridSpan w:val="3"/>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35"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35" w:type="dxa"/>
          <w:tblInd w:w="1417" w:type="dxa"/>
          <w:tblLayout w:type="fixed"/>
        </w:tblPrEx>
        <w:trPr>
          <w:cantSplit/>
          <w:trHeight w:hRule="auto" w:val="0"/>
        </w:trPr>
        <w:tc>
          <w:tcPr>
            <w:tcW w:w="493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15.782.802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740.467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3.690.333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37.883.816</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173.799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902.781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160.578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59.998.078</w:t>
            </w:r>
          </w:p>
        </w:tc>
      </w:tr>
      <w:tr>
        <w:tblPrEx>
          <w:tblW w:w="12135"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35" w:type="dxa"/>
          <w:tblInd w:w="1417" w:type="dxa"/>
          <w:tblLayout w:type="fixed"/>
        </w:tblPrEx>
        <w:trPr>
          <w:cantSplit/>
          <w:trHeight w:hRule="exact" w:val="22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882.137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882.369</w:t>
            </w:r>
          </w:p>
        </w:tc>
      </w:tr>
      <w:tr>
        <w:tblPrEx>
          <w:tblW w:w="1213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(32.316)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(32.316)</w:t>
            </w:r>
          </w:p>
        </w:tc>
      </w:tr>
      <w:tr>
        <w:tblPrEx>
          <w:tblW w:w="1213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(35.255)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(1.592.827)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(18.637)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(8.368)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(22.377)</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(1.714.659)</w:t>
            </w:r>
          </w:p>
        </w:tc>
      </w:tr>
      <w:tr>
        <w:tblPrEx>
          <w:tblW w:w="1213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(801.257)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602.917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183.584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35"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(8.612)</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(8.612)</w:t>
            </w:r>
          </w:p>
        </w:tc>
      </w:tr>
      <w:tr>
        <w:tblPrEx>
          <w:tblW w:w="12135"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80.880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(35.255)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(1.022.226)</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164.947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(36.963)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6.388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(30.989)</w:t>
            </w:r>
          </w:p>
        </w:tc>
        <w:tc>
          <w:tcPr>
            <w:tcW w:w="7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(873.218)</w:t>
            </w:r>
          </w:p>
        </w:tc>
      </w:tr>
      <w:tr>
        <w:tblPrEx>
          <w:tblW w:w="12135"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5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35" w:type="dxa"/>
          <w:tblInd w:w="1417" w:type="dxa"/>
          <w:tblLayout w:type="fixed"/>
        </w:tblPrEx>
        <w:trPr>
          <w:cantSplit/>
          <w:trHeight w:hRule="auto" w:val="0"/>
        </w:trPr>
        <w:tc>
          <w:tcPr>
            <w:tcW w:w="493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15.863.682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740.467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3.655.078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36.861.590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338.746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865.818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166.966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632.513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59.124.860</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31 de diciembre de 2025</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121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
        <w:gridCol w:w="540"/>
        <w:gridCol w:w="4170"/>
        <w:gridCol w:w="795"/>
        <w:gridCol w:w="795"/>
        <w:gridCol w:w="795"/>
        <w:gridCol w:w="795"/>
        <w:gridCol w:w="825"/>
        <w:gridCol w:w="795"/>
        <w:gridCol w:w="795"/>
        <w:gridCol w:w="795"/>
        <w:gridCol w:w="795"/>
      </w:tblGrid>
      <w:tr>
        <w:tblPrEx>
          <w:tblW w:w="12135" w:type="dxa"/>
          <w:tblInd w:w="1417" w:type="dxa"/>
          <w:tblLayout w:type="fixed"/>
        </w:tblPrEx>
        <w:trPr>
          <w:cantSplit/>
          <w:trHeight w:hRule="exact" w:val="195"/>
        </w:trPr>
        <w:tc>
          <w:tcPr>
            <w:tcW w:w="4950"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7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7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2135" w:type="dxa"/>
          <w:tblInd w:w="1417" w:type="dxa"/>
          <w:tblLayout w:type="fixed"/>
        </w:tblPrEx>
        <w:trPr>
          <w:cantSplit/>
          <w:trHeight w:hRule="exact" w:val="195"/>
        </w:trPr>
        <w:tc>
          <w:tcPr>
            <w:tcW w:w="4950"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50"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50"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50"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exact" w:val="195"/>
        </w:trPr>
        <w:tc>
          <w:tcPr>
            <w:tcW w:w="4950" w:type="dxa"/>
            <w:gridSpan w:val="3"/>
            <w:vMerge/>
            <w:tcBorders>
              <w:top w:val="nil"/>
              <w:left w:val="single" w:sz="2" w:space="0" w:color="000000"/>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12135" w:type="dxa"/>
          <w:tblInd w:w="1417" w:type="dxa"/>
          <w:tblLayout w:type="fixed"/>
        </w:tblPrEx>
        <w:trPr>
          <w:cantSplit/>
          <w:trHeight w:hRule="auto" w:val="0"/>
        </w:trPr>
        <w:tc>
          <w:tcPr>
            <w:tcW w:w="4950" w:type="dxa"/>
            <w:gridSpan w:val="3"/>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35" w:type="dxa"/>
          <w:tblInd w:w="1417" w:type="dxa"/>
          <w:tblLayout w:type="fixed"/>
        </w:tblPrEx>
        <w:trPr>
          <w:cantSplit/>
          <w:trHeight w:hRule="exact" w:val="6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1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35"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14.905.276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792.920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3.413.750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37.757.579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74.563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801.283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153.655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232.731</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58.131.757</w:t>
            </w:r>
          </w:p>
        </w:tc>
      </w:tr>
      <w:tr>
        <w:tblPrEx>
          <w:tblW w:w="12135" w:type="dxa"/>
          <w:tblInd w:w="1417" w:type="dxa"/>
          <w:tblLayout w:type="fixed"/>
        </w:tblPrEx>
        <w:trPr>
          <w:cantSplit/>
          <w:trHeight w:hRule="exact" w:val="6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1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single" w:sz="8"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35" w:type="dxa"/>
          <w:tblInd w:w="1417" w:type="dxa"/>
          <w:tblLayout w:type="fixed"/>
        </w:tblPrEx>
        <w:trPr>
          <w:cantSplit/>
          <w:trHeight w:hRule="exact" w:val="225"/>
        </w:trPr>
        <w:tc>
          <w:tcPr>
            <w:tcW w:w="240"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9.131.839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5.928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9.137.767</w:t>
            </w:r>
          </w:p>
        </w:tc>
      </w:tr>
      <w:tr>
        <w:tblPrEx>
          <w:tblW w:w="12135"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(hacia) propiedades de inversión.</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(52.453)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112.462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8"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60.009</w:t>
            </w:r>
          </w:p>
        </w:tc>
      </w:tr>
      <w:tr>
        <w:tblPrEx>
          <w:tblW w:w="12135"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(480.496)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8"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(503.087)</w:t>
            </w:r>
          </w:p>
        </w:tc>
      </w:tr>
      <w:tr>
        <w:tblPrEx>
          <w:tblW w:w="12135"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(134.575)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(5.971.724)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(43.663)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(142.833)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(30.382)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(52.053)</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(6.375.230)</w:t>
            </w:r>
          </w:p>
        </w:tc>
      </w:tr>
      <w:tr>
        <w:tblPrEx>
          <w:tblW w:w="12135" w:type="dxa"/>
          <w:tblInd w:w="1417" w:type="dxa"/>
          <w:tblLayout w:type="fixed"/>
        </w:tblPrEx>
        <w:trPr>
          <w:cantSplit/>
          <w:trHeight w:hRule="auto" w:val="0"/>
        </w:trPr>
        <w:tc>
          <w:tcPr>
            <w:tcW w:w="240" w:type="dxa"/>
            <w:vMerge/>
            <w:tcBorders>
              <w:top w:val="nil"/>
              <w:left w:val="single" w:sz="2" w:space="0" w:color="000000"/>
              <w:bottom w:val="nil"/>
              <w:right w:val="single" w:sz="2" w:space="0" w:color="000000"/>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(8.237.598)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321.287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7.485.106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142.899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238.403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12.598</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35"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(16.715)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(906.649)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470.226</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(453.138)</w:t>
            </w:r>
          </w:p>
        </w:tc>
      </w:tr>
      <w:tr>
        <w:tblPrEx>
          <w:tblW w:w="12135" w:type="dxa"/>
          <w:tblInd w:w="1417" w:type="dxa"/>
          <w:tblLayout w:type="fixed"/>
        </w:tblPrEx>
        <w:trPr>
          <w:cantSplit/>
          <w:trHeight w:hRule="auto" w:val="0"/>
        </w:trPr>
        <w:tc>
          <w:tcPr>
            <w:tcW w:w="240" w:type="dxa"/>
            <w:vMerge/>
            <w:tcBorders>
              <w:top w:val="nil"/>
              <w:left w:val="single" w:sz="2" w:space="0" w:color="000000"/>
              <w:bottom w:val="single" w:sz="2" w:space="0" w:color="000000"/>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877.526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(52.453)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276.583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126.237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99.236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101.498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6.923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430.771</w:t>
            </w:r>
          </w:p>
        </w:tc>
        <w:tc>
          <w:tcPr>
            <w:tcW w:w="7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1.866.321</w:t>
            </w:r>
          </w:p>
        </w:tc>
      </w:tr>
      <w:tr>
        <w:tblPrEx>
          <w:tblW w:w="12135" w:type="dxa"/>
          <w:tblInd w:w="1417" w:type="dxa"/>
          <w:tblLayout w:type="fixed"/>
        </w:tblPrEx>
        <w:trPr>
          <w:cantSplit/>
          <w:trHeight w:hRule="auto" w:val="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1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35"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15.782.802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740.467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3.690.333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37.883.816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173.799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902.781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160.578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59.998.078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headerReference w:type="default" r:id="rId32"/>
          <w:footerReference w:type="default" r:id="rId33"/>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9" w:name="Section74"/>
      <w:bookmarkEnd w:id="139"/>
      <w:bookmarkStart w:id="140" w:name="ce34766c2b3e41219998178cc990a249"/>
      <w:r>
        <w:rPr>
          <w:rFonts w:ascii="Calibri" w:eastAsia="Calibri" w:hAnsi="Calibri" w:cs="Calibri"/>
          <w:b/>
          <w:i w:val="0"/>
          <w:color w:val="000000"/>
          <w:sz w:val="20"/>
          <w:u w:val="none"/>
        </w:rPr>
        <w:t>15.4.-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ha mantenido tradicionalmente una política de llevar a cabo todas las obras necesarias para satisfacer los incrementos de la demanda, conservar en buen estado las instalaciones y adaptar el sistema a los avances tecnológicos, con el objeto de cumplir cabalmente con las normas de calidad y continuidad de suministro establecidos por la regulación vigente tanto en el sector electricidad, como asimismo con los contratos comerciales suscritos con sus clientes. El monto de adiciones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882.369</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9.137.767</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y el valor contable de obras en curso alcanzó a un monto de M$ </w:t>
      </w:r>
      <w:r>
        <w:rPr>
          <w:rFonts w:ascii="Calibri" w:eastAsia="Calibri" w:hAnsi="Calibri" w:cs="Calibri"/>
          <w:b w:val="0"/>
          <w:i w:val="0"/>
          <w:color w:val="000000"/>
          <w:sz w:val="20"/>
          <w:u w:val="none"/>
        </w:rPr>
        <w:t>15.863.682</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15.782.802</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ejercicio 2025 se han actualizado las vidas útiles y valor residual de los bienes de propiedades, planta y equipo de la sociedad, generando un menor gasto por depreciación de M$ 65.879.</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red"/>
          <w:u w:val="none"/>
        </w:rPr>
      </w:pPr>
      <w:r>
        <w:rPr>
          <w:rFonts w:ascii="Calibri" w:eastAsia="Calibri" w:hAnsi="Calibri" w:cs="Calibri"/>
          <w:b w:val="0"/>
          <w:i w:val="0"/>
          <w:color w:val="000000"/>
          <w:sz w:val="20"/>
          <w:u w:val="none"/>
        </w:rPr>
        <w:t>No existen restricciones en la titularidad de propiedades, planta y equipo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Informaciones adicionales a revelar sobre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Informaciones adicionales a revelar sobre propiedades, planta y equipo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 en libros de Propiedades, planta y equipo retiradas no mantenidas para la venta.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32.316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503.087</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 de desembolsos sobre cuentas de propiedades, planta y equipo en proceso de construcción.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882.137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9.131.839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34"/>
          <w:footerReference w:type="default" r:id="rId35"/>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1" w:name="Section75"/>
      <w:bookmarkEnd w:id="141"/>
      <w:bookmarkStart w:id="142" w:name="710e996463d14ebc9e41e334ac9e5e02"/>
      <w:r>
        <w:rPr>
          <w:rFonts w:ascii="Calibri" w:eastAsia="Calibri" w:hAnsi="Calibri" w:cs="Calibri"/>
          <w:b/>
          <w:i w:val="0"/>
          <w:color w:val="000000"/>
          <w:sz w:val="20"/>
          <w:u w:val="none"/>
        </w:rPr>
        <w:t>15.5.-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no se han capitalizado intereses por no tener activos aptos para dicho efecto.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3" w:name="Section76"/>
      <w:bookmarkEnd w:id="143"/>
      <w:bookmarkStart w:id="144" w:name="3e72565ddea64badb0e585082d161479"/>
      <w:r>
        <w:rPr>
          <w:rFonts w:ascii="Calibri" w:eastAsia="Calibri" w:hAnsi="Calibri" w:cs="Calibri"/>
          <w:b/>
          <w:i w:val="0"/>
          <w:color w:val="000000"/>
          <w:sz w:val="20"/>
          <w:u w:val="none"/>
        </w:rPr>
        <w:t>15.6.-</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 Información a considerar sobre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4"/>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yellow"/>
          <w:u w:val="none"/>
        </w:rPr>
        <w:t xml:space="preserve">Durante el periodo terminado al </w:t>
      </w:r>
      <w:r>
        <w:rPr>
          <w:rFonts w:ascii="Calibri" w:eastAsia="Calibri" w:hAnsi="Calibri" w:cs="Calibri"/>
          <w:b w:val="0"/>
          <w:i w:val="0"/>
          <w:color w:val="000000"/>
          <w:sz w:val="20"/>
          <w:highlight w:val="yellow"/>
          <w:u w:val="none"/>
        </w:rPr>
        <w:t>30 de junio de 2026</w:t>
      </w:r>
      <w:r>
        <w:rPr>
          <w:rFonts w:ascii="Calibri" w:eastAsia="Calibri" w:hAnsi="Calibri" w:cs="Calibri"/>
          <w:b w:val="0"/>
          <w:i w:val="0"/>
          <w:color w:val="000000"/>
          <w:sz w:val="20"/>
          <w:highlight w:val="yellow"/>
          <w:u w:val="none"/>
        </w:rPr>
        <w:t xml:space="preserve"> se han efectuado bajas d</w:t>
      </w:r>
      <w:r>
        <w:rPr>
          <w:rFonts w:ascii="Calibri" w:eastAsia="Calibri" w:hAnsi="Calibri" w:cs="Calibri"/>
          <w:b w:val="0"/>
          <w:i w:val="0"/>
          <w:color w:val="000000"/>
          <w:sz w:val="20"/>
          <w:highlight w:val="yellow"/>
          <w:u w:val="none"/>
        </w:rPr>
        <w:t xml:space="preserve">e propiedad planta y equipo por M$ 32.316, donde M$ 27.695 corresponden a componentes de generación y M$ 4.621 </w:t>
      </w:r>
      <w:r>
        <w:rPr>
          <w:rFonts w:ascii="Calibri" w:eastAsia="Calibri" w:hAnsi="Calibri" w:cs="Calibri"/>
          <w:b w:val="0"/>
          <w:i w:val="0"/>
          <w:color w:val="000000"/>
          <w:sz w:val="20"/>
          <w:highlight w:val="yellow"/>
          <w:u w:val="none"/>
        </w:rPr>
        <w:t xml:space="preserve">de otros componentes eléctricos, los cuales se registran en el estado de resultados en el rubro Otras ganancias (pérdidas). </w:t>
      </w: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las bajas alcanzaron un monto de M$ 22.</w:t>
      </w:r>
      <w:r>
        <w:rPr>
          <w:rFonts w:ascii="Calibri" w:eastAsia="Calibri" w:hAnsi="Calibri" w:cs="Calibri"/>
          <w:b w:val="0"/>
          <w:i w:val="0"/>
          <w:color w:val="000000"/>
          <w:sz w:val="20"/>
          <w:u w:val="none"/>
        </w:rPr>
        <w:t>889</w:t>
      </w:r>
      <w:r>
        <w:rPr>
          <w:rFonts w:ascii="Calibri" w:eastAsia="Calibri" w:hAnsi="Calibri" w:cs="Calibri"/>
          <w:b w:val="0"/>
          <w:i w:val="0"/>
          <w:color w:val="000000"/>
          <w:sz w:val="20"/>
          <w:u w:val="none"/>
        </w:rPr>
        <w:t xml:space="preserve"> donde MS 7.301</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 xml:space="preserve">correspondientes </w:t>
      </w:r>
      <w:r>
        <w:rPr>
          <w:rFonts w:ascii="Calibri" w:eastAsia="Calibri" w:hAnsi="Calibri" w:cs="Calibri"/>
          <w:b w:val="0"/>
          <w:i w:val="0"/>
          <w:color w:val="000000"/>
          <w:sz w:val="20"/>
          <w:u w:val="none"/>
        </w:rPr>
        <w:t xml:space="preserve">componentes de </w:t>
      </w:r>
      <w:r>
        <w:rPr>
          <w:rFonts w:ascii="Calibri" w:eastAsia="Calibri" w:hAnsi="Calibri" w:cs="Calibri"/>
          <w:b w:val="0"/>
          <w:i w:val="0"/>
          <w:color w:val="000000"/>
          <w:sz w:val="20"/>
          <w:u w:val="none"/>
        </w:rPr>
        <w:t>generación</w:t>
      </w:r>
      <w:r>
        <w:rPr>
          <w:rFonts w:ascii="Calibri" w:eastAsia="Calibri" w:hAnsi="Calibri" w:cs="Calibri"/>
          <w:b w:val="0"/>
          <w:i w:val="0"/>
          <w:color w:val="000000"/>
          <w:sz w:val="20"/>
          <w:u w:val="none"/>
        </w:rPr>
        <w:t xml:space="preserve"> y M$ 15.5</w:t>
      </w:r>
      <w:r>
        <w:rPr>
          <w:rFonts w:ascii="Calibri" w:eastAsia="Calibri" w:hAnsi="Calibri" w:cs="Calibri"/>
          <w:b w:val="0"/>
          <w:i w:val="0"/>
          <w:color w:val="000000"/>
          <w:sz w:val="20"/>
          <w:u w:val="none"/>
        </w:rPr>
        <w:t>88 de otros</w:t>
      </w:r>
      <w:r>
        <w:rPr>
          <w:rFonts w:ascii="Calibri" w:eastAsia="Calibri" w:hAnsi="Calibri" w:cs="Calibri"/>
          <w:b w:val="0"/>
          <w:i w:val="0"/>
          <w:color w:val="000000"/>
          <w:sz w:val="20"/>
          <w:u w:val="none"/>
        </w:rPr>
        <w:t xml:space="preserve"> componentes eléctricos, los cuales se registran</w:t>
      </w:r>
      <w:r>
        <w:rPr>
          <w:rFonts w:ascii="Calibri" w:eastAsia="Calibri" w:hAnsi="Calibri" w:cs="Calibri"/>
          <w:b w:val="0"/>
          <w:i w:val="0"/>
          <w:color w:val="000000"/>
          <w:sz w:val="20"/>
          <w:u w:val="none"/>
        </w:rPr>
        <w:t xml:space="preserve"> en el estado de resultados en el rubro Otras ganancias (perdidas).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45" w:name="Section77"/>
      <w:bookmarkEnd w:id="145"/>
      <w:bookmarkStart w:id="146" w:name="7a73fd72525d437db3f1a9568a7993cc"/>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w:t>
      </w: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bookmarkEnd w:id="146"/>
    </w:p>
    <w:p>
      <w:pPr>
        <w:keepNext w:val="0"/>
        <w:keepLines/>
        <w:pageBreakBefore w:val="0"/>
        <w:widowControl w:val="0"/>
        <w:numPr>
          <w:ilvl w:val="0"/>
          <w:numId w:val="0"/>
        </w:numPr>
        <w:spacing w:before="0" w:after="0" w:line="288" w:lineRule="auto"/>
        <w:ind w:left="0" w:right="0" w:firstLine="709"/>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47" w:name="Section78"/>
      <w:bookmarkEnd w:id="147"/>
      <w:bookmarkStart w:id="148" w:name="701d756026054dc595163bc5556d535a"/>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Prueba de deterioro de propiedades, planta y equipo y otros activos intangibles de vida útil indefinida.</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48"/>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Empresa Eléctrica de Magallanes S.A. evalúa anualmente o siempre y cuando existan indicadores, si los activos intangibles de vida útil indefinida han sufrido algún deterioro, de acuerdo con la política contable que se describe en la Nota 3.10.- Los montos recuperables de las unidades generadoras de efectivo han sido determinados sobre la base de cálculos de sus valores en uso</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estimación del valor en uso ha requerido que la administración realice las estimaciones de los flujos de efectivo futuros esperados, utilizando las proyecciones sectoriales, la experiencia del pasado y las expectativas futuras.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estimar el valor en uso, la Sociedad prepara las proyecciones de flujos de caja futuros antes de impuestos. Los flujos proyectados se han extendido hasta el año 2031.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parámetros e indicadores utilizados por Empresa Eléctrica de Magallanes S.A. para la determinación de valor en uso y la evaluación de un eventual deterioro son: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energía, IPC, CPI, TC (CLP/USD), crecimiento de ventas físicas y crecimiento del número de clientes.</w:t>
      </w:r>
    </w:p>
    <w:p>
      <w:pPr>
        <w:pStyle w:val="Normal-wk"/>
        <w:keepNext w:val="0"/>
        <w:keepLines/>
        <w:pageBreakBefore w:val="0"/>
        <w:widowControl w:val="0"/>
        <w:numPr>
          <w:ilvl w:val="0"/>
          <w:numId w:val="76"/>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servicios complementarios, se incrementan según número de clientes, IPC.</w:t>
      </w:r>
    </w:p>
    <w:p>
      <w:pPr>
        <w:pStyle w:val="Normal-wk"/>
        <w:keepNext w:val="0"/>
        <w:keepLines/>
        <w:pageBreakBefore w:val="0"/>
        <w:widowControl w:val="0"/>
        <w:numPr>
          <w:ilvl w:val="0"/>
          <w:numId w:val="77"/>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ajustes en dotación en base a necesidades de la compañía, ajustes salariales en línea con el IPC.</w:t>
      </w:r>
    </w:p>
    <w:p>
      <w:pPr>
        <w:pStyle w:val="Normal-wk"/>
        <w:keepNext w:val="0"/>
        <w:keepLines/>
        <w:pageBreakBefore w:val="0"/>
        <w:widowControl w:val="0"/>
        <w:numPr>
          <w:ilvl w:val="0"/>
          <w:numId w:val="78"/>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 O&amp;M y Administración, los cuales se incrementan según número de clientes, IPC, variación de propiedades, planta y equipo.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describe con mayor detalle los enfoques utilizados para la determinación del primer punto proyectado: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Los principales componentes del margen de energía son el valor agregado de distribución (VAD) y el margen de generación: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79"/>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VAD, se consideran las tarifas del decreto 5T publicado en junio-24 indexadas con los parámetros macroeconómicos estimados, crecimiento de ventas físicas y clientes, resultados de fijaciones tarifarias estimados por el área de regulación para proceso VAD 2024-2028.</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80"/>
        </w:numPr>
        <w:spacing w:before="0" w:after="0" w:line="240" w:lineRule="exact"/>
        <w:ind w:left="2127"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Margen </w:t>
      </w:r>
      <w:r>
        <w:rPr>
          <w:rFonts w:ascii="Calibri" w:eastAsia="Calibri" w:hAnsi="Calibri" w:cs="Calibri"/>
          <w:b w:val="0"/>
          <w:i w:val="0"/>
          <w:sz w:val="20"/>
        </w:rPr>
        <w:t>de generación, en base a indexación de los ingresos y costos de combustibles, crecimiento de ventas físicas y clientes, resultados de fijaciones tarifarias estimados por el área de regulación</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177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Crecimiento ventas físicas: Las ventas físicas se proyectan en base a información histórica entre un 1,5% a un 2,5% considerando crecimientos anualizados.</w:t>
      </w:r>
    </w:p>
    <w:p>
      <w:pPr>
        <w:keepNext w:val="0"/>
        <w:keepLines/>
        <w:pageBreakBefore w:val="0"/>
        <w:widowControl w:val="0"/>
        <w:numPr>
          <w:ilvl w:val="0"/>
          <w:numId w:val="0"/>
        </w:numPr>
        <w:spacing w:before="0" w:after="0" w:line="288" w:lineRule="auto"/>
        <w:ind w:left="177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Crecimiento de clientes: Los clientes se proyectan en base a información histórica entre un 2,0% a un 3,0%.</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extender las estimaciones se utilizaron los supuestos macroeconómicos (IPC, CPI, USD/CLP) extraídos desde distintas fuentes, entre las que se incluyen Bloomberg, Risk America y estimaciones internas de la Sociedad en base a información histórica.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el flujo terminal se utiliza una tasa de 3,0% que es la meta inflacionaria de largo plazo de Chile.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tasa de descuento nominal después de impuesto aplicada al cierre de los estados financieros al 31 de diciembre de 2025 fue de un 6,66%.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Como resultado de estas pruebas, Empresa Eléctrica de Magallanes S.A. determinó que no existen deterioros en el rubro propiedad, planta y equipo y demás activos intangibles de vida útil indefinida al 31 de diciembre de 2025.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se han realizado sensibilizaciones del efecto de la variación en la tasa de descuento al 31 de diciembre de 2025, específicamente aumentándola y disminuyéndola en un 1%, teniendo el siguiente efecto en el valor presente de los flujos futuros M$ (</w:t>
      </w:r>
      <w:r>
        <w:rPr>
          <w:rFonts w:ascii="Calibri" w:eastAsia="Calibri" w:hAnsi="Calibri" w:cs="Calibri"/>
          <w:b w:val="0"/>
          <w:i w:val="0"/>
          <w:sz w:val="20"/>
        </w:rPr>
        <w:t>72.444.135)</w:t>
      </w:r>
      <w:r>
        <w:rPr>
          <w:rFonts w:ascii="Calibri" w:eastAsia="Calibri" w:hAnsi="Calibri" w:cs="Calibri"/>
          <w:b w:val="0"/>
          <w:i w:val="0"/>
          <w:color w:val="000000"/>
          <w:sz w:val="20"/>
          <w:u w:val="none"/>
        </w:rPr>
        <w:t xml:space="preserve"> y M$ </w:t>
      </w:r>
      <w:r>
        <w:rPr>
          <w:rFonts w:ascii="Calibri" w:eastAsia="Calibri" w:hAnsi="Calibri" w:cs="Calibri"/>
          <w:b w:val="0"/>
          <w:i w:val="0"/>
          <w:sz w:val="20"/>
        </w:rPr>
        <w:t xml:space="preserve">127.701.700, </w:t>
      </w:r>
      <w:r>
        <w:rPr>
          <w:rFonts w:ascii="Calibri" w:eastAsia="Calibri" w:hAnsi="Calibri" w:cs="Calibri"/>
          <w:b w:val="0"/>
          <w:i w:val="0"/>
          <w:color w:val="000000"/>
          <w:sz w:val="20"/>
          <w:u w:val="none"/>
        </w:rPr>
        <w:t>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9" w:name="Section79"/>
      <w:bookmarkEnd w:id="149"/>
      <w:bookmarkStart w:id="150" w:name="84c63971e30d45c0ab38177bc61e9d95"/>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Pérdidas por deterioro del valor y reversión de las pérdidas por deterioro del valor.</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5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montos reconocidos en resultados por pérdidas por deterioro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del valor y reversión de las pérdidas por deterioro del valor</w:t>
            </w:r>
          </w:p>
        </w:tc>
        <w:tc>
          <w:tcPr>
            <w:tcW w:w="2010" w:type="dxa"/>
            <w:gridSpan w:val="2"/>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2010" w:type="dxa"/>
            <w:gridSpan w:val="2"/>
            <w:tcBorders>
              <w:top w:val="single" w:sz="8" w:space="0" w:color="FFFFFF"/>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single" w:sz="4" w:space="0" w:color="FFFFFF"/>
            </w:tcBorders>
          </w:tcPr>
          <w:p>
            <w:pPr>
              <w:keepNext/>
              <w:pageBreakBefore w:val="0"/>
            </w:pPr>
          </w:p>
        </w:tc>
        <w:tc>
          <w:tcPr>
            <w:tcW w:w="2010" w:type="dxa"/>
            <w:gridSpan w:val="2"/>
            <w:tcBorders>
              <w:top w:val="nil"/>
              <w:left w:val="nil"/>
              <w:bottom w:val="single" w:sz="4"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010" w:type="dxa"/>
            <w:gridSpan w:val="2"/>
            <w:tcBorders>
              <w:top w:val="nil"/>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0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100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Reversión de pérdidas por deterioro de valor reconocidas en el resultado del periodo.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8" w:space="0" w:color="FFFFFF"/>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del valor y reversión de las pérdidas por deterioro del valor</w:t>
            </w:r>
          </w:p>
        </w:tc>
        <w:tc>
          <w:tcPr>
            <w:tcW w:w="2010" w:type="dxa"/>
            <w:gridSpan w:val="2"/>
            <w:tcBorders>
              <w:top w:val="single" w:sz="2" w:space="0" w:color="000000"/>
              <w:left w:val="nil"/>
              <w:bottom w:val="nil"/>
              <w:right w:val="single" w:sz="8" w:space="0" w:color="FFFFFF"/>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01-01-2025</w:t>
            </w:r>
          </w:p>
        </w:tc>
        <w:tc>
          <w:tcPr>
            <w:tcW w:w="2010" w:type="dxa"/>
            <w:gridSpan w:val="2"/>
            <w:tcBorders>
              <w:top w:val="single" w:sz="8" w:space="0" w:color="FFFFFF"/>
              <w:left w:val="nil"/>
              <w:bottom w:val="nil"/>
              <w:right w:val="single" w:sz="8" w:space="0" w:color="FFFFFF"/>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single" w:sz="4" w:space="0" w:color="FFFFFF"/>
            </w:tcBorders>
          </w:tcPr>
          <w:p>
            <w:pPr>
              <w:keepNext/>
              <w:pageBreakBefore w:val="0"/>
            </w:pPr>
          </w:p>
        </w:tc>
        <w:tc>
          <w:tcPr>
            <w:tcW w:w="2010" w:type="dxa"/>
            <w:gridSpan w:val="2"/>
            <w:tcBorders>
              <w:top w:val="nil"/>
              <w:left w:val="nil"/>
              <w:bottom w:val="single" w:sz="4" w:space="0" w:color="FFFFFF"/>
              <w:right w:val="single" w:sz="8" w:space="0" w:color="FFFFFF"/>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2010" w:type="dxa"/>
            <w:gridSpan w:val="2"/>
            <w:tcBorders>
              <w:top w:val="nil"/>
              <w:left w:val="nil"/>
              <w:bottom w:val="nil"/>
              <w:right w:val="single" w:sz="8" w:space="0" w:color="FFFFFF"/>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0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100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Pérdidas por deterioro de valor reconocidas en el resultado del periodo.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(42.851)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(42.851)</w:t>
            </w:r>
          </w:p>
        </w:tc>
        <w:tc>
          <w:tcPr>
            <w:tcW w:w="1005" w:type="dxa"/>
            <w:tcBorders>
              <w:top w:val="single" w:sz="8" w:space="0" w:color="FFFFFF"/>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16.471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16.471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reversiones y (pérdidas) por deterioro de activos financieros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corresponden al deterioro de cuentas por cobrar registrado en nota 8.5.</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51" w:name="Section80"/>
      <w:bookmarkEnd w:id="151"/>
      <w:bookmarkStart w:id="152" w:name="9c8fcf00bb364bc99662cc7440a22dd5"/>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2"/>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3" w:name="Section81"/>
      <w:bookmarkEnd w:id="153"/>
      <w:bookmarkStart w:id="154" w:name="df4e7e5d5bba41e094883193339c5180"/>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ingresos anticipados.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60.350</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239.972</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231.244</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426.268</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contratos de leasing.</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228.356</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1.186.190</w:t>
            </w:r>
          </w:p>
        </w:tc>
      </w:tr>
    </w:tbl>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La Sociedad estima con proyecciones futuras de utilidades que estas cubrirán el recupero de estos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5" w:name="Section82"/>
      <w:bookmarkEnd w:id="155"/>
      <w:bookmarkStart w:id="156" w:name="e02f98523cd14e4bba53713c8e9c84f8"/>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56"/>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6.573.565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139.559</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7.619.875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503</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278.298</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14.611.800</w:t>
            </w:r>
          </w:p>
        </w:tc>
      </w:tr>
    </w:tbl>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7" w:name="Section83"/>
      <w:bookmarkEnd w:id="157"/>
      <w:bookmarkStart w:id="158" w:name="dae856911a434c39aa407a1e05f1f717"/>
      <w:r>
        <w:rPr>
          <w:rFonts w:ascii="Calibri" w:eastAsia="Calibri" w:hAnsi="Calibri" w:cs="Calibri"/>
          <w:b/>
          <w:i w:val="0"/>
          <w:color w:val="000000"/>
          <w:sz w:val="20"/>
          <w:u w:val="none"/>
        </w:rPr>
        <w:t>17.3.-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8"/>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por impuestos diferidos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1.186.190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1.857.777</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ingreso por impuestos diferidos reconocidos como resultados.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(64.351)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(663.312)</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Impuesto a las ganancias relacionado con componentes de otro resultado integral.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10.411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(8.275)</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activos por impuestos diferidos, 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(53.940)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(671.587)</w:t>
            </w:r>
          </w:p>
        </w:tc>
      </w:tr>
      <w:tr>
        <w:tblPrEx>
          <w:tblW w:w="8550" w:type="dxa"/>
          <w:tblInd w:w="1417" w:type="dxa"/>
          <w:tblLayout w:type="fixed"/>
        </w:tblPrEx>
        <w:trPr>
          <w:cantSplit/>
          <w:trHeight w:hRule="auto" w:val="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1.132.250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1.186.190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pasivos por impuestos diferidos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14.611.800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12.274.040</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(ingreso) por impuestos diferidos reconocidos como resultados.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(14.611.800)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2.337.760</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pasivos por impuestos diferidos, 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(14.611.800)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2.337.760</w:t>
            </w:r>
          </w:p>
        </w:tc>
      </w:tr>
      <w:tr>
        <w:tblPrEx>
          <w:tblW w:w="8550" w:type="dxa"/>
          <w:tblInd w:w="1417" w:type="dxa"/>
          <w:tblLayout w:type="fixed"/>
        </w:tblPrEx>
        <w:trPr>
          <w:cantSplit/>
          <w:trHeight w:hRule="auto" w:val="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14.611.800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9" w:name="Section84"/>
      <w:bookmarkEnd w:id="159"/>
      <w:bookmarkStart w:id="160" w:name="5e29aec27e364c3d97497459b37c4430"/>
      <w:r>
        <w:rPr>
          <w:rFonts w:ascii="Calibri" w:eastAsia="Calibri" w:hAnsi="Calibri" w:cs="Calibri"/>
          <w:b/>
          <w:i w:val="0"/>
          <w:color w:val="000000"/>
          <w:sz w:val="20"/>
          <w:u w:val="none"/>
        </w:rPr>
        <w:t>17.4.-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520"/>
        <w:gridCol w:w="1005"/>
        <w:gridCol w:w="1005"/>
        <w:gridCol w:w="1005"/>
        <w:gridCol w:w="1005"/>
        <w:gridCol w:w="1005"/>
        <w:gridCol w:w="1005"/>
      </w:tblGrid>
      <w:tr>
        <w:tblPrEx>
          <w:tblW w:w="8550" w:type="dxa"/>
          <w:tblInd w:w="1417" w:type="dxa"/>
          <w:tblLayout w:type="fixed"/>
        </w:tblPrEx>
        <w:trPr>
          <w:cantSplit/>
          <w:trHeight w:hRule="auto" w:val="0"/>
        </w:trPr>
        <w:tc>
          <w:tcPr>
            <w:tcW w:w="25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301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01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52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50" w:type="dxa"/>
          <w:tblInd w:w="1417" w:type="dxa"/>
          <w:tblLayout w:type="fixed"/>
        </w:tblPrEx>
        <w:trPr>
          <w:cantSplit/>
          <w:trHeight w:hRule="auto" w:val="0"/>
        </w:trPr>
        <w:tc>
          <w:tcPr>
            <w:tcW w:w="25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1.186.190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(1.186.190)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(14.611.800)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1.186.190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(13.425.610)</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(13.425.610)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(13.425.610)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61" w:name="Section85"/>
      <w:bookmarkEnd w:id="161"/>
      <w:bookmarkStart w:id="162" w:name="20a5e46e73a542a69f5acd1044640096"/>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FINANCIEROS</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2"/>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para los cierres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footerReference w:type="default" r:id="rId36"/>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3" w:name="Section86"/>
      <w:bookmarkEnd w:id="163"/>
      <w:bookmarkStart w:id="164" w:name="81abc9b87f68485ea284ee154811dd27"/>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Clases de otros pasivos financieros.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4"/>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30"/>
        <w:gridCol w:w="1005"/>
        <w:gridCol w:w="1005"/>
        <w:gridCol w:w="1005"/>
        <w:gridCol w:w="1005"/>
        <w:gridCol w:w="1005"/>
      </w:tblGrid>
      <w:tr>
        <w:tblPrEx>
          <w:tblW w:w="9255" w:type="dxa"/>
          <w:tblInd w:w="709" w:type="dxa"/>
          <w:tblLayout w:type="fixed"/>
        </w:tblPrEx>
        <w:trPr>
          <w:cantSplit/>
          <w:trHeight w:hRule="auto" w:val="0"/>
        </w:trPr>
        <w:tc>
          <w:tcPr>
            <w:tcW w:w="42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Pasivos financieros</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01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9255" w:type="dxa"/>
          <w:tblInd w:w="709" w:type="dxa"/>
          <w:tblLayout w:type="fixed"/>
        </w:tblPrEx>
        <w:trPr>
          <w:cantSplit/>
          <w:trHeight w:hRule="auto" w:val="0"/>
        </w:trPr>
        <w:tc>
          <w:tcPr>
            <w:tcW w:w="423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Corrientes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No corrientes</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Corrientes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No corrientes</w:t>
            </w:r>
          </w:p>
        </w:tc>
      </w:tr>
      <w:tr>
        <w:tblPrEx>
          <w:tblW w:w="9255" w:type="dxa"/>
          <w:tblInd w:w="709" w:type="dxa"/>
          <w:tblLayout w:type="fixed"/>
        </w:tblPrEx>
        <w:trPr>
          <w:cantSplit/>
          <w:trHeight w:hRule="auto" w:val="0"/>
        </w:trPr>
        <w:tc>
          <w:tcPr>
            <w:tcW w:w="4230"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Préstamos bancarios.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8.588.626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2.200.000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8.592.266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2.200.000</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Préstamos bancarios.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20.888.860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1.624.497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22.129.061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préstamos bancarios</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29.477.486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3.824.497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30.721.327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2.200.000</w:t>
            </w:r>
          </w:p>
        </w:tc>
      </w:tr>
    </w:tbl>
    <w:p>
      <w:pPr>
        <w:keepNext/>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CL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Peso chileno.</w:t>
      </w:r>
    </w:p>
    <w:p>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US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Dólar estadounidense</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65" w:name="Section87"/>
      <w:bookmarkEnd w:id="165"/>
      <w:bookmarkStart w:id="166" w:name="fd38b0a1364b4899976a709f5fbbbb6e"/>
      <w:r>
        <w:rPr>
          <w:rFonts w:ascii="Calibri" w:eastAsia="Calibri" w:hAnsi="Calibri" w:cs="Calibri"/>
          <w:b/>
          <w:i w:val="0"/>
          <w:color w:val="000000"/>
          <w:sz w:val="20"/>
          <w:u w:val="none"/>
        </w:rPr>
        <w:t>18.2.-</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bancarios - desglose de monedas y vencimientos.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6"/>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6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5"/>
        <w:gridCol w:w="795"/>
        <w:gridCol w:w="1095"/>
        <w:gridCol w:w="1305"/>
        <w:gridCol w:w="600"/>
        <w:gridCol w:w="900"/>
        <w:gridCol w:w="600"/>
        <w:gridCol w:w="600"/>
        <w:gridCol w:w="795"/>
        <w:gridCol w:w="795"/>
        <w:gridCol w:w="795"/>
        <w:gridCol w:w="795"/>
        <w:gridCol w:w="795"/>
        <w:gridCol w:w="795"/>
        <w:gridCol w:w="795"/>
        <w:gridCol w:w="795"/>
      </w:tblGrid>
      <w:tr>
        <w:tblPrEx>
          <w:tblW w:w="12660" w:type="dxa"/>
          <w:tblInd w:w="709" w:type="dxa"/>
          <w:tblLayout w:type="fixed"/>
        </w:tblPrEx>
        <w:trPr>
          <w:cantSplit/>
          <w:trHeight w:hRule="auto" w:val="0"/>
          <w:tblHeader/>
        </w:trPr>
        <w:tc>
          <w:tcPr>
            <w:tcW w:w="4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3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31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23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2660" w:type="dxa"/>
          <w:tblInd w:w="709"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30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238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159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2660" w:type="dxa"/>
          <w:tblInd w:w="709"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30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w:t>
            </w:r>
            <w:r>
              <w:br/>
            </w:r>
            <w:r>
              <w:rPr>
                <w:rFonts w:ascii="Calibri" w:eastAsia="Calibri" w:hAnsi="Calibri" w:cs="Calibri"/>
                <w:b/>
                <w:i w:val="0"/>
                <w:color w:val="FFFFFF"/>
                <w:sz w:val="10"/>
                <w:u w:val="none"/>
              </w:rPr>
              <w:t>hasta 3 años</w:t>
            </w:r>
          </w:p>
        </w:tc>
        <w:tc>
          <w:tcPr>
            <w:tcW w:w="7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r>
      <w:tr>
        <w:tblPrEx>
          <w:tblW w:w="12660" w:type="dxa"/>
          <w:tblInd w:w="709" w:type="dxa"/>
          <w:tblLayout w:type="fixed"/>
        </w:tblPrEx>
        <w:trPr>
          <w:cantSplit/>
          <w:trHeight w:hRule="auto" w:val="0"/>
          <w:tblHeader/>
        </w:trPr>
        <w:tc>
          <w:tcPr>
            <w:tcW w:w="405" w:type="dxa"/>
            <w:vMerge/>
            <w:tcBorders>
              <w:top w:val="nil"/>
              <w:left w:val="single" w:sz="2" w:space="0" w:color="000000"/>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30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2660" w:type="dxa"/>
          <w:tblInd w:w="709" w:type="dxa"/>
          <w:tblLayout w:type="fixed"/>
        </w:tblPrEx>
        <w:trPr>
          <w:cantSplit/>
          <w:trHeight w:hRule="exact" w:val="60"/>
          <w:tblHeader/>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4,84 %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4,84 %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15.936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15.936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1.624.497</w:t>
            </w:r>
          </w:p>
        </w:tc>
        <w:tc>
          <w:tcPr>
            <w:tcW w:w="7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1.624.497</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5,18 %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5,18 %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73.382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7.573.382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15.349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15.349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2.200.000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2.200.000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4,74 %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4,74 %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3.485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2.037.254</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2.040.739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18.253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1.716.163</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1.734.416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11.986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1.126.991</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1.138.977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61.979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5.564.760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5.626.739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25.853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2.782.380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2.808.233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4,50 %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4.244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1.212.681</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1.216.925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6,37 %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5,47 %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760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999.135</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999.895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4,81 %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4,81 %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996.626</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997.292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3.726.037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3.726.037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1.583.566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1.583.566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660" w:type="dxa"/>
          <w:tblInd w:w="709" w:type="dxa"/>
          <w:tblLayout w:type="fixed"/>
        </w:tblPrEx>
        <w:trPr>
          <w:cantSplit/>
          <w:trHeight w:hRule="auto" w:val="0"/>
        </w:trPr>
        <w:tc>
          <w:tcPr>
            <w:tcW w:w="709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207.389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5.334.107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23.935.990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29.477.486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1.624.497</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3.824.497</w:t>
            </w:r>
          </w:p>
        </w:tc>
      </w:tr>
    </w:tbl>
    <w:p>
      <w:pPr>
        <w:keepNext w:val="0"/>
        <w:keepLines/>
        <w:pageBreakBefore w:val="0"/>
        <w:widowControl w:val="0"/>
        <w:numPr>
          <w:ilvl w:val="0"/>
          <w:numId w:val="0"/>
        </w:numPr>
        <w:spacing w:before="0" w:after="0" w:line="288" w:lineRule="auto"/>
        <w:ind w:left="1416" w:right="0" w:hanging="1416"/>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tbl>
      <w:tblPr>
        <w:tblW w:w="126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5"/>
        <w:gridCol w:w="795"/>
        <w:gridCol w:w="1095"/>
        <w:gridCol w:w="1305"/>
        <w:gridCol w:w="600"/>
        <w:gridCol w:w="900"/>
        <w:gridCol w:w="600"/>
        <w:gridCol w:w="600"/>
        <w:gridCol w:w="795"/>
        <w:gridCol w:w="795"/>
        <w:gridCol w:w="795"/>
        <w:gridCol w:w="795"/>
        <w:gridCol w:w="795"/>
        <w:gridCol w:w="795"/>
        <w:gridCol w:w="795"/>
        <w:gridCol w:w="795"/>
      </w:tblGrid>
      <w:tr>
        <w:tblPrEx>
          <w:tblW w:w="12660" w:type="dxa"/>
          <w:tblInd w:w="709" w:type="dxa"/>
          <w:tblLayout w:type="fixed"/>
        </w:tblPrEx>
        <w:trPr>
          <w:cantSplit/>
          <w:trHeight w:hRule="auto" w:val="0"/>
          <w:tblHeader/>
        </w:trPr>
        <w:tc>
          <w:tcPr>
            <w:tcW w:w="4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3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318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2385" w:type="dxa"/>
            <w:gridSpan w:val="3"/>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2660" w:type="dxa"/>
          <w:tblInd w:w="709"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30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238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1590" w:type="dxa"/>
            <w:gridSpan w:val="2"/>
            <w:tcBorders>
              <w:top w:val="single" w:sz="4" w:space="0" w:color="FFFFFF"/>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2660" w:type="dxa"/>
          <w:tblInd w:w="709"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30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w:t>
            </w:r>
            <w:r>
              <w:br/>
            </w:r>
            <w:r>
              <w:rPr>
                <w:rFonts w:ascii="Calibri" w:eastAsia="Calibri" w:hAnsi="Calibri" w:cs="Calibri"/>
                <w:b/>
                <w:i w:val="0"/>
                <w:color w:val="FFFFFF"/>
                <w:sz w:val="10"/>
                <w:u w:val="none"/>
              </w:rPr>
              <w:t>hasta 3 años</w:t>
            </w:r>
          </w:p>
        </w:tc>
        <w:tc>
          <w:tcPr>
            <w:tcW w:w="7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r>
      <w:tr>
        <w:tblPrEx>
          <w:tblW w:w="12660" w:type="dxa"/>
          <w:tblInd w:w="709" w:type="dxa"/>
          <w:tblLayout w:type="fixed"/>
        </w:tblPrEx>
        <w:trPr>
          <w:cantSplit/>
          <w:trHeight w:hRule="auto" w:val="0"/>
          <w:tblHeader/>
        </w:trPr>
        <w:tc>
          <w:tcPr>
            <w:tcW w:w="405" w:type="dxa"/>
            <w:vMerge/>
            <w:tcBorders>
              <w:top w:val="nil"/>
              <w:left w:val="single" w:sz="2" w:space="0" w:color="000000"/>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30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2660" w:type="dxa"/>
          <w:tblInd w:w="709" w:type="dxa"/>
          <w:tblLayout w:type="fixed"/>
        </w:tblPrEx>
        <w:trPr>
          <w:cantSplit/>
          <w:trHeight w:hRule="exact" w:val="60"/>
          <w:tblHeader/>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660"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4,62 %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4,62 %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1.611.343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1.611.343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5,28 %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5,28 %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77.000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7.577.000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5,58 %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5,58 %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16.368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16.368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2.200.000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2.200.000</w:t>
            </w:r>
          </w:p>
        </w:tc>
      </w:tr>
      <w:tr>
        <w:tblPrEx>
          <w:tblW w:w="12660"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4,75 %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4,75 %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3.434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2.001.494</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2.004.928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19.516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1.686.039</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1.705.555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12.816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1.107.209</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1.120.025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4,87 %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4,87 %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66.513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5.467.080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5.533.593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26.076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2.733.540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2.759.616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4,63 %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4,63 %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1.195.687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1.195.687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6,38 %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5,48 %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998.137</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998.898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4,79%</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4,79%</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651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979.132</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979.783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17.407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3.644.720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3.662.127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7.398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1.549.006</w:t>
            </w:r>
          </w:p>
        </w:tc>
        <w:tc>
          <w:tcPr>
            <w:tcW w:w="7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1.556.404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660" w:type="dxa"/>
          <w:tblInd w:w="709" w:type="dxa"/>
          <w:tblLayout w:type="fixed"/>
        </w:tblPrEx>
        <w:trPr>
          <w:cantSplit/>
          <w:trHeight w:hRule="auto" w:val="0"/>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660" w:type="dxa"/>
          <w:tblInd w:w="709" w:type="dxa"/>
          <w:tblLayout w:type="fixed"/>
        </w:tblPrEx>
        <w:trPr>
          <w:cantSplit/>
          <w:trHeight w:hRule="auto" w:val="0"/>
        </w:trPr>
        <w:tc>
          <w:tcPr>
            <w:tcW w:w="709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1.813.264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1.241.706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27.666.357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30.721.327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r>
    </w:tbl>
    <w:p>
      <w:pPr>
        <w:keepNext w:val="0"/>
        <w:keepLines/>
        <w:pageBreakBefore w:val="0"/>
        <w:widowControl w:val="0"/>
        <w:numPr>
          <w:ilvl w:val="0"/>
          <w:numId w:val="0"/>
        </w:numPr>
        <w:spacing w:before="0" w:after="0" w:line="288" w:lineRule="auto"/>
        <w:ind w:left="1416" w:right="0" w:hanging="1416"/>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hanging="1416"/>
        <w:jc w:val="both"/>
        <w:outlineLvl w:val="9"/>
        <w:rPr>
          <w:rFonts w:ascii="Calibri" w:eastAsia="Calibri" w:hAnsi="Calibri" w:cs="Calibri"/>
          <w:b w:val="0"/>
          <w:i w:val="0"/>
          <w:color w:val="000000"/>
          <w:sz w:val="20"/>
          <w:u w:val="none"/>
        </w:rPr>
        <w:sectPr>
          <w:headerReference w:type="default" r:id="rId37"/>
          <w:footerReference w:type="default" r:id="rId38"/>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67" w:name="Section88"/>
      <w:bookmarkEnd w:id="167"/>
      <w:bookmarkStart w:id="168" w:name="8f6e90ee230b4063884ae59b0188867f"/>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8"/>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energía y otros eléctricos.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3.166.057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4.160.660</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1.140.855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Dividendos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304.344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(Ver Nota 19.1)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692.368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6.680.627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importación.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9.422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1.717.624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13.711.297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4.160.660</w:t>
            </w:r>
          </w:p>
        </w:tc>
      </w:tr>
    </w:tbl>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Ver Nota N° 4.3.-</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tienen proveedores de importancia cuyos pasivos superen el 10% de este ítem.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headerReference w:type="default" r:id="rId39"/>
          <w:footerReference w:type="default" r:id="rId40"/>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9" w:name="Section89"/>
      <w:bookmarkEnd w:id="169"/>
      <w:bookmarkStart w:id="170" w:name="b9d294c84f814411bdc8c782fcab1bff"/>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0"/>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acumulados (o devengados).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678.442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Bonificaciones de feriados.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13.926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692.368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71" w:name="Section90"/>
      <w:bookmarkEnd w:id="171"/>
      <w:bookmarkStart w:id="172" w:name="a0b570044db745ab883989b2ca53d2f1"/>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72"/>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240"/>
        <w:gridCol w:w="1005"/>
        <w:gridCol w:w="1005"/>
        <w:gridCol w:w="1005"/>
      </w:tblGrid>
      <w:tr>
        <w:tblPrEx>
          <w:tblW w:w="9255" w:type="dxa"/>
          <w:tblInd w:w="709" w:type="dxa"/>
          <w:tblLayout w:type="fixed"/>
        </w:tblPrEx>
        <w:trPr>
          <w:cantSplit/>
          <w:trHeight w:hRule="auto" w:val="0"/>
        </w:trPr>
        <w:tc>
          <w:tcPr>
            <w:tcW w:w="62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55" w:type="dxa"/>
          <w:tblInd w:w="709" w:type="dxa"/>
          <w:tblLayout w:type="fixed"/>
        </w:tblPrEx>
        <w:trPr>
          <w:cantSplit/>
          <w:trHeight w:hRule="auto" w:val="0"/>
        </w:trPr>
        <w:tc>
          <w:tcPr>
            <w:tcW w:w="6240" w:type="dxa"/>
            <w:vMerge/>
            <w:tcBorders>
              <w:top w:val="nil"/>
              <w:left w:val="single" w:sz="2" w:space="0" w:color="000000"/>
              <w:bottom w:val="nil"/>
              <w:right w:val="nil"/>
            </w:tcBorders>
          </w:tcPr>
          <w:p>
            <w:pPr>
              <w:keepNext/>
              <w:pageBreakBefore w:val="0"/>
            </w:pP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9255" w:type="dxa"/>
          <w:tblInd w:w="709" w:type="dxa"/>
          <w:tblLayout w:type="fixed"/>
        </w:tblPrEx>
        <w:trPr>
          <w:cantSplit/>
          <w:trHeight w:hRule="auto" w:val="0"/>
        </w:trPr>
        <w:tc>
          <w:tcPr>
            <w:tcW w:w="62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(326.607)</w:t>
            </w: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(326.607)</w:t>
            </w: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121 y 365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326.607</w:t>
            </w:r>
          </w:p>
        </w:tc>
        <w:tc>
          <w:tcPr>
            <w:tcW w:w="1005" w:type="dxa"/>
            <w:tcBorders>
              <w:top w:val="single" w:sz="4" w:space="0" w:color="FFFFFF"/>
              <w:left w:val="single" w:sz="2" w:space="0" w:color="000000"/>
              <w:bottom w:val="single" w:sz="8"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326.607</w:t>
            </w: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Más de 365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005" w:type="dxa"/>
            <w:tcBorders>
              <w:top w:val="single" w:sz="8"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6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240"/>
        <w:gridCol w:w="1005"/>
        <w:gridCol w:w="1005"/>
        <w:gridCol w:w="1005"/>
      </w:tblGrid>
      <w:tr>
        <w:tblPrEx>
          <w:tblW w:w="9255" w:type="dxa"/>
          <w:tblInd w:w="709" w:type="dxa"/>
          <w:tblLayout w:type="fixed"/>
        </w:tblPrEx>
        <w:trPr>
          <w:cantSplit/>
          <w:trHeight w:hRule="auto" w:val="0"/>
        </w:trPr>
        <w:tc>
          <w:tcPr>
            <w:tcW w:w="62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55" w:type="dxa"/>
          <w:tblInd w:w="709" w:type="dxa"/>
          <w:tblLayout w:type="fixed"/>
        </w:tblPrEx>
        <w:trPr>
          <w:cantSplit/>
          <w:trHeight w:hRule="auto" w:val="0"/>
        </w:trPr>
        <w:tc>
          <w:tcPr>
            <w:tcW w:w="6240" w:type="dxa"/>
            <w:vMerge/>
            <w:tcBorders>
              <w:top w:val="nil"/>
              <w:left w:val="single" w:sz="2" w:space="0" w:color="000000"/>
              <w:bottom w:val="nil"/>
              <w:right w:val="nil"/>
            </w:tcBorders>
          </w:tcPr>
          <w:p>
            <w:pPr>
              <w:keepNext/>
              <w:pageBreakBefore w:val="0"/>
            </w:pP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2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9.856.105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1.581.363</w:t>
            </w: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11.437.468</w:t>
            </w: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695.060</w:t>
            </w: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695.060</w:t>
            </w: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1.578.769</w:t>
            </w: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1.578.769</w:t>
            </w: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4.160.660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4.160.660</w:t>
            </w:r>
          </w:p>
        </w:tc>
      </w:tr>
      <w:tr>
        <w:tblPrEx>
          <w:tblW w:w="9255" w:type="dxa"/>
          <w:tblInd w:w="709" w:type="dxa"/>
          <w:tblLayout w:type="fixed"/>
        </w:tblPrEx>
        <w:trPr>
          <w:cantSplit/>
          <w:trHeight w:hRule="auto" w:val="0"/>
        </w:trPr>
        <w:tc>
          <w:tcPr>
            <w:tcW w:w="6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14.016.765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3.855.192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17.871.957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existen cuentas por pagar comerciales con plazos vencidos.</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73" w:name="Section91"/>
      <w:bookmarkEnd w:id="173"/>
      <w:bookmarkStart w:id="174" w:name="77b26569e5ec490380bd0e843e29a150"/>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4"/>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5" w:name="Section92"/>
      <w:bookmarkEnd w:id="175"/>
      <w:bookmarkStart w:id="176" w:name="158e046d34554044982b32e888ea12c4"/>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 saldos.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6"/>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900"/>
        <w:gridCol w:w="900"/>
        <w:gridCol w:w="900"/>
        <w:gridCol w:w="900"/>
      </w:tblGrid>
      <w:tr>
        <w:tblPrEx>
          <w:tblW w:w="9255" w:type="dxa"/>
          <w:tblInd w:w="709" w:type="dxa"/>
          <w:tblLayout w:type="fixed"/>
        </w:tblPrEx>
        <w:trPr>
          <w:cantSplit/>
          <w:trHeight w:hRule="auto" w:val="0"/>
        </w:trPr>
        <w:tc>
          <w:tcPr>
            <w:tcW w:w="56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 de provisiones</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utilidades y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284.749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284.749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20.1.1.-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Provisiones de reclamaciones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montos corresponden a la provisión para ciertas demandas legales contra la sociedad. Los plazos para utilizar los saldos de las provisiones están acotados a los plazos normales de los procesos judiciales. </w:t>
      </w:r>
    </w:p>
    <w:p>
      <w:pPr>
        <w:keepNext w:val="0"/>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20.1.2.-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utilidades y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provisión para la participación de los empleados en las utilidades y de los bonos de desempeño se paga al mes siguiente de la aprobación de los estados financieros.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7" w:name="Section93"/>
      <w:bookmarkEnd w:id="177"/>
      <w:bookmarkStart w:id="178" w:name="ed90236c5fdc49fcb906b6191ac22a18"/>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 de las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8"/>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284.749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284.749</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Saldo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284.749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284.749</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201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305.585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305.585</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388.161</w:t>
            </w:r>
          </w:p>
        </w:tc>
        <w:tc>
          <w:tcPr>
            <w:tcW w:w="1005" w:type="dxa"/>
            <w:tcBorders>
              <w:top w:val="nil"/>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388.161</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(408.997)</w:t>
            </w: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(408.997)</w:t>
            </w:r>
          </w:p>
        </w:tc>
      </w:tr>
      <w:tr>
        <w:tblPrEx>
          <w:tblW w:w="8550" w:type="dxa"/>
          <w:tblInd w:w="1417" w:type="dxa"/>
          <w:tblLayout w:type="fixed"/>
        </w:tblPrEx>
        <w:trPr>
          <w:cantSplit/>
          <w:trHeight w:hRule="auto" w:val="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(20.836)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(20.836)</w:t>
            </w:r>
          </w:p>
        </w:tc>
      </w:tr>
      <w:tr>
        <w:tblPrEx>
          <w:tblW w:w="8550" w:type="dxa"/>
          <w:tblInd w:w="1417" w:type="dxa"/>
          <w:tblLayout w:type="fixed"/>
        </w:tblPrEx>
        <w:trPr>
          <w:cantSplit/>
          <w:trHeight w:hRule="auto" w:val="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Saldo al 31 de diciembre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284.749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284.749</w:t>
            </w:r>
          </w:p>
        </w:tc>
      </w:tr>
    </w:tbl>
    <w:p>
      <w:pPr>
        <w:keepNext w:val="0"/>
        <w:keepLines/>
        <w:pageBreakBefore w:val="0"/>
        <w:widowControl w:val="0"/>
        <w:numPr>
          <w:ilvl w:val="0"/>
          <w:numId w:val="0"/>
        </w:numPr>
        <w:spacing w:before="0" w:after="0" w:line="288" w:lineRule="auto"/>
        <w:ind w:left="2160"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60" w:right="0" w:hanging="709"/>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79" w:name="Section94"/>
      <w:bookmarkEnd w:id="179"/>
      <w:bookmarkStart w:id="180" w:name="2155325d05c945de9f4863e3da27ee07"/>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0"/>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1" w:name="Section95"/>
      <w:bookmarkEnd w:id="181"/>
      <w:bookmarkStart w:id="182" w:name="0d0acf9019b54f118ac41f9aab761853"/>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005" w:type="dxa"/>
            <w:tcBorders>
              <w:top w:val="single" w:sz="2" w:space="0" w:color="000000"/>
              <w:left w:val="single" w:sz="8" w:space="0" w:color="929292"/>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8" w:space="0" w:color="929292"/>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2.403.031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2.291.863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005" w:type="dxa"/>
            <w:tcBorders>
              <w:top w:val="single" w:sz="2" w:space="0" w:color="000000"/>
              <w:left w:val="single" w:sz="8" w:space="0" w:color="929292"/>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8" w:space="0" w:color="929292"/>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43.867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44.472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2.446.898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2.336.335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3" w:name="Section96"/>
      <w:bookmarkEnd w:id="183"/>
      <w:bookmarkStart w:id="184" w:name="3ad82d07d07348099287522dab9377b8"/>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presente de las obligaciones post empleo y similar</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Valor presente obligación, saldo inicial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2.291.863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2.413.954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44.472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61.723</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obligación plan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33.680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131.305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2.002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(5.722)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por obligación de plan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38.929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146.759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744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3.196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Ganancias pérdidas actuariales obligación planes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38.559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(30.648)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Liquidaciones obligación plan de beneficios definidos y transferencia de obligaciones por traspaso de personal desde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(369.507)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(3.351)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(14.725)</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111.168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(122.091)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(605)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(17.251)</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2.403.031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2.291.863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43.867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44.472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5" w:name="Section97"/>
      <w:bookmarkEnd w:id="185"/>
      <w:bookmarkStart w:id="186" w:name="6a7bef635c974de496602d5de14c3628"/>
      <w:r>
        <w:rPr>
          <w:rFonts w:ascii="Calibri" w:eastAsia="Calibri" w:hAnsi="Calibri" w:cs="Calibri"/>
          <w:b/>
          <w:i w:val="0"/>
          <w:color w:val="000000"/>
          <w:sz w:val="20"/>
          <w:u w:val="none"/>
        </w:rPr>
        <w:t>21.3.-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6"/>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Balance plan de beneficios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Obligación presente sin fondos de plan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2.403.031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2.291.863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43.867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44.472</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2.403.031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2.291.863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43.867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44.472</w:t>
            </w:r>
          </w:p>
        </w:tc>
      </w:tr>
    </w:tbl>
    <w:p>
      <w:pPr>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7" w:name="Section98"/>
      <w:bookmarkEnd w:id="187"/>
      <w:bookmarkStart w:id="188" w:name="541ca4e4c18446809bcb8e86c6ebce23"/>
      <w:r>
        <w:rPr>
          <w:rFonts w:ascii="Calibri" w:eastAsia="Calibri" w:hAnsi="Calibri" w:cs="Calibri"/>
          <w:b/>
          <w:i w:val="0"/>
          <w:color w:val="000000"/>
          <w:sz w:val="20"/>
          <w:u w:val="none"/>
        </w:rPr>
        <w:t>21.4.-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025"/>
        <w:gridCol w:w="645"/>
        <w:gridCol w:w="645"/>
        <w:gridCol w:w="645"/>
        <w:gridCol w:w="645"/>
        <w:gridCol w:w="645"/>
        <w:gridCol w:w="645"/>
        <w:gridCol w:w="645"/>
        <w:gridCol w:w="645"/>
        <w:gridCol w:w="1365"/>
      </w:tblGrid>
      <w:tr>
        <w:tblPrEx>
          <w:tblW w:w="8550" w:type="dxa"/>
          <w:tblInd w:w="1417" w:type="dxa"/>
          <w:tblLayout w:type="fixed"/>
        </w:tblPrEx>
        <w:trPr>
          <w:cantSplit/>
          <w:trHeight w:hRule="auto" w:val="0"/>
        </w:trPr>
        <w:tc>
          <w:tcPr>
            <w:tcW w:w="20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Gastos reconocidos en el estado de resultados por función</w:t>
            </w:r>
          </w:p>
        </w:tc>
        <w:tc>
          <w:tcPr>
            <w:tcW w:w="12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Indemnización por años de servicios</w:t>
            </w:r>
          </w:p>
        </w:tc>
        <w:tc>
          <w:tcPr>
            <w:tcW w:w="12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Premios por antigüedad</w:t>
            </w:r>
          </w:p>
        </w:tc>
        <w:tc>
          <w:tcPr>
            <w:tcW w:w="1290" w:type="dxa"/>
            <w:gridSpan w:val="2"/>
            <w:tcBorders>
              <w:top w:val="single" w:sz="2" w:space="0" w:color="000000"/>
              <w:left w:val="nil"/>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Indemnización por años de servicios</w:t>
            </w:r>
          </w:p>
        </w:tc>
        <w:tc>
          <w:tcPr>
            <w:tcW w:w="1290" w:type="dxa"/>
            <w:gridSpan w:val="2"/>
            <w:tcBorders>
              <w:top w:val="single" w:sz="2" w:space="0" w:color="000000"/>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Premios por antigüedad</w:t>
            </w:r>
          </w:p>
        </w:tc>
        <w:tc>
          <w:tcPr>
            <w:tcW w:w="1365" w:type="dxa"/>
            <w:vMerge w:val="restart"/>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Línea del estado de resultados</w:t>
            </w:r>
          </w:p>
        </w:tc>
      </w:tr>
      <w:tr>
        <w:tblPrEx>
          <w:tblW w:w="8550" w:type="dxa"/>
          <w:tblInd w:w="1417" w:type="dxa"/>
          <w:tblLayout w:type="fixed"/>
        </w:tblPrEx>
        <w:trPr>
          <w:cantSplit/>
          <w:trHeight w:hRule="auto" w:val="0"/>
        </w:trPr>
        <w:tc>
          <w:tcPr>
            <w:tcW w:w="2025" w:type="dxa"/>
            <w:vMerge/>
            <w:tcBorders>
              <w:top w:val="nil"/>
              <w:left w:val="single" w:sz="2" w:space="0" w:color="000000"/>
              <w:bottom w:val="nil"/>
              <w:right w:val="nil"/>
            </w:tcBorders>
          </w:tcPr>
          <w:p>
            <w:pPr>
              <w:keepNext/>
              <w:pageBreakBefore w:val="0"/>
            </w:pP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64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c>
          <w:tcPr>
            <w:tcW w:w="64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64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c>
          <w:tcPr>
            <w:tcW w:w="1365" w:type="dxa"/>
            <w:vMerge/>
            <w:tcBorders>
              <w:top w:val="nil"/>
              <w:left w:val="single" w:sz="8"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025" w:type="dxa"/>
            <w:vMerge/>
            <w:tcBorders>
              <w:top w:val="nil"/>
              <w:left w:val="single" w:sz="2" w:space="0" w:color="000000"/>
              <w:bottom w:val="nil"/>
              <w:right w:val="nil"/>
            </w:tcBorders>
          </w:tcPr>
          <w:p>
            <w:pPr>
              <w:keepNext/>
              <w:pageBreakBefore w:val="0"/>
            </w:pP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64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64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64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1365" w:type="dxa"/>
            <w:vMerge/>
            <w:tcBorders>
              <w:top w:val="nil"/>
              <w:left w:val="single" w:sz="8"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025" w:type="dxa"/>
            <w:vMerge/>
            <w:tcBorders>
              <w:top w:val="nil"/>
              <w:left w:val="single" w:sz="2" w:space="0" w:color="000000"/>
              <w:bottom w:val="single" w:sz="2" w:space="0" w:color="000000"/>
              <w:right w:val="nil"/>
            </w:tcBorders>
          </w:tcPr>
          <w:p>
            <w:pPr>
              <w:keepNext/>
              <w:pageBreakBefore w:val="0"/>
            </w:pP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1365" w:type="dxa"/>
            <w:vMerge/>
            <w:tcBorders>
              <w:top w:val="nil"/>
              <w:left w:val="single" w:sz="8" w:space="0" w:color="FFFFFF"/>
              <w:bottom w:val="single" w:sz="2" w:space="0" w:color="000000"/>
              <w:right w:val="single" w:sz="2" w:space="0" w:color="000000"/>
            </w:tcBorders>
          </w:tcPr>
          <w:p>
            <w:pPr>
              <w:keepNext/>
              <w:pageBreakBefore w:val="0"/>
            </w:pPr>
          </w:p>
        </w:tc>
      </w:tr>
      <w:tr>
        <w:tblPrEx>
          <w:tblW w:w="8550" w:type="dxa"/>
          <w:tblInd w:w="1417" w:type="dxa"/>
          <w:tblLayout w:type="fixed"/>
        </w:tblPrEx>
        <w:trPr>
          <w:cantSplit/>
          <w:trHeight w:hRule="auto" w:val="0"/>
        </w:trPr>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1"/>
                <w:u w:val="none"/>
              </w:rPr>
              <w:t>Costo del servicio corriente plan de beneficios definidos.</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33.680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67.260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2.002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2.199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34.069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1.105</w:t>
            </w:r>
          </w:p>
        </w:tc>
        <w:tc>
          <w:tcPr>
            <w:tcW w:w="13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Costo de ventas - gastos de administración.</w:t>
            </w:r>
          </w:p>
        </w:tc>
      </w:tr>
      <w:tr>
        <w:tblPrEx>
          <w:tblW w:w="8550" w:type="dxa"/>
          <w:tblInd w:w="1417" w:type="dxa"/>
          <w:tblLayout w:type="fixed"/>
        </w:tblPrEx>
        <w:trPr>
          <w:cantSplit/>
          <w:trHeight w:hRule="auto" w:val="0"/>
        </w:trPr>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1"/>
                <w:u w:val="none"/>
              </w:rPr>
              <w:t>Costo por intereses plan de beneficios definidos.</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38.929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70.259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744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1.610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33.881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816</w:t>
            </w:r>
          </w:p>
        </w:tc>
        <w:tc>
          <w:tcPr>
            <w:tcW w:w="13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Costos Financieros.</w:t>
            </w:r>
          </w:p>
        </w:tc>
      </w:tr>
      <w:tr>
        <w:tblPrEx>
          <w:tblW w:w="8550" w:type="dxa"/>
          <w:tblInd w:w="1417" w:type="dxa"/>
          <w:tblLayout w:type="fixed"/>
        </w:tblPrEx>
        <w:trPr>
          <w:cantSplit/>
          <w:trHeight w:hRule="auto" w:val="0"/>
        </w:trPr>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1"/>
                <w:u w:val="none"/>
              </w:rPr>
              <w:t>Total</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72.609</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137.519</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2.746</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3.809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0</w:t>
            </w:r>
          </w:p>
        </w:tc>
        <w:tc>
          <w:tcPr>
            <w:tcW w:w="64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67.950</w:t>
            </w:r>
          </w:p>
        </w:tc>
        <w:tc>
          <w:tcPr>
            <w:tcW w:w="64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0</w:t>
            </w:r>
          </w:p>
        </w:tc>
        <w:tc>
          <w:tcPr>
            <w:tcW w:w="64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1"/>
                <w:u w:val="none"/>
              </w:rPr>
              <w:t>1.921</w:t>
            </w:r>
          </w:p>
        </w:tc>
        <w:tc>
          <w:tcPr>
            <w:tcW w:w="1365" w:type="dxa"/>
            <w:tcBorders>
              <w:top w:val="single" w:sz="2" w:space="0" w:color="000000"/>
              <w:left w:val="single" w:sz="8" w:space="0" w:color="FFFFFF"/>
              <w:bottom w:val="nil"/>
              <w:right w:val="nil"/>
            </w:tcBorders>
            <w:tcMar>
              <w:top w:w="0" w:type="dxa"/>
              <w:left w:w="0" w:type="dxa"/>
              <w:bottom w:w="0" w:type="dxa"/>
              <w:right w:w="0" w:type="dxa"/>
            </w:tcMar>
            <w:vAlign w:val="bottom"/>
          </w:tcPr>
          <w:p>
            <w:pPr>
              <w:pageBreakBefore w:val="0"/>
              <w:spacing w:before="0" w:after="0"/>
            </w:pP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highlight w:val="white"/>
          <w:u w:val="none"/>
        </w:rPr>
      </w:pPr>
      <w:bookmarkStart w:id="189" w:name="Section99"/>
      <w:bookmarkEnd w:id="189"/>
      <w:bookmarkStart w:id="190" w:name="cffd5c618b4d4606930302c58a7a4450"/>
      <w:r>
        <w:rPr>
          <w:rFonts w:ascii="Calibri" w:eastAsia="Calibri" w:hAnsi="Calibri" w:cs="Calibri"/>
          <w:b/>
          <w:i w:val="0"/>
          <w:color w:val="000000"/>
          <w:sz w:val="20"/>
          <w:highlight w:val="white"/>
          <w:u w:val="none"/>
        </w:rPr>
        <w:t>21.5.-</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Hipótesis actuariales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intermedios han sido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61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65"/>
        <w:gridCol w:w="3000"/>
      </w:tblGrid>
      <w:tr>
        <w:tblPrEx>
          <w:tblW w:w="6165" w:type="dxa"/>
          <w:tblInd w:w="1417" w:type="dxa"/>
          <w:tblLayout w:type="fixed"/>
        </w:tblPrEx>
        <w:trPr>
          <w:cantSplit/>
          <w:trHeight w:hRule="auto" w:val="0"/>
        </w:trPr>
        <w:tc>
          <w:tcPr>
            <w:tcW w:w="616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6165" w:type="dxa"/>
          <w:tblInd w:w="1417" w:type="dxa"/>
          <w:tblLayout w:type="fixed"/>
        </w:tblPrEx>
        <w:trPr>
          <w:cantSplit/>
          <w:trHeight w:hRule="auto" w:val="0"/>
        </w:trPr>
        <w:tc>
          <w:tcPr>
            <w:tcW w:w="316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30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2,11 %</w:t>
            </w:r>
          </w:p>
        </w:tc>
      </w:tr>
      <w:tr>
        <w:tblPrEx>
          <w:tblW w:w="6165"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30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2,90 %</w:t>
            </w:r>
          </w:p>
        </w:tc>
      </w:tr>
      <w:tr>
        <w:tblPrEx>
          <w:tblW w:w="6165"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30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6165"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30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tabs>
          <w:tab w:val="right" w:pos="7280"/>
          <w:tab w:val="right" w:pos="8540"/>
        </w:tabs>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right" w:pos="7280"/>
          <w:tab w:val="right" w:pos="854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se aplicó la misma metodología utilizada en el ejercicio anterior. Respecto a lo anterior, la Sociedad contrató a Mercer (Argentina) S.A., para la determinación de las obligaciones por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tbl>
      <w:tblPr>
        <w:tblW w:w="619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200"/>
        <w:gridCol w:w="1200"/>
      </w:tblGrid>
      <w:tr>
        <w:tblPrEx>
          <w:tblW w:w="6195" w:type="dxa"/>
          <w:tblInd w:w="1417"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6195" w:type="dxa"/>
          <w:tblInd w:w="1417"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193.905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(171.064)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91" w:name="Section100"/>
      <w:bookmarkEnd w:id="191"/>
      <w:bookmarkStart w:id="192" w:name="6179dd3223964544b933efc0bf32ec1e"/>
      <w:r>
        <w:rPr>
          <w:rFonts w:ascii="Calibri" w:eastAsia="Calibri" w:hAnsi="Calibri" w:cs="Calibri"/>
          <w:b/>
          <w:i w:val="0"/>
          <w:color w:val="000000"/>
          <w:sz w:val="20"/>
          <w:u w:val="none"/>
        </w:rPr>
        <w:t>21.6.-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flujo previsto de prestaciones para los próximos años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65"/>
        <w:gridCol w:w="1095"/>
        <w:gridCol w:w="1095"/>
        <w:gridCol w:w="1095"/>
      </w:tblGrid>
      <w:tr>
        <w:tblPrEx>
          <w:tblW w:w="8550" w:type="dxa"/>
          <w:tblInd w:w="1417" w:type="dxa"/>
          <w:tblLayout w:type="fixed"/>
        </w:tblPrEx>
        <w:trPr>
          <w:cantSplit/>
          <w:trHeight w:hRule="auto" w:val="0"/>
        </w:trPr>
        <w:tc>
          <w:tcPr>
            <w:tcW w:w="52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exact" w:val="255"/>
        </w:trPr>
        <w:tc>
          <w:tcPr>
            <w:tcW w:w="5265" w:type="dxa"/>
            <w:vMerge/>
            <w:tcBorders>
              <w:top w:val="nil"/>
              <w:left w:val="single" w:sz="2" w:space="0" w:color="000000"/>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exact" w:val="255"/>
        </w:trPr>
        <w:tc>
          <w:tcPr>
            <w:tcW w:w="526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52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1 Año.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148.743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2.146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150.889</w:t>
            </w: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2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172.130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7.828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179.958</w:t>
            </w: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3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123.796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1.245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125.041</w:t>
            </w: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4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311.812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2.144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313.956</w:t>
            </w: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5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89.560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6.695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96.255</w:t>
            </w: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6 a 10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726.882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13.767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740.649</w:t>
            </w: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Más de 10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830.108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10.042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840.150</w:t>
            </w:r>
          </w:p>
        </w:tc>
      </w:tr>
      <w:tr>
        <w:tblPrEx>
          <w:tblW w:w="8550" w:type="dxa"/>
          <w:tblInd w:w="1417" w:type="dxa"/>
          <w:tblLayout w:type="fixed"/>
        </w:tblPrEx>
        <w:trPr>
          <w:cantSplit/>
          <w:trHeight w:hRule="exact" w:val="255"/>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2.403.031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43.867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2.446.898</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65"/>
        <w:gridCol w:w="1095"/>
        <w:gridCol w:w="1095"/>
        <w:gridCol w:w="1095"/>
      </w:tblGrid>
      <w:tr>
        <w:tblPrEx>
          <w:tblW w:w="8550" w:type="dxa"/>
          <w:tblInd w:w="1417" w:type="dxa"/>
          <w:tblLayout w:type="fixed"/>
        </w:tblPrEx>
        <w:trPr>
          <w:cantSplit/>
          <w:trHeight w:hRule="auto" w:val="0"/>
        </w:trPr>
        <w:tc>
          <w:tcPr>
            <w:tcW w:w="52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5265" w:type="dxa"/>
            <w:vMerge/>
            <w:tcBorders>
              <w:top w:val="nil"/>
              <w:left w:val="single" w:sz="2" w:space="0" w:color="000000"/>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526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52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103.796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3.310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107.106</w:t>
            </w: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206.536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7.735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214.272</w:t>
            </w: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119.822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2.826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122.648</w:t>
            </w: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273.871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1.866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275.737</w:t>
            </w: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114.652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4.812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119.463</w:t>
            </w: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597.681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13.522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611.203</w:t>
            </w: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875.505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10.401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885.906</w:t>
            </w:r>
          </w:p>
        </w:tc>
      </w:tr>
      <w:tr>
        <w:tblPrEx>
          <w:tblW w:w="8550" w:type="dxa"/>
          <w:tblInd w:w="1417" w:type="dxa"/>
          <w:tblLayout w:type="fixed"/>
        </w:tblPrEx>
        <w:trPr>
          <w:cantSplit/>
          <w:trHeight w:hRule="auto" w:val="0"/>
        </w:trPr>
        <w:tc>
          <w:tcPr>
            <w:tcW w:w="5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2.291.863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44.472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2.336.335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93" w:name="Section101"/>
      <w:bookmarkEnd w:id="193"/>
      <w:bookmarkStart w:id="194" w:name="309aee36fc694cdf854e0f3f246e3781"/>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4"/>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900"/>
        <w:gridCol w:w="900"/>
        <w:gridCol w:w="900"/>
        <w:gridCol w:w="900"/>
      </w:tblGrid>
      <w:tr>
        <w:tblPrEx>
          <w:tblW w:w="9255" w:type="dxa"/>
          <w:tblInd w:w="709" w:type="dxa"/>
          <w:tblLayout w:type="fixed"/>
        </w:tblPrEx>
        <w:trPr>
          <w:cantSplit/>
          <w:trHeight w:hRule="auto" w:val="0"/>
        </w:trPr>
        <w:tc>
          <w:tcPr>
            <w:tcW w:w="56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pasivos no financieros</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168.461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Garantías recibidas en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178.878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347.339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88" w:lineRule="auto"/>
        <w:ind w:left="709" w:right="0" w:firstLine="0"/>
        <w:jc w:val="both"/>
        <w:outlineLvl w:val="1"/>
        <w:rPr>
          <w:rFonts w:ascii="Calibri" w:eastAsia="Calibri" w:hAnsi="Calibri" w:cs="Calibri"/>
          <w:b/>
          <w:i w:val="0"/>
          <w:color w:val="000000"/>
          <w:sz w:val="20"/>
          <w:highlight w:val="yellow"/>
          <w:u w:val="none"/>
        </w:rPr>
      </w:pPr>
      <w:bookmarkStart w:id="195" w:name="Section102"/>
      <w:bookmarkEnd w:id="195"/>
      <w:bookmarkStart w:id="196" w:name="1488c17bdbea4559a0d0b7fe253c36a8"/>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96"/>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Detalle de los ingresos diferidos</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por obras de terceros.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168.461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168.461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movimiento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w:t>
      </w:r>
      <w:r>
        <w:rPr>
          <w:rFonts w:ascii="Calibri" w:eastAsia="Calibri" w:hAnsi="Calibri" w:cs="Calibri"/>
          <w:b w:val="0"/>
          <w:i w:val="0"/>
          <w:sz w:val="20"/>
        </w:rPr>
        <w:t>iguiente:</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del período ingresos diferidos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 inicial ingresos diferidos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168.461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48.841</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Adiciones.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(148.378)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493.512</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Imputación a resultados.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(20.083)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(373.892)</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168.461</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97" w:name="Section103"/>
      <w:bookmarkEnd w:id="197"/>
      <w:bookmarkStart w:id="198" w:name="2c07d8b47f9d4c8797fa64d595ca5f0e"/>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ARRENDAMIENTOS.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8"/>
    </w:p>
    <w:p>
      <w:pPr>
        <w:keepNext/>
        <w:keepLines/>
        <w:pageBreakBefore w:val="0"/>
        <w:widowControl w:val="0"/>
        <w:numPr>
          <w:ilvl w:val="0"/>
          <w:numId w:val="0"/>
        </w:numPr>
        <w:tabs>
          <w:tab w:val="left" w:pos="700"/>
        </w:tabs>
        <w:spacing w:before="0" w:after="0" w:line="288" w:lineRule="auto"/>
        <w:ind w:left="0" w:right="0" w:firstLine="0"/>
        <w:jc w:val="both"/>
        <w:outlineLvl w:val="9"/>
        <w:sectPr>
          <w:headerReference w:type="default" r:id="rId41"/>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Calibri" w:eastAsia="Calibri" w:hAnsi="Calibri" w:cs="Calibri"/>
          <w:b/>
          <w:i w:val="0"/>
          <w:color w:val="000000"/>
          <w:sz w:val="20"/>
          <w:u w:val="none"/>
        </w:rPr>
      </w:pPr>
      <w:bookmarkStart w:id="199" w:name="Section104"/>
      <w:bookmarkEnd w:id="199"/>
      <w:bookmarkStart w:id="200" w:name="0e35d00e79de4ab2b0c159b350747328"/>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arrendamientos.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200"/>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las obligaciones por arrendamiento y sus plazos de vencimiento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Pagos mínimos a pagar por arrendamiento, obligaciones por arrendamientos</w:t>
            </w:r>
          </w:p>
        </w:tc>
        <w:tc>
          <w:tcPr>
            <w:tcW w:w="23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3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Interés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presente</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Interés</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presente</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Hasta 90 días.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27.221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(2.888)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24.333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(5.087)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35.629</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90 días hasta 1 año.</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136.107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(8.019)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128.088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122.147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(9.627)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112.520</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1 año hasta 2 años.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16.137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14.920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58.818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(2.564)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56.254</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 años hasta 3 años.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17.538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17.038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15.476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15.079</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197.003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(12.624)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184.379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237.157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(17.675)</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219.482</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financieros por intereses devengados producto de estas obligaciones se revelan en ítem detallado en nota 27.</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tasas de interés aplicadas nominal anual para contrato por tipo de bien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son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exact" w:val="225"/>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sujeto a arrendamiento</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Tasas de interés</w:t>
            </w:r>
          </w:p>
        </w:tc>
      </w:tr>
      <w:tr>
        <w:tblPrEx>
          <w:tblW w:w="8550" w:type="dxa"/>
          <w:tblInd w:w="1417" w:type="dxa"/>
          <w:tblLayout w:type="fixed"/>
        </w:tblPrEx>
        <w:trPr>
          <w:cantSplit/>
          <w:trHeight w:hRule="exact" w:val="225"/>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Equipamiento de tecnologías de la información bajo arrendamientos.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481"/>
              </w:tabs>
              <w:spacing w:before="38" w:after="20" w:line="240" w:lineRule="auto"/>
              <w:jc w:val="right"/>
            </w:pPr>
            <w:r>
              <w:rPr>
                <w:rFonts w:ascii="Calibri" w:eastAsia="Calibri" w:hAnsi="Calibri" w:cs="Calibri"/>
                <w:b w:val="0"/>
                <w:i w:val="0"/>
                <w:color w:val="000000"/>
                <w:sz w:val="16"/>
                <w:u w:val="none"/>
              </w:rPr>
              <w:tab/>
              <w:t>7,84 %</w:t>
              <w:tab/>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 w:val="left" w:pos="481"/>
              </w:tabs>
              <w:spacing w:before="38" w:after="20" w:line="240" w:lineRule="auto"/>
              <w:jc w:val="right"/>
            </w:pPr>
            <w:r>
              <w:rPr>
                <w:rFonts w:ascii="Calibri" w:eastAsia="Calibri" w:hAnsi="Calibri" w:cs="Calibri"/>
                <w:b w:val="0"/>
                <w:i w:val="0"/>
                <w:color w:val="000000"/>
                <w:sz w:val="16"/>
                <w:u w:val="none"/>
              </w:rPr>
              <w:tab/>
              <w:t>7,84 %</w:t>
              <w:tab/>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Vehículos de motor, bajo arrendamiento.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 w:val="left" w:pos="481"/>
              </w:tabs>
              <w:spacing w:before="38" w:after="20" w:line="240" w:lineRule="auto"/>
              <w:jc w:val="right"/>
            </w:pPr>
            <w:r>
              <w:rPr>
                <w:rFonts w:ascii="Calibri" w:eastAsia="Calibri" w:hAnsi="Calibri" w:cs="Calibri"/>
                <w:b w:val="0"/>
                <w:i w:val="0"/>
                <w:color w:val="000000"/>
                <w:sz w:val="16"/>
                <w:u w:val="none"/>
              </w:rPr>
              <w:tab/>
              <w:t>6,66 %</w:t>
              <w:tab/>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pageBreakBefore w:val="0"/>
              <w:tabs>
                <w:tab w:val="left" w:pos="1"/>
                <w:tab w:val="left" w:pos="481"/>
              </w:tabs>
              <w:spacing w:before="38" w:after="20" w:line="240" w:lineRule="auto"/>
              <w:jc w:val="right"/>
            </w:pPr>
            <w:r>
              <w:rPr>
                <w:rFonts w:ascii="Calibri" w:eastAsia="Calibri" w:hAnsi="Calibri" w:cs="Calibri"/>
                <w:b w:val="0"/>
                <w:i w:val="0"/>
                <w:color w:val="000000"/>
                <w:sz w:val="16"/>
                <w:u w:val="none"/>
              </w:rPr>
              <w:tab/>
              <w:t>6,66 %</w:t>
              <w:tab/>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la Sociedad posee pasivos por arrendamientos con entidades relacionadas por M</w:t>
      </w:r>
      <w:r>
        <w:rPr>
          <w:rFonts w:ascii="Calibri" w:eastAsia="Calibri" w:hAnsi="Calibri" w:cs="Calibri"/>
          <w:b w:val="0"/>
          <w:i w:val="0"/>
          <w:color w:val="000000"/>
          <w:sz w:val="20"/>
          <w:highlight w:val="yellow"/>
          <w:u w:val="none"/>
        </w:rPr>
        <w:t>$ 601.979</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por M$ 626.282 indicados en Nota 9.1.2, "Cuentas por pagar a entidades relacionadas".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1" w:name="Section105"/>
      <w:bookmarkEnd w:id="201"/>
      <w:bookmarkStart w:id="202" w:name="b0b61db483964c3d83d21debfebce64b"/>
      <w:r>
        <w:rPr>
          <w:rFonts w:ascii="Calibri" w:eastAsia="Calibri" w:hAnsi="Calibri" w:cs="Calibri"/>
          <w:b/>
          <w:i w:val="0"/>
          <w:color w:val="000000"/>
          <w:sz w:val="20"/>
          <w:u w:val="none"/>
        </w:rPr>
        <w:t>23.2.-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por derecho de uso.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16"/>
          <w:u w:val="none"/>
        </w:rPr>
      </w:pPr>
      <w:bookmarkEnd w:id="202"/>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bienes arrendados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85"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238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exact" w:val="795"/>
        </w:trPr>
        <w:tc>
          <w:tcPr>
            <w:tcW w:w="378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equipos en arrendamiento, neto</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Depreciación acumulada, amortización y deterioro de valor </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Neto</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Depreciación acumulada, amortización y deterioro de valor </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Neto</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Equipamiento de tecnologías de la información bajo arrendamientos.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757.368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(218.998)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538.370</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Vehículos de motor, bajo arrendamiento.</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493.006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(324.236)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168.770</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1.250.374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(543.234)</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707.140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se deprecian en el plazo remanente de los contratos. La depreciación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543.234</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principales bienes arrendados corresponden a software asociado a la medición inteligente y a la flota de vehículos ubicados en: Punta Arenas, Porvenir, Puerto Williams, donde la flota de vehículos asciende a </w:t>
      </w:r>
      <w:r>
        <w:rPr>
          <w:rFonts w:ascii="Calibri" w:eastAsia="Calibri" w:hAnsi="Calibri" w:cs="Calibri"/>
          <w:b w:val="0"/>
          <w:i w:val="0"/>
          <w:color w:val="000000"/>
          <w:sz w:val="20"/>
          <w:highlight w:val="yellow"/>
          <w:u w:val="none"/>
        </w:rPr>
        <w:t>22 unidades</w:t>
      </w:r>
      <w:r>
        <w:rPr>
          <w:rFonts w:ascii="Calibri" w:eastAsia="Calibri" w:hAnsi="Calibri" w:cs="Calibri"/>
          <w:b w:val="0"/>
          <w:i w:val="0"/>
          <w:color w:val="000000"/>
          <w:sz w:val="20"/>
          <w:u w:val="none"/>
        </w:rPr>
        <w:t xml:space="preserve"> utilizadas en la operación de la Sociedad.</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los movimientos por clase de activos originados en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825"/>
        <w:gridCol w:w="780"/>
        <w:gridCol w:w="780"/>
      </w:tblGrid>
      <w:tr>
        <w:tblPrEx>
          <w:tblW w:w="8550" w:type="dxa"/>
          <w:tblInd w:w="1417" w:type="dxa"/>
          <w:tblLayout w:type="fixed"/>
        </w:tblPrEx>
        <w:trPr>
          <w:cantSplit/>
          <w:trHeight w:hRule="exact" w:val="705"/>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538.370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168.770</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707.140</w:t>
            </w: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(27.375)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(29.917)</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(57.292)</w:t>
            </w: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510.995</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138.853</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649.848</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825"/>
        <w:gridCol w:w="780"/>
        <w:gridCol w:w="780"/>
      </w:tblGrid>
      <w:tr>
        <w:tblPrEx>
          <w:tblW w:w="8550" w:type="dxa"/>
          <w:tblInd w:w="1417" w:type="dxa"/>
          <w:tblLayout w:type="fixed"/>
        </w:tblPrEx>
        <w:trPr>
          <w:cantSplit/>
          <w:trHeight w:hRule="exact" w:val="705"/>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647.869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264.469</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912.338</w:t>
            </w: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Adiciones distintas de las obtenidas mediante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19.404</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19.404</w:t>
            </w: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(109.499)</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(115.103)</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(224.602)</w:t>
            </w:r>
          </w:p>
        </w:tc>
      </w:tr>
      <w:tr>
        <w:tblPrEx>
          <w:tblW w:w="8550"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538.370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168.770</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707.140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03" w:name="Section106"/>
      <w:bookmarkEnd w:id="203"/>
      <w:bookmarkStart w:id="204" w:name="0d1fc577b2f9484192cfb0b4cb4dba25"/>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4"/>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05" w:name="Section107"/>
      <w:bookmarkEnd w:id="205"/>
      <w:bookmarkStart w:id="206" w:name="dd4370b5c59d42c284a7a928062e542c"/>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la Sociedad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Consistente con la industria, la Sociedad monitorea su capital sobre la base del ratio de apalancamiento. Este ratio se calcula dividiendo la deuda neta por el capital total. La deuda neta corresponde al total del endeudamiento (incluyendo el endeudamiento corriente y no corriente) menos el efectivo y equivalentes de efectivo. El capital total corresponde al patrimonio tal y como se muestra en el estado de situación financiera más la deuda neta.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la Sociedad ha combinado distintas fuentes de financiamiento tales como: aumentos de capital, flujos de la operación y créditos bancarios.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7" w:name="Section108"/>
      <w:bookmarkEnd w:id="207"/>
      <w:bookmarkStart w:id="208" w:name="43365bae5f3b4a83871ec9d5227f1abd"/>
      <w:r>
        <w:rPr>
          <w:rFonts w:ascii="Calibri" w:eastAsia="Calibri" w:hAnsi="Calibri" w:cs="Calibri"/>
          <w:b/>
          <w:i w:val="0"/>
          <w:color w:val="000000"/>
          <w:sz w:val="20"/>
          <w:u w:val="none"/>
        </w:rPr>
        <w:t>24.2.-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8"/>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el capital social autorizado, suscrito y pagado asciende a M$ </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09" w:name="Section109"/>
      <w:bookmarkEnd w:id="209"/>
      <w:bookmarkStart w:id="210" w:name="7de993d8155b4e84b4d9ff34a77cd3ce"/>
      <w:r>
        <w:rPr>
          <w:rFonts w:ascii="Calibri" w:eastAsia="Calibri" w:hAnsi="Calibri" w:cs="Calibri"/>
          <w:b/>
          <w:i w:val="0"/>
          <w:color w:val="000000"/>
          <w:sz w:val="20"/>
          <w:u w:val="none"/>
        </w:rPr>
        <w:t>24.3.-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el capital de la Sociedad está representado por </w:t>
      </w:r>
      <w:r>
        <w:rPr>
          <w:rFonts w:ascii="Calibri" w:eastAsia="Calibri" w:hAnsi="Calibri" w:cs="Calibri"/>
          <w:b w:val="0"/>
          <w:i w:val="0"/>
          <w:color w:val="000000"/>
          <w:sz w:val="20"/>
          <w:u w:val="none"/>
        </w:rPr>
        <w:t>13.081.284</w:t>
      </w:r>
      <w:r>
        <w:rPr>
          <w:rFonts w:ascii="Calibri" w:eastAsia="Calibri" w:hAnsi="Calibri" w:cs="Calibri"/>
          <w:b w:val="0"/>
          <w:i w:val="0"/>
          <w:color w:val="000000"/>
          <w:sz w:val="20"/>
          <w:u w:val="none"/>
        </w:rPr>
        <w:t xml:space="preserve"> acciones sin valor nominal, de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1" w:name="Section110"/>
      <w:bookmarkEnd w:id="211"/>
      <w:bookmarkStart w:id="212" w:name="9267dc3c1cf044d2bac3a8d7763651c1"/>
      <w:r>
        <w:rPr>
          <w:rFonts w:ascii="Calibri" w:eastAsia="Calibri" w:hAnsi="Calibri" w:cs="Calibri"/>
          <w:b/>
          <w:i w:val="0"/>
          <w:color w:val="000000"/>
          <w:sz w:val="20"/>
          <w:u w:val="none"/>
        </w:rPr>
        <w:t>24.4.-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dividendos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de la Sociedad, celebrada e</w:t>
      </w:r>
      <w:r>
        <w:rPr>
          <w:rFonts w:ascii="Calibri" w:eastAsia="Calibri" w:hAnsi="Calibri" w:cs="Calibri"/>
          <w:b w:val="0"/>
          <w:i w:val="0"/>
          <w:color w:val="000000"/>
          <w:sz w:val="20"/>
          <w:highlight w:val="yellow"/>
          <w:u w:val="none"/>
        </w:rPr>
        <w:t>l 16 de abril de 202</w:t>
      </w:r>
      <w:r>
        <w:rPr>
          <w:rFonts w:ascii="Calibri" w:eastAsia="Calibri" w:hAnsi="Calibri" w:cs="Calibri"/>
          <w:b w:val="0"/>
          <w:i w:val="0"/>
          <w:color w:val="000000"/>
          <w:sz w:val="20"/>
          <w:u w:val="none"/>
        </w:rPr>
        <w:t>5, se informó acerca de la política de reparto de dividendos aprobada por el Directorio pa</w:t>
      </w:r>
      <w:r>
        <w:rPr>
          <w:rFonts w:ascii="Calibri" w:eastAsia="Calibri" w:hAnsi="Calibri" w:cs="Calibri"/>
          <w:b w:val="0"/>
          <w:i w:val="0"/>
          <w:color w:val="000000"/>
          <w:sz w:val="20"/>
          <w:highlight w:val="yellow"/>
          <w:u w:val="none"/>
        </w:rPr>
        <w:t>ra el ejercicio 2025</w:t>
      </w:r>
      <w:r>
        <w:rPr>
          <w:rFonts w:ascii="Calibri" w:eastAsia="Calibri" w:hAnsi="Calibri" w:cs="Calibri"/>
          <w:b w:val="0"/>
          <w:i w:val="0"/>
          <w:color w:val="000000"/>
          <w:sz w:val="20"/>
          <w:u w:val="none"/>
        </w:rPr>
        <w:t xml:space="preserve"> consistente en la intención de distribuir no menos del 30% de las utilidades líquidas del ejercicio, mediante tres dividendos provisorios. Dichos dividendos se pagarán, en lo posible, durante los meses de junio, septiembre y diciembre d</w:t>
      </w:r>
      <w:r>
        <w:rPr>
          <w:rFonts w:ascii="Calibri" w:eastAsia="Calibri" w:hAnsi="Calibri" w:cs="Calibri"/>
          <w:b w:val="0"/>
          <w:i w:val="0"/>
          <w:color w:val="000000"/>
          <w:sz w:val="20"/>
          <w:highlight w:val="yellow"/>
          <w:u w:val="none"/>
        </w:rPr>
        <w:t>e 2025</w:t>
      </w:r>
      <w:r>
        <w:rPr>
          <w:rFonts w:ascii="Calibri" w:eastAsia="Calibri" w:hAnsi="Calibri" w:cs="Calibri"/>
          <w:b w:val="0"/>
          <w:i w:val="0"/>
          <w:color w:val="000000"/>
          <w:sz w:val="20"/>
          <w:u w:val="none"/>
        </w:rPr>
        <w:t>. Además, se espera proponer un dividendo definitivo a la Junta Ordinaria de Accionistas a celebrarse en el 2026.</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cumplimiento del programa antes señalado quedará condicionado a las utilidades que realmente se obtengan, como, asimismo, a la situación de caja, a los resultados que señalen las proyecciones que periódicamente efectúa la empresa, o a la existencia de determinadas condiciones, según corresponda, todo lo cual será resuelto por el Directorio.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13" w:name="Section111"/>
      <w:bookmarkEnd w:id="213"/>
      <w:bookmarkStart w:id="214" w:name="a8de0b0e0a2949bd8a7c2eaa6a571704"/>
      <w:r>
        <w:rPr>
          <w:rFonts w:ascii="Calibri" w:eastAsia="Calibri" w:hAnsi="Calibri" w:cs="Calibri"/>
          <w:b/>
          <w:i w:val="0"/>
          <w:color w:val="000000"/>
          <w:sz w:val="20"/>
          <w:u w:val="none"/>
        </w:rPr>
        <w:t>24.5.-</w:t>
      </w:r>
      <w:r>
        <w:rPr>
          <w:rFonts w:ascii="Calibri" w:eastAsia="Calibri" w:hAnsi="Calibri" w:cs="Calibri"/>
          <w:b/>
          <w:i w:val="0"/>
          <w:color w:val="000000"/>
          <w:sz w:val="20"/>
          <w:u w:val="none"/>
        </w:rPr>
        <w:tab/>
      </w:r>
      <w:r>
        <w:rPr>
          <w:rFonts w:ascii="Calibri" w:eastAsia="Calibri" w:hAnsi="Calibri" w:cs="Calibri"/>
          <w:b/>
          <w:i w:val="0"/>
          <w:color w:val="000000"/>
          <w:sz w:val="20"/>
          <w:u w:val="none"/>
        </w:rPr>
        <w:t>Dividendos.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bookmarkEnd w:id="21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Junta Ordinaria de Accionistas celebrada el 16 de abril de 2025 acordó repartir el dividendo definitivo N° 133 de $ 89,00 por acción con cargo a las utilidades del ejercicio 2024 el cual se pagó con fecha 30 de abril 2025, por un total de M$ 1.164.234</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Directorio en Sesión Ordinaria con fecha 27 de mayo de 2025 acordó repartir el dividendo provisorio  N° 134 de $ 89,00 por acción con cargo a las utilidades del ejercicio 2025 el cual se pagó con fecha 16 de junio 2025, por un total de M$ 1.164.234</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Directorio en Sesión Ordinaria con fecha 26 de agosto de 2025 acordó repartir el dividendo provisorio  N° 135 de $ 102,00 por acción con cargo a las utilidades del ejercicio 2025 el cual se pagó con fecha 09 de septiembre 2025, por un total de M$ 1.334.292</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Directorio en Sesión Ordinaria con fecha 25 de noviembre de 2025 acordó repartir el dividendo  provisorio N° 136 de $ 165,00 por acción con cargo a las utilidades del ejercicio 2025 el cual se pagó con fecha 17 de diciembre 2025, por un total de M$ 2.158.412</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Junta Ordinaria de Accionistas celebrada el 1</w:t>
      </w:r>
      <w:r>
        <w:rPr>
          <w:rFonts w:ascii="Calibri" w:eastAsia="Calibri" w:hAnsi="Calibri" w:cs="Calibri"/>
          <w:b w:val="0"/>
          <w:i w:val="0"/>
          <w:sz w:val="20"/>
        </w:rPr>
        <w:t>5</w:t>
      </w:r>
      <w:r>
        <w:rPr>
          <w:rFonts w:ascii="Calibri" w:eastAsia="Calibri" w:hAnsi="Calibri" w:cs="Calibri"/>
          <w:b w:val="0"/>
          <w:i w:val="0"/>
          <w:sz w:val="20"/>
        </w:rPr>
        <w:t xml:space="preserve"> de abril de 202</w:t>
      </w:r>
      <w:r>
        <w:rPr>
          <w:rFonts w:ascii="Calibri" w:eastAsia="Calibri" w:hAnsi="Calibri" w:cs="Calibri"/>
          <w:b w:val="0"/>
          <w:i w:val="0"/>
          <w:sz w:val="20"/>
        </w:rPr>
        <w:t>6</w:t>
      </w:r>
      <w:r>
        <w:rPr>
          <w:rFonts w:ascii="Calibri" w:eastAsia="Calibri" w:hAnsi="Calibri" w:cs="Calibri"/>
          <w:b w:val="0"/>
          <w:i w:val="0"/>
          <w:sz w:val="20"/>
        </w:rPr>
        <w:t xml:space="preserve"> acordó repartir el dividendo definitivo N° 13</w:t>
      </w:r>
      <w:r>
        <w:rPr>
          <w:rFonts w:ascii="Calibri" w:eastAsia="Calibri" w:hAnsi="Calibri" w:cs="Calibri"/>
          <w:b w:val="0"/>
          <w:i w:val="0"/>
          <w:sz w:val="20"/>
        </w:rPr>
        <w:t>7</w:t>
      </w:r>
      <w:r>
        <w:rPr>
          <w:rFonts w:ascii="Calibri" w:eastAsia="Calibri" w:hAnsi="Calibri" w:cs="Calibri"/>
          <w:b w:val="0"/>
          <w:i w:val="0"/>
          <w:sz w:val="20"/>
        </w:rPr>
        <w:t xml:space="preserve"> de $ </w:t>
      </w:r>
      <w:r>
        <w:rPr>
          <w:rFonts w:ascii="Calibri" w:eastAsia="Calibri" w:hAnsi="Calibri" w:cs="Calibri"/>
          <w:b w:val="0"/>
          <w:i w:val="0"/>
          <w:sz w:val="20"/>
        </w:rPr>
        <w:t>170</w:t>
      </w:r>
      <w:r>
        <w:rPr>
          <w:rFonts w:ascii="Calibri" w:eastAsia="Calibri" w:hAnsi="Calibri" w:cs="Calibri"/>
          <w:b w:val="0"/>
          <w:i w:val="0"/>
          <w:sz w:val="20"/>
        </w:rPr>
        <w:t>,00 por acción con cargo a las utilidades del ejercicio 202</w:t>
      </w:r>
      <w:r>
        <w:rPr>
          <w:rFonts w:ascii="Calibri" w:eastAsia="Calibri" w:hAnsi="Calibri" w:cs="Calibri"/>
          <w:b w:val="0"/>
          <w:i w:val="0"/>
          <w:sz w:val="20"/>
        </w:rPr>
        <w:t>5</w:t>
      </w:r>
      <w:r>
        <w:rPr>
          <w:rFonts w:ascii="Calibri" w:eastAsia="Calibri" w:hAnsi="Calibri" w:cs="Calibri"/>
          <w:b w:val="0"/>
          <w:i w:val="0"/>
          <w:sz w:val="20"/>
        </w:rPr>
        <w:t xml:space="preserve"> el cual se pagó con fecha </w:t>
      </w:r>
      <w:r>
        <w:rPr>
          <w:rFonts w:ascii="Calibri" w:eastAsia="Calibri" w:hAnsi="Calibri" w:cs="Calibri"/>
          <w:b w:val="0"/>
          <w:i w:val="0"/>
          <w:sz w:val="20"/>
        </w:rPr>
        <w:t>29</w:t>
      </w:r>
      <w:r>
        <w:rPr>
          <w:rFonts w:ascii="Calibri" w:eastAsia="Calibri" w:hAnsi="Calibri" w:cs="Calibri"/>
          <w:b w:val="0"/>
          <w:i w:val="0"/>
          <w:sz w:val="20"/>
        </w:rPr>
        <w:t xml:space="preserve"> de abril 202</w:t>
      </w:r>
      <w:r>
        <w:rPr>
          <w:rFonts w:ascii="Calibri" w:eastAsia="Calibri" w:hAnsi="Calibri" w:cs="Calibri"/>
          <w:b w:val="0"/>
          <w:i w:val="0"/>
          <w:sz w:val="20"/>
        </w:rPr>
        <w:t>6</w:t>
      </w:r>
      <w:r>
        <w:rPr>
          <w:rFonts w:ascii="Calibri" w:eastAsia="Calibri" w:hAnsi="Calibri" w:cs="Calibri"/>
          <w:b w:val="0"/>
          <w:i w:val="0"/>
          <w:sz w:val="20"/>
        </w:rPr>
        <w:t xml:space="preserve">, por un total de M$ </w:t>
      </w:r>
      <w:r>
        <w:rPr>
          <w:rFonts w:ascii="Calibri" w:eastAsia="Calibri" w:hAnsi="Calibri" w:cs="Calibri"/>
          <w:b w:val="0"/>
          <w:i w:val="0"/>
          <w:sz w:val="20"/>
        </w:rPr>
        <w:t>2.223.818</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Directorio en Sesión Ordinaria con fecha 2</w:t>
      </w:r>
      <w:r>
        <w:rPr>
          <w:rFonts w:ascii="Calibri" w:eastAsia="Calibri" w:hAnsi="Calibri" w:cs="Calibri"/>
          <w:b w:val="0"/>
          <w:i w:val="0"/>
          <w:sz w:val="20"/>
        </w:rPr>
        <w:t>6</w:t>
      </w:r>
      <w:r>
        <w:rPr>
          <w:rFonts w:ascii="Calibri" w:eastAsia="Calibri" w:hAnsi="Calibri" w:cs="Calibri"/>
          <w:b w:val="0"/>
          <w:i w:val="0"/>
          <w:sz w:val="20"/>
        </w:rPr>
        <w:t xml:space="preserve"> de mayo de 202</w:t>
      </w:r>
      <w:r>
        <w:rPr>
          <w:rFonts w:ascii="Calibri" w:eastAsia="Calibri" w:hAnsi="Calibri" w:cs="Calibri"/>
          <w:b w:val="0"/>
          <w:i w:val="0"/>
          <w:sz w:val="20"/>
        </w:rPr>
        <w:t>6</w:t>
      </w:r>
      <w:r>
        <w:rPr>
          <w:rFonts w:ascii="Calibri" w:eastAsia="Calibri" w:hAnsi="Calibri" w:cs="Calibri"/>
          <w:b w:val="0"/>
          <w:i w:val="0"/>
          <w:sz w:val="20"/>
        </w:rPr>
        <w:t xml:space="preserve"> acordó repartir el dividendo provisorio  N° 13</w:t>
      </w:r>
      <w:r>
        <w:rPr>
          <w:rFonts w:ascii="Calibri" w:eastAsia="Calibri" w:hAnsi="Calibri" w:cs="Calibri"/>
          <w:b w:val="0"/>
          <w:i w:val="0"/>
          <w:sz w:val="20"/>
        </w:rPr>
        <w:t>8</w:t>
      </w:r>
      <w:r>
        <w:rPr>
          <w:rFonts w:ascii="Calibri" w:eastAsia="Calibri" w:hAnsi="Calibri" w:cs="Calibri"/>
          <w:b w:val="0"/>
          <w:i w:val="0"/>
          <w:sz w:val="20"/>
        </w:rPr>
        <w:t xml:space="preserve"> de $ </w:t>
      </w:r>
      <w:r>
        <w:rPr>
          <w:rFonts w:ascii="Calibri" w:eastAsia="Calibri" w:hAnsi="Calibri" w:cs="Calibri"/>
          <w:b w:val="0"/>
          <w:i w:val="0"/>
          <w:sz w:val="20"/>
        </w:rPr>
        <w:t>110</w:t>
      </w:r>
      <w:r>
        <w:rPr>
          <w:rFonts w:ascii="Calibri" w:eastAsia="Calibri" w:hAnsi="Calibri" w:cs="Calibri"/>
          <w:b w:val="0"/>
          <w:i w:val="0"/>
          <w:sz w:val="20"/>
        </w:rPr>
        <w:t>,</w:t>
      </w:r>
      <w:r>
        <w:rPr>
          <w:rFonts w:ascii="Calibri" w:eastAsia="Calibri" w:hAnsi="Calibri" w:cs="Calibri"/>
          <w:b w:val="0"/>
          <w:i w:val="0"/>
          <w:sz w:val="20"/>
        </w:rPr>
        <w:t>6</w:t>
      </w:r>
      <w:r>
        <w:rPr>
          <w:rFonts w:ascii="Calibri" w:eastAsia="Calibri" w:hAnsi="Calibri" w:cs="Calibri"/>
          <w:b w:val="0"/>
          <w:i w:val="0"/>
          <w:sz w:val="20"/>
        </w:rPr>
        <w:t>0 por acción con cargo a las utilidades del ejercicio 202</w:t>
      </w:r>
      <w:r>
        <w:rPr>
          <w:rFonts w:ascii="Calibri" w:eastAsia="Calibri" w:hAnsi="Calibri" w:cs="Calibri"/>
          <w:b w:val="0"/>
          <w:i w:val="0"/>
          <w:sz w:val="20"/>
        </w:rPr>
        <w:t>6</w:t>
      </w:r>
      <w:r>
        <w:rPr>
          <w:rFonts w:ascii="Calibri" w:eastAsia="Calibri" w:hAnsi="Calibri" w:cs="Calibri"/>
          <w:b w:val="0"/>
          <w:i w:val="0"/>
          <w:sz w:val="20"/>
        </w:rPr>
        <w:t xml:space="preserve"> el cual se pagó con fecha 16 de junio 202</w:t>
      </w:r>
      <w:r>
        <w:rPr>
          <w:rFonts w:ascii="Calibri" w:eastAsia="Calibri" w:hAnsi="Calibri" w:cs="Calibri"/>
          <w:b w:val="0"/>
          <w:i w:val="0"/>
          <w:sz w:val="20"/>
        </w:rPr>
        <w:t>6</w:t>
      </w:r>
      <w:r>
        <w:rPr>
          <w:rFonts w:ascii="Calibri" w:eastAsia="Calibri" w:hAnsi="Calibri" w:cs="Calibri"/>
          <w:b w:val="0"/>
          <w:i w:val="0"/>
          <w:sz w:val="20"/>
        </w:rPr>
        <w:t xml:space="preserve">, por un total de M$ </w:t>
      </w:r>
      <w:r>
        <w:rPr>
          <w:rFonts w:ascii="Calibri" w:eastAsia="Calibri" w:hAnsi="Calibri" w:cs="Calibri"/>
          <w:b w:val="0"/>
          <w:i w:val="0"/>
          <w:sz w:val="20"/>
        </w:rPr>
        <w:t>1.446.790</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15" w:name="Section112"/>
      <w:bookmarkEnd w:id="215"/>
      <w:bookmarkStart w:id="216" w:name="6198c9f1d7914235a5b4c62ed81ceeb6"/>
      <w:r>
        <w:rPr>
          <w:rFonts w:ascii="Calibri" w:eastAsia="Calibri" w:hAnsi="Calibri" w:cs="Calibri"/>
          <w:b/>
          <w:i w:val="0"/>
          <w:color w:val="000000"/>
          <w:sz w:val="20"/>
          <w:u w:val="none"/>
        </w:rPr>
        <w:t>24.6.-</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 resultado integral,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 a M$</w:t>
      </w:r>
      <w:r>
        <w:rPr>
          <w:rFonts w:ascii="Calibri" w:eastAsia="Calibri" w:hAnsi="Calibri" w:cs="Calibri"/>
          <w:b w:val="0"/>
          <w:i w:val="0"/>
          <w:color w:val="FFFFFF"/>
          <w:sz w:val="20"/>
          <w:u w:val="none"/>
        </w:rPr>
        <w:t>_</w:t>
      </w:r>
      <w:r>
        <w:rPr>
          <w:rFonts w:ascii="Calibri" w:eastAsia="Calibri" w:hAnsi="Calibri" w:cs="Calibri"/>
          <w:b w:val="0"/>
          <w:i w:val="0"/>
          <w:color w:val="000000"/>
          <w:sz w:val="20"/>
          <w:u w:val="none"/>
        </w:rPr>
        <w:t>1.280.203</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(479.977)</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ambos netos de impuestos diferidos.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reservas.</w:t>
      </w:r>
    </w:p>
    <w:p>
      <w:pPr>
        <w:keepNext/>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rubro se incluye la desafectación de la Revalorización del Capital Propio del ejercicio 2008 de acuerdo a la Circular N° 456 de la Comisión para el Mercado Financiero de fecha 20 de junio de 2008 incorporada en el Capital Emitido de acuerdo a lo establecido en la Ley N° 18.046 artículo 10 inciso por M$ 1.280.204.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7" w:name="Section113"/>
      <w:bookmarkEnd w:id="217"/>
      <w:bookmarkStart w:id="218" w:name="de7a06225ff34096ae860db70c748c86"/>
      <w:r>
        <w:rPr>
          <w:rFonts w:ascii="Calibri" w:eastAsia="Calibri" w:hAnsi="Calibri" w:cs="Calibri"/>
          <w:b/>
          <w:i w:val="0"/>
          <w:color w:val="000000"/>
          <w:sz w:val="20"/>
          <w:u w:val="none"/>
        </w:rPr>
        <w:t>24.7.-</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8"/>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blHeader/>
        </w:trPr>
        <w:tc>
          <w:tcPr>
            <w:tcW w:w="553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blHeader/>
        </w:trPr>
        <w:tc>
          <w:tcPr>
            <w:tcW w:w="553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50" w:type="dxa"/>
          <w:tblInd w:w="1417" w:type="dxa"/>
          <w:tblLayout w:type="fixed"/>
        </w:tblPrEx>
        <w:trPr>
          <w:cantSplit/>
          <w:trHeight w:hRule="auto" w:val="0"/>
          <w:tblHeader/>
        </w:trPr>
        <w:tc>
          <w:tcPr>
            <w:tcW w:w="55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blHeader/>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blHeader/>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exact" w:val="60"/>
          <w:tblHeader/>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2.411.206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(651.026)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1.760.180</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2.411.206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(651.026)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1.760.180</w:t>
            </w:r>
          </w:p>
        </w:tc>
      </w:tr>
      <w:tr>
        <w:tblPrEx>
          <w:tblW w:w="8550" w:type="dxa"/>
          <w:tblInd w:w="1417" w:type="dxa"/>
          <w:tblLayout w:type="fixed"/>
        </w:tblPrEx>
        <w:trPr>
          <w:cantSplit/>
          <w:trHeight w:hRule="auto" w:val="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100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1.760.180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blHeader/>
        </w:trPr>
        <w:tc>
          <w:tcPr>
            <w:tcW w:w="553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blHeader/>
        </w:trPr>
        <w:tc>
          <w:tcPr>
            <w:tcW w:w="553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50" w:type="dxa"/>
          <w:tblInd w:w="1417" w:type="dxa"/>
          <w:tblLayout w:type="fixed"/>
        </w:tblPrEx>
        <w:trPr>
          <w:cantSplit/>
          <w:trHeight w:hRule="auto" w:val="0"/>
          <w:tblHeader/>
        </w:trPr>
        <w:tc>
          <w:tcPr>
            <w:tcW w:w="55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blHeader/>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blHeader/>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4.986.428</w:t>
            </w:r>
          </w:p>
        </w:tc>
      </w:tr>
      <w:tr>
        <w:tblPrEx>
          <w:tblW w:w="8550" w:type="dxa"/>
          <w:tblInd w:w="1417" w:type="dxa"/>
          <w:tblLayout w:type="fixed"/>
        </w:tblPrEx>
        <w:trPr>
          <w:cantSplit/>
          <w:trHeight w:hRule="exact" w:val="60"/>
          <w:tblHeader/>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273.196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(73.763)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199.433</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273.196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(73.763)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199.433</w:t>
            </w:r>
          </w:p>
        </w:tc>
      </w:tr>
      <w:tr>
        <w:tblPrEx>
          <w:tblW w:w="8550" w:type="dxa"/>
          <w:tblInd w:w="1417" w:type="dxa"/>
          <w:tblLayout w:type="fixed"/>
        </w:tblPrEx>
        <w:trPr>
          <w:cantSplit/>
          <w:trHeight w:hRule="auto" w:val="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100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5.185.861</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footerReference w:type="default" r:id="rId42"/>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0"/>
        </w:tabs>
        <w:spacing w:before="0" w:after="0" w:line="288" w:lineRule="auto"/>
        <w:ind w:left="0" w:right="0" w:firstLine="0"/>
        <w:jc w:val="both"/>
        <w:outlineLvl w:val="0"/>
        <w:rPr>
          <w:rFonts w:ascii="Calibri" w:eastAsia="Calibri" w:hAnsi="Calibri" w:cs="Calibri"/>
          <w:b/>
          <w:i w:val="0"/>
          <w:color w:val="000000"/>
          <w:sz w:val="20"/>
          <w:u w:val="none"/>
        </w:rPr>
      </w:pPr>
      <w:bookmarkStart w:id="219" w:name="Section114"/>
      <w:bookmarkEnd w:id="219"/>
      <w:bookmarkStart w:id="220" w:name="ceb75c970aff4f2cb5bbf969fb0d4dc7"/>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color w:val="000000"/>
          <w:sz w:val="20"/>
          <w:u w:val="none"/>
        </w:rPr>
      </w:pPr>
      <w:bookmarkEnd w:id="220"/>
    </w:p>
    <w:p>
      <w:pPr>
        <w:keepNext/>
        <w:keepLines/>
        <w:pageBreakBefore w:val="0"/>
        <w:widowControl w:val="0"/>
        <w:numPr>
          <w:ilvl w:val="0"/>
          <w:numId w:val="0"/>
        </w:numPr>
        <w:tabs>
          <w:tab w:val="left" w:pos="700"/>
        </w:tabs>
        <w:spacing w:before="0" w:after="0" w:line="288" w:lineRule="auto"/>
        <w:ind w:left="720" w:right="0" w:firstLine="72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Calibri" w:eastAsia="Calibri" w:hAnsi="Calibri" w:cs="Calibri"/>
          <w:b/>
          <w:i w:val="0"/>
          <w:color w:val="000000"/>
          <w:sz w:val="20"/>
          <w:u w:val="none"/>
        </w:rPr>
      </w:pPr>
      <w:bookmarkStart w:id="221" w:name="Section115"/>
      <w:bookmarkEnd w:id="221"/>
      <w:bookmarkStart w:id="222" w:name="a0f299a35758466988d19875c5566c26"/>
      <w:r>
        <w:rPr>
          <w:rFonts w:ascii="Calibri" w:eastAsia="Calibri" w:hAnsi="Calibri" w:cs="Calibri"/>
          <w:b/>
          <w:i w:val="0"/>
          <w:color w:val="000000"/>
          <w:sz w:val="20"/>
          <w:u w:val="none"/>
        </w:rPr>
        <w:t>25.1.-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2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de actividades ordinarias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Ventas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28.856.774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(14.105.779)</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15.125.992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energía, peajes y transmisión.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28.856.774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(14.105.779)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15.125.992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Prestaciones de servicios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1.045.837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(721.131)</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509.216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y recargos regulados.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306.180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(307.068)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151.969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Arriendo de equipos de medida.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91.414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(49.438)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44.426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de mantenimiento de equipos a clientes.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Apoyos en postación.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47.017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(22.171)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23.376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de construcción de obras e instalaciones eléctricas.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600.869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(342.200)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289.253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29.902.611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(14.826.910)</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15.635.208</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 clientes con los cuales registre ventas que representen el 10% o más de sus ingresos ordinarios en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23" w:name="Section116"/>
      <w:bookmarkEnd w:id="223"/>
      <w:bookmarkStart w:id="224" w:name="f3b3554ddd584f5ea964aab3634b8dcf"/>
      <w:r>
        <w:rPr>
          <w:rFonts w:ascii="Calibri" w:eastAsia="Calibri" w:hAnsi="Calibri" w:cs="Calibri"/>
          <w:b/>
          <w:i w:val="0"/>
          <w:color w:val="000000"/>
          <w:sz w:val="20"/>
          <w:u w:val="none"/>
        </w:rPr>
        <w:t>25.2.-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ingresos, por función.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2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ingresos por función</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Arriendo de oficinas a terceros.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41.337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(22.886)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21.225</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de operación.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(3.107)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2.637</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45.634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(25.993)</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23.862</w:t>
            </w:r>
          </w:p>
        </w:tc>
      </w:tr>
    </w:tbl>
    <w:p>
      <w:pPr>
        <w:keepNext w:val="0"/>
        <w:keepLines/>
        <w:pageBreakBefore w:val="0"/>
        <w:widowControl w:val="0"/>
        <w:numPr>
          <w:ilvl w:val="0"/>
          <w:numId w:val="0"/>
        </w:numPr>
        <w:tabs>
          <w:tab w:val="left" w:pos="8500"/>
        </w:tabs>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8500"/>
        </w:tabs>
        <w:spacing w:before="0" w:after="0" w:line="240" w:lineRule="exact"/>
        <w:ind w:left="1701"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Los otros ingresos de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corresponde a indemnizaciones por daños percibidas de terceros.</w:t>
      </w:r>
    </w:p>
    <w:p>
      <w:pPr>
        <w:keepNext w:val="0"/>
        <w:keepLines/>
        <w:pageBreakBefore w:val="0"/>
        <w:widowControl w:val="0"/>
        <w:numPr>
          <w:ilvl w:val="0"/>
          <w:numId w:val="0"/>
        </w:numPr>
        <w:tabs>
          <w:tab w:val="left" w:pos="85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85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225" w:name="Section117"/>
      <w:bookmarkEnd w:id="225"/>
      <w:bookmarkStart w:id="226" w:name="140fc87449b94042bd73b084c125851d"/>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26"/>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26.1, 26.2, 26.3 y 26.4.</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por naturaleza del estado de resultados por función</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18.896.629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(9.505.911)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9.941.230</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3.644.094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(1.829.960)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1.827.479</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154.721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(18.586)</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22.581.459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(11.181.150)</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11.750.123</w:t>
            </w:r>
          </w:p>
        </w:tc>
      </w:tr>
    </w:tbl>
    <w:p>
      <w:pPr>
        <w:keepNext w:val="0"/>
        <w:keepLines/>
        <w:pageBreakBefore w:val="0"/>
        <w:widowControl w:val="0"/>
        <w:numPr>
          <w:ilvl w:val="0"/>
          <w:numId w:val="0"/>
        </w:numPr>
        <w:tabs>
          <w:tab w:val="left" w:pos="2260"/>
          <w:tab w:val="left" w:pos="8500"/>
        </w:tabs>
        <w:spacing w:before="0" w:after="0" w:line="288" w:lineRule="auto"/>
        <w:ind w:left="709" w:right="48"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 w:val="left" w:pos="8500"/>
        </w:tabs>
        <w:spacing w:before="0" w:after="0" w:line="288" w:lineRule="auto"/>
        <w:ind w:left="709" w:right="48"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7" w:name="Section118"/>
      <w:bookmarkEnd w:id="227"/>
      <w:bookmarkStart w:id="228" w:name="e7d76d5e4d7e47c79d6696f73bda204d"/>
      <w:r>
        <w:rPr>
          <w:rFonts w:ascii="Calibri" w:eastAsia="Calibri" w:hAnsi="Calibri" w:cs="Calibri"/>
          <w:b/>
          <w:i w:val="0"/>
          <w:color w:val="000000"/>
          <w:sz w:val="20"/>
          <w:u w:val="none"/>
        </w:rPr>
        <w:t>26.1.-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2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Apertura de gastos por naturaleza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 de energía.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3.180.858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(1.621.611)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1.598.933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 de gas.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8.004.929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(3.871.638)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4.436.399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personal.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2.464.635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(1.122.856)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1.299.972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Gastos de operación y mantenimiento.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3.303.447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(1.647.452)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1.667.410</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2.488.562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(1.264.455)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1.204.614</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Provisión de incobrables.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154.721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(18.586)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3.063.449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(1.771.951)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1.544.111</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Amortización.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(35.908)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17.270</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22.581.459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(11.181.150)</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11.750.123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9" w:name="Section119"/>
      <w:bookmarkEnd w:id="229"/>
      <w:bookmarkStart w:id="230" w:name="2b4a468e3e6b44e08c8169cd1e899ad2"/>
      <w:r>
        <w:rPr>
          <w:rFonts w:ascii="Calibri" w:eastAsia="Calibri" w:hAnsi="Calibri" w:cs="Calibri"/>
          <w:b/>
          <w:i w:val="0"/>
          <w:color w:val="000000"/>
          <w:sz w:val="20"/>
          <w:u w:val="none"/>
        </w:rPr>
        <w:t>26.2.-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0"/>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de personal</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Sueldos y salarios.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1.038.768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2.147.267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1.068.197</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a corto plazo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50.408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186.100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134.576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por terminación.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33.680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131.268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97.199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1.122.856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2.464.635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1.299.972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31" w:name="Section120"/>
      <w:bookmarkEnd w:id="231"/>
      <w:bookmarkStart w:id="232" w:name="44ca1cbf2890418e83323957eade8a2f"/>
      <w:r>
        <w:rPr>
          <w:rFonts w:ascii="Calibri" w:eastAsia="Calibri" w:hAnsi="Calibri" w:cs="Calibri"/>
          <w:b/>
          <w:i w:val="0"/>
          <w:color w:val="000000"/>
          <w:sz w:val="20"/>
          <w:u w:val="none"/>
        </w:rPr>
        <w:t>26.3.-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Depreciación y retiros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3.004.126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(1.731.309)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1.511.786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59.323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(40.642)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32.325</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22.889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(32.316)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298</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depreciación</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3.086.338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(1.804.267)</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1.544.409</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Amortización</w:t>
            </w: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(35.908)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17.270</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amortización</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34.843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(35.908)</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17.270</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3.121.181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(1.840.175)</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1.561.679</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33" w:name="Section121"/>
      <w:bookmarkEnd w:id="233"/>
      <w:bookmarkStart w:id="234" w:name="3ec142c1e7a0486f94beaf88f3a5e21a"/>
      <w:r>
        <w:rPr>
          <w:rFonts w:ascii="Calibri" w:eastAsia="Calibri" w:hAnsi="Calibri" w:cs="Calibri"/>
          <w:b/>
          <w:i w:val="0"/>
          <w:color w:val="000000"/>
          <w:sz w:val="20"/>
          <w:u w:val="none"/>
        </w:rPr>
        <w:t>26.4.-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Castigos o retiros de 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(22.889)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32.316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(298)</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Remuneraciones del directorio.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(73.360)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57.455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(26.866)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(66.349)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7.098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(65.149)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(162.598)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96.869</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(92.313)</w:t>
            </w:r>
          </w:p>
        </w:tc>
      </w:tr>
    </w:tbl>
    <w:p>
      <w:pPr>
        <w:keepNext/>
        <w:keepLines/>
        <w:pageBreakBefore w:val="0"/>
        <w:widowControl w:val="0"/>
        <w:numPr>
          <w:ilvl w:val="0"/>
          <w:numId w:val="0"/>
        </w:numPr>
        <w:tabs>
          <w:tab w:val="left" w:pos="2260"/>
        </w:tabs>
        <w:spacing w:before="0" w:after="0" w:line="288" w:lineRule="auto"/>
        <w:ind w:left="1417"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2260"/>
        </w:tabs>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235" w:name="Section122"/>
      <w:bookmarkEnd w:id="235"/>
      <w:bookmarkStart w:id="236" w:name="bd014aad42054f4992fd41fd3f9b68eb"/>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6"/>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por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comerciales.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(21.130)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17.258</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(23.987)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6.362</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134.356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(737.456)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108.411</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174.439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(782.573)</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132.031</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préstamos bancarios.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(1.033.733)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399.252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(509.847)</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arrendamientos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(41.366)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(20.205)</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(89.703)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40.183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(50.909)</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(1.166.437)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456.234</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(582.596)</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ganancias (pérdidas) de cambio en moneda extranjera (Nota 27.1)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460.449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(44.046)</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188.582</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por unidades de reajuste (Nota 27.2)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(7.026)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(16.495)</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2.950</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(538.575)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(386.880)</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(259.033)</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40" w:lineRule="exact"/>
        <w:ind w:left="1134" w:right="0" w:hanging="425"/>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yellow"/>
          <w:u w:val="none"/>
        </w:rPr>
        <w:t>(*)</w:t>
      </w:r>
      <w:r>
        <w:rPr>
          <w:rFonts w:ascii="Calibri" w:eastAsia="Calibri" w:hAnsi="Calibri" w:cs="Calibri"/>
          <w:b w:val="0"/>
          <w:i w:val="0"/>
          <w:color w:val="000000"/>
          <w:sz w:val="20"/>
          <w:highlight w:val="yellow"/>
          <w:u w:val="none"/>
        </w:rPr>
        <w:tab/>
      </w:r>
      <w:r>
        <w:rPr>
          <w:rFonts w:ascii="Calibri" w:eastAsia="Calibri" w:hAnsi="Calibri" w:cs="Calibri"/>
          <w:b w:val="0"/>
          <w:i w:val="0"/>
          <w:color w:val="000000"/>
          <w:sz w:val="20"/>
          <w:highlight w:val="yellow"/>
          <w:u w:val="none"/>
        </w:rPr>
        <w:t xml:space="preserve">El ítem otros ingresos financieros al </w:t>
      </w:r>
      <w:r>
        <w:rPr>
          <w:rFonts w:ascii="Calibri" w:eastAsia="Calibri" w:hAnsi="Calibri" w:cs="Calibri"/>
          <w:b w:val="0"/>
          <w:i w:val="0"/>
          <w:color w:val="000000"/>
          <w:sz w:val="20"/>
          <w:highlight w:val="yellow"/>
          <w:u w:val="none"/>
        </w:rPr>
        <w:t>30 de junio de 2026</w:t>
      </w:r>
      <w:r>
        <w:rPr>
          <w:rFonts w:ascii="Calibri" w:eastAsia="Calibri" w:hAnsi="Calibri" w:cs="Calibri"/>
          <w:b w:val="0"/>
          <w:i w:val="0"/>
          <w:color w:val="000000"/>
          <w:sz w:val="20"/>
          <w:highlight w:val="yellow"/>
          <w:u w:val="none"/>
        </w:rPr>
        <w:t xml:space="preserve"> está compuesto por intereses de convenios a largo plazo por M$ 1.450 y interés del mecanismo de estabilización de precio por M$ 247.399 y M$ 488.607 por interés del valor agregado de distribución (VAD). Al </w:t>
      </w:r>
      <w:r>
        <w:rPr>
          <w:rFonts w:ascii="Calibri" w:eastAsia="Calibri" w:hAnsi="Calibri" w:cs="Calibri"/>
          <w:b w:val="0"/>
          <w:i w:val="0"/>
          <w:color w:val="000000"/>
          <w:sz w:val="20"/>
          <w:highlight w:val="yellow"/>
          <w:u w:val="none"/>
        </w:rPr>
        <w:t>30 de junio de 2025</w:t>
      </w:r>
      <w:r>
        <w:rPr>
          <w:rFonts w:ascii="Calibri" w:eastAsia="Calibri" w:hAnsi="Calibri" w:cs="Calibri"/>
          <w:b w:val="0"/>
          <w:i w:val="0"/>
          <w:color w:val="000000"/>
          <w:sz w:val="20"/>
          <w:highlight w:val="yellow"/>
          <w:u w:val="none"/>
        </w:rPr>
        <w:t xml:space="preserve"> está compuesto por intereses de convenios a largo plazo por MS 8.661 e intereses del mecanismo de estabilización de precios por M$ 17.284.</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2260"/>
        </w:tabs>
        <w:spacing w:before="0" w:after="0" w:line="240" w:lineRule="exact"/>
        <w:ind w:left="1134" w:right="0" w:hanging="425"/>
        <w:jc w:val="both"/>
        <w:outlineLvl w:val="9"/>
        <w:rPr>
          <w:rFonts w:ascii="Aptos" w:eastAsia="Aptos" w:hAnsi="Aptos" w:cs="Aptos"/>
          <w:b w:val="0"/>
          <w:i w:val="0"/>
          <w:color w:val="000000"/>
          <w:sz w:val="22"/>
          <w:highlight w:val="yellow"/>
          <w:u w:val="none"/>
        </w:rPr>
      </w:pPr>
      <w:r>
        <w:rPr>
          <w:rFonts w:ascii="Calibri" w:eastAsia="Calibri" w:hAnsi="Calibri" w:cs="Calibri"/>
          <w:b w:val="0"/>
          <w:i w:val="0"/>
          <w:color w:val="000000"/>
          <w:sz w:val="20"/>
          <w:highlight w:val="yellow"/>
          <w:u w:val="none"/>
        </w:rPr>
        <w:t>(**)</w:t>
      </w:r>
      <w:r>
        <w:rPr>
          <w:rFonts w:ascii="Calibri" w:eastAsia="Calibri" w:hAnsi="Calibri" w:cs="Calibri"/>
          <w:b w:val="0"/>
          <w:i w:val="0"/>
          <w:color w:val="000000"/>
          <w:sz w:val="20"/>
          <w:highlight w:val="yellow"/>
          <w:u w:val="none"/>
        </w:rPr>
        <w:tab/>
      </w:r>
      <w:r>
        <w:rPr>
          <w:rFonts w:ascii="Calibri" w:eastAsia="Calibri" w:hAnsi="Calibri" w:cs="Calibri"/>
          <w:b w:val="0"/>
          <w:i w:val="0"/>
          <w:color w:val="000000"/>
          <w:sz w:val="20"/>
          <w:highlight w:val="yellow"/>
          <w:u w:val="none"/>
        </w:rPr>
        <w:t xml:space="preserve">El ítem otros gastos de los costos financieros al </w:t>
      </w:r>
      <w:r>
        <w:rPr>
          <w:rFonts w:ascii="Calibri" w:eastAsia="Calibri" w:hAnsi="Calibri" w:cs="Calibri"/>
          <w:b w:val="0"/>
          <w:i w:val="0"/>
          <w:color w:val="000000"/>
          <w:sz w:val="20"/>
          <w:highlight w:val="yellow"/>
          <w:u w:val="none"/>
        </w:rPr>
        <w:t>30 de junio de 2026</w:t>
      </w:r>
      <w:r>
        <w:rPr>
          <w:rFonts w:ascii="Calibri" w:eastAsia="Calibri" w:hAnsi="Calibri" w:cs="Calibri"/>
          <w:b w:val="0"/>
          <w:i w:val="0"/>
          <w:color w:val="000000"/>
          <w:sz w:val="20"/>
          <w:highlight w:val="yellow"/>
          <w:u w:val="none"/>
        </w:rPr>
        <w:t xml:space="preserve"> está compuesto por costos de intereses de beneficios al personal en base a NIC 19 por M$ 39.673 y por otros gastos M$ 510. Al </w:t>
      </w:r>
      <w:r>
        <w:rPr>
          <w:rFonts w:ascii="Calibri" w:eastAsia="Calibri" w:hAnsi="Calibri" w:cs="Calibri"/>
          <w:b w:val="0"/>
          <w:i w:val="0"/>
          <w:color w:val="000000"/>
          <w:sz w:val="20"/>
          <w:highlight w:val="yellow"/>
          <w:u w:val="none"/>
        </w:rPr>
        <w:t>30 de junio de 2025</w:t>
      </w:r>
      <w:r>
        <w:rPr>
          <w:rFonts w:ascii="Calibri" w:eastAsia="Calibri" w:hAnsi="Calibri" w:cs="Calibri"/>
          <w:b w:val="0"/>
          <w:i w:val="0"/>
          <w:color w:val="000000"/>
          <w:sz w:val="20"/>
          <w:highlight w:val="yellow"/>
          <w:u w:val="none"/>
        </w:rPr>
        <w:t xml:space="preserve"> dicho ítem se compone por costos de intereses de beneficios al personal en base a NIC 19 por M$ 34.697 y por otros gastos por M$ 4.097.</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37" w:name="Section123"/>
      <w:bookmarkEnd w:id="237"/>
      <w:bookmarkStart w:id="238" w:name="2dde8ab0c09048edad548bc4c2f3393b"/>
      <w:r>
        <w:rPr>
          <w:rFonts w:ascii="Calibri" w:eastAsia="Calibri" w:hAnsi="Calibri" w:cs="Calibri"/>
          <w:b/>
          <w:i w:val="0"/>
          <w:color w:val="000000"/>
          <w:sz w:val="20"/>
          <w:u w:val="none"/>
        </w:rPr>
        <w:t>27.1.-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Ganancias (pérdidas) de cambio en moneda extranjera.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3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Diferencias de cambio por activos </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Efectivo y equivalentes al efectivo.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83.529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109.450</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y otras cuentas por cobrar.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(1.125.001)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(534.058)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171.028</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diferencias de cambio por activos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(1.041.472)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(528.699)</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280.478</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Diferencias de cambio por pasivos </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Otros pasivos financieros.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1.168.399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392.279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(88.783)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Cuentas por pagar comerciales y otras cuentas por pagar.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333.522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92.374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(3.113)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diferencias de cambio por pasivos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1.501.921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484.653</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(91.896)</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460.449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(44.046)</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188.582</w:t>
            </w:r>
          </w:p>
        </w:tc>
      </w:tr>
    </w:tbl>
    <w:p>
      <w:pPr>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pPr>
    </w:p>
    <w:p>
      <w:pPr>
        <w:keepNext/>
        <w:keepLines/>
        <w:pageBreakBefore w:val="0"/>
        <w:widowControl w:val="0"/>
        <w:numPr>
          <w:ilvl w:val="0"/>
          <w:numId w:val="0"/>
        </w:numPr>
        <w:tabs>
          <w:tab w:val="left" w:pos="2260"/>
        </w:tabs>
        <w:spacing w:before="0" w:after="0" w:line="240" w:lineRule="exact"/>
        <w:ind w:left="1701" w:right="0" w:hanging="284"/>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yellow"/>
          <w:u w:val="none"/>
        </w:rPr>
        <w:t>(*)</w:t>
      </w:r>
      <w:r>
        <w:rPr>
          <w:rFonts w:ascii="Calibri" w:eastAsia="Calibri" w:hAnsi="Calibri" w:cs="Calibri"/>
          <w:b w:val="0"/>
          <w:i w:val="0"/>
          <w:color w:val="000000"/>
          <w:sz w:val="20"/>
          <w:highlight w:val="yellow"/>
          <w:u w:val="none"/>
        </w:rPr>
        <w:tab/>
      </w:r>
      <w:r>
        <w:rPr>
          <w:rFonts w:ascii="Calibri" w:eastAsia="Calibri" w:hAnsi="Calibri" w:cs="Calibri"/>
          <w:b w:val="0"/>
          <w:i w:val="0"/>
          <w:color w:val="000000"/>
          <w:sz w:val="20"/>
          <w:highlight w:val="yellow"/>
          <w:u w:val="none"/>
        </w:rPr>
        <w:t xml:space="preserve">Las ganancias (pérdidas) de cambio en moneda extranjera del ítem Deudores comerciales y otras cuentas por cobrar y cuentas por pagar comerciales y otras cuentas por pagar al </w:t>
      </w:r>
      <w:r>
        <w:rPr>
          <w:rFonts w:ascii="Calibri" w:eastAsia="Calibri" w:hAnsi="Calibri" w:cs="Calibri"/>
          <w:b w:val="0"/>
          <w:i w:val="0"/>
          <w:color w:val="000000"/>
          <w:sz w:val="20"/>
          <w:highlight w:val="yellow"/>
          <w:u w:val="none"/>
        </w:rPr>
        <w:t>30 de junio de 2026 y 2025</w:t>
      </w:r>
      <w:r>
        <w:rPr>
          <w:rFonts w:ascii="Calibri" w:eastAsia="Calibri" w:hAnsi="Calibri" w:cs="Calibri"/>
          <w:b w:val="0"/>
          <w:i w:val="0"/>
          <w:color w:val="000000"/>
          <w:sz w:val="20"/>
          <w:highlight w:val="yellow"/>
          <w:u w:val="none"/>
        </w:rPr>
        <w:t xml:space="preserve"> corresponde a la actualización del mecanismo de estabilización de tarifas.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39" w:name="Section124"/>
      <w:bookmarkEnd w:id="239"/>
      <w:bookmarkStart w:id="240" w:name="6c64e34b35c844c899106478d3fd7bac"/>
      <w:r>
        <w:rPr>
          <w:rFonts w:ascii="Calibri" w:eastAsia="Calibri" w:hAnsi="Calibri" w:cs="Calibri"/>
          <w:b/>
          <w:i w:val="0"/>
          <w:color w:val="000000"/>
          <w:sz w:val="20"/>
          <w:u w:val="none"/>
        </w:rPr>
        <w:t>27.2.-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40"/>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Unidades de reajuste por 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12.187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(1.225)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5.109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unidades de reajuste por activos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13.352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(15.744)</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6.274</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Unidades de reajuste por pasivos </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(9.266)</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5.942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unidades de reajuste por pasivos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(20.378)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(751)</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(3.324)</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(7.026)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(16.495)</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2.950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mbria" w:eastAsia="Cambria" w:hAnsi="Cambria" w:cs="Cambria"/>
          <w:b/>
          <w:i w:val="0"/>
          <w:color w:val="365F91"/>
          <w:sz w:val="28"/>
          <w:u w:val="none"/>
        </w:rPr>
      </w:pPr>
      <w:bookmarkStart w:id="241" w:name="Section125"/>
      <w:bookmarkEnd w:id="241"/>
    </w:p>
    <w:p>
      <w:pPr>
        <w:pStyle w:val="Heading1-wk"/>
        <w:keepNext/>
        <w:keepLines/>
        <w:pageBreakBefore/>
        <w:widowControl w:val="0"/>
        <w:numPr>
          <w:ilvl w:val="0"/>
          <w:numId w:val="0"/>
        </w:numPr>
        <w:tabs>
          <w:tab w:val="left" w:pos="700"/>
        </w:tabs>
        <w:spacing w:before="0" w:after="0" w:line="240" w:lineRule="auto"/>
        <w:ind w:left="0" w:right="0" w:firstLine="0"/>
        <w:jc w:val="left"/>
        <w:outlineLvl w:val="0"/>
        <w:rPr>
          <w:rFonts w:ascii="Cambria" w:eastAsia="Cambria" w:hAnsi="Cambria" w:cs="Cambria"/>
          <w:b/>
          <w:i w:val="0"/>
          <w:color w:val="365F91"/>
          <w:sz w:val="28"/>
          <w:u w:val="none"/>
        </w:rPr>
      </w:pPr>
      <w:bookmarkStart w:id="242" w:name="05d27e6cd4fb4c9faa77df5b594c56f4"/>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2"/>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43" w:name="Section126"/>
      <w:bookmarkEnd w:id="243"/>
      <w:bookmarkStart w:id="244" w:name="a6574405aec8409db470d3442838fc90"/>
      <w:r>
        <w:rPr>
          <w:rFonts w:ascii="Calibri" w:eastAsia="Calibri" w:hAnsi="Calibri" w:cs="Calibri"/>
          <w:b/>
          <w:i w:val="0"/>
          <w:color w:val="000000"/>
          <w:sz w:val="20"/>
          <w:u w:val="none"/>
        </w:rPr>
        <w:t>28.1.-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originó un cargo a resultados por impuesto a las ganancias ascendente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1.679.185</w:t>
      </w:r>
      <w:r>
        <w:rPr>
          <w:rFonts w:ascii="Calibri" w:eastAsia="Calibri" w:hAnsi="Calibri" w:cs="Calibri"/>
          <w:b w:val="0"/>
          <w:i w:val="0"/>
          <w:color w:val="000000"/>
          <w:sz w:val="20"/>
          <w:u w:val="none"/>
        </w:rPr>
        <w:t>, respectivamente.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45"/>
        <w:gridCol w:w="1005"/>
        <w:gridCol w:w="1005"/>
        <w:gridCol w:w="990"/>
        <w:gridCol w:w="1005"/>
      </w:tblGrid>
      <w:tr>
        <w:tblPrEx>
          <w:tblW w:w="8550" w:type="dxa"/>
          <w:tblInd w:w="1417" w:type="dxa"/>
          <w:tblLayout w:type="fixed"/>
        </w:tblPrEx>
        <w:trPr>
          <w:cantSplit/>
          <w:trHeight w:hRule="exact" w:val="255"/>
        </w:trPr>
        <w:tc>
          <w:tcPr>
            <w:tcW w:w="45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99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exact" w:val="255"/>
        </w:trPr>
        <w:tc>
          <w:tcPr>
            <w:tcW w:w="45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99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255"/>
        </w:trPr>
        <w:tc>
          <w:tcPr>
            <w:tcW w:w="45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9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Impuestos corrientes a las ganancias </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 ingreso por impuestos corrientes.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(859.758)</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975.280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93.682</w:t>
            </w:r>
          </w:p>
        </w:tc>
      </w:tr>
      <w:tr>
        <w:tblPrEx>
          <w:tblW w:w="8550" w:type="dxa"/>
          <w:tblInd w:w="1417" w:type="dxa"/>
          <w:tblLayout w:type="fixed"/>
        </w:tblPrEx>
        <w:trPr>
          <w:cantSplit/>
          <w:trHeight w:hRule="exact" w:val="25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gasto por impuestos corrientes a las ganancias, neto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(859.758)</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975.280</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93.682</w:t>
            </w:r>
          </w:p>
        </w:tc>
      </w:tr>
      <w:tr>
        <w:tblPrEx>
          <w:tblW w:w="8550" w:type="dxa"/>
          <w:tblInd w:w="1417" w:type="dxa"/>
          <w:tblLayout w:type="fixed"/>
        </w:tblPrEx>
        <w:trPr>
          <w:cantSplit/>
          <w:trHeight w:hRule="exact" w:val="60"/>
        </w:trPr>
        <w:tc>
          <w:tcPr>
            <w:tcW w:w="4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Impuestos diferidos </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0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 ingreso por impuestos diferidos relacionado con el nacimiento y reversión de diferencias temporarias.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(865.394)</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94.781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(1.018.575)</w:t>
            </w:r>
          </w:p>
        </w:tc>
      </w:tr>
      <w:tr>
        <w:tblPrEx>
          <w:tblW w:w="8550" w:type="dxa"/>
          <w:tblInd w:w="1417" w:type="dxa"/>
          <w:tblLayout w:type="fixed"/>
        </w:tblPrEx>
        <w:trPr>
          <w:cantSplit/>
          <w:trHeight w:hRule="exact" w:val="25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Ajustes por impuestos diferidos de periodos anteriores.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45.967</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45.967</w:t>
            </w:r>
          </w:p>
        </w:tc>
      </w:tr>
      <w:tr>
        <w:tblPrEx>
          <w:tblW w:w="8550" w:type="dxa"/>
          <w:tblInd w:w="1417" w:type="dxa"/>
          <w:tblLayout w:type="fixed"/>
        </w:tblPrEx>
        <w:trPr>
          <w:cantSplit/>
          <w:trHeight w:hRule="exact" w:val="25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(gasto) ingreso por impuestos diferidos , neto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(819.427)</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94.781</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(972.608)</w:t>
            </w:r>
          </w:p>
        </w:tc>
      </w:tr>
      <w:tr>
        <w:tblPrEx>
          <w:tblW w:w="8550" w:type="dxa"/>
          <w:tblInd w:w="1417" w:type="dxa"/>
          <w:tblLayout w:type="fixed"/>
        </w:tblPrEx>
        <w:trPr>
          <w:cantSplit/>
          <w:trHeight w:hRule="exact" w:val="60"/>
        </w:trPr>
        <w:tc>
          <w:tcPr>
            <w:tcW w:w="4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exact" w:val="255"/>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(1.679.185)</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1.070.061</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(878.926)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20"/>
        <w:jc w:val="both"/>
        <w:outlineLvl w:val="1"/>
        <w:rPr>
          <w:rFonts w:ascii="Times New Roman" w:eastAsia="Times New Roman" w:hAnsi="Times New Roman" w:cs="Times New Roman"/>
          <w:b/>
          <w:i w:val="0"/>
          <w:color w:val="000000"/>
          <w:sz w:val="24"/>
          <w:u w:val="none"/>
        </w:rPr>
      </w:pPr>
      <w:bookmarkStart w:id="245" w:name="Section127"/>
      <w:bookmarkEnd w:id="245"/>
      <w:bookmarkStart w:id="246" w:name="13b79d0e06444b80bb776ebe8bf8389c"/>
      <w:r>
        <w:rPr>
          <w:rFonts w:ascii="Calibri" w:eastAsia="Calibri" w:hAnsi="Calibri" w:cs="Calibri"/>
          <w:b/>
          <w:i w:val="0"/>
          <w:color w:val="000000"/>
          <w:sz w:val="20"/>
          <w:u w:val="none"/>
        </w:rPr>
        <w:t>28.2.-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600"/>
        <w:gridCol w:w="600"/>
        <w:gridCol w:w="600"/>
        <w:gridCol w:w="600"/>
        <w:gridCol w:w="600"/>
        <w:gridCol w:w="600"/>
        <w:gridCol w:w="600"/>
        <w:gridCol w:w="6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Conciliación del gasto por impuestos utilizando la tasa legal con el gasto por impuestos utilizando la tasa efectiva</w:t>
            </w:r>
          </w:p>
        </w:tc>
        <w:tc>
          <w:tcPr>
            <w:tcW w:w="6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6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6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6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6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600"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600"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c>
          <w:tcPr>
            <w:tcW w:w="6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6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6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6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6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6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60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60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6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w:t>
            </w:r>
          </w:p>
        </w:tc>
        <w:tc>
          <w:tcPr>
            <w:tcW w:w="6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 xml:space="preserve">Ganancia contable </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c>
          <w:tcPr>
            <w:tcW w:w="6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6.665.613</w:t>
            </w:r>
          </w:p>
        </w:tc>
        <w:tc>
          <w:tcPr>
            <w:tcW w:w="6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-3.961.764</w:t>
            </w:r>
          </w:p>
        </w:tc>
        <w:tc>
          <w:tcPr>
            <w:tcW w:w="6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3.557.601</w:t>
            </w:r>
          </w:p>
        </w:tc>
        <w:tc>
          <w:tcPr>
            <w:tcW w:w="600" w:type="dxa"/>
            <w:tcBorders>
              <w:top w:val="nil"/>
              <w:left w:val="single" w:sz="2" w:space="0" w:color="000000"/>
              <w:bottom w:val="nil"/>
              <w:right w:val="single" w:sz="2" w:space="0" w:color="FFFFFF"/>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 xml:space="preserve">Total de (gasto) ingreso por impuestos a la tasa impositiva aplicable </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0"/>
                <w:u w:val="none"/>
              </w:rPr>
              <w:tab/>
              <w:t>27,0 %</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(1.799.716)</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304"/>
              </w:tabs>
              <w:spacing w:before="0" w:after="0" w:line="240" w:lineRule="auto"/>
              <w:jc w:val="right"/>
            </w:pPr>
            <w:r>
              <w:rPr>
                <w:rFonts w:ascii="Calibri" w:eastAsia="Calibri" w:hAnsi="Calibri" w:cs="Calibri"/>
                <w:b/>
                <w:i w:val="0"/>
                <w:color w:val="FFFFFF"/>
                <w:sz w:val="10"/>
                <w:u w:val="none"/>
              </w:rPr>
              <w:tab/>
              <w:t>27,0 %</w:t>
              <w:tab/>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1.069.676</w:t>
            </w:r>
          </w:p>
        </w:tc>
        <w:tc>
          <w:tcPr>
            <w:tcW w:w="600"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304"/>
              </w:tabs>
              <w:spacing w:before="0" w:after="0" w:line="240" w:lineRule="auto"/>
              <w:jc w:val="right"/>
            </w:pPr>
            <w:r>
              <w:rPr>
                <w:rFonts w:ascii="Calibri" w:eastAsia="Calibri" w:hAnsi="Calibri" w:cs="Calibri"/>
                <w:b/>
                <w:i w:val="0"/>
                <w:color w:val="FFFFFF"/>
                <w:sz w:val="10"/>
                <w:u w:val="none"/>
              </w:rPr>
              <w:tab/>
              <w:t>27,0 %</w:t>
              <w:tab/>
            </w:r>
          </w:p>
        </w:tc>
        <w:tc>
          <w:tcPr>
            <w:tcW w:w="6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(960.552)</w:t>
            </w:r>
          </w:p>
        </w:tc>
        <w:tc>
          <w:tcPr>
            <w:tcW w:w="6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304"/>
              </w:tabs>
              <w:spacing w:before="0" w:after="0" w:line="240" w:lineRule="auto"/>
              <w:jc w:val="right"/>
            </w:pPr>
            <w:r>
              <w:rPr>
                <w:rFonts w:ascii="Calibri" w:eastAsia="Calibri" w:hAnsi="Calibri" w:cs="Calibri"/>
                <w:b/>
                <w:i w:val="0"/>
                <w:color w:val="FFFFFF"/>
                <w:sz w:val="10"/>
                <w:u w:val="none"/>
              </w:rPr>
              <w:tab/>
              <w:t>27,0 %</w:t>
              <w:tab/>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Efecto fiscal de gastos no deducibles para la determinación de la ganancia (pérdida) tributable. (*)</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(385)</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#DIV/0!</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73.240</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83"/>
              </w:tabs>
              <w:spacing w:before="0" w:after="0" w:line="240" w:lineRule="auto"/>
              <w:jc w:val="right"/>
            </w:pPr>
            <w:r>
              <w:rPr>
                <w:rFonts w:ascii="Calibri" w:eastAsia="Calibri" w:hAnsi="Calibri" w:cs="Calibri"/>
                <w:b w:val="0"/>
                <w:i w:val="0"/>
                <w:color w:val="000000"/>
                <w:sz w:val="10"/>
                <w:u w:val="none"/>
              </w:rPr>
              <w:tab/>
              <w:t>(1,1 %)</w:t>
              <w:tab/>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76"/>
              </w:tabs>
              <w:spacing w:before="0" w:after="0" w:line="240" w:lineRule="auto"/>
              <w:jc w:val="right"/>
            </w:pPr>
            <w:r>
              <w:rPr>
                <w:rFonts w:ascii="Calibri" w:eastAsia="Calibri" w:hAnsi="Calibri" w:cs="Calibri"/>
                <w:b w:val="0"/>
                <w:i w:val="0"/>
                <w:color w:val="000000"/>
                <w:sz w:val="10"/>
                <w:u w:val="none"/>
              </w:rPr>
              <w:tab/>
              <w:t>– %</w:t>
              <w:tab/>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39.709</w:t>
            </w:r>
          </w:p>
        </w:tc>
        <w:tc>
          <w:tcPr>
            <w:tcW w:w="6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83"/>
              </w:tabs>
              <w:spacing w:before="0" w:after="0" w:line="240" w:lineRule="auto"/>
              <w:jc w:val="right"/>
            </w:pPr>
            <w:r>
              <w:rPr>
                <w:rFonts w:ascii="Calibri" w:eastAsia="Calibri" w:hAnsi="Calibri" w:cs="Calibri"/>
                <w:b w:val="0"/>
                <w:i w:val="0"/>
                <w:color w:val="000000"/>
                <w:sz w:val="10"/>
                <w:u w:val="none"/>
              </w:rPr>
              <w:tab/>
              <w:t>(1,1 %)</w:t>
              <w:tab/>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Otros efectos fiscales por conciliación entre la ganancia contable y gasto por impuestos (ingreso).</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#DIV/0!</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47.291</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83"/>
              </w:tabs>
              <w:spacing w:before="0" w:after="0" w:line="240" w:lineRule="auto"/>
              <w:jc w:val="right"/>
            </w:pPr>
            <w:r>
              <w:rPr>
                <w:rFonts w:ascii="Calibri" w:eastAsia="Calibri" w:hAnsi="Calibri" w:cs="Calibri"/>
                <w:b w:val="0"/>
                <w:i w:val="0"/>
                <w:color w:val="000000"/>
                <w:sz w:val="10"/>
                <w:u w:val="none"/>
              </w:rPr>
              <w:tab/>
              <w:t>(0,7 %)</w:t>
              <w:tab/>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52"/>
              </w:tabs>
              <w:spacing w:before="0" w:after="0" w:line="240" w:lineRule="auto"/>
              <w:jc w:val="right"/>
            </w:pPr>
            <w:r>
              <w:rPr>
                <w:rFonts w:ascii="Calibri" w:eastAsia="Calibri" w:hAnsi="Calibri" w:cs="Calibri"/>
                <w:b w:val="0"/>
                <w:i w:val="0"/>
                <w:color w:val="000000"/>
                <w:sz w:val="10"/>
                <w:u w:val="none"/>
              </w:rPr>
              <w:tab/>
              <w:t>0,0 %</w:t>
              <w:tab/>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47.290,00</w:t>
            </w:r>
          </w:p>
        </w:tc>
        <w:tc>
          <w:tcPr>
            <w:tcW w:w="6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83"/>
              </w:tabs>
              <w:spacing w:before="0" w:after="0" w:line="240" w:lineRule="auto"/>
              <w:jc w:val="right"/>
            </w:pPr>
            <w:r>
              <w:rPr>
                <w:rFonts w:ascii="Calibri" w:eastAsia="Calibri" w:hAnsi="Calibri" w:cs="Calibri"/>
                <w:b w:val="0"/>
                <w:i w:val="0"/>
                <w:color w:val="000000"/>
                <w:sz w:val="10"/>
                <w:u w:val="none"/>
              </w:rPr>
              <w:tab/>
              <w:t>(1,3 %)</w:t>
              <w:tab/>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 xml:space="preserve">Total ajustes al gasto por impuestos utilizando la tasa legal </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(385)</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#DIV/0!</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120.531</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0"/>
                <w:u w:val="none"/>
              </w:rPr>
              <w:tab/>
              <w:t>(1,8 %)</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c>
          <w:tcPr>
            <w:tcW w:w="600"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176"/>
              </w:tabs>
              <w:spacing w:before="0" w:after="0" w:line="240" w:lineRule="auto"/>
              <w:jc w:val="right"/>
            </w:pPr>
            <w:r>
              <w:rPr>
                <w:rFonts w:ascii="Calibri" w:eastAsia="Calibri" w:hAnsi="Calibri" w:cs="Calibri"/>
                <w:b/>
                <w:i w:val="0"/>
                <w:color w:val="FFFFFF"/>
                <w:sz w:val="10"/>
                <w:u w:val="none"/>
              </w:rPr>
              <w:tab/>
              <w:t>– %</w:t>
              <w:tab/>
            </w:r>
          </w:p>
        </w:tc>
        <w:tc>
          <w:tcPr>
            <w:tcW w:w="6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81.626</w:t>
            </w:r>
          </w:p>
        </w:tc>
        <w:tc>
          <w:tcPr>
            <w:tcW w:w="6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0"/>
                <w:u w:val="none"/>
              </w:rPr>
              <w:tab/>
              <w:t>(2,3 %)</w:t>
            </w:r>
          </w:p>
        </w:tc>
      </w:tr>
      <w:tr>
        <w:tblPrEx>
          <w:tblW w:w="8550" w:type="dxa"/>
          <w:tblInd w:w="1417" w:type="dxa"/>
          <w:tblLayout w:type="fixed"/>
        </w:tblPrEx>
        <w:trPr>
          <w:cantSplit/>
          <w:trHeight w:hRule="auto" w:val="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 xml:space="preserve">(Gasto) ingreso por impuestos a las ganancias, operaciones continuadas </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(385)</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0"/>
                <w:u w:val="none"/>
              </w:rPr>
              <w:t>#DIV/0!</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(1.679.185)</w:t>
            </w:r>
          </w:p>
        </w:tc>
        <w:tc>
          <w:tcPr>
            <w:tcW w:w="6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304"/>
              </w:tabs>
              <w:spacing w:before="0" w:after="0" w:line="240" w:lineRule="auto"/>
              <w:jc w:val="right"/>
            </w:pPr>
            <w:r>
              <w:rPr>
                <w:rFonts w:ascii="Calibri" w:eastAsia="Calibri" w:hAnsi="Calibri" w:cs="Calibri"/>
                <w:b/>
                <w:i w:val="0"/>
                <w:color w:val="FFFFFF"/>
                <w:sz w:val="10"/>
                <w:u w:val="none"/>
              </w:rPr>
              <w:tab/>
              <w:t>25,2 %</w:t>
              <w:tab/>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1.069.676</w:t>
            </w:r>
          </w:p>
        </w:tc>
        <w:tc>
          <w:tcPr>
            <w:tcW w:w="600"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304"/>
              </w:tabs>
              <w:spacing w:before="0" w:after="0" w:line="240" w:lineRule="auto"/>
              <w:jc w:val="right"/>
            </w:pPr>
            <w:r>
              <w:rPr>
                <w:rFonts w:ascii="Calibri" w:eastAsia="Calibri" w:hAnsi="Calibri" w:cs="Calibri"/>
                <w:b/>
                <w:i w:val="0"/>
                <w:color w:val="FFFFFF"/>
                <w:sz w:val="10"/>
                <w:u w:val="none"/>
              </w:rPr>
              <w:tab/>
              <w:t>27,0 %</w:t>
              <w:tab/>
            </w:r>
          </w:p>
        </w:tc>
        <w:tc>
          <w:tcPr>
            <w:tcW w:w="6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(878.926)</w:t>
            </w:r>
          </w:p>
        </w:tc>
        <w:tc>
          <w:tcPr>
            <w:tcW w:w="6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304"/>
              </w:tabs>
              <w:spacing w:before="0" w:after="0" w:line="240" w:lineRule="auto"/>
              <w:jc w:val="right"/>
            </w:pPr>
            <w:r>
              <w:rPr>
                <w:rFonts w:ascii="Calibri" w:eastAsia="Calibri" w:hAnsi="Calibri" w:cs="Calibri"/>
                <w:b/>
                <w:i w:val="0"/>
                <w:color w:val="FFFFFF"/>
                <w:sz w:val="10"/>
                <w:u w:val="none"/>
              </w:rPr>
              <w:tab/>
              <w:t>24,7 %</w:t>
              <w:tab/>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detalle del efecto fiscal de gastos no deducibles para la determinación de la ganancia (pérdida) tributable es el siguiente:</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70"/>
        <w:gridCol w:w="795"/>
        <w:gridCol w:w="795"/>
        <w:gridCol w:w="795"/>
        <w:gridCol w:w="795"/>
      </w:tblGrid>
      <w:tr>
        <w:tblPrEx>
          <w:tblW w:w="8550" w:type="dxa"/>
          <w:tblInd w:w="1417" w:type="dxa"/>
          <w:tblLayout w:type="fixed"/>
        </w:tblPrEx>
        <w:trPr>
          <w:cantSplit/>
          <w:trHeight w:hRule="auto" w:val="0"/>
        </w:trPr>
        <w:tc>
          <w:tcPr>
            <w:tcW w:w="53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Efecto fiscal de gastos no deducibles para la determinación de la ganancia (pérdida) tributable(*)</w:t>
            </w:r>
          </w:p>
        </w:tc>
        <w:tc>
          <w:tcPr>
            <w:tcW w:w="79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01-01-2026</w:t>
            </w:r>
          </w:p>
        </w:tc>
        <w:tc>
          <w:tcPr>
            <w:tcW w:w="79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01-01-2025</w:t>
            </w:r>
          </w:p>
        </w:tc>
        <w:tc>
          <w:tcPr>
            <w:tcW w:w="795"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01-04-2026</w:t>
            </w:r>
          </w:p>
        </w:tc>
        <w:tc>
          <w:tcPr>
            <w:tcW w:w="795" w:type="dxa"/>
            <w:tcBorders>
              <w:top w:val="single" w:sz="2" w:space="0" w:color="000000"/>
              <w:left w:val="single" w:sz="8" w:space="0" w:color="FFFFFF"/>
              <w:bottom w:val="nil"/>
              <w:right w:val="single" w:sz="8" w:space="0" w:color="929292"/>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537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c>
          <w:tcPr>
            <w:tcW w:w="795"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795" w:type="dxa"/>
            <w:tcBorders>
              <w:top w:val="nil"/>
              <w:left w:val="single" w:sz="8" w:space="0" w:color="FFFFFF"/>
              <w:bottom w:val="nil"/>
              <w:right w:val="single" w:sz="8" w:space="0" w:color="929292"/>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537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8" w:space="0" w:color="FFFFFF"/>
              <w:bottom w:val="single" w:sz="2" w:space="0" w:color="000000"/>
              <w:right w:val="single" w:sz="8" w:space="0" w:color="929292"/>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5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Correcciones monetarias. (Capital propio tributario - Inversiones)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6.379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40.748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(62.579)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(27.193)</w:t>
            </w:r>
          </w:p>
        </w:tc>
      </w:tr>
      <w:tr>
        <w:tblPrEx>
          <w:tblW w:w="8550" w:type="dxa"/>
          <w:tblInd w:w="1417" w:type="dxa"/>
          <w:tblLayout w:type="fixed"/>
        </w:tblPrEx>
        <w:trPr>
          <w:cantSplit/>
          <w:trHeight w:hRule="auto" w:val="0"/>
        </w:trPr>
        <w:tc>
          <w:tcPr>
            <w:tcW w:w="5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Multas fiscales.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148</w:t>
            </w:r>
          </w:p>
        </w:tc>
      </w:tr>
      <w:tr>
        <w:tblPrEx>
          <w:tblW w:w="8550" w:type="dxa"/>
          <w:tblInd w:w="1417" w:type="dxa"/>
          <w:tblLayout w:type="fixed"/>
        </w:tblPrEx>
        <w:trPr>
          <w:cantSplit/>
          <w:trHeight w:hRule="auto" w:val="0"/>
        </w:trPr>
        <w:tc>
          <w:tcPr>
            <w:tcW w:w="5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diferencias permanentes.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(7.217)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(11.037)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16.679</w:t>
            </w:r>
          </w:p>
        </w:tc>
      </w:tr>
      <w:tr>
        <w:tblPrEx>
          <w:tblW w:w="8550" w:type="dxa"/>
          <w:tblInd w:w="1417" w:type="dxa"/>
          <w:tblLayout w:type="fixed"/>
        </w:tblPrEx>
        <w:trPr>
          <w:cantSplit/>
          <w:trHeight w:hRule="auto" w:val="0"/>
        </w:trPr>
        <w:tc>
          <w:tcPr>
            <w:tcW w:w="53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(385)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33.531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(73.625)</w:t>
            </w:r>
          </w:p>
        </w:tc>
        <w:tc>
          <w:tcPr>
            <w:tcW w:w="7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-10.366</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47" w:name="Section128"/>
      <w:bookmarkEnd w:id="247"/>
      <w:bookmarkStart w:id="248" w:name="db22c3f6c4344051ae1dfb5bbab1f0b0"/>
      <w:r>
        <w:rPr>
          <w:rFonts w:ascii="Calibri" w:eastAsia="Calibri" w:hAnsi="Calibri" w:cs="Calibri"/>
          <w:b/>
          <w:i w:val="0"/>
          <w:color w:val="000000"/>
          <w:sz w:val="20"/>
          <w:u w:val="none"/>
        </w:rPr>
        <w:t>28.3.-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el resultado integral por impuestos a las ganancias.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48"/>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040"/>
        <w:gridCol w:w="600"/>
        <w:gridCol w:w="600"/>
        <w:gridCol w:w="600"/>
        <w:gridCol w:w="600"/>
        <w:gridCol w:w="600"/>
        <w:gridCol w:w="600"/>
        <w:gridCol w:w="600"/>
        <w:gridCol w:w="600"/>
        <w:gridCol w:w="600"/>
        <w:gridCol w:w="600"/>
        <w:gridCol w:w="600"/>
        <w:gridCol w:w="600"/>
      </w:tblGrid>
      <w:tr>
        <w:tblPrEx>
          <w:tblW w:w="9240" w:type="dxa"/>
          <w:tblInd w:w="720" w:type="dxa"/>
          <w:tblLayout w:type="fixed"/>
        </w:tblPrEx>
        <w:trPr>
          <w:cantSplit/>
          <w:trHeight w:hRule="auto" w:val="0"/>
        </w:trPr>
        <w:tc>
          <w:tcPr>
            <w:tcW w:w="20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Importes antes de impuestos</w:t>
            </w:r>
          </w:p>
        </w:tc>
        <w:tc>
          <w:tcPr>
            <w:tcW w:w="1800"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1800"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1800" w:type="dxa"/>
            <w:gridSpan w:val="3"/>
            <w:tcBorders>
              <w:top w:val="nil"/>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1800" w:type="dxa"/>
            <w:gridSpan w:val="3"/>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r>
      <w:tr>
        <w:tblPrEx>
          <w:tblW w:w="9240" w:type="dxa"/>
          <w:tblInd w:w="720" w:type="dxa"/>
          <w:tblLayout w:type="fixed"/>
        </w:tblPrEx>
        <w:trPr>
          <w:cantSplit/>
          <w:trHeight w:hRule="auto" w:val="0"/>
        </w:trPr>
        <w:tc>
          <w:tcPr>
            <w:tcW w:w="2040" w:type="dxa"/>
            <w:vMerge/>
            <w:tcBorders>
              <w:top w:val="nil"/>
              <w:left w:val="single" w:sz="2" w:space="0" w:color="000000"/>
              <w:bottom w:val="nil"/>
              <w:right w:val="single" w:sz="4" w:space="0" w:color="FFFFFF"/>
            </w:tcBorders>
          </w:tcPr>
          <w:p>
            <w:pPr>
              <w:keepNext/>
              <w:pageBreakBefore w:val="0"/>
            </w:pPr>
          </w:p>
        </w:tc>
        <w:tc>
          <w:tcPr>
            <w:tcW w:w="1800"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1800"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1800" w:type="dxa"/>
            <w:gridSpan w:val="3"/>
            <w:tcBorders>
              <w:top w:val="nil"/>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1800" w:type="dxa"/>
            <w:gridSpan w:val="3"/>
            <w:tcBorders>
              <w:top w:val="nil"/>
              <w:left w:val="nil"/>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r>
      <w:tr>
        <w:tblPrEx>
          <w:tblW w:w="9240" w:type="dxa"/>
          <w:tblInd w:w="720" w:type="dxa"/>
          <w:tblLayout w:type="fixed"/>
        </w:tblPrEx>
        <w:trPr>
          <w:cantSplit/>
          <w:trHeight w:hRule="auto" w:val="0"/>
        </w:trPr>
        <w:tc>
          <w:tcPr>
            <w:tcW w:w="2040" w:type="dxa"/>
            <w:vMerge/>
            <w:tcBorders>
              <w:top w:val="nil"/>
              <w:left w:val="single" w:sz="2" w:space="0" w:color="000000"/>
              <w:bottom w:val="nil"/>
              <w:right w:val="nil"/>
            </w:tcBorders>
          </w:tcPr>
          <w:p>
            <w:pPr>
              <w:keepNext/>
              <w:pageBreakBefore w:val="0"/>
            </w:pPr>
          </w:p>
        </w:tc>
        <w:tc>
          <w:tcPr>
            <w:tcW w:w="6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c>
          <w:tcPr>
            <w:tcW w:w="6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c>
          <w:tcPr>
            <w:tcW w:w="60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0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0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c>
          <w:tcPr>
            <w:tcW w:w="600"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0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0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r>
      <w:tr>
        <w:tblPrEx>
          <w:tblW w:w="9240" w:type="dxa"/>
          <w:tblInd w:w="720" w:type="dxa"/>
          <w:tblLayout w:type="fixed"/>
        </w:tblPrEx>
        <w:trPr>
          <w:cantSplit/>
          <w:trHeight w:hRule="auto" w:val="0"/>
        </w:trPr>
        <w:tc>
          <w:tcPr>
            <w:tcW w:w="2040" w:type="dxa"/>
            <w:vMerge/>
            <w:tcBorders>
              <w:top w:val="nil"/>
              <w:left w:val="single" w:sz="2" w:space="0" w:color="000000"/>
              <w:bottom w:val="single" w:sz="2" w:space="0" w:color="000000"/>
              <w:right w:val="nil"/>
            </w:tcBorders>
          </w:tcPr>
          <w:p>
            <w:pPr>
              <w:keepNext/>
              <w:pageBreakBefore w:val="0"/>
            </w:pP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9240" w:type="dxa"/>
          <w:tblInd w:w="720" w:type="dxa"/>
          <w:tblLayout w:type="fixed"/>
        </w:tblPrEx>
        <w:trPr>
          <w:cantSplit/>
          <w:trHeight w:hRule="auto" w:val="0"/>
        </w:trPr>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0"/>
                <w:u w:val="none"/>
              </w:rPr>
              <w:t>Ganancias (pérdidas) por nuevas mediciones de planes de beneficios definidos.</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2.411.206</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(651.026)</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1.760.180</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273.196</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(73.763)</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199.433</w:t>
            </w:r>
          </w:p>
        </w:tc>
        <w:tc>
          <w:tcPr>
            <w:tcW w:w="600" w:type="dxa"/>
            <w:tcBorders>
              <w:top w:val="single" w:sz="8" w:space="0" w:color="FFFFFF"/>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(651.026)</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(73.763)</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(661.437)</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(42.703)</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249" w:name="Section129"/>
      <w:bookmarkEnd w:id="249"/>
      <w:bookmarkStart w:id="250" w:name="7048bd6d79d3421cbbb6c4f17729e87b"/>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0"/>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por acción básica se calcula dividiendo la utilidad atribuible a los accionistas de la Sociedad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45"/>
        <w:gridCol w:w="1005"/>
        <w:gridCol w:w="1005"/>
      </w:tblGrid>
      <w:tr>
        <w:tblPrEx>
          <w:tblW w:w="9255" w:type="dxa"/>
          <w:tblInd w:w="709" w:type="dxa"/>
          <w:tblLayout w:type="fixed"/>
        </w:tblPrEx>
        <w:trPr>
          <w:cantSplit/>
          <w:trHeight w:hRule="auto" w:val="0"/>
        </w:trPr>
        <w:tc>
          <w:tcPr>
            <w:tcW w:w="72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72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4.986.428</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y diluidas en operaciones continuadas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381,19</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13.081.284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13.081.284</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251" w:name="Section130"/>
      <w:bookmarkEnd w:id="251"/>
      <w:bookmarkStart w:id="252" w:name="05eb065712ea4e6bbd3ecc2c6a41202e"/>
      <w:r>
        <w:rPr>
          <w:rFonts w:ascii="Calibri" w:eastAsia="Calibri" w:hAnsi="Calibri" w:cs="Calibri"/>
          <w:b/>
          <w:i w:val="0"/>
          <w:color w:val="000000"/>
          <w:sz w:val="20"/>
          <w:u w:val="none"/>
        </w:rPr>
        <w:t>30.-</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2"/>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3" w:name="Section131"/>
      <w:bookmarkEnd w:id="253"/>
      <w:bookmarkStart w:id="254" w:name="161b4dfa2a9f433eb87dfa0ae07a7872"/>
      <w:r>
        <w:rPr>
          <w:rFonts w:ascii="Calibri" w:eastAsia="Calibri" w:hAnsi="Calibri" w:cs="Calibri"/>
          <w:b/>
          <w:i w:val="0"/>
          <w:color w:val="000000"/>
          <w:sz w:val="20"/>
          <w:u w:val="none"/>
        </w:rPr>
        <w:t>30.1.-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gerencia ha determinado los segmentos operativos sobre la base de los informes revisados por el comité ejecutivo estratégico. El comité considera el negocio desde una perspectiva asociada al tipo de servicio o producto vendido (generación, transmisión y distribución de electricidad).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segmentos operativos reportables derivan sus ingresos principalmente de la venta de energía eléctrica. En relación con las características del negocio de dichos segmentos. (Ver nota 2</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información por segmentos que se entrega al comité ejecutivo estratégico de los segmentos reportables a nivel de estado de situación, estado de resultados por función y el estado de flujo de efectivo, es la siguiente: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708"/>
        <w:jc w:val="both"/>
        <w:outlineLvl w:val="9"/>
        <w:rPr>
          <w:rFonts w:ascii="Calibri" w:eastAsia="Calibri" w:hAnsi="Calibri" w:cs="Calibri"/>
          <w:b/>
          <w:i w:val="0"/>
          <w:color w:val="000000"/>
          <w:sz w:val="20"/>
          <w:u w:val="none"/>
        </w:rPr>
      </w:pPr>
      <w:bookmarkStart w:id="255" w:name="Section132"/>
      <w:bookmarkEnd w:id="255"/>
    </w:p>
    <w:p>
      <w:pPr>
        <w:pStyle w:val="Heading2-wk"/>
        <w:keepNext/>
        <w:keepLines/>
        <w:pageBreakBefore/>
        <w:widowControl w:val="0"/>
        <w:numPr>
          <w:ilvl w:val="0"/>
          <w:numId w:val="0"/>
        </w:numPr>
        <w:tabs>
          <w:tab w:val="left" w:pos="700"/>
        </w:tabs>
        <w:spacing w:before="0" w:after="0" w:line="240" w:lineRule="auto"/>
        <w:ind w:left="0" w:right="0" w:firstLine="708"/>
        <w:jc w:val="both"/>
        <w:outlineLvl w:val="1"/>
        <w:rPr>
          <w:rFonts w:ascii="Times New Roman" w:eastAsia="Times New Roman" w:hAnsi="Times New Roman" w:cs="Times New Roman"/>
          <w:b/>
          <w:i w:val="0"/>
          <w:color w:val="000000"/>
          <w:sz w:val="24"/>
          <w:u w:val="none"/>
        </w:rPr>
      </w:pPr>
      <w:bookmarkStart w:id="256" w:name="c43c6a8e760b47869cc530b7ed77da8d"/>
      <w:r>
        <w:rPr>
          <w:rFonts w:ascii="Calibri" w:eastAsia="Calibri" w:hAnsi="Calibri" w:cs="Calibri"/>
          <w:b/>
          <w:i w:val="0"/>
          <w:color w:val="000000"/>
          <w:sz w:val="20"/>
          <w:u w:val="none"/>
        </w:rPr>
        <w:t>30.2.-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patrimoniales.</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56"/>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segmentos.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r>
      <w:tr>
        <w:tblPrEx>
          <w:tblW w:w="7845" w:type="dxa"/>
          <w:tblInd w:w="2126" w:type="dxa"/>
          <w:tblLayout w:type="fixed"/>
        </w:tblPrEx>
        <w:trPr>
          <w:cantSplit/>
          <w:trHeight w:hRule="auto" w:val="0"/>
        </w:trPr>
        <w:tc>
          <w:tcPr>
            <w:tcW w:w="58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477.266</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162.525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15.737.335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965.321</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Inventarios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4.452.597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700.362</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22.495.406</w:t>
            </w:r>
          </w:p>
        </w:tc>
      </w:tr>
      <w:tr>
        <w:tblPrEx>
          <w:tblW w:w="7845" w:type="dxa"/>
          <w:tblInd w:w="2126" w:type="dxa"/>
          <w:tblLayout w:type="fixed"/>
        </w:tblPrEx>
        <w:trPr>
          <w:cantSplit/>
          <w:trHeight w:hRule="auto" w:val="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30.041.470</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intangibles distintos de la plusvalía.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168.045</w:t>
            </w:r>
          </w:p>
        </w:tc>
      </w:tr>
      <w:tr>
        <w:tblPrEx>
          <w:tblW w:w="7845" w:type="dxa"/>
          <w:tblInd w:w="2126" w:type="dxa"/>
          <w:tblLayout w:type="fixed"/>
        </w:tblPrEx>
        <w:trPr>
          <w:cantSplit/>
          <w:trHeight w:hRule="exact" w:val="225"/>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59.998.078</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1.666.385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derecho de uso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707.140</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92.581.118</w:t>
            </w:r>
          </w:p>
        </w:tc>
      </w:tr>
      <w:tr>
        <w:tblPrEx>
          <w:tblW w:w="7845" w:type="dxa"/>
          <w:tblInd w:w="2126" w:type="dxa"/>
          <w:tblLayout w:type="fixed"/>
        </w:tblPrEx>
        <w:trPr>
          <w:cantSplit/>
          <w:trHeight w:hRule="auto" w:val="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115.076.524</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y Patrimonio por segmentos.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exact" w:val="240"/>
          <w:tblHeader/>
        </w:trPr>
        <w:tc>
          <w:tcPr>
            <w:tcW w:w="58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r>
      <w:tr>
        <w:tblPrEx>
          <w:tblW w:w="7845" w:type="dxa"/>
          <w:tblInd w:w="2126" w:type="dxa"/>
          <w:tblLayout w:type="fixed"/>
        </w:tblPrEx>
        <w:trPr>
          <w:cantSplit/>
          <w:trHeight w:hRule="auto" w:val="0"/>
          <w:tblHeader/>
        </w:trPr>
        <w:tc>
          <w:tcPr>
            <w:tcW w:w="58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blHeader/>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exact" w:val="60"/>
          <w:tblHeader/>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blHeader/>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blHeader/>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30.721.327</w:t>
            </w:r>
          </w:p>
        </w:tc>
      </w:tr>
      <w:tr>
        <w:tblPrEx>
          <w:tblW w:w="7845" w:type="dxa"/>
          <w:tblInd w:w="2126" w:type="dxa"/>
          <w:tblLayout w:type="fixed"/>
        </w:tblPrEx>
        <w:trPr>
          <w:cantSplit/>
          <w:trHeight w:hRule="auto" w:val="0"/>
          <w:tblHeader/>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148.149</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13.711.297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188.846</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provisiones a corto plazo.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284.749</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347.339</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45.401.707</w:t>
            </w:r>
          </w:p>
        </w:tc>
      </w:tr>
      <w:tr>
        <w:tblPrEx>
          <w:tblW w:w="7845" w:type="dxa"/>
          <w:tblInd w:w="2126" w:type="dxa"/>
          <w:tblLayout w:type="fixed"/>
        </w:tblPrEx>
        <w:trPr>
          <w:cantSplit/>
          <w:trHeight w:hRule="auto" w:val="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2.200.000</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71.333</w:t>
            </w:r>
          </w:p>
        </w:tc>
      </w:tr>
      <w:tr>
        <w:tblPrEx>
          <w:tblW w:w="7845" w:type="dxa"/>
          <w:tblInd w:w="2126" w:type="dxa"/>
          <w:tblLayout w:type="fixed"/>
        </w:tblPrEx>
        <w:trPr>
          <w:cantSplit/>
          <w:trHeight w:hRule="exact" w:val="225"/>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4.160.660</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519.187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13.425.610</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Provisiones no corrientes por beneficios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2.336.335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22.713.125</w:t>
            </w:r>
          </w:p>
        </w:tc>
      </w:tr>
      <w:tr>
        <w:tblPrEx>
          <w:tblW w:w="7845" w:type="dxa"/>
          <w:tblInd w:w="2126" w:type="dxa"/>
          <w:tblLayout w:type="fixed"/>
        </w:tblPrEx>
        <w:trPr>
          <w:cantSplit/>
          <w:trHeight w:hRule="auto" w:val="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68.114.832</w:t>
            </w:r>
          </w:p>
        </w:tc>
      </w:tr>
      <w:tr>
        <w:tblPrEx>
          <w:tblW w:w="7845" w:type="dxa"/>
          <w:tblInd w:w="2126" w:type="dxa"/>
          <w:tblLayout w:type="fixed"/>
        </w:tblPrEx>
        <w:trPr>
          <w:cantSplit/>
          <w:trHeight w:hRule="auto" w:val="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Capital emitido y pagado.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15.664.524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acumuladas.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33.056.547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Primas de emisión.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802</w:t>
            </w:r>
          </w:p>
        </w:tc>
      </w:tr>
      <w:tr>
        <w:tblPrEx>
          <w:tblW w:w="7845" w:type="dxa"/>
          <w:tblInd w:w="2126" w:type="dxa"/>
          <w:tblLayout w:type="fixed"/>
        </w:tblPrEx>
        <w:trPr>
          <w:cantSplit/>
          <w:trHeight w:hRule="exact" w:val="225"/>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reservas.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(1.760.181)</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46.961.692</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PASIVOS Y PATRIMONIO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115.076.524</w:t>
            </w:r>
          </w:p>
        </w:tc>
      </w:tr>
    </w:tbl>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57" w:name="Section133"/>
      <w:bookmarkEnd w:id="257"/>
      <w:bookmarkStart w:id="258" w:name="680a8031f0ac480e8ccf8b3108b01f0d"/>
      <w:r>
        <w:rPr>
          <w:rFonts w:ascii="Calibri" w:eastAsia="Calibri" w:hAnsi="Calibri" w:cs="Calibri"/>
          <w:b/>
          <w:i w:val="0"/>
          <w:color w:val="000000"/>
          <w:sz w:val="20"/>
          <w:u w:val="none"/>
        </w:rPr>
        <w:t>30.3.-</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exact" w:val="225"/>
          <w:tblHeader/>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ESTADO DE RESULTADOS POR FUNCIÓN</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1005" w:type="dxa"/>
            <w:tcBorders>
              <w:top w:val="single" w:sz="2" w:space="0" w:color="000000"/>
              <w:left w:val="single" w:sz="2" w:space="0" w:color="000000"/>
              <w:bottom w:val="single" w:sz="8" w:space="0" w:color="FFFFFF"/>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8" w:space="0" w:color="FFFFFF"/>
              <w:right w:val="single" w:sz="2" w:space="0" w:color="000000"/>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blHeader/>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005" w:type="dxa"/>
            <w:tcBorders>
              <w:top w:val="single" w:sz="8" w:space="0" w:color="FFFFFF"/>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01-04-2026</w:t>
            </w:r>
          </w:p>
        </w:tc>
        <w:tc>
          <w:tcPr>
            <w:tcW w:w="100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01-04-2025</w:t>
            </w:r>
          </w:p>
        </w:tc>
      </w:tr>
      <w:tr>
        <w:tblPrEx>
          <w:tblW w:w="8550" w:type="dxa"/>
          <w:tblInd w:w="1417" w:type="dxa"/>
          <w:tblLayout w:type="fixed"/>
        </w:tblPrEx>
        <w:trPr>
          <w:cantSplit/>
          <w:trHeight w:hRule="exact" w:val="225"/>
          <w:tblHeader/>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8550" w:type="dxa"/>
          <w:tblInd w:w="1417" w:type="dxa"/>
          <w:tblLayout w:type="fixed"/>
        </w:tblPrEx>
        <w:trPr>
          <w:cantSplit/>
          <w:trHeight w:hRule="exact" w:val="225"/>
          <w:tblHeader/>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225"/>
          <w:tblHeader/>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Ingresos de actividades ordinarias.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29.902.611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(14.826.910)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15.635.208</w:t>
            </w:r>
          </w:p>
        </w:tc>
      </w:tr>
      <w:tr>
        <w:tblPrEx>
          <w:tblW w:w="8550" w:type="dxa"/>
          <w:tblInd w:w="1417" w:type="dxa"/>
          <w:tblLayout w:type="fixed"/>
        </w:tblPrEx>
        <w:trPr>
          <w:cantSplit/>
          <w:trHeight w:hRule="exact" w:val="225"/>
          <w:tblHeader/>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(18.896.629)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9.505.911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(9.941.230)</w:t>
            </w:r>
          </w:p>
        </w:tc>
      </w:tr>
      <w:tr>
        <w:tblPrEx>
          <w:tblW w:w="8550" w:type="dxa"/>
          <w:tblInd w:w="1417" w:type="dxa"/>
          <w:tblLayout w:type="fixed"/>
        </w:tblPrEx>
        <w:trPr>
          <w:cantSplit/>
          <w:trHeight w:hRule="exact" w:val="225"/>
          <w:tblHeader/>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bruta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11.005.982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(5.320.999)</w:t>
            </w:r>
          </w:p>
        </w:tc>
        <w:tc>
          <w:tcPr>
            <w:tcW w:w="1005" w:type="dxa"/>
            <w:tcBorders>
              <w:top w:val="single" w:sz="2" w:space="0" w:color="000000"/>
              <w:left w:val="nil"/>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5.693.978</w:t>
            </w:r>
          </w:p>
        </w:tc>
      </w:tr>
      <w:tr>
        <w:tblPrEx>
          <w:tblW w:w="8550" w:type="dxa"/>
          <w:tblInd w:w="1417" w:type="dxa"/>
          <w:tblLayout w:type="fixed"/>
        </w:tblPrEx>
        <w:trPr>
          <w:cantSplit/>
          <w:trHeight w:hRule="exact" w:val="225"/>
          <w:tblHeader/>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ingresos.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45.634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(25.993)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23.862</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Gasto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(3.644.094)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1.829.960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(1.827.479)</w:t>
            </w:r>
          </w:p>
        </w:tc>
      </w:tr>
      <w:tr>
        <w:tblPrEx>
          <w:tblW w:w="8550" w:type="dxa"/>
          <w:tblInd w:w="1417" w:type="dxa"/>
          <w:tblLayout w:type="fixed"/>
        </w:tblPrEx>
        <w:trPr>
          <w:cantSplit/>
          <w:trHeight w:hRule="exact" w:val="34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Deterioro de valor de ganancias y reversión de pérdidas por deterioro de valor (pérdidas por deterioro de valor) determinado de acuerdo con la NIIF 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(40.736)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(154.721)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18.586</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Otras ganancias (pérdidas).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(162.598)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96.869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(92.313)</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Ganancias (pérdidas) de actividades operacionales.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7.204.188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(3.574.884)</w:t>
            </w:r>
          </w:p>
        </w:tc>
        <w:tc>
          <w:tcPr>
            <w:tcW w:w="1005" w:type="dxa"/>
            <w:tcBorders>
              <w:top w:val="single" w:sz="2" w:space="0" w:color="000000"/>
              <w:left w:val="nil"/>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3.816.634</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Ingresos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174.439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(782.573)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132.031</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(1.166.437)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456.234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(582.596)</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de cambio en moneda extranjera.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460.449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(44.046)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188.582</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Resultados por unidades de reajuste.</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(7.026)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(16.495)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2.950</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antes de impuesto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6.665.613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(3.961.764)</w:t>
            </w:r>
          </w:p>
        </w:tc>
        <w:tc>
          <w:tcPr>
            <w:tcW w:w="1005" w:type="dxa"/>
            <w:tcBorders>
              <w:top w:val="single" w:sz="2" w:space="0" w:color="000000"/>
              <w:left w:val="nil"/>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3.557.601</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Beneficio (gasto) por impuestos a las ganancias.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(1.679.185)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1.070.061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(878.926)</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4.986.428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(2.891.703)</w:t>
            </w:r>
          </w:p>
        </w:tc>
        <w:tc>
          <w:tcPr>
            <w:tcW w:w="1005" w:type="dxa"/>
            <w:tcBorders>
              <w:top w:val="single" w:sz="2" w:space="0" w:color="000000"/>
              <w:left w:val="nil"/>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2.678.675</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 y retiros.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3.086.338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(1.804.267)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1.544.409</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Amortización.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34.843</w:t>
            </w:r>
          </w:p>
        </w:tc>
        <w:tc>
          <w:tcPr>
            <w:tcW w:w="1005"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(35.908)</w:t>
            </w:r>
          </w:p>
        </w:tc>
        <w:tc>
          <w:tcPr>
            <w:tcW w:w="1005" w:type="dxa"/>
            <w:tcBorders>
              <w:top w:val="single" w:sz="2" w:space="0" w:color="000000"/>
              <w:left w:val="single" w:sz="2" w:space="0" w:color="000000"/>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17.270</w:t>
            </w: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EBITDA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10.325.369</w:t>
            </w:r>
          </w:p>
        </w:tc>
        <w:tc>
          <w:tcPr>
            <w:tcW w:w="1005" w:type="dxa"/>
            <w:tcBorders>
              <w:top w:val="nil"/>
              <w:left w:val="single" w:sz="2" w:space="0" w:color="000000"/>
              <w:bottom w:val="nil"/>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(5.415.059)</w:t>
            </w:r>
          </w:p>
        </w:tc>
        <w:tc>
          <w:tcPr>
            <w:tcW w:w="1005" w:type="dxa"/>
            <w:tcBorders>
              <w:top w:val="nil"/>
              <w:left w:val="single" w:sz="8" w:space="0" w:color="FFFFFF"/>
              <w:bottom w:val="nil"/>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5.378.313</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9" w:name="Section134"/>
      <w:bookmarkEnd w:id="259"/>
      <w:bookmarkStart w:id="260" w:name="fc96352662334e819ea6596f00a963f5"/>
      <w:r>
        <w:rPr>
          <w:rFonts w:ascii="Calibri" w:eastAsia="Calibri" w:hAnsi="Calibri" w:cs="Calibri"/>
          <w:b/>
          <w:i w:val="0"/>
          <w:color w:val="000000"/>
          <w:sz w:val="20"/>
          <w:u w:val="none"/>
        </w:rPr>
        <w:t>30.4.-</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0"/>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FLUJO DE EFECTIVO POR MÉTODO DIRECTO</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operación.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7.810.125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(2.851.519)</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financiación.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(4.407.521)</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 antes del efecto de los cambios en la tasa de cambio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551.085</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Efectos de la variación en la tasa de cambio sobre el 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83.529</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634.614</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 al principio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664.872</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Efectivo y equivalentes al efectivo al final del período o ejercicio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1.299.486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61" w:name="Section135"/>
      <w:bookmarkEnd w:id="261"/>
      <w:bookmarkStart w:id="262" w:name="cdf5c7c36bb04ff79a397cc5822fbd72"/>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2"/>
    </w:p>
    <w:p>
      <w:pPr>
        <w:keepNext w:val="0"/>
        <w:keepLines/>
        <w:pageBreakBefore w:val="0"/>
        <w:widowControl w:val="0"/>
        <w:numPr>
          <w:ilvl w:val="0"/>
          <w:numId w:val="0"/>
        </w:numPr>
        <w:spacing w:before="0" w:after="0" w:line="288" w:lineRule="auto"/>
        <w:ind w:left="0" w:right="0" w:firstLine="0"/>
        <w:jc w:val="both"/>
        <w:outlineLvl w:val="9"/>
        <w:sectPr>
          <w:headerReference w:type="default" r:id="rId43"/>
          <w:footerReference w:type="default" r:id="rId44"/>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263" w:name="Section136"/>
      <w:bookmarkEnd w:id="263"/>
      <w:bookmarkStart w:id="264" w:name="4b5cc46585584efc866b8dd49871fb80"/>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4"/>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80"/>
        <w:gridCol w:w="705"/>
        <w:gridCol w:w="1005"/>
        <w:gridCol w:w="900"/>
        <w:gridCol w:w="900"/>
        <w:gridCol w:w="900"/>
        <w:gridCol w:w="900"/>
        <w:gridCol w:w="900"/>
        <w:gridCol w:w="60"/>
        <w:gridCol w:w="900"/>
      </w:tblGrid>
      <w:tr>
        <w:tblPrEx>
          <w:tblW w:w="11250" w:type="dxa"/>
          <w:tblInd w:w="1417" w:type="dxa"/>
          <w:tblLayout w:type="fixed"/>
        </w:tblPrEx>
        <w:trPr>
          <w:cantSplit/>
          <w:trHeight w:hRule="auto" w:val="0"/>
        </w:trPr>
        <w:tc>
          <w:tcPr>
            <w:tcW w:w="4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Resumen moneda extranjera</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11250" w:type="dxa"/>
          <w:tblInd w:w="1417" w:type="dxa"/>
          <w:tblLayout w:type="fixed"/>
        </w:tblPrEx>
        <w:trPr>
          <w:cantSplit/>
          <w:trHeight w:hRule="auto" w:val="0"/>
        </w:trPr>
        <w:tc>
          <w:tcPr>
            <w:tcW w:w="4080"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11250" w:type="dxa"/>
          <w:tblInd w:w="1417" w:type="dxa"/>
          <w:tblLayout w:type="fixed"/>
        </w:tblPrEx>
        <w:trPr>
          <w:cantSplit/>
          <w:trHeight w:hRule="auto" w:val="0"/>
        </w:trPr>
        <w:tc>
          <w:tcPr>
            <w:tcW w:w="4080"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250" w:type="dxa"/>
          <w:tblInd w:w="1417" w:type="dxa"/>
          <w:tblLayout w:type="fixed"/>
        </w:tblPrEx>
        <w:trPr>
          <w:cantSplit/>
          <w:trHeight w:hRule="exact" w:val="6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3.058.312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3.058.312</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3.058.312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3.058.312</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Activos no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22.723.133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22.723.133</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22.723.133</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Total activos en moneda extranjera</w:t>
            </w:r>
          </w:p>
        </w:tc>
        <w:tc>
          <w:tcPr>
            <w:tcW w:w="7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25.781.445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3.058.312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3.058.312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22.723.133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25.781.445</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21.570.962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5.452.005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16.118.957</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21.570.962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21.570.962</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no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1.624.497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1.624.497</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1.624.497</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pasivos en moneda extranjera</w:t>
            </w:r>
          </w:p>
        </w:tc>
        <w:tc>
          <w:tcPr>
            <w:tcW w:w="7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23.195.459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5.452.005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16.118.957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21.570.962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1.624.497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23.195.459</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80"/>
        <w:gridCol w:w="705"/>
        <w:gridCol w:w="1005"/>
        <w:gridCol w:w="900"/>
        <w:gridCol w:w="900"/>
        <w:gridCol w:w="900"/>
        <w:gridCol w:w="900"/>
        <w:gridCol w:w="900"/>
        <w:gridCol w:w="60"/>
        <w:gridCol w:w="900"/>
      </w:tblGrid>
      <w:tr>
        <w:tblPrEx>
          <w:tblW w:w="11250" w:type="dxa"/>
          <w:tblInd w:w="1417" w:type="dxa"/>
          <w:tblLayout w:type="fixed"/>
        </w:tblPrEx>
        <w:trPr>
          <w:cantSplit/>
          <w:trHeight w:hRule="auto" w:val="0"/>
        </w:trPr>
        <w:tc>
          <w:tcPr>
            <w:tcW w:w="40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Resumen moneda extranjera</w:t>
            </w:r>
          </w:p>
        </w:tc>
        <w:tc>
          <w:tcPr>
            <w:tcW w:w="7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11250" w:type="dxa"/>
          <w:tblInd w:w="1417" w:type="dxa"/>
          <w:tblLayout w:type="fixed"/>
        </w:tblPrEx>
        <w:trPr>
          <w:cantSplit/>
          <w:trHeight w:hRule="auto" w:val="0"/>
        </w:trPr>
        <w:tc>
          <w:tcPr>
            <w:tcW w:w="4080" w:type="dxa"/>
            <w:vMerge/>
            <w:tcBorders>
              <w:top w:val="nil"/>
              <w:left w:val="single" w:sz="2" w:space="0" w:color="000000"/>
              <w:bottom w:val="nil"/>
              <w:right w:val="single" w:sz="4" w:space="0" w:color="FFFFFF"/>
            </w:tcBorders>
          </w:tcPr>
          <w:p>
            <w:pPr>
              <w:keepNext/>
              <w:pageBreakBefore w:val="0"/>
            </w:pPr>
          </w:p>
        </w:tc>
        <w:tc>
          <w:tcPr>
            <w:tcW w:w="7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1250" w:type="dxa"/>
          <w:tblInd w:w="1417" w:type="dxa"/>
          <w:tblLayout w:type="fixed"/>
        </w:tblPrEx>
        <w:trPr>
          <w:cantSplit/>
          <w:trHeight w:hRule="auto" w:val="0"/>
        </w:trPr>
        <w:tc>
          <w:tcPr>
            <w:tcW w:w="4080" w:type="dxa"/>
            <w:vMerge/>
            <w:tcBorders>
              <w:top w:val="nil"/>
              <w:left w:val="single" w:sz="2" w:space="0" w:color="000000"/>
              <w:bottom w:val="single" w:sz="2" w:space="0" w:color="000000"/>
              <w:right w:val="single" w:sz="4" w:space="0" w:color="FFFFFF"/>
            </w:tcBorders>
          </w:tcPr>
          <w:p>
            <w:pPr>
              <w:keepNext/>
              <w:pageBreakBefore w:val="0"/>
            </w:pPr>
          </w:p>
        </w:tc>
        <w:tc>
          <w:tcPr>
            <w:tcW w:w="705" w:type="dxa"/>
            <w:vMerge/>
            <w:tcBorders>
              <w:top w:val="nil"/>
              <w:left w:val="nil"/>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250" w:type="dxa"/>
          <w:tblInd w:w="1417" w:type="dxa"/>
          <w:tblLayout w:type="fixed"/>
        </w:tblPrEx>
        <w:trPr>
          <w:cantSplit/>
          <w:trHeight w:hRule="exact" w:val="6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3.224.744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3.224.327</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3.224.744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3.224.744</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Activos no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22.710.186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22.710.186</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22.710.186</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Total activos en moneda extranjera</w:t>
            </w:r>
          </w:p>
        </w:tc>
        <w:tc>
          <w:tcPr>
            <w:tcW w:w="7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25.934.930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3.224.327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3.224.744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22.710.186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25.934.930</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22.743.704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2.970.263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19.773.441</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22.743.704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22.743.704</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no corrientes.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4.160.660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4.160.660</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4.160.660</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pasivos en moneda extranjera</w:t>
            </w:r>
          </w:p>
        </w:tc>
        <w:tc>
          <w:tcPr>
            <w:tcW w:w="7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26.904.364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2.970.263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19.773.441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22.743.704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4.160.660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26.904.364</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65" w:name="Section137"/>
      <w:bookmarkEnd w:id="265"/>
      <w:bookmarkStart w:id="266" w:name="00f8b8026c234dca9b5d77d1066be7af"/>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6"/>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80"/>
        <w:gridCol w:w="705"/>
        <w:gridCol w:w="1005"/>
        <w:gridCol w:w="900"/>
        <w:gridCol w:w="900"/>
        <w:gridCol w:w="900"/>
        <w:gridCol w:w="900"/>
        <w:gridCol w:w="900"/>
        <w:gridCol w:w="60"/>
        <w:gridCol w:w="900"/>
      </w:tblGrid>
      <w:tr>
        <w:tblPrEx>
          <w:tblW w:w="11250" w:type="dxa"/>
          <w:tblInd w:w="1417" w:type="dxa"/>
          <w:tblLayout w:type="fixed"/>
        </w:tblPrEx>
        <w:trPr>
          <w:cantSplit/>
          <w:trHeight w:hRule="auto" w:val="0"/>
          <w:tblHeader/>
        </w:trPr>
        <w:tc>
          <w:tcPr>
            <w:tcW w:w="4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moneda extranjera - activos corrientes y no corrientes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activos</w:t>
            </w:r>
          </w:p>
        </w:tc>
      </w:tr>
      <w:tr>
        <w:tblPrEx>
          <w:tblW w:w="11250" w:type="dxa"/>
          <w:tblInd w:w="1417" w:type="dxa"/>
          <w:tblLayout w:type="fixed"/>
        </w:tblPrEx>
        <w:trPr>
          <w:cantSplit/>
          <w:trHeight w:hRule="auto" w:val="0"/>
          <w:tblHeader/>
        </w:trPr>
        <w:tc>
          <w:tcPr>
            <w:tcW w:w="4080"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11250" w:type="dxa"/>
          <w:tblInd w:w="1417" w:type="dxa"/>
          <w:tblLayout w:type="fixed"/>
        </w:tblPrEx>
        <w:trPr>
          <w:cantSplit/>
          <w:trHeight w:hRule="auto" w:val="0"/>
          <w:tblHeader/>
        </w:trPr>
        <w:tc>
          <w:tcPr>
            <w:tcW w:w="4080"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250" w:type="dxa"/>
          <w:tblInd w:w="1417" w:type="dxa"/>
          <w:tblLayout w:type="fixed"/>
        </w:tblPrEx>
        <w:trPr>
          <w:cantSplit/>
          <w:trHeight w:hRule="exact" w:val="60"/>
          <w:tblHeader/>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3.058.312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3.058.312</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3.058.312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3.058.312</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22.723.133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22.723.133</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22.723.133</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activos en moneda extranjera</w:t>
            </w:r>
          </w:p>
        </w:tc>
        <w:tc>
          <w:tcPr>
            <w:tcW w:w="7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25.781.445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3.058.312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3.058.312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22.723.133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25.781.445</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80"/>
        <w:gridCol w:w="705"/>
        <w:gridCol w:w="1005"/>
        <w:gridCol w:w="900"/>
        <w:gridCol w:w="900"/>
        <w:gridCol w:w="900"/>
        <w:gridCol w:w="900"/>
        <w:gridCol w:w="900"/>
        <w:gridCol w:w="60"/>
        <w:gridCol w:w="900"/>
      </w:tblGrid>
      <w:tr>
        <w:tblPrEx>
          <w:tblW w:w="11250" w:type="dxa"/>
          <w:tblInd w:w="1417" w:type="dxa"/>
          <w:tblLayout w:type="fixed"/>
        </w:tblPrEx>
        <w:trPr>
          <w:cantSplit/>
          <w:trHeight w:hRule="auto" w:val="0"/>
          <w:tblHeader/>
        </w:trPr>
        <w:tc>
          <w:tcPr>
            <w:tcW w:w="4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moneda extranjera - activos corrientes y no corrientes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activos</w:t>
            </w:r>
          </w:p>
        </w:tc>
      </w:tr>
      <w:tr>
        <w:tblPrEx>
          <w:tblW w:w="11250" w:type="dxa"/>
          <w:tblInd w:w="1417" w:type="dxa"/>
          <w:tblLayout w:type="fixed"/>
        </w:tblPrEx>
        <w:trPr>
          <w:cantSplit/>
          <w:trHeight w:hRule="auto" w:val="0"/>
          <w:tblHeader/>
        </w:trPr>
        <w:tc>
          <w:tcPr>
            <w:tcW w:w="4080"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1250" w:type="dxa"/>
          <w:tblInd w:w="1417" w:type="dxa"/>
          <w:tblLayout w:type="fixed"/>
        </w:tblPrEx>
        <w:trPr>
          <w:cantSplit/>
          <w:trHeight w:hRule="auto" w:val="0"/>
          <w:tblHeader/>
        </w:trPr>
        <w:tc>
          <w:tcPr>
            <w:tcW w:w="4080"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250" w:type="dxa"/>
          <w:tblInd w:w="1417" w:type="dxa"/>
          <w:tblLayout w:type="fixed"/>
        </w:tblPrEx>
        <w:trPr>
          <w:cantSplit/>
          <w:trHeight w:hRule="exact" w:val="60"/>
          <w:tblHeader/>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417</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3.224.327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3.224.327</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3.224.327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3.224.327</w:t>
            </w: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22.710.186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22.710.186</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22.710.186</w:t>
            </w:r>
          </w:p>
        </w:tc>
      </w:tr>
      <w:tr>
        <w:tblPrEx>
          <w:tblW w:w="1125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activos en moneda extranjera</w:t>
            </w:r>
          </w:p>
        </w:tc>
        <w:tc>
          <w:tcPr>
            <w:tcW w:w="7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25.934.930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3.224.327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3.224.744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22.710.186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22.710.186</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25.934.930</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
          <w:u w:val="none"/>
        </w:rPr>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67" w:name="Section138"/>
      <w:bookmarkEnd w:id="267"/>
      <w:bookmarkStart w:id="268" w:name="41d5729f5335448bb94cf4dac2becf28"/>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pasivos.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8"/>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645"/>
        <w:gridCol w:w="900"/>
        <w:gridCol w:w="900"/>
        <w:gridCol w:w="900"/>
        <w:gridCol w:w="900"/>
        <w:gridCol w:w="900"/>
        <w:gridCol w:w="900"/>
        <w:gridCol w:w="60"/>
        <w:gridCol w:w="900"/>
      </w:tblGrid>
      <w:tr>
        <w:tblPrEx>
          <w:tblW w:w="11250" w:type="dxa"/>
          <w:tblInd w:w="1417" w:type="dxa"/>
          <w:tblLayout w:type="fixed"/>
        </w:tblPrEx>
        <w:trPr>
          <w:cantSplit/>
          <w:trHeight w:hRule="exact" w:val="645"/>
          <w:tblHeader/>
        </w:trPr>
        <w:tc>
          <w:tcPr>
            <w:tcW w:w="42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moneda extranjera - pasivos corrientes y no corrientes</w:t>
            </w:r>
          </w:p>
        </w:tc>
        <w:tc>
          <w:tcPr>
            <w:tcW w:w="64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pasivos</w:t>
            </w:r>
          </w:p>
        </w:tc>
      </w:tr>
      <w:tr>
        <w:tblPrEx>
          <w:tblW w:w="11250" w:type="dxa"/>
          <w:tblInd w:w="1417" w:type="dxa"/>
          <w:tblLayout w:type="fixed"/>
        </w:tblPrEx>
        <w:trPr>
          <w:cantSplit/>
          <w:trHeight w:hRule="exact" w:val="585"/>
          <w:tblHeader/>
        </w:trPr>
        <w:tc>
          <w:tcPr>
            <w:tcW w:w="424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11250" w:type="dxa"/>
          <w:tblInd w:w="1417" w:type="dxa"/>
          <w:tblLayout w:type="fixed"/>
        </w:tblPrEx>
        <w:trPr>
          <w:cantSplit/>
          <w:trHeight w:hRule="auto" w:val="0"/>
          <w:tblHeader/>
        </w:trPr>
        <w:tc>
          <w:tcPr>
            <w:tcW w:w="4245" w:type="dxa"/>
            <w:vMerge/>
            <w:tcBorders>
              <w:top w:val="nil"/>
              <w:left w:val="single" w:sz="2" w:space="0" w:color="000000"/>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250" w:type="dxa"/>
          <w:tblInd w:w="1417" w:type="dxa"/>
          <w:tblLayout w:type="fixed"/>
        </w:tblPrEx>
        <w:trPr>
          <w:cantSplit/>
          <w:trHeight w:hRule="exact" w:val="60"/>
          <w:tblHeader/>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Otros pasivos financieros.</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22.513.357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5.452.005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15.436.855</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20.888.860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1.624.497</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22.513.357</w:t>
            </w:r>
          </w:p>
        </w:tc>
      </w:tr>
      <w:tr>
        <w:tblPrEx>
          <w:tblW w:w="11250"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comerciales y otras cuentas por pagar.</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682.102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682.102</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682.102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682.102</w:t>
            </w:r>
          </w:p>
        </w:tc>
      </w:tr>
      <w:tr>
        <w:tblPrEx>
          <w:tblW w:w="11250"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1250" w:type="dxa"/>
          <w:tblInd w:w="1417"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890"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pasivos en moneda extranjera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23.195.459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5.452.005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16.118.957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21.570.962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1.624.497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1.624.497</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23.195.459</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660"/>
        <w:gridCol w:w="885"/>
        <w:gridCol w:w="900"/>
        <w:gridCol w:w="900"/>
        <w:gridCol w:w="900"/>
        <w:gridCol w:w="900"/>
        <w:gridCol w:w="900"/>
        <w:gridCol w:w="60"/>
        <w:gridCol w:w="900"/>
      </w:tblGrid>
      <w:tr>
        <w:tblPrEx>
          <w:tblW w:w="11250" w:type="dxa"/>
          <w:tblInd w:w="1417" w:type="dxa"/>
          <w:tblLayout w:type="fixed"/>
        </w:tblPrEx>
        <w:trPr>
          <w:cantSplit/>
          <w:trHeight w:hRule="exact" w:val="645"/>
          <w:tblHeader/>
        </w:trPr>
        <w:tc>
          <w:tcPr>
            <w:tcW w:w="42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88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pasivos</w:t>
            </w:r>
          </w:p>
        </w:tc>
      </w:tr>
      <w:tr>
        <w:tblPrEx>
          <w:tblW w:w="11250" w:type="dxa"/>
          <w:tblInd w:w="1417" w:type="dxa"/>
          <w:tblLayout w:type="fixed"/>
        </w:tblPrEx>
        <w:trPr>
          <w:cantSplit/>
          <w:trHeight w:hRule="exact" w:val="585"/>
          <w:tblHeader/>
        </w:trPr>
        <w:tc>
          <w:tcPr>
            <w:tcW w:w="424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88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1250" w:type="dxa"/>
          <w:tblInd w:w="1417" w:type="dxa"/>
          <w:tblLayout w:type="fixed"/>
        </w:tblPrEx>
        <w:trPr>
          <w:cantSplit/>
          <w:trHeight w:hRule="auto" w:val="0"/>
          <w:tblHeader/>
        </w:trPr>
        <w:tc>
          <w:tcPr>
            <w:tcW w:w="424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250" w:type="dxa"/>
          <w:tblInd w:w="1417" w:type="dxa"/>
          <w:tblLayout w:type="fixed"/>
        </w:tblPrEx>
        <w:trPr>
          <w:cantSplit/>
          <w:trHeight w:hRule="exact" w:val="60"/>
          <w:tblHeader/>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22.129.061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2.960.841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19.168.220</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22.129.061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22.129.061</w:t>
            </w:r>
          </w:p>
        </w:tc>
      </w:tr>
      <w:tr>
        <w:tblPrEx>
          <w:tblW w:w="11250"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614.643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9.422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605.221</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614.643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614.643</w:t>
            </w:r>
          </w:p>
        </w:tc>
      </w:tr>
      <w:tr>
        <w:tblPrEx>
          <w:tblW w:w="11250"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4.160.660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4.160.660</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4.160.660</w:t>
            </w:r>
          </w:p>
        </w:tc>
      </w:tr>
      <w:tr>
        <w:tblPrEx>
          <w:tblW w:w="11250" w:type="dxa"/>
          <w:tblInd w:w="1417" w:type="dxa"/>
          <w:tblLayout w:type="fixed"/>
        </w:tblPrEx>
        <w:trPr>
          <w:cantSplit/>
          <w:trHeight w:hRule="auto" w:val="0"/>
        </w:trPr>
        <w:tc>
          <w:tcPr>
            <w:tcW w:w="4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4905"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pasivos en moneda extranjera</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26.904.364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2.970.263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19.773.441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22.743.704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4.160.660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4.160.660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26.904.364</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0"/>
        <w:jc w:val="both"/>
        <w:outlineLvl w:val="0"/>
        <w:rPr>
          <w:rFonts w:ascii="Times New Roman" w:eastAsia="Times New Roman" w:hAnsi="Times New Roman" w:cs="Times New Roman"/>
          <w:b/>
          <w:i w:val="0"/>
          <w:color w:val="000000"/>
          <w:sz w:val="24"/>
          <w:u w:val="none"/>
        </w:rPr>
      </w:pPr>
      <w:bookmarkStart w:id="269" w:name="Section139"/>
      <w:bookmarkEnd w:id="269"/>
      <w:bookmarkStart w:id="270" w:name="605dea063221466e86eb8c33e66d77fe"/>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0"/>
    </w:p>
    <w:p>
      <w:pPr>
        <w:keepNext w:val="0"/>
        <w:keepLines/>
        <w:pageBreakBefore w:val="0"/>
        <w:widowControl w:val="0"/>
        <w:numPr>
          <w:ilvl w:val="0"/>
          <w:numId w:val="0"/>
        </w:numPr>
        <w:spacing w:before="0" w:after="0" w:line="288" w:lineRule="auto"/>
        <w:ind w:left="0" w:right="0" w:firstLine="0"/>
        <w:jc w:val="both"/>
        <w:outlineLvl w:val="9"/>
        <w:sectPr>
          <w:headerReference w:type="default" r:id="rId45"/>
          <w:footerReference w:type="default" r:id="rId46"/>
          <w:type w:val="continuous"/>
          <w:pgSz w:w="12240" w:h="15840"/>
          <w:pgMar w:top="1134" w:right="1134" w:bottom="1134" w:left="1134" w:header="0" w:footer="14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1" w:name="Section140"/>
      <w:bookmarkEnd w:id="271"/>
      <w:bookmarkStart w:id="272" w:name="957933070ac54b3d8ed6ff02214db4b9"/>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7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95"/>
        <w:gridCol w:w="1620"/>
        <w:gridCol w:w="285"/>
        <w:gridCol w:w="5850"/>
      </w:tblGrid>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32.1.1.-</w:t>
            </w: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Nombre del Juicio</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“Layana con Edelmag.”</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Fecha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31 de mayo de 2023.</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Tribunal</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2° Juzgado de Letras de Punta Arenas.</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Rol Nº</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439-2023.</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Materia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Indemnización de perjuicios extracontractual.</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Cuantía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M$ 101.195.</w:t>
            </w:r>
          </w:p>
        </w:tc>
      </w:tr>
      <w:tr>
        <w:tblPrEx>
          <w:tblW w:w="8550" w:type="dxa"/>
          <w:tblInd w:w="1417" w:type="dxa"/>
          <w:tblLayout w:type="fixed"/>
        </w:tblPrEx>
        <w:trPr>
          <w:cantSplit/>
          <w:trHeight w:hRule="exact" w:val="70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top"/>
          </w:tcPr>
          <w:p>
            <w:pPr>
              <w:keepNext/>
              <w:pageBreakBefore w:val="0"/>
              <w:spacing w:before="53" w:after="30" w:line="240" w:lineRule="auto"/>
              <w:jc w:val="left"/>
            </w:pPr>
            <w:r>
              <w:rPr>
                <w:rFonts w:ascii="Calibri" w:eastAsia="Calibri" w:hAnsi="Calibri" w:cs="Calibri"/>
                <w:b w:val="0"/>
                <w:i w:val="0"/>
                <w:color w:val="000000"/>
                <w:sz w:val="20"/>
                <w:u w:val="none"/>
              </w:rPr>
              <w:t>Estado</w:t>
            </w:r>
          </w:p>
        </w:tc>
        <w:tc>
          <w:tcPr>
            <w:tcW w:w="285" w:type="dxa"/>
            <w:tcBorders>
              <w:top w:val="nil"/>
              <w:left w:val="nil"/>
              <w:bottom w:val="nil"/>
              <w:right w:val="nil"/>
            </w:tcBorders>
            <w:tcMar>
              <w:top w:w="0" w:type="dxa"/>
              <w:left w:w="53" w:type="dxa"/>
              <w:bottom w:w="0" w:type="dxa"/>
              <w:right w:w="53" w:type="dxa"/>
            </w:tcMar>
            <w:vAlign w:val="top"/>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both"/>
            </w:pPr>
            <w:r>
              <w:rPr>
                <w:rFonts w:ascii="Calibri" w:eastAsia="Calibri" w:hAnsi="Calibri" w:cs="Calibri"/>
                <w:b w:val="0"/>
                <w:i w:val="0"/>
                <w:color w:val="000000"/>
                <w:sz w:val="20"/>
                <w:u w:val="none"/>
              </w:rPr>
              <w:t>La demandante presentó un recurso extraordinario de casación con fecha 20 de octubre de 2025, el que se encuentra pendiente de resolución.</w:t>
            </w:r>
          </w:p>
        </w:tc>
      </w:tr>
      <w:tr>
        <w:tblPrEx>
          <w:tblW w:w="8550" w:type="dxa"/>
          <w:tblInd w:w="1417" w:type="dxa"/>
          <w:tblLayout w:type="fixed"/>
        </w:tblPrEx>
        <w:trPr>
          <w:cantSplit/>
          <w:trHeight w:hRule="exact" w:val="180"/>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2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58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32.1.2.-</w:t>
            </w: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Nombre del Juicio</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“Consorcio con Edelmag.”</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Fecha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10 de julio de 2024.</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Tribunal</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1° Juzgado de Letras de Punta Arenas.</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Rol Nº</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112-2024.</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Materia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Indemnización de perjuicios extracontractual.</w:t>
            </w:r>
          </w:p>
        </w:tc>
      </w:tr>
      <w:tr>
        <w:tblPrEx>
          <w:tblW w:w="8550" w:type="dxa"/>
          <w:tblInd w:w="1417" w:type="dxa"/>
          <w:tblLayout w:type="fixed"/>
        </w:tblPrEx>
        <w:trPr>
          <w:cantSplit/>
          <w:trHeight w:hRule="exact" w:val="285"/>
        </w:trPr>
        <w:tc>
          <w:tcPr>
            <w:tcW w:w="7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62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Cuantía</w:t>
            </w:r>
          </w:p>
        </w:tc>
        <w:tc>
          <w:tcPr>
            <w:tcW w:w="285"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keepNext/>
              <w:pageBreakBefore w:val="0"/>
              <w:spacing w:before="53" w:after="30" w:line="240" w:lineRule="auto"/>
              <w:jc w:val="left"/>
            </w:pPr>
            <w:r>
              <w:rPr>
                <w:rFonts w:ascii="Calibri" w:eastAsia="Calibri" w:hAnsi="Calibri" w:cs="Calibri"/>
                <w:b w:val="0"/>
                <w:i w:val="0"/>
                <w:color w:val="000000"/>
                <w:sz w:val="20"/>
                <w:u w:val="none"/>
              </w:rPr>
              <w:t>UF 717,21.</w:t>
            </w:r>
          </w:p>
        </w:tc>
      </w:tr>
      <w:tr>
        <w:tblPrEx>
          <w:tblW w:w="8550" w:type="dxa"/>
          <w:tblInd w:w="1417" w:type="dxa"/>
          <w:tblLayout w:type="fixed"/>
        </w:tblPrEx>
        <w:trPr>
          <w:cantSplit/>
          <w:trHeight w:hRule="exact" w:val="495"/>
        </w:trPr>
        <w:tc>
          <w:tcPr>
            <w:tcW w:w="7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20"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left"/>
            </w:pPr>
            <w:r>
              <w:rPr>
                <w:rFonts w:ascii="Calibri" w:eastAsia="Calibri" w:hAnsi="Calibri" w:cs="Calibri"/>
                <w:b w:val="0"/>
                <w:i w:val="0"/>
                <w:color w:val="000000"/>
                <w:sz w:val="20"/>
                <w:u w:val="none"/>
              </w:rPr>
              <w:t>Estado</w:t>
            </w:r>
          </w:p>
        </w:tc>
        <w:tc>
          <w:tcPr>
            <w:tcW w:w="285"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center"/>
            </w:pPr>
            <w:r>
              <w:rPr>
                <w:rFonts w:ascii="Calibri" w:eastAsia="Calibri" w:hAnsi="Calibri" w:cs="Calibri"/>
                <w:b w:val="0"/>
                <w:i w:val="0"/>
                <w:color w:val="000000"/>
                <w:sz w:val="20"/>
                <w:u w:val="none"/>
              </w:rPr>
              <w:t>:</w:t>
            </w:r>
          </w:p>
        </w:tc>
        <w:tc>
          <w:tcPr>
            <w:tcW w:w="5850"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both"/>
            </w:pPr>
            <w:r>
              <w:rPr>
                <w:rFonts w:ascii="Calibri" w:eastAsia="Calibri" w:hAnsi="Calibri" w:cs="Calibri"/>
                <w:b w:val="0"/>
                <w:i w:val="0"/>
                <w:color w:val="000000"/>
                <w:sz w:val="20"/>
                <w:u w:val="none"/>
              </w:rPr>
              <w:t>Con fecha 19 de noviembre de 2025 se certificó el vencimiento del término probatorio en la causa.</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14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273" w:name="Section141"/>
      <w:bookmarkEnd w:id="273"/>
      <w:bookmarkStart w:id="274" w:name="04a2e5cba5fe466fa5af58d1e1e937dc"/>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Sanciones. </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74"/>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la Comisión para el Mercado Financiero.</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los Directores y Ejecutivos, no han sido sancionados por la Comisión para el Mercado Financiero 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otras autoridades administrativas.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Directores y Ejecutivos no han sido sancionados por otras autoridades administrativas 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14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5" w:name="Section142"/>
      <w:bookmarkEnd w:id="275"/>
      <w:bookmarkStart w:id="276" w:name="15b5fe7b2215438aa3fde2ae0caaa6b5"/>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27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intermedios del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la Sociedad no ha convenido covenants financieros.</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08"/>
        <w:jc w:val="both"/>
        <w:outlineLvl w:val="9"/>
        <w:sectPr>
          <w:type w:val="continuous"/>
          <w:pgSz w:w="12240" w:h="15840"/>
          <w:pgMar w:top="1134" w:right="1134" w:bottom="1134" w:left="1134" w:header="0" w:footer="140"/>
          <w:cols w:space="708"/>
        </w:sectPr>
      </w:pPr>
    </w:p>
    <w:p>
      <w:pPr>
        <w:pStyle w:val="Heading1-wk"/>
        <w:keepNext/>
        <w:keepLines/>
        <w:pageBreakBefore w:val="0"/>
        <w:widowControl w:val="0"/>
        <w:numPr>
          <w:ilvl w:val="0"/>
          <w:numId w:val="0"/>
        </w:numPr>
        <w:tabs>
          <w:tab w:val="left" w:pos="700"/>
        </w:tabs>
        <w:spacing w:before="0" w:after="0" w:line="240" w:lineRule="exact"/>
        <w:ind w:left="709" w:right="0" w:hanging="709"/>
        <w:jc w:val="both"/>
        <w:outlineLvl w:val="0"/>
        <w:rPr>
          <w:rFonts w:ascii="Cambria" w:eastAsia="Cambria" w:hAnsi="Cambria" w:cs="Cambria"/>
          <w:b/>
          <w:i w:val="0"/>
          <w:color w:val="365F91"/>
          <w:sz w:val="28"/>
          <w:u w:val="none"/>
        </w:rPr>
      </w:pPr>
      <w:bookmarkStart w:id="277" w:name="Section143"/>
      <w:bookmarkEnd w:id="277"/>
      <w:bookmarkStart w:id="278" w:name="fbda38ae99674adab03f0f759be43a40"/>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GARANTÍAS COMPROMETIDAS CON TERCEROS, OTROS ACTIVOS Y PASIVOS CONTINGENTES Y OTROS COMPROMISOS.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bookmarkEnd w:id="278"/>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intermedios del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la Sociedad no registran garantías materiales comprometidas con terceros.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14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libri" w:eastAsia="Calibri" w:hAnsi="Calibri" w:cs="Calibri"/>
          <w:b/>
          <w:i w:val="0"/>
          <w:color w:val="365F91"/>
          <w:sz w:val="20"/>
          <w:u w:val="none"/>
        </w:rPr>
      </w:pPr>
      <w:bookmarkStart w:id="279" w:name="Section144"/>
      <w:bookmarkEnd w:id="279"/>
      <w:bookmarkStart w:id="280" w:name="a16942eec2494c26a519c856827a1d11"/>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0"/>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la Sociedad para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30"/>
        <w:gridCol w:w="1005"/>
        <w:gridCol w:w="1005"/>
        <w:gridCol w:w="1005"/>
        <w:gridCol w:w="1005"/>
        <w:gridCol w:w="1005"/>
      </w:tblGrid>
      <w:tr>
        <w:tblPrEx>
          <w:tblW w:w="9255" w:type="dxa"/>
          <w:tblInd w:w="709" w:type="dxa"/>
          <w:tblLayout w:type="fixed"/>
        </w:tblPrEx>
        <w:trPr>
          <w:cantSplit/>
          <w:trHeight w:hRule="auto" w:val="0"/>
        </w:trPr>
        <w:tc>
          <w:tcPr>
            <w:tcW w:w="42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Área </w:t>
            </w:r>
          </w:p>
        </w:tc>
        <w:tc>
          <w:tcPr>
            <w:tcW w:w="402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Promedio del ejercicio </w:t>
            </w:r>
          </w:p>
        </w:tc>
      </w:tr>
      <w:tr>
        <w:tblPrEx>
          <w:tblW w:w="9255" w:type="dxa"/>
          <w:tblInd w:w="709" w:type="dxa"/>
          <w:tblLayout w:type="fixed"/>
        </w:tblPrEx>
        <w:trPr>
          <w:cantSplit/>
          <w:trHeight w:hRule="auto" w:val="0"/>
        </w:trPr>
        <w:tc>
          <w:tcPr>
            <w:tcW w:w="4230" w:type="dxa"/>
            <w:vMerge/>
            <w:tcBorders>
              <w:top w:val="nil"/>
              <w:left w:val="single" w:sz="2" w:space="0" w:color="000000"/>
              <w:bottom w:val="nil"/>
              <w:right w:val="single" w:sz="4" w:space="0" w:color="FFFFFF"/>
            </w:tcBorders>
          </w:tcPr>
          <w:p>
            <w:pPr>
              <w:keepNext/>
              <w:pageBreakBefore w:val="0"/>
            </w:pP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Gerentes y ejecutivos principales </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Profesionales y técnicos </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Trabajadores y otros </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Total </w:t>
            </w:r>
          </w:p>
        </w:tc>
        <w:tc>
          <w:tcPr>
            <w:tcW w:w="100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4230" w:type="dxa"/>
            <w:vMerge/>
            <w:tcBorders>
              <w:top w:val="nil"/>
              <w:left w:val="single" w:sz="2" w:space="0" w:color="000000"/>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Puerto Natales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10</w:t>
            </w:r>
          </w:p>
        </w:tc>
        <w:tc>
          <w:tcPr>
            <w:tcW w:w="1005" w:type="dxa"/>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11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10</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Puerto Porvenir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w:t>
            </w:r>
          </w:p>
        </w:tc>
        <w:tc>
          <w:tcPr>
            <w:tcW w:w="100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Puerto Williams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w:t>
            </w:r>
          </w:p>
        </w:tc>
        <w:tc>
          <w:tcPr>
            <w:tcW w:w="100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Punta Arenas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67</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31</w:t>
            </w:r>
          </w:p>
        </w:tc>
        <w:tc>
          <w:tcPr>
            <w:tcW w:w="1005" w:type="dxa"/>
            <w:tcBorders>
              <w:top w:val="single" w:sz="4" w:space="0" w:color="FFFFFF"/>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104</w:t>
            </w:r>
          </w:p>
        </w:tc>
      </w:tr>
      <w:tr>
        <w:tblPrEx>
          <w:tblW w:w="9255" w:type="dxa"/>
          <w:tblInd w:w="709" w:type="dxa"/>
          <w:tblLayout w:type="fixed"/>
        </w:tblPrEx>
        <w:trPr>
          <w:cantSplit/>
          <w:trHeight w:hRule="exact" w:val="6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 Total </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7</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70</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55</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132</w:t>
            </w:r>
          </w:p>
        </w:tc>
        <w:tc>
          <w:tcPr>
            <w:tcW w:w="10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130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30"/>
        <w:gridCol w:w="1005"/>
        <w:gridCol w:w="1005"/>
        <w:gridCol w:w="1005"/>
        <w:gridCol w:w="1005"/>
        <w:gridCol w:w="1005"/>
      </w:tblGrid>
      <w:tr>
        <w:tblPrEx>
          <w:tblW w:w="9255" w:type="dxa"/>
          <w:tblInd w:w="709" w:type="dxa"/>
          <w:tblLayout w:type="fixed"/>
        </w:tblPrEx>
        <w:trPr>
          <w:cantSplit/>
          <w:trHeight w:hRule="auto" w:val="0"/>
        </w:trPr>
        <w:tc>
          <w:tcPr>
            <w:tcW w:w="42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Área </w:t>
            </w:r>
          </w:p>
        </w:tc>
        <w:tc>
          <w:tcPr>
            <w:tcW w:w="402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Promedio del ejercicio </w:t>
            </w:r>
          </w:p>
        </w:tc>
      </w:tr>
      <w:tr>
        <w:tblPrEx>
          <w:tblW w:w="9255" w:type="dxa"/>
          <w:tblInd w:w="709" w:type="dxa"/>
          <w:tblLayout w:type="fixed"/>
        </w:tblPrEx>
        <w:trPr>
          <w:cantSplit/>
          <w:trHeight w:hRule="auto" w:val="0"/>
        </w:trPr>
        <w:tc>
          <w:tcPr>
            <w:tcW w:w="4230" w:type="dxa"/>
            <w:vMerge/>
            <w:tcBorders>
              <w:top w:val="nil"/>
              <w:left w:val="single" w:sz="2" w:space="0" w:color="000000"/>
              <w:bottom w:val="nil"/>
              <w:right w:val="single" w:sz="4" w:space="0" w:color="FFFFFF"/>
            </w:tcBorders>
          </w:tcPr>
          <w:p>
            <w:pPr>
              <w:keepNext/>
              <w:pageBreakBefore w:val="0"/>
            </w:pP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Gerentes y ejecutivos principales </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Profesionales y técnicos </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Trabajadores y otros </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Total </w:t>
            </w:r>
          </w:p>
        </w:tc>
        <w:tc>
          <w:tcPr>
            <w:tcW w:w="100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4230" w:type="dxa"/>
            <w:vMerge/>
            <w:tcBorders>
              <w:top w:val="nil"/>
              <w:left w:val="single" w:sz="2" w:space="0" w:color="000000"/>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Puerto Natales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10</w:t>
            </w:r>
          </w:p>
        </w:tc>
        <w:tc>
          <w:tcPr>
            <w:tcW w:w="1005" w:type="dxa"/>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11</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Puerto Porvenir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w:t>
            </w:r>
          </w:p>
        </w:tc>
        <w:tc>
          <w:tcPr>
            <w:tcW w:w="100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Puerto Williams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w:t>
            </w:r>
          </w:p>
        </w:tc>
        <w:tc>
          <w:tcPr>
            <w:tcW w:w="1005" w:type="dxa"/>
            <w:tcBorders>
              <w:top w:val="single" w:sz="4" w:space="0" w:color="FFFFFF"/>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w:t>
            </w: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Punta Arenas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62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33</w:t>
            </w:r>
          </w:p>
        </w:tc>
        <w:tc>
          <w:tcPr>
            <w:tcW w:w="1005" w:type="dxa"/>
            <w:tcBorders>
              <w:top w:val="single" w:sz="4" w:space="0" w:color="FFFFFF"/>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102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99</w:t>
            </w:r>
          </w:p>
        </w:tc>
      </w:tr>
      <w:tr>
        <w:tblPrEx>
          <w:tblW w:w="9255" w:type="dxa"/>
          <w:tblInd w:w="709" w:type="dxa"/>
          <w:tblLayout w:type="fixed"/>
        </w:tblPrEx>
        <w:trPr>
          <w:cantSplit/>
          <w:trHeight w:hRule="exact" w:val="6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25"/>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 Total </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7</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64</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57</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128</w:t>
            </w:r>
          </w:p>
        </w:tc>
        <w:tc>
          <w:tcPr>
            <w:tcW w:w="10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126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14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81" w:name="Section145"/>
      <w:bookmarkEnd w:id="281"/>
      <w:bookmarkStart w:id="282" w:name="df23b51954e24f4189eee633f7507743"/>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MEDIO AMBIENTE.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2"/>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participa en el mercado de la generación y distribución de energía eléctrica estos negocios por su naturaleza involucran la entrega de un servicio que no altera de manera importante las condiciones medioambientales.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Además de lo anterior, todos los proyectos en que la empresa participa cumplen cabalmente con la normativa y reglamentación existente sobre la materia, los cuales incluyen, en proyectos que así lo requieran, estudios de impacto ambiental.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los desembolsos efectuados relacionados con normas de medioambiente para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hanging="70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95"/>
        <w:gridCol w:w="2385"/>
        <w:gridCol w:w="2955"/>
        <w:gridCol w:w="945"/>
        <w:gridCol w:w="2355"/>
        <w:gridCol w:w="825"/>
        <w:gridCol w:w="1095"/>
      </w:tblGrid>
      <w:tr>
        <w:tblPrEx>
          <w:tblW w:w="12855" w:type="dxa"/>
          <w:tblInd w:w="709" w:type="dxa"/>
          <w:tblLayout w:type="fixed"/>
        </w:tblPrEx>
        <w:trPr>
          <w:cantSplit/>
          <w:trHeight w:hRule="auto" w:val="0"/>
          <w:tblHeader/>
        </w:trPr>
        <w:tc>
          <w:tcPr>
            <w:tcW w:w="22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3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29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9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23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2855" w:type="dxa"/>
          <w:tblInd w:w="709" w:type="dxa"/>
          <w:tblLayout w:type="fixed"/>
        </w:tblPrEx>
        <w:trPr>
          <w:cantSplit/>
          <w:trHeight w:hRule="auto" w:val="0"/>
          <w:tblHeader/>
        </w:trPr>
        <w:tc>
          <w:tcPr>
            <w:tcW w:w="2295" w:type="dxa"/>
            <w:vMerge/>
            <w:tcBorders>
              <w:top w:val="nil"/>
              <w:left w:val="single" w:sz="2" w:space="0" w:color="000000"/>
              <w:bottom w:val="single" w:sz="2" w:space="0" w:color="000000"/>
              <w:right w:val="nil"/>
            </w:tcBorders>
          </w:tcPr>
          <w:p>
            <w:pPr>
              <w:pageBreakBefore w:val="0"/>
            </w:pPr>
          </w:p>
        </w:tc>
        <w:tc>
          <w:tcPr>
            <w:tcW w:w="2385" w:type="dxa"/>
            <w:vMerge/>
            <w:tcBorders>
              <w:top w:val="nil"/>
              <w:left w:val="single" w:sz="4" w:space="0" w:color="FFFFFF"/>
              <w:bottom w:val="single" w:sz="2" w:space="0" w:color="000000"/>
              <w:right w:val="nil"/>
            </w:tcBorders>
          </w:tcPr>
          <w:p>
            <w:pPr>
              <w:pageBreakBefore w:val="0"/>
            </w:pPr>
          </w:p>
        </w:tc>
        <w:tc>
          <w:tcPr>
            <w:tcW w:w="2955" w:type="dxa"/>
            <w:vMerge/>
            <w:tcBorders>
              <w:top w:val="nil"/>
              <w:left w:val="single" w:sz="4" w:space="0" w:color="FFFFFF"/>
              <w:bottom w:val="single" w:sz="2" w:space="0" w:color="000000"/>
              <w:right w:val="nil"/>
            </w:tcBorders>
          </w:tcPr>
          <w:p>
            <w:pPr>
              <w:pageBreakBefore w:val="0"/>
            </w:pPr>
          </w:p>
        </w:tc>
        <w:tc>
          <w:tcPr>
            <w:tcW w:w="945" w:type="dxa"/>
            <w:vMerge/>
            <w:tcBorders>
              <w:top w:val="nil"/>
              <w:left w:val="single" w:sz="4" w:space="0" w:color="FFFFFF"/>
              <w:bottom w:val="single" w:sz="2" w:space="0" w:color="000000"/>
              <w:right w:val="nil"/>
            </w:tcBorders>
          </w:tcPr>
          <w:p>
            <w:pPr>
              <w:pageBreakBefore w:val="0"/>
            </w:pPr>
          </w:p>
        </w:tc>
        <w:tc>
          <w:tcPr>
            <w:tcW w:w="2355" w:type="dxa"/>
            <w:vMerge/>
            <w:tcBorders>
              <w:top w:val="nil"/>
              <w:left w:val="single" w:sz="4" w:space="0" w:color="FFFFFF"/>
              <w:bottom w:val="single" w:sz="2" w:space="0" w:color="000000"/>
              <w:right w:val="nil"/>
            </w:tcBorders>
          </w:tcPr>
          <w:p>
            <w:pPr>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095" w:type="dxa"/>
            <w:vMerge/>
            <w:tcBorders>
              <w:top w:val="nil"/>
              <w:left w:val="single" w:sz="4" w:space="0" w:color="FFFFFF"/>
              <w:bottom w:val="single" w:sz="2" w:space="0" w:color="000000"/>
              <w:right w:val="single" w:sz="2" w:space="0" w:color="000000"/>
            </w:tcBorders>
          </w:tcPr>
          <w:p>
            <w:pPr>
              <w:pageBreakBefore w:val="0"/>
            </w:pP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4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5.514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19-01-2026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17-01-2026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validación de datos CEMS IV trimestre 2026</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mantención equipo SCR central Porvenir</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6.436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validación de datos CEMS Año 2026</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1.589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23-03-2026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Estudio medio ambiente avistamiento Avi fauna</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Estudio medio ambiente avistamiento Avi fauna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5.441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PAS 157 - declaración impacto ambiental Guerrico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Asesoría técnica medio ambiental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7.857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final DIA proyecto Guerrico </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Asesoría técnica medio ambiental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13.885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27-03-2026</w:t>
            </w:r>
          </w:p>
        </w:tc>
      </w:tr>
      <w:tr>
        <w:tblPrEx>
          <w:tblW w:w="12855" w:type="dxa"/>
          <w:tblInd w:w="709"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9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técnico legal - Medio ambiente DIA Guerrico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técnico legal - medio ambiente DIA Guerrico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7.371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06-04-2026</w:t>
            </w:r>
          </w:p>
        </w:tc>
      </w:tr>
      <w:tr>
        <w:tblPrEx>
          <w:tblW w:w="12855" w:type="dxa"/>
          <w:tblInd w:w="709" w:type="dxa"/>
          <w:tblLayout w:type="fixed"/>
        </w:tblPrEx>
        <w:trPr>
          <w:cantSplit/>
          <w:trHeight w:hRule="auto" w:val="0"/>
        </w:trPr>
        <w:tc>
          <w:tcPr>
            <w:tcW w:w="22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38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95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94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67.675</w:t>
            </w:r>
          </w:p>
        </w:tc>
        <w:tc>
          <w:tcPr>
            <w:tcW w:w="10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b/>
      </w:r>
    </w:p>
    <w:p>
      <w:pPr>
        <w:keepNext/>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keepLines/>
        <w:pageBreakBefore/>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20"/>
        <w:gridCol w:w="2400"/>
        <w:gridCol w:w="3105"/>
        <w:gridCol w:w="840"/>
        <w:gridCol w:w="2355"/>
        <w:gridCol w:w="825"/>
        <w:gridCol w:w="1095"/>
      </w:tblGrid>
      <w:tr>
        <w:tblPrEx>
          <w:tblW w:w="12840" w:type="dxa"/>
          <w:tblInd w:w="720" w:type="dxa"/>
          <w:tblLayout w:type="fixed"/>
        </w:tblPrEx>
        <w:trPr>
          <w:cantSplit/>
          <w:trHeight w:hRule="exact" w:val="375"/>
          <w:tblHeader/>
        </w:trPr>
        <w:tc>
          <w:tcPr>
            <w:tcW w:w="22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31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8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23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2840" w:type="dxa"/>
          <w:tblInd w:w="720" w:type="dxa"/>
          <w:tblLayout w:type="fixed"/>
        </w:tblPrEx>
        <w:trPr>
          <w:cantSplit/>
          <w:trHeight w:hRule="exact" w:val="225"/>
          <w:tblHeader/>
        </w:trPr>
        <w:tc>
          <w:tcPr>
            <w:tcW w:w="2220" w:type="dxa"/>
            <w:vMerge/>
            <w:tcBorders>
              <w:top w:val="nil"/>
              <w:left w:val="single" w:sz="2" w:space="0" w:color="000000"/>
              <w:bottom w:val="single" w:sz="2" w:space="0" w:color="000000"/>
              <w:right w:val="nil"/>
            </w:tcBorders>
          </w:tcPr>
          <w:p>
            <w:pPr>
              <w:pageBreakBefore w:val="0"/>
            </w:pPr>
          </w:p>
        </w:tc>
        <w:tc>
          <w:tcPr>
            <w:tcW w:w="2400" w:type="dxa"/>
            <w:vMerge/>
            <w:tcBorders>
              <w:top w:val="nil"/>
              <w:left w:val="single" w:sz="4" w:space="0" w:color="FFFFFF"/>
              <w:bottom w:val="single" w:sz="2" w:space="0" w:color="000000"/>
              <w:right w:val="nil"/>
            </w:tcBorders>
          </w:tcPr>
          <w:p>
            <w:pPr>
              <w:pageBreakBefore w:val="0"/>
            </w:pPr>
          </w:p>
        </w:tc>
        <w:tc>
          <w:tcPr>
            <w:tcW w:w="3105" w:type="dxa"/>
            <w:vMerge/>
            <w:tcBorders>
              <w:top w:val="nil"/>
              <w:left w:val="single" w:sz="4" w:space="0" w:color="FFFFFF"/>
              <w:bottom w:val="single" w:sz="2" w:space="0" w:color="000000"/>
              <w:right w:val="nil"/>
            </w:tcBorders>
          </w:tcPr>
          <w:p>
            <w:pPr>
              <w:pageBreakBefore w:val="0"/>
            </w:pPr>
          </w:p>
        </w:tc>
        <w:tc>
          <w:tcPr>
            <w:tcW w:w="840" w:type="dxa"/>
            <w:vMerge/>
            <w:tcBorders>
              <w:top w:val="nil"/>
              <w:left w:val="single" w:sz="4" w:space="0" w:color="FFFFFF"/>
              <w:bottom w:val="single" w:sz="2" w:space="0" w:color="000000"/>
              <w:right w:val="nil"/>
            </w:tcBorders>
          </w:tcPr>
          <w:p>
            <w:pPr>
              <w:pageBreakBefore w:val="0"/>
            </w:pPr>
          </w:p>
        </w:tc>
        <w:tc>
          <w:tcPr>
            <w:tcW w:w="2355" w:type="dxa"/>
            <w:vMerge/>
            <w:tcBorders>
              <w:top w:val="nil"/>
              <w:left w:val="single" w:sz="4" w:space="0" w:color="FFFFFF"/>
              <w:bottom w:val="single" w:sz="2" w:space="0" w:color="000000"/>
              <w:right w:val="nil"/>
            </w:tcBorders>
          </w:tcPr>
          <w:p>
            <w:pPr>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095" w:type="dxa"/>
            <w:vMerge/>
            <w:tcBorders>
              <w:top w:val="nil"/>
              <w:left w:val="single" w:sz="4" w:space="0" w:color="FFFFFF"/>
              <w:bottom w:val="single" w:sz="2" w:space="0" w:color="000000"/>
              <w:right w:val="single" w:sz="2" w:space="0" w:color="000000"/>
            </w:tcBorders>
          </w:tcPr>
          <w:p>
            <w:pPr>
              <w:pageBreakBefore w:val="0"/>
            </w:pP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HP3 Ingreso DIA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40.217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Modificación planos restitución</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4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5.329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Letrero DIA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29-01-2025</w:t>
            </w:r>
          </w:p>
        </w:tc>
      </w:tr>
      <w:tr>
        <w:tblPrEx>
          <w:tblW w:w="12840" w:type="dxa"/>
          <w:tblInd w:w="720" w:type="dxa"/>
          <w:tblLayout w:type="fixed"/>
        </w:tblPrEx>
        <w:trPr>
          <w:cantSplit/>
          <w:trHeight w:hRule="exact" w:val="345"/>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Certificado de vigencia poder JR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Certificados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5.579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Viaje por ICSARA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482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8.110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Proyecto Eólico PUQ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Proyecto Eólico PNT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20-03-2025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7.079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26-03-2025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revisión DIA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15.169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17.189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proyectos generación 2024</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5.601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 N°1 - 50% Estudios ICSARA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12.445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09-04-2025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Registro SISAT (correcciones UGE CPN y CPO)</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verificación y corrección de datos CEMS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518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19.250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1 2025</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5.423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6.878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13-05-2025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traslado UGE CAT</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4.310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Respuesta resolución exenta N° 576 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2.938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2.034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8.214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Sistema mitigación de emisiones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Mantenimiento equipos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13.658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HP1 ING.CAM - 30% Inicio de trabajos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2.017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06-06-2025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1.990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8.614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7.687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HP2 ING.CAM - 50% entrega ingeniería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3.475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HP3 ING.CAM - 20% ingeniería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1.382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Adquisición gases patrones Nacionales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2.979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Consultas procedimiento pago impuesto a emisiones periodo 2023 CPN (junio 2025)</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1.470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2 2025</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5.438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4.425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Desarrollo estructuras para instalación de silenciadores TG N°4 y TG N°9 y 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Desarrollo  de estructuras para instalaciones de silenciadores TG N°4 y TG N°9 y mano de obra interna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7.828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calibración SCR Porvenir INERCO</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CEMS tercer trimestre 2025</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 N°2 - 50% Estudios ICSARA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12.795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ICSARA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1.812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3.475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técnico ICSARA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6.042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Honorarios julio agosto 2025</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3.818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3.988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por estructura y 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por estructura y mano de obra interna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3.574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hito N°1 de contrato por entrega de planos de montaje con Cofama S.A. más pago de 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hito N°1 de Contrato por entrega de planos de montaje con Cofama S.A. más pago de mano de obra interna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14.188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8.686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31-08-2025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de ruido CPA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1.379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de ruido CPN</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Monitoreo calidad de aire CPA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17.633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Monitoreo calidad de aire CPN</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17.633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 Natales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11.857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 y externa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 y externa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8.822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servicio de ingeniería mano de obra interna y externa.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servicio de ingeniería mano de obra interna y externa.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7.254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calibración SCR Porvenir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1.072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anual CEMS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6.149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50.230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14-10-2025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hito N°2 de contrato por entrega de planos de montaje con Cofama S.A. más pago de 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motor portátil CAT 3512 UG N°14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14.386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28-10-2025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reparación Servidor CEMS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30.397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DSS 50% estudio meteorológico PEPN</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1.909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GEO4D levantamiento topográfico Natales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4.150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3 2025</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5.501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- 2025/10</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Mantex cruce y tramitación 50% final</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3.499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1.977</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mantenimiento anual Hardware Ambilogger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2.219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9.091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30-11-2025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DSS- Pago H2 informe meteorológico</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1.909</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06-12-2025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472</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09-12-2025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hito N°3 de contrato por entrega de planos de montaje con Cofama S.A. más pago de mano de obra interna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motor portátil CAT 3512 UG N°14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17.985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16-12-2025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PPU Legal - asesoría DIA Sept- Oct</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7.674</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PPU Legal - asesoría DIA Nov</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6.203</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PPU Legal - asesoría DIA Dic</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5.805</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Validación anual CEMS</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11.068</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40" w:type="dxa"/>
          <w:tblInd w:w="720" w:type="dxa"/>
          <w:tblLayout w:type="fixed"/>
        </w:tblPrEx>
        <w:trPr>
          <w:cantSplit/>
          <w:trHeight w:hRule="auto" w:val="0"/>
        </w:trPr>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3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19.661</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40" w:type="dxa"/>
          <w:tblInd w:w="720" w:type="dxa"/>
          <w:tblLayout w:type="fixed"/>
        </w:tblPrEx>
        <w:trPr>
          <w:cantSplit/>
          <w:trHeight w:hRule="auto" w:val="0"/>
        </w:trPr>
        <w:tc>
          <w:tcPr>
            <w:tcW w:w="222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4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310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586.502</w:t>
            </w:r>
          </w:p>
        </w:tc>
        <w:tc>
          <w:tcPr>
            <w:tcW w:w="10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sectPr>
          <w:headerReference w:type="default" r:id="rId47"/>
          <w:footerReference w:type="default" r:id="rId48"/>
          <w:pgSz w:w="15840" w:h="12240" w:orient="landscape"/>
          <w:pgMar w:top="1134" w:right="1134" w:bottom="1134" w:left="1134" w:header="0" w:footer="425"/>
          <w:cols w:space="708"/>
        </w:sectPr>
      </w:pPr>
    </w:p>
    <w:p>
      <w:pPr>
        <w:pStyle w:val="Heading1-wk"/>
        <w:keepNext w:val="0"/>
        <w:keepLines/>
        <w:pageBreakBefore w:val="0"/>
        <w:widowControl w:val="0"/>
        <w:numPr>
          <w:ilvl w:val="0"/>
          <w:numId w:val="0"/>
        </w:numPr>
        <w:spacing w:before="0" w:after="0" w:line="288" w:lineRule="auto"/>
        <w:ind w:left="0" w:right="0" w:firstLine="0"/>
        <w:jc w:val="left"/>
        <w:outlineLvl w:val="0"/>
        <w:rPr>
          <w:rFonts w:ascii="Cambria" w:eastAsia="Cambria" w:hAnsi="Cambria" w:cs="Cambria"/>
          <w:b/>
          <w:i w:val="0"/>
          <w:color w:val="365F91"/>
          <w:sz w:val="28"/>
          <w:u w:val="none"/>
        </w:rPr>
      </w:pPr>
      <w:bookmarkStart w:id="283" w:name="Section146"/>
      <w:bookmarkEnd w:id="283"/>
      <w:bookmarkStart w:id="284" w:name="b0d71b43a1f04f60adea3806870d72e7"/>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284"/>
    </w:p>
    <w:p>
      <w:pPr>
        <w:keepNext w:val="0"/>
        <w:keepLines/>
        <w:pageBreakBefore w:val="0"/>
        <w:widowControl w:val="0"/>
        <w:numPr>
          <w:ilvl w:val="0"/>
          <w:numId w:val="0"/>
        </w:numPr>
        <w:spacing w:before="0" w:after="0" w:line="23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fecha de cierre de los estados financieros intermedios, y su fecha de presentación, no han ocurrido</w:t>
      </w:r>
      <w:r>
        <w:rPr>
          <w:rFonts w:ascii="Calibri" w:eastAsia="Calibri" w:hAnsi="Calibri" w:cs="Calibri"/>
          <w:b w:val="0"/>
          <w:i w:val="0"/>
          <w:sz w:val="20"/>
        </w:rPr>
        <w:t xml:space="preserve"> </w:t>
      </w:r>
      <w:r>
        <w:rPr>
          <w:rFonts w:ascii="Calibri" w:eastAsia="Calibri" w:hAnsi="Calibri" w:cs="Calibri"/>
          <w:b w:val="0"/>
          <w:i w:val="0"/>
          <w:sz w:val="20"/>
        </w:rPr>
        <w:t>hechos significativos de carácter financiero-contable que pudieran afectar el patrimonio de la Sociedad o la interpretación de éstos.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sectPr>
      <w:headerReference w:type="default" r:id="rId49"/>
      <w:footerReference w:type="default" r:id="rId50"/>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992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460"/>
      </w:tabs>
      <w:spacing w:before="0" w:after="0" w:line="288" w:lineRule="auto"/>
      <w:ind w:left="0" w:right="0" w:firstLine="0"/>
      <w:jc w:val="both"/>
      <w:outlineLvl w:val="0"/>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677.48pt;height:1.91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0" w:lineRule="auto"/>
      <w:ind w:left="0" w:right="0" w:firstLine="0"/>
      <w:jc w:val="lef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498.9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48</w:t>
    </w:r>
    <w:r>
      <w:rPr>
        <w:rFonts w:ascii="Calibri" w:eastAsia="Calibri" w:hAnsi="Calibri" w:cs="Calibri"/>
        <w:b w:val="0"/>
        <w:i w:val="0"/>
        <w:color w:val="000000"/>
        <w:sz w:val="20"/>
        <w:u w:val="none"/>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11520" w:right="0" w:firstLine="72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49</w:t>
    </w:r>
    <w:r>
      <w:rPr>
        <w:rFonts w:ascii="Calibri" w:eastAsia="Calibri" w:hAnsi="Calibri" w:cs="Calibri"/>
        <w:b w:val="0"/>
        <w:i w:val="0"/>
        <w:sz w:val="20"/>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41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7920" w:right="0" w:firstLine="72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52</w:t>
    </w:r>
    <w:r>
      <w:rPr>
        <w:rFonts w:ascii="Calibri" w:eastAsia="Calibri" w:hAnsi="Calibri" w:cs="Calibri"/>
        <w:b w:val="0"/>
        <w:i w:val="0"/>
        <w:sz w:val="20"/>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677.48pt;height:1.98pt">
          <v:imagedata r:id="rId1" o:title=""/>
          <o:lock v:ext="edit" aspectratio="t"/>
        </v:shape>
      </w:pict>
    </w:r>
  </w:p>
  <w:p>
    <w:pPr>
      <w:pStyle w:val="Normal-wk"/>
      <w:keepNext w:val="0"/>
      <w:keepLines/>
      <w:pageBreakBefore w:val="0"/>
      <w:widowControl w:val="0"/>
      <w:numPr>
        <w:ilvl w:val="0"/>
        <w:numId w:val="0"/>
      </w:numPr>
      <w:tabs>
        <w:tab w:val="right" w:pos="13600"/>
      </w:tabs>
      <w:spacing w:before="0" w:after="0" w:line="240" w:lineRule="exact"/>
      <w:ind w:left="1296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53</w:t>
    </w:r>
    <w:r>
      <w:rPr>
        <w:rFonts w:ascii="Calibri" w:eastAsia="Calibri" w:hAnsi="Calibri" w:cs="Calibri"/>
        <w:b w:val="0"/>
        <w:i w:val="0"/>
        <w:color w:val="000000"/>
        <w:sz w:val="20"/>
        <w:u w:val="none"/>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0"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58</w:t>
    </w:r>
    <w:r>
      <w:rPr>
        <w:rFonts w:ascii="Calibri" w:eastAsia="Calibri" w:hAnsi="Calibri" w:cs="Calibri"/>
        <w:b w:val="0"/>
        <w:i w:val="0"/>
        <w:color w:val="000000"/>
        <w:sz w:val="20"/>
        <w:u w:val="none"/>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60</w:t>
    </w:r>
    <w:r>
      <w:rPr>
        <w:rFonts w:ascii="Calibri" w:eastAsia="Calibri" w:hAnsi="Calibri" w:cs="Calibri"/>
        <w:b w:val="0"/>
        <w:i w:val="0"/>
        <w:color w:val="000000"/>
        <w:sz w:val="20"/>
        <w:u w:val="none"/>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498.9pt;height:1.41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72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68</w:t>
    </w:r>
    <w:r>
      <w:rPr>
        <w:rFonts w:ascii="Calibri" w:eastAsia="Calibri" w:hAnsi="Calibri" w:cs="Calibri"/>
        <w:b w:val="0"/>
        <w:i w:val="0"/>
        <w:color w:val="000000"/>
        <w:sz w:val="20"/>
        <w:u w:val="none"/>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1" type="#_x0000_t75" style="width:677.48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69</w:t>
    </w:r>
    <w:r>
      <w:rPr>
        <w:rFonts w:ascii="Calibri" w:eastAsia="Calibri" w:hAnsi="Calibri" w:cs="Calibri"/>
        <w:b w:val="0"/>
        <w:i w:val="0"/>
        <w:sz w:val="20"/>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2"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73</w:t>
    </w:r>
    <w:r>
      <w:rPr>
        <w:rFonts w:ascii="Calibri" w:eastAsia="Calibri" w:hAnsi="Calibri" w:cs="Calibri"/>
        <w:b w:val="0"/>
        <w:i w:val="0"/>
        <w:color w:val="000000"/>
        <w:sz w:val="20"/>
        <w:u w:val="none"/>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3"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75</w:t>
    </w:r>
    <w:r>
      <w:rPr>
        <w:rFonts w:ascii="Calibri" w:eastAsia="Calibri" w:hAnsi="Calibri" w:cs="Calibri"/>
        <w:b w:val="0"/>
        <w:i w:val="0"/>
        <w:color w:val="000000"/>
        <w:sz w:val="20"/>
        <w:u w:val="none"/>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5" type="#_x0000_t75" style="width:498.9pt;height:1.41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83</w:t>
    </w:r>
    <w:r>
      <w:rPr>
        <w:rFonts w:ascii="Calibri" w:eastAsia="Calibri" w:hAnsi="Calibri" w:cs="Calibri"/>
        <w:b w:val="0"/>
        <w:i w:val="0"/>
        <w:color w:val="000000"/>
        <w:sz w:val="20"/>
        <w:u w:val="none"/>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6" type="#_x0000_t75" style="width:498.9pt;height:1.41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91</w:t>
    </w:r>
    <w:r>
      <w:rPr>
        <w:rFonts w:ascii="Calibri" w:eastAsia="Calibri" w:hAnsi="Calibri" w:cs="Calibri"/>
        <w:b w:val="0"/>
        <w:i w:val="0"/>
        <w:color w:val="000000"/>
        <w:sz w:val="20"/>
        <w:u w:val="none"/>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7"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94</w:t>
    </w:r>
    <w:r>
      <w:rPr>
        <w:rFonts w:ascii="Calibri" w:eastAsia="Calibri" w:hAnsi="Calibri" w:cs="Calibri"/>
        <w:b w:val="0"/>
        <w:i w:val="0"/>
        <w:sz w:val="20"/>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8" type="#_x0000_t75" style="width:498.9pt;height:1.41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96</w:t>
    </w:r>
    <w:r>
      <w:rPr>
        <w:rFonts w:ascii="Calibri" w:eastAsia="Calibri" w:hAnsi="Calibri" w:cs="Calibri"/>
        <w:b w:val="0"/>
        <w:i w:val="0"/>
        <w:color w:val="000000"/>
        <w:sz w:val="20"/>
        <w:u w:val="none"/>
      </w:rPr>
      <w:fldChar w:fldCharType="end"/>
    </w: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9" type="#_x0000_t75" style="width:677.48pt;height:1.91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101</w:t>
    </w:r>
    <w:r>
      <w:rPr>
        <w:rFonts w:ascii="Calibri" w:eastAsia="Calibri" w:hAnsi="Calibri" w:cs="Calibri"/>
        <w:b w:val="0"/>
        <w:i w:val="0"/>
        <w:color w:val="000000"/>
        <w:sz w:val="20"/>
        <w:u w:val="none"/>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0" type="#_x0000_t75" style="width:498.9pt;height:1.41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Pagina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102</w:t>
    </w:r>
    <w:r>
      <w:rPr>
        <w:rFonts w:ascii="Calibri" w:eastAsia="Calibri" w:hAnsi="Calibri" w:cs="Calibri"/>
        <w:b w:val="0"/>
        <w:i w:val="0"/>
        <w:sz w:val="20"/>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5102" w:right="-1134" w:firstLine="0"/>
      <w:jc w:val="center"/>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68.69pt;height:34.02pt">
          <v:imagedata r:id="rId1" o:title=""/>
          <o:lock v:ext="edit" aspectratio="t"/>
        </v:shape>
      </w:pict>
    </w:r>
    <w:r>
      <w:rPr>
        <w:rFonts w:ascii="Calibri" w:eastAsia="Calibri" w:hAnsi="Calibri" w:cs="Calibri"/>
        <w:b w:val="0"/>
        <w:i w:val="0"/>
        <w:color w:val="000000"/>
        <w:sz w:val="20"/>
        <w:u w:val="none"/>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3540"/>
        <w:tab w:val="right" w:pos="8500"/>
      </w:tabs>
      <w:spacing w:before="0" w:after="0" w:line="288" w:lineRule="auto"/>
      <w:ind w:left="7534" w:right="-573"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168.69pt;height:34.02pt">
          <v:imagedata r:id="rId1" o:title=""/>
          <o:lock v:ext="edit" aspectratio="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3540"/>
        <w:tab w:val="right" w:pos="8500"/>
      </w:tabs>
      <w:spacing w:before="0" w:after="0" w:line="288" w:lineRule="auto"/>
      <w:ind w:left="6094" w:right="-573" w:firstLine="283"/>
      <w:jc w:val="both"/>
      <w:outlineLvl w:val="9"/>
      <w:rPr>
        <w:rFonts w:ascii="Calibri" w:eastAsia="Calibri" w:hAnsi="Calibri" w:cs="Calibri"/>
        <w:b w:val="0"/>
        <w:i w:val="0"/>
        <w:color w:val="000000"/>
        <w:sz w:val="20"/>
        <w:u w:val="none"/>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69" w:lineRule="auto"/>
      <w:ind w:left="0" w:right="0" w:firstLine="0"/>
      <w:jc w:val="both"/>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2551" w:right="0" w:hanging="340"/>
      <w:jc w:val="both"/>
      <w:outlineLvl w:val="9"/>
      <w:rPr>
        <w:rFonts w:ascii="Calibri" w:eastAsia="Calibri" w:hAnsi="Calibri" w:cs="Calibri"/>
        <w:b w:val="0"/>
        <w:i w:val="0"/>
        <w:sz w:val="20"/>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left" w:pos="2580"/>
        <w:tab w:val="center" w:pos="4240"/>
        <w:tab w:val="left" w:pos="5880"/>
        <w:tab w:val="center" w:pos="6720"/>
        <w:tab w:val="right" w:pos="8500"/>
        <w:tab w:val="right" w:pos="8820"/>
        <w:tab w:val="left" w:pos="10840"/>
      </w:tabs>
      <w:spacing w:before="0" w:after="24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left" w:pos="2580"/>
        <w:tab w:val="center" w:pos="4240"/>
        <w:tab w:val="left" w:pos="5880"/>
        <w:tab w:val="center" w:pos="6720"/>
        <w:tab w:val="right" w:pos="8500"/>
        <w:tab w:val="right" w:pos="8820"/>
        <w:tab w:val="left" w:pos="10840"/>
      </w:tabs>
      <w:spacing w:before="0" w:after="24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09"/>
        </w:tabs>
        <w:ind w:left="720" w:hanging="360"/>
      </w:pPr>
      <w:rPr>
        <w:rFonts w:ascii="Calibri" w:eastAsia="Calibri" w:hAnsi="Calibri" w:cs="Calibri"/>
        <w:b/>
        <w:i w:val="0"/>
        <w:strike w:val="0"/>
        <w:color w:val="000000"/>
        <w:sz w:val="20"/>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multilevel"/>
    <w:tmpl w:val="00000006"/>
    <w:lvl w:ilvl="0">
      <w:start w:val="1"/>
      <w:numFmt w:val="lowerLetter"/>
      <w:lvlText w:val="%1)"/>
      <w:lvlJc w:val="left"/>
      <w:pPr>
        <w:tabs>
          <w:tab w:val="num" w:pos="1417"/>
        </w:tabs>
        <w:ind w:left="720" w:hanging="360"/>
      </w:pPr>
      <w:rPr>
        <w:rFonts w:ascii="Calibri" w:eastAsia="Calibri" w:hAnsi="Calibri" w:cs="Calibri"/>
        <w:b w:val="0"/>
        <w:i w:val="0"/>
        <w:strike w:val="0"/>
        <w:color w:val="000000"/>
        <w:sz w:val="20"/>
        <w:highlight w:val="white"/>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14">
    <w:nsid w:val="0000000F"/>
    <w:multiLevelType w:val="hybridMultilevel"/>
    <w:tmpl w:val="0000000F"/>
    <w:lvl w:ilvl="0">
      <w:start w:val="1"/>
      <w:numFmt w:val="bullet"/>
      <w:lvlText w:val="-"/>
      <w:lvlJc w:val="left"/>
      <w:pPr>
        <w:tabs>
          <w:tab w:val="num" w:pos="1842"/>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976"/>
        </w:tabs>
        <w:ind w:left="2160" w:hanging="360"/>
      </w:pPr>
      <w:rPr>
        <w:rFonts w:ascii="Calibri" w:eastAsia="Calibri" w:hAnsi="Calibri" w:cs="Calibri"/>
        <w:b w:val="0"/>
        <w:i w:val="0"/>
        <w:strike w:val="0"/>
        <w:sz w:val="20"/>
      </w:rPr>
    </w:lvl>
    <w:lvl w:ilvl="3">
      <w:start w:val="1"/>
      <w:numFmt w:val="bullet"/>
      <w:lvlText w:val="-"/>
      <w:lvlJc w:val="left"/>
      <w:pPr>
        <w:tabs>
          <w:tab w:val="num" w:pos="2551"/>
        </w:tabs>
        <w:ind w:left="2880" w:hanging="360"/>
      </w:pPr>
      <w:rPr>
        <w:rFonts w:ascii="Calibri" w:eastAsia="Calibri" w:hAnsi="Calibri" w:cs="Calibri"/>
        <w:b w:val="0"/>
        <w:i w:val="0"/>
        <w:strike w:val="0"/>
        <w:sz w:val="20"/>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tabs>
          <w:tab w:val="num" w:pos="2126"/>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multilevel"/>
    <w:tmpl w:val="00000004"/>
    <w:lvl w:ilvl="0">
      <w:start w:val="1"/>
      <w:numFmt w:val="lowerLetter"/>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9">
    <w:nsid w:val="00000050"/>
    <w:multiLevelType w:val="multilevel"/>
    <w:tmpl w:val="00000004"/>
    <w:lvl w:ilvl="0">
      <w:start w:val="2"/>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88" w:lineRule="auto"/>
      <w:ind w:left="0" w:firstLine="0"/>
      <w:jc w:val="left"/>
    </w:pPr>
    <w:rPr>
      <w:rFonts w:ascii="Calibri" w:eastAsia="Calibri" w:hAnsi="Calibri" w:cs="Calibri"/>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3.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header" Target="header6.xml" /><Relationship Id="rId15" Type="http://schemas.openxmlformats.org/officeDocument/2006/relationships/footer" Target="footer5.xml" /><Relationship Id="rId16" Type="http://schemas.openxmlformats.org/officeDocument/2006/relationships/header" Target="header7.xml" /><Relationship Id="rId17" Type="http://schemas.openxmlformats.org/officeDocument/2006/relationships/footer" Target="footer6.xml" /><Relationship Id="rId18" Type="http://schemas.openxmlformats.org/officeDocument/2006/relationships/header" Target="header8.xml" /><Relationship Id="rId19" Type="http://schemas.openxmlformats.org/officeDocument/2006/relationships/header" Target="header9.xml" /><Relationship Id="rId2" Type="http://schemas.openxmlformats.org/officeDocument/2006/relationships/webSettings" Target="webSettings.xml" /><Relationship Id="rId20" Type="http://schemas.openxmlformats.org/officeDocument/2006/relationships/header" Target="header10.xml" /><Relationship Id="rId21" Type="http://schemas.openxmlformats.org/officeDocument/2006/relationships/footer" Target="footer7.xml" /><Relationship Id="rId22" Type="http://schemas.openxmlformats.org/officeDocument/2006/relationships/header" Target="header11.xml" /><Relationship Id="rId23" Type="http://schemas.openxmlformats.org/officeDocument/2006/relationships/footer" Target="footer8.xml" /><Relationship Id="rId24" Type="http://schemas.openxmlformats.org/officeDocument/2006/relationships/header" Target="header12.xml" /><Relationship Id="rId25" Type="http://schemas.openxmlformats.org/officeDocument/2006/relationships/footer" Target="footer9.xml" /><Relationship Id="rId26" Type="http://schemas.openxmlformats.org/officeDocument/2006/relationships/header" Target="header13.xml" /><Relationship Id="rId27" Type="http://schemas.openxmlformats.org/officeDocument/2006/relationships/footer" Target="footer10.xml" /><Relationship Id="rId28" Type="http://schemas.openxmlformats.org/officeDocument/2006/relationships/header" Target="header14.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5.xml" /><Relationship Id="rId31" Type="http://schemas.openxmlformats.org/officeDocument/2006/relationships/footer" Target="footer12.xml" /><Relationship Id="rId32" Type="http://schemas.openxmlformats.org/officeDocument/2006/relationships/header" Target="header16.xml" /><Relationship Id="rId33" Type="http://schemas.openxmlformats.org/officeDocument/2006/relationships/footer" Target="footer13.xml" /><Relationship Id="rId34" Type="http://schemas.openxmlformats.org/officeDocument/2006/relationships/header" Target="header17.xml" /><Relationship Id="rId35" Type="http://schemas.openxmlformats.org/officeDocument/2006/relationships/footer" Target="footer14.xml" /><Relationship Id="rId36" Type="http://schemas.openxmlformats.org/officeDocument/2006/relationships/footer" Target="footer15.xml" /><Relationship Id="rId37" Type="http://schemas.openxmlformats.org/officeDocument/2006/relationships/header" Target="header18.xml" /><Relationship Id="rId38" Type="http://schemas.openxmlformats.org/officeDocument/2006/relationships/footer" Target="footer16.xml" /><Relationship Id="rId39" Type="http://schemas.openxmlformats.org/officeDocument/2006/relationships/header" Target="header19.xml" /><Relationship Id="rId4" Type="http://schemas.openxmlformats.org/officeDocument/2006/relationships/header" Target="header1.xml" /><Relationship Id="rId40" Type="http://schemas.openxmlformats.org/officeDocument/2006/relationships/footer" Target="footer17.xml" /><Relationship Id="rId41" Type="http://schemas.openxmlformats.org/officeDocument/2006/relationships/header" Target="header20.xml" /><Relationship Id="rId42" Type="http://schemas.openxmlformats.org/officeDocument/2006/relationships/footer" Target="footer18.xml" /><Relationship Id="rId43" Type="http://schemas.openxmlformats.org/officeDocument/2006/relationships/header" Target="header21.xml" /><Relationship Id="rId44" Type="http://schemas.openxmlformats.org/officeDocument/2006/relationships/footer" Target="footer19.xml" /><Relationship Id="rId45" Type="http://schemas.openxmlformats.org/officeDocument/2006/relationships/header" Target="header22.xml" /><Relationship Id="rId46" Type="http://schemas.openxmlformats.org/officeDocument/2006/relationships/footer" Target="footer20.xml" /><Relationship Id="rId47" Type="http://schemas.openxmlformats.org/officeDocument/2006/relationships/header" Target="header23.xml" /><Relationship Id="rId48" Type="http://schemas.openxmlformats.org/officeDocument/2006/relationships/footer" Target="footer21.xml" /><Relationship Id="rId49" Type="http://schemas.openxmlformats.org/officeDocument/2006/relationships/header" Target="header24.xml" /><Relationship Id="rId5" Type="http://schemas.openxmlformats.org/officeDocument/2006/relationships/footer" Target="footer1.xml" /><Relationship Id="rId50" Type="http://schemas.openxmlformats.org/officeDocument/2006/relationships/footer" Target="footer22.xml" /><Relationship Id="rId51" Type="http://schemas.openxmlformats.org/officeDocument/2006/relationships/theme" Target="theme/theme1.xml" /><Relationship Id="rId52" Type="http://schemas.openxmlformats.org/officeDocument/2006/relationships/numbering" Target="numbering.xml" /><Relationship Id="rId53" Type="http://schemas.openxmlformats.org/officeDocument/2006/relationships/styles" Target="styles.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footer" Target="footer2.xml" /><Relationship Id="rId9" Type="http://schemas.openxmlformats.org/officeDocument/2006/relationships/image" Target="media/image2.png" /></Relationships>
</file>

<file path=word/_rels/footer3.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footer14.xml.rels><?xml version="1.0" encoding="utf-8" standalone="yes"?><Relationships xmlns="http://schemas.openxmlformats.org/package/2006/relationships"><Relationship Id="rId1" Type="http://schemas.openxmlformats.org/officeDocument/2006/relationships/image" Target="media/image2.png" /></Relationships>
</file>

<file path=word/_rels/footer15.xml.rels><?xml version="1.0" encoding="utf-8" standalone="yes"?><Relationships xmlns="http://schemas.openxmlformats.org/package/2006/relationships"><Relationship Id="rId1" Type="http://schemas.openxmlformats.org/officeDocument/2006/relationships/image" Target="media/image2.png" /></Relationships>
</file>

<file path=word/_rels/footer16.xml.rels><?xml version="1.0" encoding="utf-8" standalone="yes"?><Relationships xmlns="http://schemas.openxmlformats.org/package/2006/relationships"><Relationship Id="rId1" Type="http://schemas.openxmlformats.org/officeDocument/2006/relationships/image" Target="media/image2.png" /></Relationships>
</file>

<file path=word/_rels/footer17.xml.rels><?xml version="1.0" encoding="utf-8" standalone="yes"?><Relationships xmlns="http://schemas.openxmlformats.org/package/2006/relationships"><Relationship Id="rId1" Type="http://schemas.openxmlformats.org/officeDocument/2006/relationships/image" Target="media/image2.png" /></Relationships>
</file>

<file path=word/_rels/footer18.xml.rels><?xml version="1.0" encoding="utf-8" standalone="yes"?><Relationships xmlns="http://schemas.openxmlformats.org/package/2006/relationships"><Relationship Id="rId1" Type="http://schemas.openxmlformats.org/officeDocument/2006/relationships/image" Target="media/image2.png" /></Relationships>
</file>

<file path=word/_rels/footer19.xml.rels><?xml version="1.0" encoding="utf-8" standalone="yes"?><Relationships xmlns="http://schemas.openxmlformats.org/package/2006/relationships"><Relationship Id="rId1" Type="http://schemas.openxmlformats.org/officeDocument/2006/relationships/image" Target="media/image2.png" /></Relationships>
</file>

<file path=word/_rels/footer20.xml.rels><?xml version="1.0" encoding="utf-8" standalone="yes"?><Relationships xmlns="http://schemas.openxmlformats.org/package/2006/relationships"><Relationship Id="rId1" Type="http://schemas.openxmlformats.org/officeDocument/2006/relationships/image" Target="media/image2.png" /></Relationships>
</file>

<file path=word/_rels/footer21.xml.rels><?xml version="1.0" encoding="utf-8" standalone="yes"?><Relationships xmlns="http://schemas.openxmlformats.org/package/2006/relationships"><Relationship Id="rId1" Type="http://schemas.openxmlformats.org/officeDocument/2006/relationships/image" Target="media/image2.png" /></Relationships>
</file>

<file path=word/_rels/footer22.xml.rels><?xml version="1.0" encoding="utf-8" standalone="yes"?><Relationships xmlns="http://schemas.openxmlformats.org/package/2006/relationships"><Relationship Id="rId1" Type="http://schemas.openxmlformats.org/officeDocument/2006/relationships/image" Target="media/image2.png"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104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E211 (ESP) - EE.FF 06-2026 - Empresa Eléctrica de Magallanes S.A.</dc:title>
  <cp:revision>1</cp:revision>
</cp:coreProperties>
</file>