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bookmarkStart w:id="0" w:name="Section1"/>
      <w:bookmarkEnd w:id="0"/>
    </w:p>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tabs>
          <w:tab w:val="left" w:pos="700"/>
        </w:tabs>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ListParagraph-wk"/>
        <w:keepNext w:val="0"/>
        <w:keepLines w:val="0"/>
        <w:pageBreakBefore w:val="0"/>
        <w:widowControl/>
        <w:numPr>
          <w:ilvl w:val="0"/>
          <w:numId w:val="10"/>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ESTADOS FINANCIEROS RESUMIDOS.</w:t>
      </w: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spacing w:before="0" w:after="0" w:line="240" w:lineRule="exact"/>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DE SITUACIÓN FINANCIERA CLASIFICADO.</w:t>
      </w:r>
    </w:p>
    <w:p w:rsidR="00A77B3E">
      <w:pPr>
        <w:pStyle w:val="Normal-wk"/>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Activos.</w:t>
      </w:r>
    </w:p>
    <w:p w:rsidR="00A77B3E">
      <w:pPr>
        <w:pStyle w:val="Normal-wk"/>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Patrimonio y pasivos.</w:t>
      </w:r>
    </w:p>
    <w:p w:rsidR="00A77B3E">
      <w:pPr>
        <w:pStyle w:val="Normal-wk"/>
        <w:keepNext w:val="0"/>
        <w:keepLines/>
        <w:pageBreakBefore w:val="0"/>
        <w:widowControl w:val="0"/>
        <w:numPr>
          <w:ilvl w:val="0"/>
          <w:numId w:val="0"/>
        </w:numPr>
        <w:spacing w:before="0" w:after="0" w:line="240" w:lineRule="exact"/>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DE RESULTADOS POR FUNCIÓN.</w:t>
      </w:r>
    </w:p>
    <w:p w:rsidR="00A77B3E">
      <w:pPr>
        <w:pStyle w:val="Normal-wk"/>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DE RESULTADO INTEGRAL.</w:t>
      </w:r>
    </w:p>
    <w:p w:rsidR="00A77B3E">
      <w:pPr>
        <w:pStyle w:val="Normal-wk"/>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DE CAMBIOS EN EL PATRIMONIO NETO.</w:t>
      </w:r>
    </w:p>
    <w:p w:rsidR="00A77B3E">
      <w:pPr>
        <w:pStyle w:val="Normal-wk"/>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DE FLUJO DE EFECTIVO DIRECTO.</w:t>
      </w: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10"/>
        </w:numPr>
        <w:spacing w:before="0" w:after="0" w:line="288" w:lineRule="auto"/>
        <w:ind w:left="720" w:right="0" w:hanging="360"/>
        <w:jc w:val="left"/>
        <w:outlineLvl w:val="9"/>
        <w:rPr>
          <w:rFonts w:ascii="Calibri" w:eastAsia="Calibri" w:hAnsi="Calibri" w:cs="Calibri"/>
          <w:b/>
          <w:i w:val="0"/>
          <w:color w:val="000000"/>
          <w:sz w:val="22"/>
          <w:u w:val="none"/>
        </w:rPr>
      </w:pPr>
      <w:r>
        <w:rPr>
          <w:rFonts w:ascii="Calibri" w:eastAsia="Calibri" w:hAnsi="Calibri" w:cs="Calibri"/>
          <w:b/>
          <w:i w:val="0"/>
          <w:color w:val="000000"/>
          <w:sz w:val="22"/>
          <w:u w:val="none"/>
        </w:rPr>
        <w:t>NOTAS A LOS ESTADOS FINANCIEROS RESUMIDOS.</w:t>
      </w:r>
    </w:p>
    <w:p w:rsidR="00A77B3E">
      <w:pPr>
        <w:keepNext w:val="0"/>
        <w:keepLines/>
        <w:pageBreakBefore w:val="0"/>
        <w:widowControl w:val="0"/>
        <w:numPr>
          <w:ilvl w:val="0"/>
          <w:numId w:val="0"/>
        </w:numPr>
        <w:spacing w:before="0" w:after="0" w:line="288" w:lineRule="auto"/>
        <w:ind w:left="1080" w:right="0" w:firstLine="338"/>
        <w:jc w:val="left"/>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M$</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pStyle w:val="Normal-wk"/>
        <w:keepNext w:val="0"/>
        <w:keepLines/>
        <w:pageBreakBefore w:val="0"/>
        <w:widowControl w:val="0"/>
        <w:numPr>
          <w:ilvl w:val="0"/>
          <w:numId w:val="0"/>
        </w:numPr>
        <w:tabs>
          <w:tab w:val="left" w:pos="700"/>
        </w:tabs>
        <w:spacing w:before="0" w:after="0" w:line="288" w:lineRule="auto"/>
        <w:ind w:left="0"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CL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keepNext w:val="0"/>
        <w:keepLines/>
        <w:pageBreakBefore w:val="0"/>
        <w:widowControl w:val="0"/>
        <w:numPr>
          <w:ilvl w:val="0"/>
          <w:numId w:val="0"/>
        </w:numPr>
        <w:spacing w:before="0" w:after="0" w:line="288" w:lineRule="auto"/>
        <w:ind w:left="0" w:right="0" w:firstLine="709"/>
        <w:jc w:val="left"/>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center"/>
        <w:outlineLvl w:val="9"/>
        <w:sectPr>
          <w:headerReference w:type="default" r:id="rId4"/>
          <w:footerReference w:type="default" r:id="rId5"/>
          <w:type w:val="continuous"/>
          <w:pgSz w:w="12240" w:h="15840"/>
          <w:pgMar w:top="1134" w:right="1134" w:bottom="1134" w:left="1134" w:header="0" w:footer="0" w:gutter="0"/>
          <w:cols w:space="708"/>
          <w:docGrid w:linePitch="360"/>
        </w:sect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val="0"/>
        <w:pageBreakBefore w:val="0"/>
        <w:widowControl/>
        <w:numPr>
          <w:ilvl w:val="0"/>
          <w:numId w:val="0"/>
        </w:numPr>
        <w:tabs>
          <w:tab w:val="center" w:pos="4240"/>
          <w:tab w:val="right" w:pos="8500"/>
        </w:tabs>
        <w:spacing w:before="0" w:after="0" w:line="288" w:lineRule="auto"/>
        <w:ind w:left="0" w:right="-377" w:firstLine="0"/>
        <w:jc w:val="right"/>
        <w:outlineLvl w:val="9"/>
        <w:rPr>
          <w:rFonts w:ascii="Arial" w:eastAsia="Arial" w:hAnsi="Arial" w:cs="Arial"/>
          <w:b w:val="0"/>
          <w:i w:val="0"/>
          <w:color w:val="000000"/>
          <w:sz w:val="22"/>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55pt;height:44.44pt">
            <v:imagedata r:id="rId6" o:title=""/>
            <o:lock v:ext="edit" aspectratio="t"/>
          </v:shape>
        </w:pic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r>
        <w:rPr>
          <w:rFonts w:ascii="Calibri" w:eastAsia="Calibri" w:hAnsi="Calibri" w:cs="Calibri"/>
          <w:b/>
          <w:i w:val="0"/>
          <w:color w:val="000000"/>
          <w:sz w:val="40"/>
          <w:u w:val="none"/>
        </w:rPr>
        <w:t>CGE COMERCIALIZADORA SpA.</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36"/>
          <w:u w:val="none"/>
        </w:rPr>
        <w:t>ESTADOS FINANCIEROS RESUMIDOS</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24"/>
          <w:u w:val="none"/>
        </w:rPr>
        <w:t>(Expresados en miles de pesos chilenos)</w:t>
      </w:r>
    </w:p>
    <w:p>
      <w:pPr>
        <w:pStyle w:val="Normal-wk"/>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i w:val="0"/>
          <w:color w:val="000000"/>
          <w:sz w:val="24"/>
          <w:u w:val="none"/>
        </w:rPr>
        <w:t>Correspondientes a los ejercicios terminados al</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30"/>
          <w:u w:val="none"/>
        </w:rPr>
      </w:pPr>
    </w:p>
    <w:p>
      <w:pPr>
        <w:keepNext w:val="0"/>
        <w:keepLines/>
        <w:pageBreakBefore w:val="0"/>
        <w:widowControl w:val="0"/>
        <w:numPr>
          <w:ilvl w:val="0"/>
          <w:numId w:val="0"/>
        </w:numPr>
        <w:spacing w:before="0" w:after="0" w:line="288" w:lineRule="auto"/>
        <w:ind w:left="0" w:right="0" w:firstLine="709"/>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COMERCIALIZADORA SpA.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pict>
          <v:shape id="_x0000_i1026"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9960"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60"/>
        <w:gridCol w:w="1200"/>
        <w:gridCol w:w="1200"/>
      </w:tblGrid>
      <w:tr>
        <w:tblPrEx>
          <w:tblW w:w="9960" w:type="dxa"/>
          <w:tblInd w:w="0" w:type="dxa"/>
          <w:tblLayout w:type="fixed"/>
        </w:tblPrEx>
        <w:trPr>
          <w:cantSplit/>
          <w:trHeight w:hRule="exact" w:val="240"/>
        </w:trPr>
        <w:tc>
          <w:tcPr>
            <w:tcW w:w="7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5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numPr>
                <w:ilvl w:val="0"/>
                <w:numId w:val="0"/>
              </w:numPr>
              <w:spacing w:before="0" w:after="0" w:line="240" w:lineRule="auto"/>
              <w:ind w:left="0" w:right="0" w:firstLine="0"/>
              <w:jc w:val="left"/>
              <w:outlineLvl w:val="9"/>
              <w:rPr>
                <w:rFonts w:ascii="Calibri" w:eastAsia="Calibri" w:hAnsi="Calibri" w:cs="Calibri"/>
                <w:b w:val="0"/>
                <w:i w:val="0"/>
                <w:sz w:val="16"/>
              </w:rPr>
            </w:pPr>
            <w:r>
              <w:rPr>
                <w:rFonts w:ascii="Calibri" w:eastAsia="Calibri" w:hAnsi="Calibri" w:cs="Calibri"/>
                <w:b w:val="0"/>
                <w:i w:val="0"/>
                <w:sz w:val="16"/>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674.317</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1.897</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7.210.146</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847.799</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312.556</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9.046.715</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9.099</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192.320</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3.685.292</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85.776</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618.449</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4.590.936</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13.637.651</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60"/>
        <w:gridCol w:w="1200"/>
        <w:gridCol w:w="1200"/>
      </w:tblGrid>
      <w:tr>
        <w:tblPrEx>
          <w:tblW w:w="9960" w:type="dxa"/>
          <w:tblInd w:w="0" w:type="dxa"/>
          <w:tblLayout w:type="fixed"/>
        </w:tblPrEx>
        <w:trPr>
          <w:cantSplit/>
          <w:trHeight w:hRule="exact" w:val="240"/>
        </w:trPr>
        <w:tc>
          <w:tcPr>
            <w:tcW w:w="7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960" w:type="dxa"/>
          <w:tblInd w:w="0" w:type="dxa"/>
          <w:tblLayout w:type="fixed"/>
        </w:tblPrEx>
        <w:trPr>
          <w:cantSplit/>
          <w:trHeight w:hRule="exact" w:val="240"/>
        </w:trPr>
        <w:tc>
          <w:tcPr>
            <w:tcW w:w="75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77.449</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7.120.634</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24.051</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353.351</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457.189</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8.032.674</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34.805</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164.253</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199.058</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8.231.732</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1.500.000</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3.895.872</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10.047</w:t>
            </w: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5.405.919</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single" w:sz="8" w:space="0" w:color="FFFFFF"/>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4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13.637.651</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RESULTADOS POR FUNCIÓN</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960"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60"/>
        <w:gridCol w:w="1200"/>
        <w:gridCol w:w="1200"/>
      </w:tblGrid>
      <w:tr>
        <w:tblPrEx>
          <w:tblW w:w="9960" w:type="dxa"/>
          <w:tblInd w:w="0" w:type="dxa"/>
          <w:tblLayout w:type="fixed"/>
        </w:tblPrEx>
        <w:trPr>
          <w:cantSplit/>
          <w:trHeight w:hRule="exact" w:val="255"/>
        </w:trPr>
        <w:tc>
          <w:tcPr>
            <w:tcW w:w="7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20"/>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exact" w:val="255"/>
        </w:trPr>
        <w:tc>
          <w:tcPr>
            <w:tcW w:w="75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exact" w:val="225"/>
        </w:trPr>
        <w:tc>
          <w:tcPr>
            <w:tcW w:w="75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13.251.454</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(10.311.616)</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2.939.838</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(2.292.915)</w:t>
            </w:r>
          </w:p>
        </w:tc>
      </w:tr>
      <w:tr>
        <w:tblPrEx>
          <w:tblW w:w="9960" w:type="dxa"/>
          <w:tblInd w:w="0" w:type="dxa"/>
          <w:tblLayout w:type="fixed"/>
        </w:tblPrEx>
        <w:trPr>
          <w:cantSplit/>
          <w:trHeight w:hRule="exact" w:val="46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(21.616)</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1.388</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626.695</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146.525</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(25.427)</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(6.493)</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741.304</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(135.001)</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606.303</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404,20</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404,20</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RESULTADO INTEGRAL</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pPr>
      <w:r>
        <w:pict>
          <v:shape id="_x0000_i1029"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9960"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60"/>
        <w:gridCol w:w="1200"/>
        <w:gridCol w:w="1200"/>
      </w:tblGrid>
      <w:tr>
        <w:tblPrEx>
          <w:tblW w:w="9960" w:type="dxa"/>
          <w:tblInd w:w="0" w:type="dxa"/>
          <w:tblLayout w:type="fixed"/>
        </w:tblPrEx>
        <w:trPr>
          <w:cantSplit/>
          <w:trHeight w:hRule="auto" w:val="0"/>
          <w:tblHeader/>
        </w:trPr>
        <w:tc>
          <w:tcPr>
            <w:tcW w:w="7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20"/>
                <w:u w:val="none"/>
              </w:rPr>
              <w:t>ESTADO DEL RESULTADO INTEGRAL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5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5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606.303</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81.414</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 que no se reclasificará al resultado del periodo, antes de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81.414</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(21.982)</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acumulados relativos a componentes de otro resultado integral que no se reclasificarán al resultado del periodo.</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(21.982)</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otro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59.432</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Resultado integral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665.735</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sectPr>
          <w:headerReference w:type="default" r:id="rId8"/>
          <w:footerReference w:type="default" r:id="rId9"/>
          <w:headerReference w:type="first" r:id="rId10"/>
          <w:footerReference w:type="first" r:id="rId11"/>
          <w:pgSz w:w="12240" w:h="15840"/>
          <w:pgMar w:top="1134" w:right="1134" w:bottom="1134" w:left="1134" w:header="0" w:footer="425"/>
          <w:pgNumType w:start="1"/>
          <w:cols w:space="708"/>
          <w:titlePg/>
        </w:sectPr>
      </w:pPr>
    </w:p>
    <w:p>
      <w:pPr>
        <w:pStyle w:val="Normal-wk"/>
        <w:keepNext w:val="0"/>
        <w:keepLines/>
        <w:pageBreakBefore w:val="0"/>
        <w:widowControl w:val="0"/>
        <w:numPr>
          <w:ilvl w:val="0"/>
          <w:numId w:val="0"/>
        </w:numPr>
        <w:spacing w:before="0" w:after="0" w:line="288" w:lineRule="auto"/>
        <w:ind w:left="0" w:right="0" w:firstLine="0"/>
        <w:jc w:val="left"/>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2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585"/>
        <w:gridCol w:w="1140"/>
        <w:gridCol w:w="1140"/>
        <w:gridCol w:w="1140"/>
        <w:gridCol w:w="1140"/>
        <w:gridCol w:w="1140"/>
      </w:tblGrid>
      <w:tr>
        <w:tblPrEx>
          <w:tblW w:w="12285" w:type="dxa"/>
          <w:tblInd w:w="0" w:type="dxa"/>
          <w:tblLayout w:type="fixed"/>
        </w:tblPrEx>
        <w:trPr>
          <w:cantSplit/>
          <w:trHeight w:hRule="exact" w:val="225"/>
        </w:trPr>
        <w:tc>
          <w:tcPr>
            <w:tcW w:w="658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14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228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14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114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2285" w:type="dxa"/>
          <w:tblInd w:w="0" w:type="dxa"/>
          <w:tblLayout w:type="fixed"/>
        </w:tblPrEx>
        <w:trPr>
          <w:cantSplit/>
          <w:trHeight w:hRule="auto" w:val="0"/>
        </w:trPr>
        <w:tc>
          <w:tcPr>
            <w:tcW w:w="6585" w:type="dxa"/>
            <w:vMerge/>
            <w:tcBorders>
              <w:top w:val="nil"/>
              <w:left w:val="single" w:sz="2" w:space="0" w:color="000000"/>
              <w:bottom w:val="nil"/>
              <w:right w:val="single" w:sz="4" w:space="0" w:color="FFFFFF"/>
            </w:tcBorders>
          </w:tcPr>
          <w:p>
            <w:pPr>
              <w:keepNext/>
              <w:pageBreakBefore w:val="0"/>
            </w:pPr>
          </w:p>
        </w:tc>
        <w:tc>
          <w:tcPr>
            <w:tcW w:w="1140" w:type="dxa"/>
            <w:vMerge/>
            <w:tcBorders>
              <w:top w:val="nil"/>
              <w:left w:val="nil"/>
              <w:bottom w:val="nil"/>
              <w:right w:val="nil"/>
            </w:tcBorders>
          </w:tcPr>
          <w:p>
            <w:pPr>
              <w:keepNext/>
              <w:pageBreakBefore w:val="0"/>
            </w:pPr>
          </w:p>
        </w:tc>
        <w:tc>
          <w:tcPr>
            <w:tcW w:w="114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140"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140" w:type="dxa"/>
            <w:vMerge/>
            <w:tcBorders>
              <w:top w:val="nil"/>
              <w:left w:val="nil"/>
              <w:bottom w:val="nil"/>
              <w:right w:val="nil"/>
            </w:tcBorders>
          </w:tcPr>
          <w:p>
            <w:pPr>
              <w:keepNext/>
              <w:pageBreakBefore w:val="0"/>
            </w:pPr>
          </w:p>
        </w:tc>
        <w:tc>
          <w:tcPr>
            <w:tcW w:w="114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2285" w:type="dxa"/>
          <w:tblInd w:w="0" w:type="dxa"/>
          <w:tblLayout w:type="fixed"/>
        </w:tblPrEx>
        <w:trPr>
          <w:cantSplit/>
          <w:trHeight w:hRule="exact" w:val="225"/>
        </w:trPr>
        <w:tc>
          <w:tcPr>
            <w:tcW w:w="6585" w:type="dxa"/>
            <w:vMerge/>
            <w:tcBorders>
              <w:top w:val="nil"/>
              <w:left w:val="single" w:sz="2" w:space="0" w:color="000000"/>
              <w:bottom w:val="single" w:sz="2" w:space="0" w:color="000000"/>
              <w:right w:val="nil"/>
            </w:tcBorders>
          </w:tcPr>
          <w:p>
            <w:pPr>
              <w:keepNext/>
              <w:pageBreakBefore w:val="0"/>
            </w:pPr>
          </w:p>
        </w:tc>
        <w:tc>
          <w:tcPr>
            <w:tcW w:w="11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4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4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2026</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1.500.000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10.047</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10.047</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3.895.872</w:t>
            </w:r>
          </w:p>
        </w:tc>
        <w:tc>
          <w:tcPr>
            <w:tcW w:w="114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5.405.919</w:t>
            </w: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14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14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exact" w:val="225"/>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(1.630.500)</w:t>
            </w:r>
          </w:p>
        </w:tc>
        <w:tc>
          <w:tcPr>
            <w:tcW w:w="114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c>
          <w:tcPr>
            <w:tcW w:w="114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(1.630.500)</w:t>
            </w:r>
          </w:p>
        </w:tc>
      </w:tr>
      <w:tr>
        <w:tblPrEx>
          <w:tblW w:w="12285" w:type="dxa"/>
          <w:tblInd w:w="0" w:type="dxa"/>
          <w:tblLayout w:type="fixed"/>
        </w:tblPrEx>
        <w:trPr>
          <w:cantSplit/>
          <w:trHeight w:hRule="exact" w:val="60"/>
        </w:trPr>
        <w:tc>
          <w:tcPr>
            <w:tcW w:w="658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4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285" w:type="dxa"/>
          <w:tblInd w:w="0" w:type="dxa"/>
          <w:tblLayout w:type="fixed"/>
        </w:tblPrEx>
        <w:trPr>
          <w:cantSplit/>
          <w:trHeight w:hRule="auto" w:val="0"/>
        </w:trPr>
        <w:tc>
          <w:tcPr>
            <w:tcW w:w="65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2026</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1.500.000</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10.047</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10.047</w:t>
            </w:r>
          </w:p>
        </w:tc>
        <w:tc>
          <w:tcPr>
            <w:tcW w:w="114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2.265.372</w:t>
            </w:r>
          </w:p>
        </w:tc>
        <w:tc>
          <w:tcPr>
            <w:tcW w:w="114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3.775.419</w:t>
            </w:r>
          </w:p>
        </w:tc>
      </w:tr>
    </w:tbl>
    <w:p>
      <w:pPr>
        <w:pStyle w:val="Normal-wk"/>
        <w:keepNext w:val="0"/>
        <w:keepLines/>
        <w:pageBreakBefore/>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18"/>
          <w:u w:val="none"/>
        </w:rPr>
      </w:pPr>
    </w:p>
    <w:tbl>
      <w:tblPr>
        <w:tblW w:w="12360"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405"/>
        <w:gridCol w:w="1200"/>
        <w:gridCol w:w="1200"/>
        <w:gridCol w:w="1155"/>
        <w:gridCol w:w="1200"/>
        <w:gridCol w:w="1200"/>
      </w:tblGrid>
      <w:tr>
        <w:tblPrEx>
          <w:tblW w:w="12360" w:type="dxa"/>
          <w:tblInd w:w="0" w:type="dxa"/>
          <w:tblLayout w:type="fixed"/>
        </w:tblPrEx>
        <w:trPr>
          <w:cantSplit/>
          <w:trHeight w:hRule="exact" w:val="225"/>
        </w:trPr>
        <w:tc>
          <w:tcPr>
            <w:tcW w:w="640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 xml:space="preserve">Estado de cambios en el patrimonio </w:t>
            </w:r>
          </w:p>
        </w:tc>
        <w:tc>
          <w:tcPr>
            <w:tcW w:w="1200"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Capital emitido</w:t>
            </w:r>
          </w:p>
        </w:tc>
        <w:tc>
          <w:tcPr>
            <w:tcW w:w="2355"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200" w:type="dxa"/>
            <w:vMerge w:val="restart"/>
            <w:tcBorders>
              <w:top w:val="single" w:sz="2" w:space="0" w:color="000000"/>
              <w:left w:val="nil"/>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Ganancias (pérdidas) acumuladas</w:t>
            </w:r>
          </w:p>
        </w:tc>
        <w:tc>
          <w:tcPr>
            <w:tcW w:w="1200" w:type="dxa"/>
            <w:tcBorders>
              <w:top w:val="single" w:sz="2" w:space="0" w:color="000000"/>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w:t>
            </w:r>
          </w:p>
        </w:tc>
      </w:tr>
      <w:tr>
        <w:tblPrEx>
          <w:tblW w:w="12360" w:type="dxa"/>
          <w:tblInd w:w="0" w:type="dxa"/>
          <w:tblLayout w:type="fixed"/>
        </w:tblPrEx>
        <w:trPr>
          <w:cantSplit/>
          <w:trHeight w:hRule="auto" w:val="0"/>
        </w:trPr>
        <w:tc>
          <w:tcPr>
            <w:tcW w:w="6405" w:type="dxa"/>
            <w:vMerge/>
            <w:tcBorders>
              <w:top w:val="nil"/>
              <w:left w:val="single" w:sz="2" w:space="0" w:color="000000"/>
              <w:bottom w:val="nil"/>
              <w:right w:val="single" w:sz="4" w:space="0" w:color="FFFFFF"/>
            </w:tcBorders>
          </w:tcPr>
          <w:p>
            <w:pPr>
              <w:keepNext/>
              <w:pageBreakBefore w:val="0"/>
            </w:pPr>
          </w:p>
        </w:tc>
        <w:tc>
          <w:tcPr>
            <w:tcW w:w="1200" w:type="dxa"/>
            <w:vMerge/>
            <w:tcBorders>
              <w:top w:val="nil"/>
              <w:left w:val="nil"/>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Reserva de ganancias o pérdidas actuariales en planes de beneficios definidos</w:t>
            </w:r>
          </w:p>
        </w:tc>
        <w:tc>
          <w:tcPr>
            <w:tcW w:w="115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200" w:type="dxa"/>
            <w:vMerge/>
            <w:tcBorders>
              <w:top w:val="nil"/>
              <w:left w:val="nil"/>
              <w:bottom w:val="nil"/>
              <w:right w:val="nil"/>
            </w:tcBorders>
          </w:tcPr>
          <w:p>
            <w:pPr>
              <w:keepNext/>
              <w:pageBreakBefore w:val="0"/>
            </w:pPr>
          </w:p>
        </w:tc>
        <w:tc>
          <w:tcPr>
            <w:tcW w:w="12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Patrimonio total</w:t>
            </w:r>
          </w:p>
        </w:tc>
      </w:tr>
      <w:tr>
        <w:tblPrEx>
          <w:tblW w:w="12360" w:type="dxa"/>
          <w:tblInd w:w="0" w:type="dxa"/>
          <w:tblLayout w:type="fixed"/>
        </w:tblPrEx>
        <w:trPr>
          <w:cantSplit/>
          <w:trHeight w:hRule="exact" w:val="225"/>
        </w:trPr>
        <w:tc>
          <w:tcPr>
            <w:tcW w:w="6405"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15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360" w:type="dxa"/>
          <w:tblInd w:w="0" w:type="dxa"/>
          <w:tblLayout w:type="fixed"/>
        </w:tblPrEx>
        <w:trPr>
          <w:cantSplit/>
          <w:trHeight w:hRule="exact" w:val="6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auto" w:val="0"/>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Patrimonio al comienzo del período al 1 de enero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1.500.000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(26.783)</w:t>
            </w:r>
          </w:p>
        </w:tc>
        <w:tc>
          <w:tcPr>
            <w:tcW w:w="11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(26.783)</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6.457.976</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7.931.193</w:t>
            </w:r>
          </w:p>
        </w:tc>
      </w:tr>
      <w:tr>
        <w:tblPrEx>
          <w:tblW w:w="12360" w:type="dxa"/>
          <w:tblInd w:w="0" w:type="dxa"/>
          <w:tblLayout w:type="fixed"/>
        </w:tblPrEx>
        <w:trPr>
          <w:cantSplit/>
          <w:trHeight w:hRule="exact" w:val="6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5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auto" w:val="0"/>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Cambios en patrimonio</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5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exact" w:val="6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5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auto" w:val="0"/>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Resultado integral</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5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auto" w:val="0"/>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Ganancia (pérdida).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5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606.303</w:t>
            </w:r>
          </w:p>
        </w:tc>
        <w:tc>
          <w:tcPr>
            <w:tcW w:w="1200"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606.303</w:t>
            </w:r>
          </w:p>
        </w:tc>
      </w:tr>
      <w:tr>
        <w:tblPrEx>
          <w:tblW w:w="12360" w:type="dxa"/>
          <w:tblInd w:w="0" w:type="dxa"/>
          <w:tblLayout w:type="fixed"/>
        </w:tblPrEx>
        <w:trPr>
          <w:cantSplit/>
          <w:trHeight w:hRule="exact" w:val="225"/>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59.432</w:t>
            </w:r>
          </w:p>
        </w:tc>
        <w:tc>
          <w:tcPr>
            <w:tcW w:w="115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r>
      <w:tr>
        <w:tblPrEx>
          <w:tblW w:w="12360" w:type="dxa"/>
          <w:tblInd w:w="0" w:type="dxa"/>
          <w:tblLayout w:type="fixed"/>
        </w:tblPrEx>
        <w:trPr>
          <w:cantSplit/>
          <w:trHeight w:hRule="auto" w:val="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exact" w:val="225"/>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1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606.303</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665.735</w:t>
            </w:r>
          </w:p>
        </w:tc>
      </w:tr>
      <w:tr>
        <w:tblPrEx>
          <w:tblW w:w="12360" w:type="dxa"/>
          <w:tblInd w:w="0" w:type="dxa"/>
          <w:tblLayout w:type="fixed"/>
        </w:tblPrEx>
        <w:trPr>
          <w:cantSplit/>
          <w:trHeight w:hRule="auto" w:val="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exact" w:val="225"/>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15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4"/>
                <w:u w:val="none"/>
              </w:rPr>
              <w:t>(4.194.000)</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(4.194.000)</w:t>
            </w:r>
          </w:p>
        </w:tc>
      </w:tr>
      <w:tr>
        <w:tblPrEx>
          <w:tblW w:w="12360" w:type="dxa"/>
          <w:tblInd w:w="0" w:type="dxa"/>
          <w:tblLayout w:type="fixed"/>
        </w:tblPrEx>
        <w:trPr>
          <w:cantSplit/>
          <w:trHeight w:hRule="auto" w:val="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exact" w:val="225"/>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4"/>
                <w:u w:val="none"/>
              </w:rPr>
              <w:t>Total incremento (disminución) en el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1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59.432</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(3.587.697)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4"/>
                <w:u w:val="none"/>
              </w:rPr>
              <w:t>(3.528.265)</w:t>
            </w:r>
          </w:p>
        </w:tc>
      </w:tr>
      <w:tr>
        <w:tblPrEx>
          <w:tblW w:w="12360" w:type="dxa"/>
          <w:tblInd w:w="0" w:type="dxa"/>
          <w:tblLayout w:type="fixed"/>
        </w:tblPrEx>
        <w:trPr>
          <w:cantSplit/>
          <w:trHeight w:hRule="auto" w:val="0"/>
        </w:trPr>
        <w:tc>
          <w:tcPr>
            <w:tcW w:w="640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5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2360" w:type="dxa"/>
          <w:tblInd w:w="0" w:type="dxa"/>
          <w:tblLayout w:type="fixed"/>
        </w:tblPrEx>
        <w:trPr>
          <w:cantSplit/>
          <w:trHeight w:hRule="auto" w:val="0"/>
        </w:trPr>
        <w:tc>
          <w:tcPr>
            <w:tcW w:w="64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Patrimonio al final del período al 30 de junio de 2025</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1.500.000</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32.649</w:t>
            </w:r>
          </w:p>
        </w:tc>
        <w:tc>
          <w:tcPr>
            <w:tcW w:w="115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32.649</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2.870.279</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4.402.928</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sectPr>
          <w:headerReference w:type="default" r:id="rId12"/>
          <w:footerReference w:type="default" r:id="rId13"/>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left"/>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DE FLUJO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99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60"/>
        <w:gridCol w:w="1200"/>
        <w:gridCol w:w="1200"/>
      </w:tblGrid>
      <w:tr>
        <w:tblPrEx>
          <w:tblW w:w="9960" w:type="dxa"/>
          <w:tblInd w:w="0" w:type="dxa"/>
          <w:tblLayout w:type="fixed"/>
        </w:tblPrEx>
        <w:trPr>
          <w:cantSplit/>
          <w:trHeight w:hRule="auto" w:val="0"/>
          <w:tblHeader/>
        </w:trPr>
        <w:tc>
          <w:tcPr>
            <w:tcW w:w="756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960" w:type="dxa"/>
          <w:tblInd w:w="0" w:type="dxa"/>
          <w:tblLayout w:type="fixed"/>
        </w:tblPrEx>
        <w:trPr>
          <w:cantSplit/>
          <w:trHeight w:hRule="auto" w:val="0"/>
          <w:tblHeader/>
        </w:trPr>
        <w:tc>
          <w:tcPr>
            <w:tcW w:w="756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960" w:type="dxa"/>
          <w:tblInd w:w="0" w:type="dxa"/>
          <w:tblLayout w:type="fixed"/>
        </w:tblPrEx>
        <w:trPr>
          <w:cantSplit/>
          <w:trHeight w:hRule="auto" w:val="0"/>
          <w:tblHeader/>
        </w:trPr>
        <w:tc>
          <w:tcPr>
            <w:tcW w:w="756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exact" w:val="6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16.038.008</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(13.697.497)</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(1.369.567)</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(346.500)</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262.424</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886.868</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(2.396.835)</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procedentes de la venta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5.550.000</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96.835</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3.250.000</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(42.015)</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(4.194.000)</w:t>
            </w:r>
          </w:p>
        </w:tc>
      </w:tr>
      <w:tr>
        <w:tblPrEx>
          <w:tblW w:w="9960" w:type="dxa"/>
          <w:tblInd w:w="0" w:type="dxa"/>
          <w:tblLayout w:type="fixed"/>
        </w:tblPrEx>
        <w:trPr>
          <w:cantSplit/>
          <w:trHeight w:hRule="exact" w:val="255"/>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(7.986)</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(4.244.001)</w:t>
            </w:r>
          </w:p>
        </w:tc>
      </w:tr>
      <w:tr>
        <w:tblPrEx>
          <w:tblW w:w="9960" w:type="dxa"/>
          <w:tblInd w:w="0" w:type="dxa"/>
          <w:tblLayout w:type="fixed"/>
        </w:tblPrEx>
        <w:trPr>
          <w:cantSplit/>
          <w:trHeight w:hRule="auto" w:val="0"/>
        </w:trPr>
        <w:tc>
          <w:tcPr>
            <w:tcW w:w="756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(107.133)</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987.884</w:t>
            </w:r>
          </w:p>
        </w:tc>
      </w:tr>
      <w:tr>
        <w:tblPrEx>
          <w:tblW w:w="9960" w:type="dxa"/>
          <w:tblInd w:w="0" w:type="dxa"/>
          <w:tblLayout w:type="fixed"/>
        </w:tblPrEx>
        <w:trPr>
          <w:cantSplit/>
          <w:trHeight w:hRule="auto" w:val="0"/>
        </w:trPr>
        <w:tc>
          <w:tcPr>
            <w:tcW w:w="7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880.751</w:t>
            </w:r>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center"/>
        <w:outlineLvl w:val="9"/>
        <w:rPr>
          <w:rFonts w:ascii="Calibri" w:eastAsia="Calibri" w:hAnsi="Calibri" w:cs="Calibri"/>
          <w:b w:val="0"/>
          <w:i w:val="0"/>
          <w:color w:val="000000"/>
          <w:sz w:val="20"/>
          <w:u w:val="none"/>
        </w:rPr>
        <w:sectPr>
          <w:headerReference w:type="default" r:id="rId14"/>
          <w:footerReference w:type="default" r:id="rId15"/>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left"/>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40" w:lineRule="exact"/>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ÍNDICE A LAS NOTAS DE LOS ESTADOS FINANCIEROS RESUMIDOS</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7" o:title=""/>
            <o:lock v:ext="edit" aspectratio="t"/>
          </v:shape>
        </w:pict>
      </w:r>
    </w:p>
    <w:tbl>
      <w:tblPr>
        <w:tblW w:w="9972" w:type="dxa"/>
        <w:jc w:val="lef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45d6bb6f84646d286d64362013895af"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45d6bb6f84646d286d64362013895af"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ee56c5461f341be958ea8283c6621eb" w:history="1">
              <w:r>
                <w:rPr>
                  <w:rFonts w:ascii="Calibri" w:eastAsia="Calibri" w:hAnsi="Calibri" w:cs="Calibri"/>
                  <w:b w:val="0"/>
                  <w:i w:val="0"/>
                  <w:color w:val="000000"/>
                  <w:sz w:val="20"/>
                  <w:u w:val="none"/>
                  <w:shd w:val="clear" w:color="auto" w:fill="auto"/>
                </w:rPr>
                <w:t>2.-</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ee56c5461f341be958ea8283c6621eb"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8844698197e24c6db18801bc4b0974af" w:history="1">
              <w:r>
                <w:rPr>
                  <w:rFonts w:ascii="Calibri" w:eastAsia="Calibri" w:hAnsi="Calibri" w:cs="Calibri"/>
                  <w:b w:val="0"/>
                  <w:i w:val="0"/>
                  <w:color w:val="000000"/>
                  <w:sz w:val="20"/>
                  <w:u w:val="none"/>
                  <w:shd w:val="clear" w:color="auto" w:fill="auto"/>
                </w:rPr>
                <w:t>2.1.-</w:t>
                <w:tab/>
                <w:t xml:space="preserve">Bases de preparación de los estados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8844698197e24c6db18801bc4b0974af"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f1247de5bd44074872d7c523d14904f" w:history="1">
              <w:r>
                <w:rPr>
                  <w:rFonts w:ascii="Calibri" w:eastAsia="Calibri" w:hAnsi="Calibri" w:cs="Calibri"/>
                  <w:b w:val="0"/>
                  <w:i w:val="0"/>
                  <w:color w:val="000000"/>
                  <w:sz w:val="20"/>
                  <w:u w:val="none"/>
                  <w:shd w:val="clear" w:color="auto" w:fill="auto"/>
                </w:rPr>
                <w:t>2.2.-</w:t>
                <w:tab/>
                <w:t>Nuevos estándares, interpretaciones y enmiendas adoptadas por CGE Comercializadora SpA.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f1247de5bd44074872d7c523d14904f" w:history="1">
              <w:r>
                <w:rPr>
                  <w:rFonts w:ascii="Calibri" w:eastAsia="Calibri" w:hAnsi="Calibri" w:cs="Calibri"/>
                  <w:b w:val="0"/>
                  <w:i w:val="0"/>
                  <w:color w:val="000000"/>
                  <w:sz w:val="20"/>
                  <w:u w:val="none"/>
                  <w:shd w:val="clear" w:color="auto" w:fill="auto"/>
                </w:rPr>
                <w:t>10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d05b7426f54a16901933f90564858a" w:history="1">
              <w:r>
                <w:rPr>
                  <w:rFonts w:ascii="Calibri" w:eastAsia="Calibri" w:hAnsi="Calibri" w:cs="Calibri"/>
                  <w:b w:val="0"/>
                  <w:i w:val="0"/>
                  <w:color w:val="000000"/>
                  <w:sz w:val="20"/>
                  <w:u w:val="none"/>
                  <w:shd w:val="clear" w:color="auto" w:fill="auto"/>
                </w:rPr>
                <w:t>2.3.-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d05b7426f54a16901933f90564858a" w:history="1">
              <w:r>
                <w:rPr>
                  <w:rFonts w:ascii="Calibri" w:eastAsia="Calibri" w:hAnsi="Calibri" w:cs="Calibri"/>
                  <w:b w:val="0"/>
                  <w:i w:val="0"/>
                  <w:color w:val="000000"/>
                  <w:sz w:val="20"/>
                  <w:u w:val="none"/>
                  <w:shd w:val="clear" w:color="auto" w:fill="auto"/>
                </w:rPr>
                <w:t>11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d344e6df2e14112a5196163a5f5509a" w:history="1">
              <w:r>
                <w:rPr>
                  <w:rFonts w:ascii="Calibri" w:eastAsia="Calibri" w:hAnsi="Calibri" w:cs="Calibri"/>
                  <w:b w:val="0"/>
                  <w:i w:val="0"/>
                  <w:color w:val="000000"/>
                  <w:sz w:val="20"/>
                  <w:u w:val="none"/>
                  <w:shd w:val="clear" w:color="auto" w:fill="auto"/>
                </w:rPr>
                <w:t>2.4.-</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d344e6df2e14112a5196163a5f5509a" w:history="1">
              <w:r>
                <w:rPr>
                  <w:rFonts w:ascii="Calibri" w:eastAsia="Calibri" w:hAnsi="Calibri" w:cs="Calibri"/>
                  <w:b w:val="0"/>
                  <w:i w:val="0"/>
                  <w:color w:val="000000"/>
                  <w:sz w:val="20"/>
                  <w:u w:val="none"/>
                  <w:shd w:val="clear" w:color="auto" w:fill="auto"/>
                </w:rPr>
                <w:t>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1db4006c45a4a6d8c12398cac215b68" w:history="1">
              <w:r>
                <w:rPr>
                  <w:rFonts w:ascii="Calibri" w:eastAsia="Calibri" w:hAnsi="Calibri" w:cs="Calibri"/>
                  <w:b w:val="0"/>
                  <w:i w:val="0"/>
                  <w:color w:val="000000"/>
                  <w:sz w:val="20"/>
                  <w:u w:val="none"/>
                  <w:shd w:val="clear" w:color="auto" w:fill="auto"/>
                </w:rPr>
                <w:t>2.5.-</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1db4006c45a4a6d8c12398cac215b68" w:history="1">
              <w:r>
                <w:rPr>
                  <w:rFonts w:ascii="Calibri" w:eastAsia="Calibri" w:hAnsi="Calibri" w:cs="Calibri"/>
                  <w:b w:val="0"/>
                  <w:i w:val="0"/>
                  <w:color w:val="000000"/>
                  <w:sz w:val="20"/>
                  <w:u w:val="none"/>
                  <w:shd w:val="clear" w:color="auto" w:fill="auto"/>
                </w:rPr>
                <w:t>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79d7a1872c44b4c9cdaa71369355f89" w:history="1">
              <w:r>
                <w:rPr>
                  <w:rFonts w:ascii="Calibri" w:eastAsia="Calibri" w:hAnsi="Calibri" w:cs="Calibri"/>
                  <w:b w:val="0"/>
                  <w:i w:val="0"/>
                  <w:color w:val="000000"/>
                  <w:sz w:val="20"/>
                  <w:u w:val="none"/>
                  <w:shd w:val="clear" w:color="auto" w:fill="auto"/>
                </w:rPr>
                <w:t>2.6.-</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79d7a1872c44b4c9cdaa71369355f89" w:history="1">
              <w:r>
                <w:rPr>
                  <w:rFonts w:ascii="Calibri" w:eastAsia="Calibri" w:hAnsi="Calibri" w:cs="Calibri"/>
                  <w:b w:val="0"/>
                  <w:i w:val="0"/>
                  <w:color w:val="000000"/>
                  <w:sz w:val="20"/>
                  <w:u w:val="none"/>
                  <w:shd w:val="clear" w:color="auto" w:fill="auto"/>
                </w:rPr>
                <w:t>14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d0cd0f985244e1bb9f46e037f6d0570" w:history="1">
              <w:r>
                <w:rPr>
                  <w:rFonts w:ascii="Calibri" w:eastAsia="Calibri" w:hAnsi="Calibri" w:cs="Calibri"/>
                  <w:b w:val="0"/>
                  <w:i w:val="0"/>
                  <w:color w:val="000000"/>
                  <w:sz w:val="20"/>
                  <w:u w:val="none"/>
                  <w:shd w:val="clear" w:color="auto" w:fill="auto"/>
                </w:rPr>
                <w:t>2.7.-</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d0cd0f985244e1bb9f46e037f6d0570"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6ae4865758648c8a7ca8ac2064c73c2" w:history="1">
              <w:r>
                <w:rPr>
                  <w:rFonts w:ascii="Calibri" w:eastAsia="Calibri" w:hAnsi="Calibri" w:cs="Calibri"/>
                  <w:b w:val="0"/>
                  <w:i w:val="0"/>
                  <w:color w:val="000000"/>
                  <w:sz w:val="20"/>
                  <w:u w:val="none"/>
                  <w:shd w:val="clear" w:color="auto" w:fill="auto"/>
                </w:rPr>
                <w:t>2.8.-</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6ae4865758648c8a7ca8ac2064c73c2"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26a65b5b1484947b91621fdf32bf9a8" w:history="1">
              <w:r>
                <w:rPr>
                  <w:rFonts w:ascii="Calibri" w:eastAsia="Calibri" w:hAnsi="Calibri" w:cs="Calibri"/>
                  <w:b w:val="0"/>
                  <w:i w:val="0"/>
                  <w:color w:val="000000"/>
                  <w:sz w:val="20"/>
                  <w:u w:val="none"/>
                  <w:shd w:val="clear" w:color="auto" w:fill="auto"/>
                </w:rPr>
                <w:t>2.9.-</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26a65b5b1484947b91621fdf32bf9a8"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21a64ff26134554ae5dcb8dc6d7a1b3" w:history="1">
              <w:r>
                <w:rPr>
                  <w:rFonts w:ascii="Calibri" w:eastAsia="Calibri" w:hAnsi="Calibri" w:cs="Calibri"/>
                  <w:b w:val="0"/>
                  <w:i w:val="0"/>
                  <w:color w:val="000000"/>
                  <w:sz w:val="20"/>
                  <w:u w:val="none"/>
                  <w:shd w:val="clear" w:color="auto" w:fill="auto"/>
                </w:rPr>
                <w:t>2.10.-</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21a64ff26134554ae5dcb8dc6d7a1b3"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b5339488269f4c2e8d4940edc3df6be1" w:history="1">
              <w:r>
                <w:rPr>
                  <w:rFonts w:ascii="Calibri" w:eastAsia="Calibri" w:hAnsi="Calibri" w:cs="Calibri"/>
                  <w:b w:val="0"/>
                  <w:i w:val="0"/>
                  <w:color w:val="000000"/>
                  <w:sz w:val="20"/>
                  <w:u w:val="none"/>
                  <w:shd w:val="clear" w:color="auto" w:fill="auto"/>
                </w:rPr>
                <w:t>2.11.-</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b5339488269f4c2e8d4940edc3df6be1"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c251a83526442bea7c17a6ea1a03a76" w:history="1">
              <w:r>
                <w:rPr>
                  <w:rFonts w:ascii="Calibri" w:eastAsia="Calibri" w:hAnsi="Calibri" w:cs="Calibri"/>
                  <w:b w:val="0"/>
                  <w:i w:val="0"/>
                  <w:color w:val="000000"/>
                  <w:sz w:val="20"/>
                  <w:u w:val="none"/>
                  <w:shd w:val="clear" w:color="auto" w:fill="auto"/>
                </w:rPr>
                <w:t>2.12.-</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c251a83526442bea7c17a6ea1a03a76"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688b44d865e4a2395204e76b74bfbcf" w:history="1">
              <w:r>
                <w:rPr>
                  <w:rFonts w:ascii="Calibri" w:eastAsia="Calibri" w:hAnsi="Calibri" w:cs="Calibri"/>
                  <w:b w:val="0"/>
                  <w:i w:val="0"/>
                  <w:color w:val="000000"/>
                  <w:sz w:val="20"/>
                  <w:u w:val="none"/>
                  <w:shd w:val="clear" w:color="auto" w:fill="auto"/>
                </w:rPr>
                <w:t>2.13.-</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688b44d865e4a2395204e76b74bfbcf"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c91950bb53d48a78e81bf299d0fa80a" w:history="1">
              <w:r>
                <w:rPr>
                  <w:rFonts w:ascii="Calibri" w:eastAsia="Calibri" w:hAnsi="Calibri" w:cs="Calibri"/>
                  <w:b w:val="0"/>
                  <w:i w:val="0"/>
                  <w:color w:val="000000"/>
                  <w:sz w:val="20"/>
                  <w:u w:val="none"/>
                  <w:shd w:val="clear" w:color="auto" w:fill="auto"/>
                </w:rPr>
                <w:t>2.14.-</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c91950bb53d48a78e81bf299d0fa80a" w:history="1">
              <w:r>
                <w:rPr>
                  <w:rFonts w:ascii="Calibri" w:eastAsia="Calibri" w:hAnsi="Calibri" w:cs="Calibri"/>
                  <w:b w:val="0"/>
                  <w:i w:val="0"/>
                  <w:color w:val="000000"/>
                  <w:sz w:val="20"/>
                  <w:u w:val="none"/>
                  <w:shd w:val="clear" w:color="auto" w:fill="auto"/>
                </w:rPr>
                <w:t>17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8df7ed911ad4ea09fd4e72e5991fec6" w:history="1">
              <w:r>
                <w:rPr>
                  <w:rFonts w:ascii="Calibri" w:eastAsia="Calibri" w:hAnsi="Calibri" w:cs="Calibri"/>
                  <w:b w:val="0"/>
                  <w:i w:val="0"/>
                  <w:color w:val="000000"/>
                  <w:sz w:val="20"/>
                  <w:u w:val="none"/>
                  <w:shd w:val="clear" w:color="auto" w:fill="auto"/>
                </w:rPr>
                <w:t>2.15.-</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8df7ed911ad4ea09fd4e72e5991fec6"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9454b281a8d45a98089e0a292fe044e" w:history="1">
              <w:r>
                <w:rPr>
                  <w:rFonts w:ascii="Calibri" w:eastAsia="Calibri" w:hAnsi="Calibri" w:cs="Calibri"/>
                  <w:b w:val="0"/>
                  <w:i w:val="0"/>
                  <w:color w:val="000000"/>
                  <w:sz w:val="20"/>
                  <w:u w:val="none"/>
                  <w:shd w:val="clear" w:color="auto" w:fill="auto"/>
                </w:rPr>
                <w:t>2.16.-</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9454b281a8d45a98089e0a292fe044e"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e520d7f264004f7393a3eff1807d7bbc" w:history="1">
              <w:r>
                <w:rPr>
                  <w:rFonts w:ascii="Calibri" w:eastAsia="Calibri" w:hAnsi="Calibri" w:cs="Calibri"/>
                  <w:b w:val="0"/>
                  <w:i w:val="0"/>
                  <w:color w:val="000000"/>
                  <w:sz w:val="20"/>
                  <w:u w:val="none"/>
                  <w:shd w:val="clear" w:color="auto" w:fill="auto"/>
                </w:rPr>
                <w:t>2.17.-</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e520d7f264004f7393a3eff1807d7bbc" w:history="1">
              <w:r>
                <w:rPr>
                  <w:rFonts w:ascii="Calibri" w:eastAsia="Calibri" w:hAnsi="Calibri" w:cs="Calibri"/>
                  <w:b w:val="0"/>
                  <w:i w:val="0"/>
                  <w:color w:val="000000"/>
                  <w:sz w:val="20"/>
                  <w:u w:val="none"/>
                  <w:shd w:val="clear" w:color="auto" w:fill="auto"/>
                </w:rPr>
                <w:t>18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aea1ebdf73d42dbb928420d2a032ccf" w:history="1">
              <w:r>
                <w:rPr>
                  <w:rFonts w:ascii="Calibri" w:eastAsia="Calibri" w:hAnsi="Calibri" w:cs="Calibri"/>
                  <w:b w:val="0"/>
                  <w:i w:val="0"/>
                  <w:color w:val="000000"/>
                  <w:sz w:val="20"/>
                  <w:u w:val="none"/>
                  <w:shd w:val="clear" w:color="auto" w:fill="auto"/>
                </w:rPr>
                <w:t>2.18.-</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aea1ebdf73d42dbb928420d2a032ccf"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cf3eefaafa64019af93368ea97781c4" w:history="1">
              <w:r>
                <w:rPr>
                  <w:rFonts w:ascii="Calibri" w:eastAsia="Calibri" w:hAnsi="Calibri" w:cs="Calibri"/>
                  <w:b w:val="0"/>
                  <w:i w:val="0"/>
                  <w:color w:val="000000"/>
                  <w:sz w:val="20"/>
                  <w:u w:val="none"/>
                  <w:shd w:val="clear" w:color="auto" w:fill="auto"/>
                </w:rPr>
                <w:t>2.19.-</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cf3eefaafa64019af93368ea97781c4"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6ddb2e46624fad9afbbc81addbb207" w:history="1">
              <w:r>
                <w:rPr>
                  <w:rFonts w:ascii="Calibri" w:eastAsia="Calibri" w:hAnsi="Calibri" w:cs="Calibri"/>
                  <w:b w:val="0"/>
                  <w:i w:val="0"/>
                  <w:color w:val="000000"/>
                  <w:sz w:val="20"/>
                  <w:u w:val="none"/>
                  <w:shd w:val="clear" w:color="auto" w:fill="auto"/>
                </w:rPr>
                <w:t>2.20.-</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6ddb2e46624fad9afbbc81addbb207" w:history="1">
              <w:r>
                <w:rPr>
                  <w:rFonts w:ascii="Calibri" w:eastAsia="Calibri" w:hAnsi="Calibri" w:cs="Calibri"/>
                  <w:b w:val="0"/>
                  <w:i w:val="0"/>
                  <w:color w:val="000000"/>
                  <w:sz w:val="20"/>
                  <w:u w:val="none"/>
                  <w:shd w:val="clear" w:color="auto" w:fill="auto"/>
                </w:rPr>
                <w:t>20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ea1c703e0f04cb186ef6cde1925798e" w:history="1">
              <w:r>
                <w:rPr>
                  <w:rFonts w:ascii="Calibri" w:eastAsia="Calibri" w:hAnsi="Calibri" w:cs="Calibri"/>
                  <w:b w:val="0"/>
                  <w:i w:val="0"/>
                  <w:color w:val="000000"/>
                  <w:sz w:val="20"/>
                  <w:u w:val="none"/>
                  <w:shd w:val="clear" w:color="auto" w:fill="auto"/>
                </w:rPr>
                <w:t>2.21.-</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ea1c703e0f04cb186ef6cde1925798e"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fef3d51abda4884b18eff6c3c079d28" w:history="1">
              <w:r>
                <w:rPr>
                  <w:rFonts w:ascii="Calibri" w:eastAsia="Calibri" w:hAnsi="Calibri" w:cs="Calibri"/>
                  <w:b w:val="0"/>
                  <w:i w:val="0"/>
                  <w:color w:val="000000"/>
                  <w:sz w:val="20"/>
                  <w:u w:val="none"/>
                  <w:shd w:val="clear" w:color="auto" w:fill="auto"/>
                </w:rPr>
                <w:t>2.22.-</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fef3d51abda4884b18eff6c3c079d28"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336fa1068a4f56a26892cec9f52258" w:history="1">
              <w:r>
                <w:rPr>
                  <w:rFonts w:ascii="Calibri" w:eastAsia="Calibri" w:hAnsi="Calibri" w:cs="Calibri"/>
                  <w:b w:val="0"/>
                  <w:i w:val="0"/>
                  <w:color w:val="000000"/>
                  <w:sz w:val="20"/>
                  <w:u w:val="none"/>
                  <w:shd w:val="clear" w:color="auto" w:fill="auto"/>
                </w:rPr>
                <w:t>2.23.-</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336fa1068a4f56a26892cec9f52258"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db9d8ced17846ee88a795dc3eba8e72" w:history="1">
              <w:r>
                <w:rPr>
                  <w:rFonts w:ascii="Calibri" w:eastAsia="Calibri" w:hAnsi="Calibri" w:cs="Calibri"/>
                  <w:b w:val="0"/>
                  <w:i w:val="0"/>
                  <w:color w:val="000000"/>
                  <w:sz w:val="20"/>
                  <w:u w:val="none"/>
                  <w:shd w:val="clear" w:color="auto" w:fill="auto"/>
                </w:rPr>
                <w:t>2.24.-</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db9d8ced17846ee88a795dc3eba8e72"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562875535d44c76a4066e0940978241" w:history="1">
              <w:r>
                <w:rPr>
                  <w:rFonts w:ascii="Calibri" w:eastAsia="Calibri" w:hAnsi="Calibri" w:cs="Calibri"/>
                  <w:b w:val="0"/>
                  <w:i w:val="0"/>
                  <w:color w:val="000000"/>
                  <w:sz w:val="20"/>
                  <w:u w:val="none"/>
                  <w:shd w:val="clear" w:color="auto" w:fill="auto"/>
                </w:rPr>
                <w:t>2.25.-</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562875535d44c76a4066e0940978241"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950795ccbd14ea284e548b096ae43b1" w:history="1">
              <w:r>
                <w:rPr>
                  <w:rFonts w:ascii="Calibri" w:eastAsia="Calibri" w:hAnsi="Calibri" w:cs="Calibri"/>
                  <w:b w:val="0"/>
                  <w:i w:val="0"/>
                  <w:color w:val="000000"/>
                  <w:sz w:val="20"/>
                  <w:u w:val="none"/>
                  <w:shd w:val="clear" w:color="auto" w:fill="auto"/>
                </w:rPr>
                <w:t>3.-</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950795ccbd14ea284e548b096ae43b1"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396cb1ce3d44158603e06fb62a1b21" w:history="1">
              <w:r>
                <w:rPr>
                  <w:rFonts w:ascii="Calibri" w:eastAsia="Calibri" w:hAnsi="Calibri" w:cs="Calibri"/>
                  <w:b w:val="0"/>
                  <w:i w:val="0"/>
                  <w:color w:val="000000"/>
                  <w:sz w:val="20"/>
                  <w:u w:val="none"/>
                  <w:shd w:val="clear" w:color="auto" w:fill="auto"/>
                </w:rPr>
                <w:t>3.1.-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396cb1ce3d44158603e06fb62a1b21"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2bf74eac5fd44828135b54aa1cecc0c" w:history="1">
              <w:r>
                <w:rPr>
                  <w:rFonts w:ascii="Calibri" w:eastAsia="Calibri" w:hAnsi="Calibri" w:cs="Calibri"/>
                  <w:b w:val="0"/>
                  <w:i w:val="0"/>
                  <w:color w:val="000000"/>
                  <w:sz w:val="20"/>
                  <w:u w:val="none"/>
                  <w:shd w:val="clear" w:color="auto" w:fill="auto"/>
                </w:rPr>
                <w:t>3.2.-</w:t>
                <w:tab/>
                <w:t xml:space="preserve">Directorio y gerencia de la sociedad.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2bf74eac5fd44828135b54aa1cecc0c" w:history="1">
              <w:r>
                <w:rPr>
                  <w:rFonts w:ascii="Calibri" w:eastAsia="Calibri" w:hAnsi="Calibri" w:cs="Calibri"/>
                  <w:b w:val="0"/>
                  <w:i w:val="0"/>
                  <w:color w:val="000000"/>
                  <w:sz w:val="20"/>
                  <w:u w:val="none"/>
                  <w:shd w:val="clear" w:color="auto" w:fill="auto"/>
                </w:rPr>
                <w:t>28</w:t>
              </w:r>
            </w:hyperlink>
          </w:p>
        </w:tc>
      </w:tr>
    </w:tb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i w:val="0"/>
          <w:color w:val="000000"/>
          <w:sz w:val="20"/>
          <w:u w:val="none"/>
        </w:rPr>
        <w:sectPr>
          <w:footerReference w:type="default" r:id="rId16"/>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CGE COMERCIALIZADORA SpA.</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RESUMIDOS</w:t>
      </w:r>
    </w:p>
    <w:p>
      <w:pPr>
        <w:pStyle w:val="Normal-wk"/>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4"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9"/>
        <w:rPr>
          <w:rFonts w:ascii="Calibri" w:eastAsia="Calibri" w:hAnsi="Calibri" w:cs="Calibri"/>
          <w:b/>
          <w:i w:val="0"/>
          <w:color w:val="000000"/>
          <w:sz w:val="20"/>
          <w:u w:val="none"/>
        </w:rPr>
      </w:pPr>
      <w:bookmarkStart w:id="6" w:name="645d6bb6f84646d286d64362013895af"/>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6"/>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Rut 77.316.204-2, es una sociedad por acciones, tiene su domicilio social en Avda. Presidente Riesco N° 5561 piso 12 en la comuna de Las Condes de la ciudad de Santiago, en la República de Chile. La Sociedad, fue constituida el día 11 de febrero de 2021, mediante escritura pública, protocolizada ante el notario Juan Ricardo San Martín Urrejola.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es una sociedad cuyos negocios principales comprenden la comercialización de energía eléctrica, mediante la negociación de condiciones de suministro con distintos generadores del sistema eléctrico chileno, con el objeto de abastecer requerimientos de clientes libres, como también desarrollar su actividad en el negocio de construcción de obras eléctricas a terceros y arrendamientos de equipos.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accionista propietario del 100% de las acciones de CGE Comercializadora SpA. es CGE Transmisión S.A., subsidiaria de State Grid Chile Electricity SpA. CGE Comercializadora SpA. es integrante del Grupo State Grid Corporation of China, cuya matriz final es dicha sociedad.</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emisión de estos estados financieros correspondientes al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ha sido aprobada por la administración el 3 de marzo 2026, quien con dicha fecha autorizó además su publicación.</w:t>
      </w:r>
    </w:p>
    <w:p>
      <w:pPr>
        <w:keepNext w:val="0"/>
        <w:keepLines/>
        <w:pageBreakBefore w:val="0"/>
        <w:widowControl w:val="0"/>
        <w:numPr>
          <w:ilvl w:val="0"/>
          <w:numId w:val="0"/>
        </w:numPr>
        <w:spacing w:before="0" w:after="0" w:line="288" w:lineRule="auto"/>
        <w:ind w:left="212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5" w:right="0" w:firstLine="0"/>
        <w:jc w:val="both"/>
        <w:outlineLvl w:val="9"/>
        <w:rPr>
          <w:rFonts w:ascii="Calibri" w:eastAsia="Calibri" w:hAnsi="Calibri" w:cs="Calibri"/>
          <w:b w:val="0"/>
          <w:i w:val="0"/>
          <w:color w:val="000000"/>
          <w:sz w:val="18"/>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left"/>
        <w:outlineLvl w:val="0"/>
        <w:rPr>
          <w:rFonts w:ascii="Calibri" w:eastAsia="Calibri" w:hAnsi="Calibri" w:cs="Calibri"/>
          <w:b/>
          <w:i w:val="0"/>
          <w:color w:val="000000"/>
          <w:sz w:val="20"/>
          <w:u w:val="none"/>
        </w:rPr>
      </w:pPr>
      <w:bookmarkStart w:id="7" w:name="Section7"/>
      <w:bookmarkEnd w:id="7"/>
      <w:bookmarkStart w:id="8" w:name="9ee56c5461f341be958ea8283c6621eb"/>
      <w:r>
        <w:rPr>
          <w:rFonts w:ascii="Calibri" w:eastAsia="Calibri" w:hAnsi="Calibri" w:cs="Calibri"/>
          <w:b/>
          <w:i w:val="0"/>
          <w:color w:val="000000"/>
          <w:sz w:val="20"/>
          <w:u w:val="none"/>
        </w:rPr>
        <w:t>2.-</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8"/>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se detallan a continuación. Tal como lo requiere la Norma de Carácter General N° 30, Sección II.2.1 párrafo A.4.2, emitida por la Comisión para el Mercado Financiero, se presentan las notas “criterios contables” y “transacciones con partes relacionadas”.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9" w:name="Section8"/>
      <w:bookmarkEnd w:id="9"/>
      <w:bookmarkStart w:id="10" w:name="8844698197e24c6db18801bc4b0974af"/>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0"/>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de CGE Comercializadora SpA.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han sido preparados de acuerdo con el principio de costo.</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se han utilizado las políticas emanadas desde State Grid Chile Electricity SpA.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se han utilizado estimaciones contables críticas para cuantificar algunos activos, pasivos, ingresos y gastos.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han efectuado reclasificaciones para facilitar su comparación con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Estas reclasificaciones no modifican el resultado ni el patrimonio del ejercicio anterior.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709" w:right="0" w:firstLine="0"/>
        <w:jc w:val="left"/>
        <w:outlineLvl w:val="1"/>
        <w:rPr>
          <w:rFonts w:ascii="Times New Roman" w:eastAsia="Times New Roman" w:hAnsi="Times New Roman" w:cs="Times New Roman"/>
          <w:b/>
          <w:i w:val="0"/>
          <w:color w:val="000000"/>
          <w:sz w:val="24"/>
          <w:u w:val="none"/>
        </w:rPr>
      </w:pPr>
      <w:bookmarkStart w:id="11" w:name="Section9"/>
      <w:bookmarkEnd w:id="11"/>
      <w:bookmarkStart w:id="12" w:name="0f1247de5bd44074872d7c523d14904f"/>
      <w:r>
        <w:rPr>
          <w:rFonts w:ascii="Calibri" w:eastAsia="Calibri" w:hAnsi="Calibri" w:cs="Calibri"/>
          <w:b/>
          <w:i w:val="0"/>
          <w:color w:val="000000"/>
          <w:sz w:val="20"/>
          <w:u w:val="none"/>
        </w:rPr>
        <w:t>2.2.-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CGE Comercializadora SpA.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 agosto de 2023, el IASB emitió enmiendas a la NIC 21 “Efectos de las Variaciones en las Tasas de Cambio”, ellas especifican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enmiendas entran en vigencia para los ejercicios anuales que comiencen a partir del 1 de enero de 2025. Al aplicar las enmiendas, no está permitido reexpresar la información comparativa.</w:t>
      </w:r>
    </w:p>
    <w:p>
      <w:pPr>
        <w:keepNext w:val="0"/>
        <w:keepLines/>
        <w:pageBreakBefore w:val="0"/>
        <w:widowControl w:val="0"/>
        <w:numPr>
          <w:ilvl w:val="0"/>
          <w:numId w:val="0"/>
        </w:numPr>
        <w:tabs>
          <w:tab w:val="left" w:pos="700"/>
        </w:tabs>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adopción de esta norma y su enmienda no generó impactos en los estados financieros de la Sociedad en la fecha de aplicación inicial.</w:t>
      </w:r>
    </w:p>
    <w:p>
      <w:pPr>
        <w:keepNext w:val="0"/>
        <w:keepLines/>
        <w:pageBreakBefore w:val="0"/>
        <w:widowControl w:val="0"/>
        <w:numPr>
          <w:ilvl w:val="0"/>
          <w:numId w:val="0"/>
        </w:numPr>
        <w:spacing w:before="0" w:after="0" w:line="288" w:lineRule="auto"/>
        <w:ind w:left="0" w:right="0" w:firstLine="1416"/>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1416"/>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13" w:name="Section10"/>
      <w:bookmarkEnd w:id="13"/>
      <w:bookmarkStart w:id="14" w:name="fed05b7426f54a16901933f90564858a"/>
      <w:r>
        <w:rPr>
          <w:rFonts w:ascii="Calibri" w:eastAsia="Calibri" w:hAnsi="Calibri" w:cs="Calibri"/>
          <w:b/>
          <w:i w:val="0"/>
          <w:color w:val="000000"/>
          <w:sz w:val="20"/>
          <w:u w:val="none"/>
        </w:rPr>
        <w:t>2.3.-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color w:val="000000"/>
          <w:sz w:val="20"/>
          <w:u w:val="none"/>
        </w:rPr>
      </w:pPr>
      <w:bookmarkEnd w:id="14"/>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2.3.1.-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En mayo de 2024, el IASB emitió enmiendas a la NIIF 9 y NIIF 7 “Clasificación y Medición de los Instrumentos Financieros“, enmiendas que: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 xml:space="preserve">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 </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serán efectivas para los períodos anuales que comiencen a partir del 1 de enero de 2026. Las </w:t>
      </w:r>
      <w:r>
        <w:rPr>
          <w:rFonts w:ascii="Calibri" w:eastAsia="Calibri" w:hAnsi="Calibri" w:cs="Calibri"/>
          <w:b w:val="0"/>
          <w:i w:val="0"/>
          <w:color w:val="000000"/>
          <w:sz w:val="20"/>
          <w:u w:val="none"/>
        </w:rPr>
        <w:t>entidades</w:t>
      </w:r>
      <w:r>
        <w:rPr>
          <w:rFonts w:ascii="Calibri" w:eastAsia="Calibri" w:hAnsi="Calibri" w:cs="Calibri"/>
          <w:b w:val="0"/>
          <w:i w:val="0"/>
          <w:sz w:val="20"/>
        </w:rPr>
        <w:t xml:space="preserve">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w:t>
      </w:r>
      <w:r>
        <w:rPr>
          <w:rFonts w:ascii="Calibri" w:eastAsia="Calibri" w:hAnsi="Calibri" w:cs="Calibri"/>
          <w:b w:val="0"/>
          <w:i w:val="0"/>
          <w:sz w:val="20"/>
        </w:rPr>
        <w:t>f</w:t>
      </w:r>
      <w:r>
        <w:rPr>
          <w:rFonts w:ascii="Calibri" w:eastAsia="Calibri" w:hAnsi="Calibri" w:cs="Calibri"/>
          <w:b w:val="0"/>
          <w:i w:val="0"/>
          <w:sz w:val="20"/>
        </w:rPr>
        <w:t>ormación sobre los activos financieros que cambian su categoría de medición debido a las modificaciones.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2.3.2.-</w:t>
      </w:r>
      <w:r>
        <w:rPr>
          <w:rFonts w:ascii="Calibri" w:eastAsia="Calibri" w:hAnsi="Calibri" w:cs="Calibri"/>
          <w:b w:val="0"/>
          <w:i w:val="0"/>
          <w:sz w:val="20"/>
        </w:rPr>
        <w:tab/>
      </w:r>
      <w:r>
        <w:rPr>
          <w:rFonts w:ascii="Calibri" w:eastAsia="Calibri" w:hAnsi="Calibri" w:cs="Calibri"/>
          <w:b w:val="0"/>
          <w:i w:val="0"/>
          <w:color w:val="000000"/>
          <w:sz w:val="20"/>
          <w:u w:val="none"/>
        </w:rPr>
        <w:t>En</w:t>
      </w:r>
      <w:r>
        <w:rPr>
          <w:rFonts w:ascii="Calibri" w:eastAsia="Calibri" w:hAnsi="Calibri" w:cs="Calibri"/>
          <w:b w:val="0"/>
          <w:i w:val="0"/>
          <w:sz w:val="20"/>
        </w:rPr>
        <w:t xml:space="preserve">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spacing w:before="0" w:after="0" w:line="288" w:lineRule="auto"/>
        <w:ind w:left="2844" w:right="0" w:hanging="708"/>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2.3.3.-</w:t>
      </w:r>
      <w:r>
        <w:rPr>
          <w:rFonts w:ascii="Calibri" w:eastAsia="Calibri" w:hAnsi="Calibri" w:cs="Calibri"/>
          <w:b w:val="0"/>
          <w:i w:val="0"/>
          <w:sz w:val="20"/>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spacing w:before="0" w:after="0" w:line="276"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spacing w:before="0" w:after="0" w:line="276"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2.3.4.-</w:t>
      </w:r>
      <w:r>
        <w:rPr>
          <w:rFonts w:ascii="Calibri" w:eastAsia="Calibri" w:hAnsi="Calibri" w:cs="Calibri"/>
          <w:b w:val="0"/>
          <w:i w:val="0"/>
          <w:sz w:val="20"/>
        </w:rPr>
        <w:tab/>
      </w:r>
      <w:r>
        <w:rPr>
          <w:rFonts w:ascii="Calibri" w:eastAsia="Calibri" w:hAnsi="Calibri" w:cs="Calibri"/>
          <w:b w:val="0"/>
          <w:i w:val="0"/>
          <w:sz w:val="20"/>
        </w:rPr>
        <w:t xml:space="preserve">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 </w:t>
      </w:r>
    </w:p>
    <w:p>
      <w:pPr>
        <w:keepNext w:val="0"/>
        <w:keepLines/>
        <w:pageBreakBefore w:val="0"/>
        <w:widowControl w:val="0"/>
        <w:numPr>
          <w:ilvl w:val="0"/>
          <w:numId w:val="0"/>
        </w:numPr>
        <w:spacing w:before="0" w:after="0" w:line="276"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NIIF 18 y todas las modificaciones consiguientes entran en vigor para los ejercicios que comiencen a partir del 1 de enero de 2027, permitiéndose su aplicación anticipada. Se requiere su aplicación retroactiva.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2.3.5.-</w:t>
      </w:r>
      <w:r>
        <w:rPr>
          <w:rFonts w:ascii="Calibri" w:eastAsia="Calibri" w:hAnsi="Calibri" w:cs="Calibri"/>
          <w:b w:val="0"/>
          <w:i w:val="0"/>
          <w:sz w:val="20"/>
        </w:rPr>
        <w:tab/>
      </w:r>
      <w:r>
        <w:rPr>
          <w:rFonts w:ascii="Calibri" w:eastAsia="Calibri" w:hAnsi="Calibri" w:cs="Calibri"/>
          <w:b w:val="0"/>
          <w:i w:val="0"/>
          <w:sz w:val="20"/>
        </w:rPr>
        <w:t>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NIIF 19 entrará en vigor para los períodos sobre los que se informa que comiencen a partir del 1 de enero de 2027, permitiéndose su aplicación anticipada.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2.3.6.-</w:t>
      </w:r>
      <w:r>
        <w:rPr>
          <w:rFonts w:ascii="Calibri" w:eastAsia="Calibri" w:hAnsi="Calibri" w:cs="Calibri"/>
          <w:b w:val="0"/>
          <w:i w:val="0"/>
          <w:sz w:val="20"/>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88" w:lineRule="auto"/>
        <w:ind w:left="2409"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2.3.7.-</w:t>
      </w:r>
      <w:r>
        <w:rPr>
          <w:rFonts w:ascii="Calibri" w:eastAsia="Calibri" w:hAnsi="Calibri" w:cs="Calibri"/>
          <w:b w:val="0"/>
          <w:i w:val="0"/>
          <w:sz w:val="20"/>
        </w:rPr>
        <w:tab/>
      </w:r>
      <w:r>
        <w:rPr>
          <w:rFonts w:ascii="Calibri" w:eastAsia="Calibri" w:hAnsi="Calibri" w:cs="Calibri"/>
          <w:b w:val="0"/>
          <w:i w:val="0"/>
          <w:sz w:val="20"/>
        </w:rPr>
        <w:t>En noviembre de 2025, el IASB emitió las Enmiendas a los Ejemplos Ilustrativos de las NIIF 7, NIIF 18, NIC 1, NIC 8, NIC 36 y NIC 37 – Revelaciones sobre Incertidumbres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spacing w:before="0" w:after="0" w:line="276"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spacing w:before="0" w:after="0" w:line="23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4" w:right="0" w:hanging="708"/>
        <w:jc w:val="both"/>
        <w:outlineLvl w:val="9"/>
        <w:rPr>
          <w:rFonts w:ascii="Aptos" w:eastAsia="Aptos" w:hAnsi="Aptos" w:cs="Aptos"/>
          <w:b w:val="0"/>
          <w:i w:val="0"/>
          <w:sz w:val="24"/>
        </w:rPr>
      </w:pPr>
      <w:r>
        <w:rPr>
          <w:rFonts w:ascii="Calibri" w:eastAsia="Calibri" w:hAnsi="Calibri" w:cs="Calibri"/>
          <w:b w:val="0"/>
          <w:i w:val="0"/>
          <w:sz w:val="20"/>
        </w:rPr>
        <w:t>2.3.8.-</w:t>
      </w:r>
      <w:r>
        <w:rPr>
          <w:rFonts w:ascii="Calibri" w:eastAsia="Calibri" w:hAnsi="Calibri" w:cs="Calibri"/>
          <w:b w:val="0"/>
          <w:i w:val="0"/>
          <w:sz w:val="20"/>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w:t>
      </w:r>
      <w:r>
        <w:rPr>
          <w:rFonts w:ascii="Calibri" w:eastAsia="Calibri" w:hAnsi="Calibri" w:cs="Calibri"/>
          <w:b w:val="0"/>
          <w:i w:val="0"/>
          <w:sz w:val="20"/>
        </w:rPr>
        <w:t xml:space="preserve">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w:t>
      </w:r>
      <w:r>
        <w:rPr>
          <w:rFonts w:ascii="Calibri" w:eastAsia="Calibri" w:hAnsi="Calibri" w:cs="Calibri"/>
          <w:b w:val="0"/>
          <w:i w:val="0"/>
          <w:sz w:val="20"/>
        </w:rPr>
        <w:t xml:space="preserve">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Administración de la sociedad estima que la adopción de las Normas, Enmiendas e Interpretaciones y que pudiesen aplicar a la sociedad, no tendrán un impacto significativo en los estados financieros en el ejercicio de su primera aplicación.</w:t>
      </w:r>
    </w:p>
    <w:p>
      <w:pPr>
        <w:keepNext w:val="0"/>
        <w:keepLines/>
        <w:pageBreakBefore w:val="0"/>
        <w:widowControl w:val="0"/>
        <w:numPr>
          <w:ilvl w:val="0"/>
          <w:numId w:val="0"/>
        </w:numPr>
        <w:spacing w:before="0" w:after="0" w:line="240" w:lineRule="exact"/>
        <w:ind w:left="1417"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15" w:name="Section11"/>
      <w:bookmarkEnd w:id="15"/>
      <w:bookmarkStart w:id="16" w:name="9d344e6df2e14112a5196163a5f5509a"/>
      <w:r>
        <w:rPr>
          <w:rFonts w:ascii="Calibri" w:eastAsia="Calibri" w:hAnsi="Calibri" w:cs="Calibri"/>
          <w:b/>
          <w:i w:val="0"/>
          <w:color w:val="000000"/>
          <w:sz w:val="20"/>
          <w:u w:val="none"/>
        </w:rPr>
        <w:t>2.4.-</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la Sociedad se valoran utilizando la moneda del entorno económico principal en que la entidad opera (“moneda funcional”). La moneda funcional de CGE Comercializadora SpA. es el Peso chileno, que constituye además la moneda de presentación de los estados financieros.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hanging="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2.4.3.-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tbl>
      <w:tblPr>
        <w:tblW w:w="4680" w:type="dxa"/>
        <w:jc w:val="left"/>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tblGrid>
      <w:tr>
        <w:tblPrEx>
          <w:tblW w:w="4680" w:type="dxa"/>
          <w:tblInd w:w="216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4680" w:type="dxa"/>
          <w:tblInd w:w="216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4680" w:type="dxa"/>
          <w:tblInd w:w="2160"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39.727,96</w:t>
            </w:r>
          </w:p>
        </w:tc>
      </w:tr>
    </w:tbl>
    <w:p>
      <w:pPr>
        <w:keepNext w:val="0"/>
        <w:keepLines/>
        <w:pageBreakBefore w:val="0"/>
        <w:widowControl w:val="0"/>
        <w:numPr>
          <w:ilvl w:val="0"/>
          <w:numId w:val="0"/>
        </w:numPr>
        <w:spacing w:before="0" w:after="0" w:line="288" w:lineRule="auto"/>
        <w:ind w:left="1440" w:right="0" w:firstLine="720"/>
        <w:jc w:val="left"/>
        <w:outlineLvl w:val="9"/>
        <w:rPr>
          <w:rFonts w:ascii="Calibri" w:eastAsia="Calibri" w:hAnsi="Calibri" w:cs="Calibri"/>
          <w:b w:val="0"/>
          <w:i w:val="0"/>
          <w:sz w:val="20"/>
        </w:rPr>
      </w:pPr>
    </w:p>
    <w:tbl>
      <w:tblPr>
        <w:tblW w:w="6135" w:type="dxa"/>
        <w:jc w:val="left"/>
        <w:tblInd w:w="2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415"/>
        <w:gridCol w:w="720"/>
        <w:gridCol w:w="2280"/>
      </w:tblGrid>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Style w:val="CarCarChar"/>
              <w:pageBreakBefore w:val="0"/>
              <w:spacing w:before="43" w:after="20" w:line="288" w:lineRule="auto"/>
              <w:ind w:left="55"/>
              <w:jc w:val="left"/>
            </w:pPr>
            <w:r>
              <w:rPr>
                <w:rFonts w:ascii="Calibri" w:eastAsia="Calibri" w:hAnsi="Calibri" w:cs="Calibri"/>
                <w:b w:val="0"/>
                <w:i w:val="0"/>
                <w:color w:val="000000"/>
                <w:sz w:val="20"/>
                <w:u w:val="none"/>
              </w:rPr>
              <w:t>CL $</w:t>
            </w:r>
          </w:p>
        </w:tc>
        <w:tc>
          <w:tcPr>
            <w:tcW w:w="2415" w:type="dxa"/>
            <w:tcBorders>
              <w:top w:val="nil"/>
              <w:left w:val="nil"/>
              <w:bottom w:val="nil"/>
              <w:right w:val="nil"/>
            </w:tcBorders>
            <w:tcMar>
              <w:top w:w="0" w:type="dxa"/>
              <w:left w:w="53" w:type="dxa"/>
              <w:bottom w:w="0" w:type="dxa"/>
              <w:right w:w="53" w:type="dxa"/>
            </w:tcMar>
            <w:vAlign w:val="top"/>
          </w:tcPr>
          <w:p>
            <w:pPr>
              <w:pStyle w:val="CarCarChar"/>
              <w:pageBreakBefore w:val="0"/>
              <w:spacing w:before="43" w:after="20" w:line="288" w:lineRule="auto"/>
              <w:ind w:left="55"/>
              <w:jc w:val="left"/>
            </w:pPr>
            <w:r>
              <w:rPr>
                <w:rFonts w:ascii="Calibri" w:eastAsia="Calibri" w:hAnsi="Calibri" w:cs="Calibri"/>
                <w:b w:val="0"/>
                <w:i w:val="0"/>
                <w:color w:val="000000"/>
                <w:sz w:val="20"/>
                <w:u w:val="none"/>
              </w:rPr>
              <w:t>Pesos chilenos</w:t>
            </w:r>
          </w:p>
        </w:tc>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US $</w:t>
            </w:r>
          </w:p>
        </w:tc>
        <w:tc>
          <w:tcPr>
            <w:tcW w:w="228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Dólar estadounidense</w:t>
            </w:r>
          </w:p>
        </w:tc>
      </w:tr>
      <w:tr>
        <w:tblPrEx>
          <w:tblW w:w="6135" w:type="dxa"/>
          <w:tblInd w:w="2114"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Style w:val="CarCarChar"/>
              <w:pageBreakBefore w:val="0"/>
              <w:spacing w:before="43" w:after="20" w:line="288" w:lineRule="auto"/>
              <w:ind w:left="55"/>
              <w:jc w:val="left"/>
            </w:pPr>
            <w:r>
              <w:rPr>
                <w:rFonts w:ascii="Calibri" w:eastAsia="Calibri" w:hAnsi="Calibri" w:cs="Calibri"/>
                <w:b w:val="0"/>
                <w:i w:val="0"/>
                <w:color w:val="000000"/>
                <w:sz w:val="20"/>
                <w:u w:val="none"/>
              </w:rPr>
              <w:t>U.F.</w:t>
            </w:r>
          </w:p>
        </w:tc>
        <w:tc>
          <w:tcPr>
            <w:tcW w:w="2415" w:type="dxa"/>
            <w:tcBorders>
              <w:top w:val="nil"/>
              <w:left w:val="nil"/>
              <w:bottom w:val="nil"/>
              <w:right w:val="nil"/>
            </w:tcBorders>
            <w:tcMar>
              <w:top w:w="0" w:type="dxa"/>
              <w:left w:w="53" w:type="dxa"/>
              <w:bottom w:w="0" w:type="dxa"/>
              <w:right w:w="53" w:type="dxa"/>
            </w:tcMar>
            <w:vAlign w:val="top"/>
          </w:tcPr>
          <w:p>
            <w:pPr>
              <w:pStyle w:val="CarCarChar"/>
              <w:pageBreakBefore w:val="0"/>
              <w:spacing w:before="43" w:after="20" w:line="288" w:lineRule="auto"/>
              <w:ind w:left="55"/>
              <w:jc w:val="left"/>
            </w:pPr>
            <w:r>
              <w:rPr>
                <w:rFonts w:ascii="Calibri" w:eastAsia="Calibri" w:hAnsi="Calibri" w:cs="Calibri"/>
                <w:b w:val="0"/>
                <w:i w:val="0"/>
                <w:color w:val="000000"/>
                <w:sz w:val="20"/>
                <w:u w:val="none"/>
              </w:rPr>
              <w:t>Unidades de fomento</w:t>
            </w:r>
          </w:p>
        </w:tc>
        <w:tc>
          <w:tcPr>
            <w:tcW w:w="720" w:type="dxa"/>
            <w:tcBorders>
              <w:top w:val="nil"/>
              <w:left w:val="nil"/>
              <w:bottom w:val="nil"/>
              <w:right w:val="nil"/>
            </w:tcBorders>
            <w:tcMar>
              <w:top w:w="0" w:type="dxa"/>
              <w:left w:w="0" w:type="dxa"/>
              <w:bottom w:w="0" w:type="dxa"/>
              <w:right w:w="0" w:type="dxa"/>
            </w:tcMar>
            <w:vAlign w:val="bottom"/>
          </w:tcPr>
          <w:p>
            <w:pPr>
              <w:pageBreakBefore w:val="0"/>
              <w:spacing w:before="0" w:after="0"/>
            </w:pPr>
          </w:p>
        </w:tc>
        <w:tc>
          <w:tcPr>
            <w:tcW w:w="2280" w:type="dxa"/>
            <w:tcBorders>
              <w:top w:val="nil"/>
              <w:left w:val="nil"/>
              <w:bottom w:val="nil"/>
              <w:right w:val="nil"/>
            </w:tcBorders>
            <w:tcMar>
              <w:top w:w="0" w:type="dxa"/>
              <w:left w:w="0" w:type="dxa"/>
              <w:bottom w:w="0" w:type="dxa"/>
              <w:right w:w="0" w:type="dxa"/>
            </w:tcMar>
            <w:vAlign w:val="bottom"/>
          </w:tcPr>
          <w:p>
            <w:pPr>
              <w:pageBreakBefore w:val="0"/>
              <w:spacing w:before="0" w:after="0"/>
            </w:pPr>
          </w:p>
        </w:tc>
      </w:tr>
    </w:tbl>
    <w:p>
      <w:pPr>
        <w:keepNext w:val="0"/>
        <w:keepLines/>
        <w:pageBreakBefore w:val="0"/>
        <w:widowControl w:val="0"/>
        <w:numPr>
          <w:ilvl w:val="0"/>
          <w:numId w:val="0"/>
        </w:numPr>
        <w:spacing w:before="0" w:after="0" w:line="288" w:lineRule="auto"/>
        <w:ind w:left="2114"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14" w:right="0" w:firstLine="0"/>
        <w:jc w:val="left"/>
        <w:outlineLvl w:val="9"/>
        <w:rPr>
          <w:rFonts w:ascii="Calibri" w:eastAsia="Calibri" w:hAnsi="Calibri" w:cs="Calibri"/>
          <w:b w:val="0"/>
          <w:i w:val="0"/>
          <w:color w:val="000000"/>
          <w:sz w:val="20"/>
          <w:u w:val="none"/>
        </w:rPr>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1412" w:right="0" w:hanging="709"/>
        <w:jc w:val="both"/>
        <w:outlineLvl w:val="1"/>
        <w:rPr>
          <w:rFonts w:ascii="Times New Roman" w:eastAsia="Times New Roman" w:hAnsi="Times New Roman" w:cs="Times New Roman"/>
          <w:b/>
          <w:i w:val="0"/>
          <w:color w:val="000000"/>
          <w:sz w:val="24"/>
          <w:u w:val="none"/>
        </w:rPr>
      </w:pPr>
      <w:bookmarkStart w:id="17" w:name="Section12"/>
      <w:bookmarkEnd w:id="17"/>
      <w:bookmarkStart w:id="18" w:name="d1db4006c45a4a6d8c12398cac215b68"/>
      <w:r>
        <w:rPr>
          <w:rFonts w:ascii="Calibri" w:eastAsia="Calibri" w:hAnsi="Calibri" w:cs="Calibri"/>
          <w:b/>
          <w:i w:val="0"/>
          <w:color w:val="000000"/>
          <w:sz w:val="20"/>
          <w:u w:val="none"/>
        </w:rPr>
        <w:t>2.5.-</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8"/>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venta de energía y servicios asociados, para los que se toman las decisiones estratégicas.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19" w:name="Section13"/>
      <w:bookmarkEnd w:id="19"/>
      <w:bookmarkStart w:id="20" w:name="379d7a1872c44b4c9cdaa71369355f89"/>
      <w:r>
        <w:rPr>
          <w:rFonts w:ascii="Calibri" w:eastAsia="Calibri" w:hAnsi="Calibri" w:cs="Calibri"/>
          <w:b/>
          <w:i w:val="0"/>
          <w:color w:val="000000"/>
          <w:sz w:val="20"/>
          <w:u w:val="none"/>
        </w:rPr>
        <w:t>2.6.-</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144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ejercicio o periodo en el que se incurren.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y ganancias por la venta de una propiedad, planta y equipo se calculan comparando los ingresos obtenidos con el valor en libros y se incluyen en el estado de resultados.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1" w:name="Section14"/>
      <w:bookmarkEnd w:id="21"/>
      <w:bookmarkStart w:id="22" w:name="5d0cd0f985244e1bb9f46e037f6d0570"/>
      <w:r>
        <w:rPr>
          <w:rFonts w:ascii="Calibri" w:eastAsia="Calibri" w:hAnsi="Calibri" w:cs="Calibri"/>
          <w:b/>
          <w:i w:val="0"/>
          <w:color w:val="000000"/>
          <w:sz w:val="20"/>
          <w:u w:val="none"/>
        </w:rPr>
        <w:t>2.7.-</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val="0"/>
        <w:pageBreakBefore w:val="0"/>
        <w:widowControl/>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2124" w:right="0" w:firstLine="0"/>
        <w:jc w:val="both"/>
        <w:outlineLvl w:val="9"/>
        <w:rPr>
          <w:rFonts w:ascii="Arial" w:eastAsia="Arial" w:hAnsi="Arial" w:cs="Arial"/>
          <w:b w:val="0"/>
          <w:i w:val="0"/>
          <w:color w:val="000000"/>
          <w:sz w:val="20"/>
          <w:u w:val="none"/>
        </w:rPr>
      </w:pPr>
      <w:bookmarkEnd w:id="22"/>
    </w:p>
    <w:p>
      <w:pPr>
        <w:pStyle w:val="Normal-wk"/>
        <w:keepNext w:val="0"/>
        <w:keepLines/>
        <w:pageBreakBefore w:val="0"/>
        <w:widowControl w:val="0"/>
        <w:numPr>
          <w:ilvl w:val="0"/>
          <w:numId w:val="0"/>
        </w:numPr>
        <w:tabs>
          <w:tab w:val="left" w:pos="700"/>
        </w:tabs>
        <w:spacing w:before="0" w:after="0" w:line="240" w:lineRule="exact"/>
        <w:ind w:left="708" w:right="0" w:firstLine="708"/>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2.7.1.-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CGE Comercializadora SpA.,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23" w:name="Section15"/>
      <w:bookmarkEnd w:id="23"/>
      <w:bookmarkStart w:id="24" w:name="46ae4865758648c8a7ca8ac2064c73c2"/>
      <w:r>
        <w:rPr>
          <w:rFonts w:ascii="Calibri" w:eastAsia="Calibri" w:hAnsi="Calibri" w:cs="Calibri"/>
          <w:b/>
          <w:i w:val="0"/>
          <w:color w:val="000000"/>
          <w:sz w:val="20"/>
          <w:u w:val="none"/>
        </w:rPr>
        <w:t>2.8.-</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left"/>
        <w:outlineLvl w:val="9"/>
        <w:rPr>
          <w:rFonts w:ascii="Calibri" w:eastAsia="Calibri" w:hAnsi="Calibri" w:cs="Calibri"/>
          <w:b w:val="0"/>
          <w:i w:val="0"/>
          <w:color w:val="000000"/>
          <w:sz w:val="20"/>
          <w:u w:val="none"/>
        </w:rPr>
      </w:pPr>
      <w:bookmarkEnd w:id="24"/>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por intereses incurridos para la construcción de cualquier activo apto se capitalizan durante el periodo de tiempo que es necesario para completar y preparar el activo para el uso que se pretende. Otros costos por intereses se registran en resultados (costos financieros). Se entiende por activo apto aquel que requiere de un periodo sustancial antes de estar listo para el uso a que está destinado o para la venta.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5" w:name="Section16"/>
      <w:bookmarkEnd w:id="25"/>
      <w:bookmarkStart w:id="26" w:name="226a65b5b1484947b91621fdf32bf9a8"/>
      <w:r>
        <w:rPr>
          <w:rFonts w:ascii="Calibri" w:eastAsia="Calibri" w:hAnsi="Calibri" w:cs="Calibri"/>
          <w:b/>
          <w:i w:val="0"/>
          <w:color w:val="000000"/>
          <w:sz w:val="20"/>
          <w:u w:val="none"/>
        </w:rPr>
        <w:t>2.9.-</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2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importe recuperable es el valor razonable de un activo menos los costos para la venta o el valor de uso, el mayor de los dos. A efectos de evaluar las pérdidas por deterioro del valor, los activos se agrupan al nivel m</w:t>
      </w:r>
      <w:r>
        <w:rPr>
          <w:rFonts w:ascii="Calibri" w:eastAsia="Calibri" w:hAnsi="Calibri" w:cs="Calibri"/>
          <w:b w:val="0"/>
          <w:i w:val="0"/>
          <w:color w:val="000000"/>
          <w:sz w:val="20"/>
          <w:u w:val="none"/>
        </w:rPr>
        <w:t>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 w:name="Section17"/>
      <w:bookmarkEnd w:id="27"/>
      <w:bookmarkStart w:id="28" w:name="421a64ff26134554ae5dcb8dc6d7a1b3"/>
      <w:r>
        <w:rPr>
          <w:rFonts w:ascii="Calibri" w:eastAsia="Calibri" w:hAnsi="Calibri" w:cs="Calibri"/>
          <w:b/>
          <w:i w:val="0"/>
          <w:color w:val="000000"/>
          <w:sz w:val="20"/>
          <w:u w:val="none"/>
        </w:rPr>
        <w:t>2.10.-</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2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2.10.1.-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mide inicialmente un activo financiero a su valor razonable más, en el caso de un activo financiero que no se encuentra al valor razonable con cambios en resultados, los costos de transacción.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 la Sociedad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la Sociedad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r>
        <w:rPr>
          <w:rFonts w:ascii="Calibri" w:eastAsia="Calibri" w:hAnsi="Calibri" w:cs="Calibri"/>
          <w:b w:val="0"/>
          <w:i w:val="0"/>
          <w:sz w:val="20"/>
        </w:rPr>
        <w:br/>
      </w:r>
    </w:p>
    <w:p>
      <w:pPr>
        <w:keepNext w:val="0"/>
        <w:keepLines/>
        <w:pageBreakBefore w:val="0"/>
        <w:widowControl w:val="0"/>
        <w:numPr>
          <w:ilvl w:val="0"/>
          <w:numId w:val="1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Instrumentos de deuda en otro resultado integral, con ganancias o pérdidas recicladas a resultados en el momento de su realización. Los activos financieros en esta categoría son los instrumentos de deuda cotizados de la Sociedad que cumplen con el criterio SPPI y se mantienen dentro de un modelo comercial tanto para cobrar los flujos de efectivo como para vender.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Instrumentos de capital en otro resultado integral, sin reciclaje de ganancias o pérdidas a resultados en el momento de su realización. Esta categoría solo incluye los instrumentos de capital, que la Sociedad tiene la intención de mantener en el futuro previsible y que la Sociedad ha elegido irrevocablemente para clasificarlos en el reconocimiento inicial o la transición. La Sociedad clasificó sus instrumentos de patrimonio no cotizados como instrumentos de patrimonio en otro resultado integral.</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sz w:val="20"/>
        </w:rPr>
      </w:pPr>
    </w:p>
    <w:p>
      <w:pPr>
        <w:keepNext w:val="0"/>
        <w:keepLines/>
        <w:pageBreakBefore w:val="0"/>
        <w:widowControl w:val="0"/>
        <w:numPr>
          <w:ilvl w:val="0"/>
          <w:numId w:val="11"/>
        </w:numPr>
        <w:spacing w:before="0" w:after="0" w:line="240" w:lineRule="exact"/>
        <w:ind w:left="2835" w:right="0" w:hanging="340"/>
        <w:jc w:val="both"/>
        <w:outlineLvl w:val="9"/>
        <w:rPr>
          <w:rFonts w:ascii="Calibri" w:eastAsia="Calibri" w:hAnsi="Calibri" w:cs="Calibri"/>
          <w:b w:val="0"/>
          <w:i w:val="0"/>
          <w:sz w:val="20"/>
        </w:rPr>
      </w:pPr>
      <w:r>
        <w:rPr>
          <w:rFonts w:ascii="Calibri" w:eastAsia="Calibri" w:hAnsi="Calibri" w:cs="Calibri"/>
          <w:b w:val="0"/>
          <w:i w:val="0"/>
          <w:sz w:val="20"/>
        </w:rPr>
        <w:t>Los activos financieros a valor razonable con cambios en resultados comprenden instrumentos derivados e instrumentos de capital cotizados que la Sociedad no ha elegido irrevocablemente, en el reconocimiento inicial o transición, para clasificar en otros resul</w:t>
      </w:r>
      <w:r>
        <w:rPr>
          <w:rFonts w:ascii="Calibri" w:eastAsia="Calibri" w:hAnsi="Calibri" w:cs="Calibri"/>
          <w:b w:val="0"/>
          <w:i w:val="0"/>
          <w:color w:val="000000"/>
          <w:sz w:val="20"/>
          <w:u w:val="none"/>
        </w:rPr>
        <w:t>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2.10.2.-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la Sociedad registre las pérdidas crediticias esperadas de todos sus títulos de deuda, préstamos y deudores comerciales, ya sea sobre una base de 12 meses o de por vida.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ha establecido una matriz de provisiones que se basa en la experiencia histórica de pérdidas crediticias, ajustada por factores prospectivos específicos para los deudores y el entorno económico.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9" w:name="Section18"/>
      <w:bookmarkEnd w:id="29"/>
      <w:bookmarkStart w:id="30" w:name="b5339488269f4c2e8d4940edc3df6be1"/>
      <w:r>
        <w:rPr>
          <w:rFonts w:ascii="Calibri" w:eastAsia="Calibri" w:hAnsi="Calibri" w:cs="Calibri"/>
          <w:b/>
          <w:i w:val="0"/>
          <w:color w:val="000000"/>
          <w:sz w:val="20"/>
          <w:u w:val="none"/>
        </w:rPr>
        <w:t>2.11.-</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val="0"/>
        <w:pageBreakBefore w:val="0"/>
        <w:widowControl/>
        <w:numPr>
          <w:ilvl w:val="0"/>
          <w:numId w:val="0"/>
        </w:numPr>
        <w:spacing w:before="0" w:after="0" w:line="288" w:lineRule="auto"/>
        <w:ind w:left="0" w:right="0" w:firstLine="0"/>
        <w:jc w:val="both"/>
        <w:outlineLvl w:val="9"/>
        <w:rPr>
          <w:rFonts w:ascii="Arial" w:eastAsia="Arial" w:hAnsi="Arial" w:cs="Arial"/>
          <w:b w:val="0"/>
          <w:i w:val="0"/>
          <w:color w:val="000000"/>
          <w:sz w:val="20"/>
          <w:u w:val="none"/>
        </w:rPr>
      </w:pPr>
      <w:bookmarkEnd w:id="30"/>
    </w:p>
    <w:p>
      <w:pPr>
        <w:pStyle w:val="Normal-wk"/>
        <w:keepNext/>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existencias se valorizan a su costo o a su valor neto realizable, el menor de los dos. El costo se determina de acuerdo al método de precio medio ponderado (PMP).</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1" w:name="Section19"/>
      <w:bookmarkEnd w:id="31"/>
      <w:bookmarkStart w:id="32" w:name="dc251a83526442bea7c17a6ea1a03a76"/>
      <w:r>
        <w:rPr>
          <w:rFonts w:ascii="Calibri" w:eastAsia="Calibri" w:hAnsi="Calibri" w:cs="Calibri"/>
          <w:b/>
          <w:i w:val="0"/>
          <w:color w:val="000000"/>
          <w:sz w:val="20"/>
          <w:u w:val="none"/>
        </w:rPr>
        <w:t>2.12.-</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2"/>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1416" w:right="0" w:firstLine="1"/>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1"/>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3" w:name="Section20"/>
      <w:bookmarkEnd w:id="33"/>
      <w:bookmarkStart w:id="34" w:name="3688b44d865e4a2395204e76b74bfbcf"/>
      <w:r>
        <w:rPr>
          <w:rFonts w:ascii="Calibri" w:eastAsia="Calibri" w:hAnsi="Calibri" w:cs="Calibri"/>
          <w:b/>
          <w:i w:val="0"/>
          <w:color w:val="000000"/>
          <w:sz w:val="20"/>
          <w:u w:val="none"/>
        </w:rPr>
        <w:t>2.13.-</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4"/>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5" w:name="Section21"/>
      <w:bookmarkEnd w:id="35"/>
      <w:bookmarkStart w:id="36" w:name="ac91950bb53d48a78e81bf299d0fa80a"/>
      <w:r>
        <w:rPr>
          <w:rFonts w:ascii="Calibri" w:eastAsia="Calibri" w:hAnsi="Calibri" w:cs="Calibri"/>
          <w:b/>
          <w:i w:val="0"/>
          <w:color w:val="000000"/>
          <w:sz w:val="20"/>
          <w:u w:val="none"/>
        </w:rPr>
        <w:t>2.14.-</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3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w:t>
      </w:r>
      <w:r>
        <w:rPr>
          <w:rFonts w:ascii="Calibri" w:eastAsia="Calibri" w:hAnsi="Calibri" w:cs="Calibri"/>
          <w:b w:val="0"/>
          <w:i w:val="0"/>
          <w:color w:val="000000"/>
          <w:sz w:val="20"/>
          <w:u w:val="none"/>
        </w:rPr>
        <w:t>instrumentos de patrimonio propios de la entidad</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7" w:name="Section22"/>
      <w:bookmarkEnd w:id="37"/>
      <w:bookmarkStart w:id="38" w:name="28df7ed911ad4ea09fd4e72e5991fec6"/>
      <w:r>
        <w:rPr>
          <w:rFonts w:ascii="Calibri" w:eastAsia="Calibri" w:hAnsi="Calibri" w:cs="Calibri"/>
          <w:b/>
          <w:i w:val="0"/>
          <w:color w:val="000000"/>
          <w:sz w:val="20"/>
          <w:u w:val="none"/>
        </w:rPr>
        <w:t>2.15.-</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sz w:val="20"/>
        </w:rPr>
      </w:pPr>
      <w:bookmarkEnd w:id="3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cuentas por pagar comerciales y otras cuentas por pagar corrientes y no corrientes se reconocen inicialmente a su valor razonable, posteriormente se valoran a costo amortizado utilizando el método de la tasa de interés efectiva.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9" w:name="Section23"/>
      <w:bookmarkEnd w:id="39"/>
      <w:bookmarkStart w:id="40" w:name="69454b281a8d45a98089e0a292fe044e"/>
      <w:r>
        <w:rPr>
          <w:rFonts w:ascii="Calibri" w:eastAsia="Calibri" w:hAnsi="Calibri" w:cs="Calibri"/>
          <w:b/>
          <w:i w:val="0"/>
          <w:color w:val="000000"/>
          <w:sz w:val="20"/>
          <w:u w:val="none"/>
        </w:rPr>
        <w:t>2.16.-</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40"/>
    </w:p>
    <w:p>
      <w:pPr>
        <w:keepNext w:val="0"/>
        <w:keepLines/>
        <w:pageBreakBefore w:val="0"/>
        <w:widowControl w:val="0"/>
        <w:numPr>
          <w:ilvl w:val="0"/>
          <w:numId w:val="0"/>
        </w:numPr>
        <w:spacing w:before="0" w:after="0" w:line="240" w:lineRule="exact"/>
        <w:ind w:left="1417" w:right="0" w:firstLine="0"/>
        <w:jc w:val="left"/>
        <w:outlineLvl w:val="9"/>
        <w:rPr>
          <w:rFonts w:ascii="Calibri" w:eastAsia="Calibri" w:hAnsi="Calibri" w:cs="Calibri"/>
          <w:b w:val="0"/>
          <w:i w:val="0"/>
          <w:sz w:val="20"/>
        </w:rPr>
      </w:pPr>
      <w:r>
        <w:rPr>
          <w:rFonts w:ascii="Calibri" w:eastAsia="Calibri" w:hAnsi="Calibri" w:cs="Calibri"/>
          <w:b w:val="0"/>
          <w:i w:val="0"/>
          <w:sz w:val="20"/>
        </w:rPr>
        <w:t xml:space="preserve">Los préstamos, obligaciones con el público y pasivos financieros de naturaleza similar, en caso de existir,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obligaciones financieras se clasifican como pasivos corrientes a menos que CGE Comercializadora SpA. tenga un derecho incondicional a diferir su liquidación durante al menos 12 meses después de la fecha de los </w:t>
      </w:r>
      <w:r>
        <w:rPr>
          <w:rFonts w:ascii="Calibri" w:eastAsia="Calibri" w:hAnsi="Calibri" w:cs="Calibri"/>
          <w:b w:val="0"/>
          <w:i w:val="0"/>
          <w:color w:val="000000"/>
          <w:sz w:val="20"/>
          <w:u w:val="none"/>
        </w:rPr>
        <w:t>estados de situación financiera.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1" w:name="Section24"/>
      <w:bookmarkEnd w:id="41"/>
      <w:bookmarkStart w:id="42" w:name="e520d7f264004f7393a3eff1807d7bbc"/>
      <w:r>
        <w:rPr>
          <w:rFonts w:ascii="Calibri" w:eastAsia="Calibri" w:hAnsi="Calibri" w:cs="Calibri"/>
          <w:b/>
          <w:i w:val="0"/>
          <w:color w:val="000000"/>
          <w:sz w:val="20"/>
          <w:u w:val="none"/>
        </w:rPr>
        <w:t>2.17.-</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42"/>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otros resultados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por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1417"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Los activos por impuestos diferidos se revisan en cada fecha de presentación y se reducen en la medida en que ya no es probable que se realice el beneficio fiscal relacionado; dichas reducciones se revierten cuando mejora la probabilidad de ganancias imponibles futuras.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impuesto a la renta diferido se reconoce por las diferencias temporales que surgen de las inversiones en subsidiarias y en asociadas, excepto cuando la oportunidad en que se revertirán las diferencias temporales es con</w:t>
      </w:r>
      <w:r>
        <w:rPr>
          <w:rFonts w:ascii="Calibri" w:eastAsia="Calibri" w:hAnsi="Calibri" w:cs="Calibri"/>
          <w:b w:val="0"/>
          <w:i w:val="0"/>
          <w:color w:val="000000"/>
          <w:sz w:val="20"/>
          <w:u w:val="none"/>
        </w:rPr>
        <w:t>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3" w:name="Section25"/>
      <w:bookmarkEnd w:id="43"/>
      <w:bookmarkStart w:id="44" w:name="0aea1ebdf73d42dbb928420d2a032ccf"/>
      <w:r>
        <w:rPr>
          <w:rFonts w:ascii="Calibri" w:eastAsia="Calibri" w:hAnsi="Calibri" w:cs="Calibri"/>
          <w:b/>
          <w:i w:val="0"/>
          <w:color w:val="000000"/>
          <w:sz w:val="20"/>
          <w:u w:val="none"/>
        </w:rPr>
        <w:t>2.18.-</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44"/>
    </w:p>
    <w:p>
      <w:pPr>
        <w:pStyle w:val="CarCar3"/>
        <w:keepNext w:val="0"/>
        <w:keepLines w:val="0"/>
        <w:pageBreakBefore w:val="0"/>
        <w:widowControl/>
        <w:numPr>
          <w:ilvl w:val="0"/>
          <w:numId w:val="0"/>
        </w:numPr>
        <w:tabs>
          <w:tab w:val="left" w:pos="700"/>
        </w:tabs>
        <w:spacing w:before="0" w:after="0" w:line="288" w:lineRule="auto"/>
        <w:ind w:left="1416"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2.18.1.-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Vacaciones del personal.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tabs>
          <w:tab w:val="left" w:pos="700"/>
        </w:tabs>
        <w:spacing w:before="0" w:after="0" w:line="288" w:lineRule="auto"/>
        <w:ind w:left="709" w:right="0" w:firstLine="709"/>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hanging="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2.18.2.-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Beneficios post jubilatorios.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mantiene beneficios post-jubilatorios acordados con el personal conforme a los contratos colectivos e individuales vigentes, para todo el personal contratado con anterioridad al año 1992. Este beneficio se reconoce en base al método de la unidad de crédito proyectada.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CarCar3"/>
        <w:keepNext w:val="0"/>
        <w:keepLines w:val="0"/>
        <w:pageBreakBefore w:val="0"/>
        <w:widowControl/>
        <w:numPr>
          <w:ilvl w:val="0"/>
          <w:numId w:val="0"/>
        </w:numPr>
        <w:spacing w:before="0" w:after="0" w:line="240" w:lineRule="exact"/>
        <w:ind w:left="2126" w:right="0" w:hanging="709"/>
        <w:jc w:val="left"/>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2.18.3.-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Indemnizaciones por años de servicio (PIAS).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Comercializadora SpA constituye pasivos por obligaciones por indemnizaciones por cese de servicios, en base a lo estipulado en los contratos colectivos e individuales del personal. Si este beneficio se encuentra pactado, la obligación se trata de acuerdo con NIC 19,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otros resultados integrales en los periodos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40" w:lineRule="exact"/>
        <w:ind w:left="72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2.18.4.-</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Otros beneficios por cese de la relación laboral.</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2.18.3 se pagan cuando la relación laboral se interrumpe antes de la fecha normal de retiro o cuando un empleado acepta voluntariamente el cese a cambio de estos beneficios. CGE Comercializadora SpA. reconoce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12"/>
        </w:numPr>
        <w:spacing w:before="0" w:after="0" w:line="240" w:lineRule="exact"/>
        <w:ind w:left="2835" w:right="0" w:hanging="340"/>
        <w:jc w:val="left"/>
        <w:outlineLvl w:val="9"/>
        <w:rPr>
          <w:rFonts w:ascii="Calibri" w:eastAsia="Calibri" w:hAnsi="Calibri" w:cs="Calibri"/>
          <w:b w:val="0"/>
          <w:i w:val="0"/>
          <w:sz w:val="20"/>
        </w:rPr>
      </w:pPr>
      <w:r>
        <w:rPr>
          <w:rFonts w:ascii="Calibri" w:eastAsia="Calibri" w:hAnsi="Calibri" w:cs="Calibri"/>
          <w:b w:val="0"/>
          <w:i w:val="0"/>
          <w:sz w:val="20"/>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12"/>
        </w:numPr>
        <w:spacing w:before="0" w:after="0" w:line="240" w:lineRule="exact"/>
        <w:ind w:left="2835" w:right="0" w:hanging="340"/>
        <w:jc w:val="left"/>
        <w:outlineLvl w:val="9"/>
        <w:rPr>
          <w:rFonts w:ascii="Calibri" w:eastAsia="Calibri" w:hAnsi="Calibri" w:cs="Calibri"/>
          <w:b w:val="0"/>
          <w:i w:val="0"/>
          <w:sz w:val="20"/>
        </w:rPr>
      </w:pPr>
      <w:r>
        <w:rPr>
          <w:rFonts w:ascii="Calibri" w:eastAsia="Calibri" w:hAnsi="Calibri" w:cs="Calibri"/>
          <w:b w:val="0"/>
          <w:i w:val="0"/>
          <w:sz w:val="20"/>
        </w:rPr>
        <w:t>De proporcionar beneficios por cese como resultado de una oferta hecha para incentivar el retiro voluntario. Los beneficios que vencen en más de 12 meses después de la fecha del estado de situación financiera, de existir, se descuentan a su valor presente.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6" w:right="0" w:hanging="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2.18.5.-</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Premios de antigüedad.</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tiene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otros resultados integrales en los ejercicios en los cuales ocurren. No son reciclados posteriormente.</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CarCar3"/>
        <w:keepNext w:val="0"/>
        <w:keepLines w:val="0"/>
        <w:pageBreakBefore w:val="0"/>
        <w:widowControl/>
        <w:numPr>
          <w:ilvl w:val="0"/>
          <w:numId w:val="0"/>
        </w:numPr>
        <w:tabs>
          <w:tab w:val="left" w:pos="700"/>
        </w:tabs>
        <w:spacing w:before="0" w:after="0" w:line="240" w:lineRule="exact"/>
        <w:ind w:left="1416" w:right="0" w:firstLine="0"/>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2.18.6.-</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Participación en las utilidades.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un pasivo y un gasto por participación en las utilidades en base a contratos colectivos e individuales de sus trabajadores, sobre la base de una fórmula que toma en cuenta la utilidad atribuible a los accionistas de la Sociedad.</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5" w:name="Section26"/>
      <w:bookmarkEnd w:id="45"/>
      <w:bookmarkStart w:id="46" w:name="5cf3eefaafa64019af93368ea97781c4"/>
      <w:r>
        <w:rPr>
          <w:rFonts w:ascii="Calibri" w:eastAsia="Calibri" w:hAnsi="Calibri" w:cs="Calibri"/>
          <w:b/>
          <w:i w:val="0"/>
          <w:color w:val="000000"/>
          <w:sz w:val="20"/>
          <w:u w:val="none"/>
        </w:rPr>
        <w:t>2.19.-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4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para contratos onerosos, litigios y otras contingencias se reconocen cuando: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3"/>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CGE Comercializadora SpA. tiene una obligación presente, ya sea legal o constructiva, como resultado de sucesos pasados;</w:t>
      </w:r>
    </w:p>
    <w:p>
      <w:pPr>
        <w:keepNext w:val="0"/>
        <w:keepLines/>
        <w:pageBreakBefore w:val="0"/>
        <w:widowControl w:val="0"/>
        <w:numPr>
          <w:ilvl w:val="0"/>
          <w:numId w:val="13"/>
        </w:numPr>
        <w:spacing w:before="0" w:after="0" w:line="240" w:lineRule="exact"/>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 xml:space="preserve">Es probable que vaya a ser necesaria una salida de recursos para liquidar la obligación; </w:t>
      </w:r>
    </w:p>
    <w:p>
      <w:pPr>
        <w:keepNext w:val="0"/>
        <w:keepLines/>
        <w:pageBreakBefore w:val="0"/>
        <w:widowControl w:val="0"/>
        <w:numPr>
          <w:ilvl w:val="0"/>
          <w:numId w:val="13"/>
        </w:numPr>
        <w:spacing w:before="0" w:after="0" w:line="288" w:lineRule="auto"/>
        <w:ind w:left="2126" w:right="0" w:hanging="340"/>
        <w:jc w:val="both"/>
        <w:outlineLvl w:val="9"/>
        <w:rPr>
          <w:rFonts w:ascii="Calibri" w:eastAsia="Calibri" w:hAnsi="Calibri" w:cs="Calibri"/>
          <w:b w:val="0"/>
          <w:i w:val="0"/>
          <w:sz w:val="20"/>
        </w:rPr>
      </w:pPr>
      <w:r>
        <w:rPr>
          <w:rFonts w:ascii="Calibri" w:eastAsia="Calibri" w:hAnsi="Calibri" w:cs="Calibri"/>
          <w:b w:val="0"/>
          <w:i w:val="0"/>
          <w:sz w:val="20"/>
        </w:rPr>
        <w:t>El im</w:t>
      </w:r>
      <w:r>
        <w:rPr>
          <w:rFonts w:ascii="Calibri" w:eastAsia="Calibri" w:hAnsi="Calibri" w:cs="Calibri"/>
          <w:b w:val="0"/>
          <w:i w:val="0"/>
          <w:color w:val="000000"/>
          <w:sz w:val="20"/>
          <w:u w:val="none"/>
        </w:rPr>
        <w:t xml:space="preserve">porte puede ser estimado de forma fiable.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provisiones se valoran por el valor actual de los desembolsos que se espera que sean necesarios para liquidar la obligación usando la mejor estimación de CGE Comercializadora SpA.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47" w:name="Section27"/>
      <w:bookmarkEnd w:id="47"/>
      <w:bookmarkStart w:id="48" w:name="d36ddb2e46624fad9afbbc81addbb207"/>
      <w:r>
        <w:rPr>
          <w:rFonts w:ascii="Calibri" w:eastAsia="Calibri" w:hAnsi="Calibri" w:cs="Calibri"/>
          <w:b/>
          <w:i w:val="0"/>
          <w:color w:val="000000"/>
          <w:sz w:val="20"/>
          <w:u w:val="none"/>
        </w:rPr>
        <w:t>2.20.-</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período.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9" w:name="Section28"/>
      <w:bookmarkEnd w:id="49"/>
      <w:bookmarkStart w:id="50" w:name="fea1c703e0f04cb186ef6cde1925798e"/>
      <w:r>
        <w:rPr>
          <w:rFonts w:ascii="Calibri" w:eastAsia="Calibri" w:hAnsi="Calibri" w:cs="Calibri"/>
          <w:b/>
          <w:i w:val="0"/>
          <w:color w:val="000000"/>
          <w:sz w:val="20"/>
          <w:u w:val="none"/>
        </w:rPr>
        <w:t>2.21.-</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5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Comercializadora SpA. reconoce los ingresos cuando se han cumplido satisfactoriamente los pasos establecidos en la norma y es probable que los beneficios económicos futuros vayan a fluir a la entidad y se cumplen las condiciones específicas para cada una de las actividades de CGE Comercializadora SpA., tal y como se describe a continuación:</w:t>
      </w:r>
    </w:p>
    <w:p>
      <w:pPr>
        <w:keepNext w:val="0"/>
        <w:keepLines/>
        <w:pageBreakBefore w:val="0"/>
        <w:widowControl w:val="0"/>
        <w:numPr>
          <w:ilvl w:val="0"/>
          <w:numId w:val="0"/>
        </w:numPr>
        <w:tabs>
          <w:tab w:val="left" w:pos="700"/>
        </w:tabs>
        <w:spacing w:before="0" w:after="0" w:line="288" w:lineRule="auto"/>
        <w:ind w:left="708" w:right="0" w:firstLine="708"/>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6" w:right="0" w:hanging="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electricidad y servicios.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contratos de la Sociedad con clientes para la venta de energía y servicios incluyen una obligación de desempeño, por lo que el ingreso por ventas de electricidad se registra en base a la facturación efectiva del periodo de consumo, </w:t>
      </w:r>
      <w:r>
        <w:rPr>
          <w:rFonts w:ascii="Calibri" w:eastAsia="Calibri" w:hAnsi="Calibri" w:cs="Calibri"/>
          <w:b w:val="0"/>
          <w:i w:val="0"/>
          <w:sz w:val="20"/>
        </w:rPr>
        <w:t>además de incluir una estimación de energía por facturar que ha sido suministrado hasta la fecha de cierre del periodo o ejercicio</w:t>
      </w:r>
      <w:r>
        <w:rPr>
          <w:rFonts w:ascii="Calibri" w:eastAsia="Calibri" w:hAnsi="Calibri" w:cs="Calibri"/>
          <w:b w:val="0"/>
          <w:i w:val="0"/>
          <w:sz w:val="20"/>
        </w:rPr>
        <w:t>.</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CarCar3"/>
        <w:keepNext w:val="0"/>
        <w:keepLines w:val="0"/>
        <w:pageBreakBefore w:val="0"/>
        <w:widowControl/>
        <w:numPr>
          <w:ilvl w:val="0"/>
          <w:numId w:val="0"/>
        </w:numPr>
        <w:tabs>
          <w:tab w:val="left" w:pos="700"/>
        </w:tabs>
        <w:spacing w:before="0" w:after="0" w:line="288" w:lineRule="auto"/>
        <w:ind w:left="708" w:right="0" w:firstLine="708"/>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2.21.2.-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intereses.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ingresos por intereses se reconocen usando el método de la tasa de interés efectiva.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pStyle w:val="CarCar3"/>
        <w:keepNext w:val="0"/>
        <w:keepLines w:val="0"/>
        <w:pageBreakBefore w:val="0"/>
        <w:widowControl/>
        <w:numPr>
          <w:ilvl w:val="0"/>
          <w:numId w:val="0"/>
        </w:numPr>
        <w:tabs>
          <w:tab w:val="left" w:pos="700"/>
        </w:tabs>
        <w:spacing w:before="0" w:after="0" w:line="240" w:lineRule="exact"/>
        <w:ind w:left="708" w:right="0" w:firstLine="708"/>
        <w:jc w:val="both"/>
        <w:outlineLvl w:val="9"/>
        <w:rPr>
          <w:rFonts w:ascii="Arial" w:eastAsia="Arial" w:hAnsi="Arial" w:cs="Arial"/>
          <w:b w:val="0"/>
          <w:i w:val="0"/>
          <w:color w:val="000000"/>
          <w:sz w:val="20"/>
          <w:u w:val="none"/>
        </w:rPr>
      </w:pPr>
      <w:r>
        <w:rPr>
          <w:rFonts w:ascii="Calibri" w:eastAsia="Calibri" w:hAnsi="Calibri" w:cs="Calibri"/>
          <w:b w:val="0"/>
          <w:i w:val="0"/>
          <w:color w:val="000000"/>
          <w:sz w:val="20"/>
          <w:u w:val="none"/>
        </w:rPr>
        <w:t>2.21.3.-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Ingresos por construcción de obras.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periodo del contrato.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1" w:name="Section29"/>
      <w:bookmarkEnd w:id="51"/>
      <w:bookmarkStart w:id="52" w:name="4fef3d51abda4884b18eff6c3c079d28"/>
      <w:r>
        <w:rPr>
          <w:rFonts w:ascii="Calibri" w:eastAsia="Calibri" w:hAnsi="Calibri" w:cs="Calibri"/>
          <w:b/>
          <w:i w:val="0"/>
          <w:color w:val="000000"/>
          <w:sz w:val="20"/>
          <w:u w:val="none"/>
        </w:rPr>
        <w:t>2.22.-</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2"/>
    </w:p>
    <w:p>
      <w:pPr>
        <w:pStyle w:val="Normal-wk"/>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la Sociedad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arrienda determinadas propiedades, planta y equipo. Para los arrendamientos donde la Sociedad tiene sustancialmente todos los riesgos y beneficios inherentes a la propiedad, la Sociedad reconoce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Cada pago por arrendamiento se distribuye entre el pasivo y las cargas financieras para obtener una tasa de interés constante sobre el saldo pendiente de la deuda. Las correspondientes obligaciones por arrendamiento, netas de cargas financieras, se incluyen como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2.22.2.-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Cuando la Sociedad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la Sociedad actúa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arrienda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3"/>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left"/>
        <w:outlineLvl w:val="9"/>
        <w:rPr>
          <w:rFonts w:ascii="Calibri" w:eastAsia="Calibri" w:hAnsi="Calibri" w:cs="Calibri"/>
          <w:b w:val="0"/>
          <w:i w:val="0"/>
          <w:sz w:val="20"/>
        </w:rPr>
      </w:pPr>
      <w:r>
        <w:rPr>
          <w:rFonts w:ascii="Calibri" w:eastAsia="Calibri" w:hAnsi="Calibri" w:cs="Calibri"/>
          <w:b w:val="0"/>
          <w:i w:val="0"/>
          <w:sz w:val="20"/>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3" w:name="Section30"/>
      <w:bookmarkEnd w:id="53"/>
      <w:bookmarkStart w:id="54" w:name="18336fa1068a4f56a26892cec9f52258"/>
      <w:r>
        <w:rPr>
          <w:rFonts w:ascii="Calibri" w:eastAsia="Calibri" w:hAnsi="Calibri" w:cs="Calibri"/>
          <w:b/>
          <w:i w:val="0"/>
          <w:color w:val="000000"/>
          <w:sz w:val="20"/>
          <w:u w:val="none"/>
        </w:rPr>
        <w:t>2.23.-</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5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CGE Comercializadora SpA. se reconocen como un pasivo en los estados financieros en el ejercicio en que son declarados y aprobados por los accionistas o cuando se configura la obligación correspondiente en función de las disposiciones legales vigentes o las políticas de distribución establecidas.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5" w:name="Section31"/>
      <w:bookmarkEnd w:id="55"/>
      <w:bookmarkStart w:id="56" w:name="0db9d8ced17846ee88a795dc3eba8e72"/>
      <w:r>
        <w:rPr>
          <w:rFonts w:ascii="Calibri" w:eastAsia="Calibri" w:hAnsi="Calibri" w:cs="Calibri"/>
          <w:b/>
          <w:i w:val="0"/>
          <w:color w:val="000000"/>
          <w:sz w:val="20"/>
          <w:u w:val="none"/>
        </w:rPr>
        <w:t>2.24.-</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5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insumos necesarios para el desarrollo de los negocios de CGE Comercializadora SpA.,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left"/>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7" w:name="Section32"/>
      <w:bookmarkEnd w:id="57"/>
      <w:bookmarkStart w:id="58" w:name="c562875535d44c76a4066e0940978241"/>
      <w:r>
        <w:rPr>
          <w:rFonts w:ascii="Calibri" w:eastAsia="Calibri" w:hAnsi="Calibri" w:cs="Calibri"/>
          <w:b/>
          <w:i w:val="0"/>
          <w:color w:val="000000"/>
          <w:sz w:val="20"/>
          <w:u w:val="none"/>
        </w:rPr>
        <w:t>2.25.-</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bookmarkEnd w:id="58"/>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14"/>
        </w:numPr>
        <w:spacing w:before="0" w:after="0" w:line="240" w:lineRule="exact"/>
        <w:ind w:left="2126" w:right="0" w:hanging="340"/>
        <w:jc w:val="left"/>
        <w:outlineLvl w:val="9"/>
        <w:rPr>
          <w:rFonts w:ascii="Calibri" w:eastAsia="Calibri" w:hAnsi="Calibri" w:cs="Calibri"/>
          <w:b w:val="0"/>
          <w:i w:val="0"/>
          <w:sz w:val="20"/>
        </w:rPr>
      </w:pPr>
      <w:r>
        <w:rPr>
          <w:rFonts w:ascii="Calibri" w:eastAsia="Calibri" w:hAnsi="Calibri" w:cs="Calibri"/>
          <w:b w:val="0"/>
          <w:i w:val="0"/>
          <w:sz w:val="20"/>
        </w:rPr>
        <w:t>Actividades de operación: Actividades que constituyen los ingresos ordinarios de la Sociedad, así como otras actividades que no pueden ser calificadas como de inversión o financiación.</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126" w:right="0" w:hanging="340"/>
        <w:jc w:val="left"/>
        <w:outlineLvl w:val="9"/>
        <w:rPr>
          <w:rFonts w:ascii="Calibri" w:eastAsia="Calibri" w:hAnsi="Calibri" w:cs="Calibri"/>
          <w:b w:val="0"/>
          <w:i w:val="0"/>
          <w:sz w:val="20"/>
        </w:rPr>
      </w:pPr>
      <w:r>
        <w:rPr>
          <w:rFonts w:ascii="Calibri" w:eastAsia="Calibri" w:hAnsi="Calibri" w:cs="Calibri"/>
          <w:b w:val="0"/>
          <w:i w:val="0"/>
          <w:sz w:val="20"/>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p>
      <w:pPr>
        <w:keepNext w:val="0"/>
        <w:keepLines/>
        <w:pageBreakBefore w:val="0"/>
        <w:widowControl w:val="0"/>
        <w:numPr>
          <w:ilvl w:val="0"/>
          <w:numId w:val="14"/>
        </w:numPr>
        <w:spacing w:before="0" w:after="0" w:line="240" w:lineRule="exact"/>
        <w:ind w:left="2126" w:right="0" w:hanging="340"/>
        <w:jc w:val="left"/>
        <w:outlineLvl w:val="9"/>
        <w:rPr>
          <w:rFonts w:ascii="Calibri" w:eastAsia="Calibri" w:hAnsi="Calibri" w:cs="Calibri"/>
          <w:b w:val="0"/>
          <w:i w:val="0"/>
          <w:sz w:val="20"/>
        </w:rPr>
      </w:pPr>
      <w:r>
        <w:rPr>
          <w:rFonts w:ascii="Calibri" w:eastAsia="Calibri" w:hAnsi="Calibri" w:cs="Calibri"/>
          <w:b w:val="0"/>
          <w:i w:val="0"/>
          <w:sz w:val="20"/>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Sociedad no ha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left"/>
        <w:outlineLvl w:val="0"/>
        <w:rPr>
          <w:rFonts w:ascii="Calibri" w:eastAsia="Calibri" w:hAnsi="Calibri" w:cs="Calibri"/>
          <w:b/>
          <w:i w:val="0"/>
          <w:color w:val="000000"/>
          <w:sz w:val="20"/>
          <w:u w:val="none"/>
        </w:rPr>
      </w:pPr>
      <w:bookmarkStart w:id="59" w:name="Section33"/>
      <w:bookmarkEnd w:id="59"/>
      <w:bookmarkStart w:id="60" w:name="a950795ccbd14ea284e548b096ae43b1"/>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60"/>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como política informar todas las transacciones que efectúa con partes relacionadas durante el ejercicio, con excepción de los dividendos pagados, aportes de capital recibidos, los cuales no se entienden como transacciones.</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type w:val="continuous"/>
          <w:pgSz w:w="12240" w:h="15840"/>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1" w:name="Section34"/>
      <w:bookmarkEnd w:id="61"/>
      <w:bookmarkStart w:id="62" w:name="a4396cb1ce3d44158603e06fb62a1b21"/>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2"/>
    </w:p>
    <w:p>
      <w:pPr>
        <w:pStyle w:val="Normal-wk"/>
        <w:keepNext w:val="0"/>
        <w:keepLines/>
        <w:pageBreakBefore w:val="0"/>
        <w:widowControl w:val="0"/>
        <w:numPr>
          <w:ilvl w:val="0"/>
          <w:numId w:val="0"/>
        </w:numPr>
        <w:tabs>
          <w:tab w:val="left" w:pos="700"/>
        </w:tabs>
        <w:spacing w:before="0" w:after="0" w:line="288" w:lineRule="auto"/>
        <w:ind w:left="709"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0"/>
        </w:numPr>
        <w:spacing w:before="0" w:after="0" w:line="240" w:lineRule="exact"/>
        <w:ind w:left="2126" w:right="0" w:firstLine="0"/>
        <w:jc w:val="left"/>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tbl>
      <w:tblPr>
        <w:tblW w:w="1206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400"/>
        <w:gridCol w:w="615"/>
        <w:gridCol w:w="1905"/>
        <w:gridCol w:w="1005"/>
        <w:gridCol w:w="1005"/>
        <w:gridCol w:w="705"/>
        <w:gridCol w:w="885"/>
        <w:gridCol w:w="885"/>
        <w:gridCol w:w="885"/>
        <w:gridCol w:w="885"/>
      </w:tblGrid>
      <w:tr>
        <w:tblPrEx>
          <w:tblW w:w="12060" w:type="dxa"/>
          <w:tblInd w:w="1440"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060" w:type="dxa"/>
          <w:tblInd w:w="1440"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060" w:type="dxa"/>
          <w:tblInd w:w="1440"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76.230.505-4</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53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76.306.442-5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Eletrans II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2</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 de equipos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213.863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60" w:type="dxa"/>
          <w:tblInd w:w="1440"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57.455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25.696</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76.412.700-5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Servicios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1.651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76.680.107-2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Transmisora del Norte Grande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33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546.983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CGE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de subtransmisión</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2.063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77.470.427-2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Luz Parral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77.470.446-9</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Litoral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prestados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060" w:type="dxa"/>
          <w:tblInd w:w="1440" w:type="dxa"/>
          <w:tblLayout w:type="fixed"/>
        </w:tblPrEx>
        <w:trPr>
          <w:cantSplit/>
          <w:trHeight w:hRule="exact" w:val="225"/>
        </w:trPr>
        <w:tc>
          <w:tcPr>
            <w:tcW w:w="852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847.799</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tabs>
          <w:tab w:val="left" w:pos="1400"/>
        </w:tabs>
        <w:spacing w:before="0" w:after="0" w:line="288" w:lineRule="auto"/>
        <w:ind w:left="0" w:right="78" w:firstLine="0"/>
        <w:jc w:val="left"/>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ListParagraph-wk"/>
        <w:keepNext w:val="0"/>
        <w:keepLines w:val="0"/>
        <w:pageBreakBefore w:val="0"/>
        <w:widowControl/>
        <w:numPr>
          <w:ilvl w:val="0"/>
          <w:numId w:val="0"/>
        </w:numPr>
        <w:spacing w:before="0" w:after="0" w:line="240" w:lineRule="exact"/>
        <w:ind w:left="1776" w:right="0" w:firstLine="348"/>
        <w:jc w:val="left"/>
        <w:outlineLvl w:val="9"/>
        <w:rPr>
          <w:rFonts w:ascii="Arial" w:eastAsia="Arial" w:hAnsi="Arial" w:cs="Arial"/>
          <w:b w:val="0"/>
          <w:i w:val="0"/>
          <w:color w:val="000000"/>
          <w:sz w:val="22"/>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20"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400"/>
        <w:gridCol w:w="615"/>
        <w:gridCol w:w="1905"/>
        <w:gridCol w:w="1005"/>
        <w:gridCol w:w="1005"/>
        <w:gridCol w:w="705"/>
        <w:gridCol w:w="900"/>
        <w:gridCol w:w="900"/>
        <w:gridCol w:w="900"/>
        <w:gridCol w:w="900"/>
      </w:tblGrid>
      <w:tr>
        <w:tblPrEx>
          <w:tblW w:w="12120" w:type="dxa"/>
          <w:tblInd w:w="1440"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4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9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70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80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80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20" w:type="dxa"/>
          <w:tblInd w:w="1440"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400" w:type="dxa"/>
            <w:vMerge/>
            <w:tcBorders>
              <w:top w:val="nil"/>
              <w:left w:val="single" w:sz="4" w:space="0" w:color="FFFFFF"/>
              <w:bottom w:val="nil"/>
              <w:right w:val="nil"/>
            </w:tcBorders>
          </w:tcPr>
          <w:p>
            <w:pPr>
              <w:keepNext/>
              <w:pageBreakBefore w:val="0"/>
            </w:pPr>
          </w:p>
        </w:tc>
        <w:tc>
          <w:tcPr>
            <w:tcW w:w="615" w:type="dxa"/>
            <w:vMerge/>
            <w:tcBorders>
              <w:top w:val="nil"/>
              <w:left w:val="single" w:sz="4" w:space="0" w:color="FFFFFF"/>
              <w:bottom w:val="nil"/>
              <w:right w:val="nil"/>
            </w:tcBorders>
          </w:tcPr>
          <w:p>
            <w:pPr>
              <w:keepNext/>
              <w:pageBreakBefore w:val="0"/>
            </w:pPr>
          </w:p>
        </w:tc>
        <w:tc>
          <w:tcPr>
            <w:tcW w:w="19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705" w:type="dxa"/>
            <w:vMerge/>
            <w:tcBorders>
              <w:top w:val="nil"/>
              <w:left w:val="single" w:sz="4" w:space="0" w:color="FFFFFF"/>
              <w:bottom w:val="nil"/>
              <w:right w:val="nil"/>
            </w:tcBorders>
          </w:tcPr>
          <w:p>
            <w:pPr>
              <w:keepNext/>
              <w:pageBreakBefore w:val="0"/>
            </w:pP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9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900"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20" w:type="dxa"/>
          <w:tblInd w:w="1440"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400" w:type="dxa"/>
            <w:vMerge/>
            <w:tcBorders>
              <w:top w:val="nil"/>
              <w:left w:val="single" w:sz="4" w:space="0" w:color="FFFFFF"/>
              <w:bottom w:val="single" w:sz="2" w:space="0" w:color="000000"/>
              <w:right w:val="nil"/>
            </w:tcBorders>
          </w:tcPr>
          <w:p>
            <w:pPr>
              <w:keepNext/>
              <w:pageBreakBefore w:val="0"/>
            </w:pPr>
          </w:p>
        </w:tc>
        <w:tc>
          <w:tcPr>
            <w:tcW w:w="615" w:type="dxa"/>
            <w:vMerge/>
            <w:tcBorders>
              <w:top w:val="nil"/>
              <w:left w:val="single" w:sz="4" w:space="0" w:color="FFFFFF"/>
              <w:bottom w:val="single" w:sz="2" w:space="0" w:color="000000"/>
              <w:right w:val="nil"/>
            </w:tcBorders>
          </w:tcPr>
          <w:p>
            <w:pPr>
              <w:keepNext/>
              <w:pageBreakBefore w:val="0"/>
            </w:pPr>
          </w:p>
        </w:tc>
        <w:tc>
          <w:tcPr>
            <w:tcW w:w="19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70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9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2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11.304</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2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Recuperación de gastos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8.399</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2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Tecnored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20" w:type="dxa"/>
          <w:tblInd w:w="1440" w:type="dxa"/>
          <w:tblLayout w:type="fixed"/>
        </w:tblPrEx>
        <w:trPr>
          <w:cantSplit/>
          <w:trHeight w:hRule="exact" w:val="25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77.302.440-5</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Tecnored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Arriendo de equipos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2.807</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20" w:type="dxa"/>
          <w:tblInd w:w="1440" w:type="dxa"/>
          <w:tblLayout w:type="fixed"/>
        </w:tblPrEx>
        <w:trPr>
          <w:cantSplit/>
          <w:trHeight w:hRule="exact" w:val="225"/>
        </w:trPr>
        <w:tc>
          <w:tcPr>
            <w:tcW w:w="885" w:type="dxa"/>
            <w:tcBorders>
              <w:top w:val="single" w:sz="2" w:space="0" w:color="000000"/>
              <w:left w:val="single" w:sz="2" w:space="0" w:color="000000"/>
              <w:bottom w:val="single" w:sz="8" w:space="0" w:color="D9D9D9"/>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3"/>
                <w:u w:val="none"/>
              </w:rPr>
              <w:t>985</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20" w:type="dxa"/>
          <w:tblInd w:w="1440" w:type="dxa"/>
          <w:tblLayout w:type="fixed"/>
        </w:tblPrEx>
        <w:trPr>
          <w:cantSplit/>
          <w:trHeight w:hRule="exact" w:val="255"/>
        </w:trPr>
        <w:tc>
          <w:tcPr>
            <w:tcW w:w="885" w:type="dxa"/>
            <w:tcBorders>
              <w:top w:val="single" w:sz="8" w:space="0" w:color="D9D9D9"/>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77.470.427-2</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30" w:line="240" w:lineRule="auto"/>
              <w:jc w:val="right"/>
            </w:pPr>
            <w:r>
              <w:rPr>
                <w:rFonts w:ascii="Calibri" w:eastAsia="Calibri" w:hAnsi="Calibri" w:cs="Calibri"/>
                <w:b w:val="0"/>
                <w:i w:val="0"/>
                <w:color w:val="000000"/>
                <w:sz w:val="13"/>
                <w:u w:val="none"/>
              </w:rPr>
              <w:t>556</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3"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3" w:after="30" w:line="240" w:lineRule="auto"/>
              <w:jc w:val="right"/>
            </w:pPr>
          </w:p>
        </w:tc>
      </w:tr>
      <w:tr>
        <w:tblPrEx>
          <w:tblW w:w="12120" w:type="dxa"/>
          <w:tblInd w:w="1440" w:type="dxa"/>
          <w:tblLayout w:type="fixed"/>
        </w:tblPrEx>
        <w:trPr>
          <w:cantSplit/>
          <w:trHeight w:hRule="exact" w:val="28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96.813.520-1</w:t>
            </w:r>
          </w:p>
        </w:tc>
        <w:tc>
          <w:tcPr>
            <w:tcW w:w="24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6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19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Hasta 90 días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7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20" w:type="dxa"/>
          <w:tblInd w:w="1440" w:type="dxa"/>
          <w:tblLayout w:type="fixed"/>
        </w:tblPrEx>
        <w:trPr>
          <w:cantSplit/>
          <w:trHeight w:hRule="exact" w:val="225"/>
        </w:trPr>
        <w:tc>
          <w:tcPr>
            <w:tcW w:w="852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24.051</w:t>
            </w:r>
          </w:p>
        </w:tc>
        <w:tc>
          <w:tcPr>
            <w:tcW w:w="9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9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709"/>
        <w:jc w:val="lef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7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95"/>
        <w:gridCol w:w="2625"/>
        <w:gridCol w:w="600"/>
        <w:gridCol w:w="945"/>
        <w:gridCol w:w="2895"/>
        <w:gridCol w:w="600"/>
        <w:gridCol w:w="1005"/>
        <w:gridCol w:w="1005"/>
        <w:gridCol w:w="1005"/>
        <w:gridCol w:w="1005"/>
      </w:tblGrid>
      <w:tr>
        <w:tblPrEx>
          <w:tblW w:w="12780" w:type="dxa"/>
          <w:tblInd w:w="0" w:type="dxa"/>
          <w:tblLayout w:type="fixed"/>
        </w:tblPrEx>
        <w:trPr>
          <w:cantSplit/>
          <w:trHeight w:hRule="auto" w:val="0"/>
          <w:tblHeader/>
        </w:trPr>
        <w:tc>
          <w:tcPr>
            <w:tcW w:w="109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62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6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9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28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201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201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2780" w:type="dxa"/>
          <w:tblInd w:w="0" w:type="dxa"/>
          <w:tblLayout w:type="fixed"/>
        </w:tblPrEx>
        <w:trPr>
          <w:cantSplit/>
          <w:trHeight w:hRule="auto" w:val="0"/>
          <w:tblHeader/>
        </w:trPr>
        <w:tc>
          <w:tcPr>
            <w:tcW w:w="1095" w:type="dxa"/>
            <w:vMerge/>
            <w:tcBorders>
              <w:top w:val="nil"/>
              <w:left w:val="single" w:sz="2" w:space="0" w:color="000000"/>
              <w:bottom w:val="nil"/>
              <w:right w:val="nil"/>
            </w:tcBorders>
          </w:tcPr>
          <w:p>
            <w:pPr>
              <w:keepNext/>
              <w:pageBreakBefore w:val="0"/>
            </w:pPr>
          </w:p>
        </w:tc>
        <w:tc>
          <w:tcPr>
            <w:tcW w:w="262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945" w:type="dxa"/>
            <w:vMerge/>
            <w:tcBorders>
              <w:top w:val="nil"/>
              <w:left w:val="single" w:sz="4" w:space="0" w:color="FFFFFF"/>
              <w:bottom w:val="nil"/>
              <w:right w:val="nil"/>
            </w:tcBorders>
          </w:tcPr>
          <w:p>
            <w:pPr>
              <w:keepNext/>
              <w:pageBreakBefore w:val="0"/>
            </w:pPr>
          </w:p>
        </w:tc>
        <w:tc>
          <w:tcPr>
            <w:tcW w:w="289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single" w:sz="4" w:space="0" w:color="FFFFFF"/>
            </w:tcBorders>
          </w:tcPr>
          <w:p>
            <w:pPr>
              <w:keepNext/>
              <w:pageBreakBefore w:val="0"/>
            </w:pPr>
          </w:p>
        </w:tc>
        <w:tc>
          <w:tcPr>
            <w:tcW w:w="201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201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2780" w:type="dxa"/>
          <w:tblInd w:w="0" w:type="dxa"/>
          <w:tblLayout w:type="fixed"/>
        </w:tblPrEx>
        <w:trPr>
          <w:cantSplit/>
          <w:trHeight w:hRule="auto" w:val="0"/>
          <w:tblHeader/>
        </w:trPr>
        <w:tc>
          <w:tcPr>
            <w:tcW w:w="1095" w:type="dxa"/>
            <w:vMerge/>
            <w:tcBorders>
              <w:top w:val="nil"/>
              <w:left w:val="single" w:sz="2" w:space="0" w:color="000000"/>
              <w:bottom w:val="nil"/>
              <w:right w:val="nil"/>
            </w:tcBorders>
          </w:tcPr>
          <w:p>
            <w:pPr>
              <w:keepNext/>
              <w:pageBreakBefore w:val="0"/>
            </w:pPr>
          </w:p>
        </w:tc>
        <w:tc>
          <w:tcPr>
            <w:tcW w:w="262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945" w:type="dxa"/>
            <w:vMerge/>
            <w:tcBorders>
              <w:top w:val="nil"/>
              <w:left w:val="single" w:sz="4" w:space="0" w:color="FFFFFF"/>
              <w:bottom w:val="nil"/>
              <w:right w:val="nil"/>
            </w:tcBorders>
          </w:tcPr>
          <w:p>
            <w:pPr>
              <w:keepNext/>
              <w:pageBreakBefore w:val="0"/>
            </w:pPr>
          </w:p>
        </w:tc>
        <w:tc>
          <w:tcPr>
            <w:tcW w:w="289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100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100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2780" w:type="dxa"/>
          <w:tblInd w:w="0" w:type="dxa"/>
          <w:tblLayout w:type="fixed"/>
        </w:tblPrEx>
        <w:trPr>
          <w:cantSplit/>
          <w:trHeight w:hRule="auto" w:val="0"/>
          <w:tblHeader/>
        </w:trPr>
        <w:tc>
          <w:tcPr>
            <w:tcW w:w="1095" w:type="dxa"/>
            <w:vMerge/>
            <w:tcBorders>
              <w:top w:val="nil"/>
              <w:left w:val="single" w:sz="2" w:space="0" w:color="000000"/>
              <w:bottom w:val="single" w:sz="2" w:space="0" w:color="000000"/>
              <w:right w:val="nil"/>
            </w:tcBorders>
          </w:tcPr>
          <w:p>
            <w:pPr>
              <w:pageBreakBefore w:val="0"/>
            </w:pPr>
          </w:p>
        </w:tc>
        <w:tc>
          <w:tcPr>
            <w:tcW w:w="2625" w:type="dxa"/>
            <w:vMerge/>
            <w:tcBorders>
              <w:top w:val="nil"/>
              <w:left w:val="single" w:sz="4" w:space="0" w:color="FFFFFF"/>
              <w:bottom w:val="single" w:sz="2" w:space="0" w:color="000000"/>
              <w:right w:val="nil"/>
            </w:tcBorders>
          </w:tcPr>
          <w:p>
            <w:pPr>
              <w:pageBreakBefore w:val="0"/>
            </w:pPr>
          </w:p>
        </w:tc>
        <w:tc>
          <w:tcPr>
            <w:tcW w:w="600" w:type="dxa"/>
            <w:vMerge/>
            <w:tcBorders>
              <w:top w:val="nil"/>
              <w:left w:val="single" w:sz="4" w:space="0" w:color="FFFFFF"/>
              <w:bottom w:val="single" w:sz="2" w:space="0" w:color="000000"/>
              <w:right w:val="nil"/>
            </w:tcBorders>
          </w:tcPr>
          <w:p>
            <w:pPr>
              <w:pageBreakBefore w:val="0"/>
            </w:pPr>
          </w:p>
        </w:tc>
        <w:tc>
          <w:tcPr>
            <w:tcW w:w="945" w:type="dxa"/>
            <w:vMerge/>
            <w:tcBorders>
              <w:top w:val="nil"/>
              <w:left w:val="single" w:sz="4" w:space="0" w:color="FFFFFF"/>
              <w:bottom w:val="single" w:sz="2" w:space="0" w:color="000000"/>
              <w:right w:val="nil"/>
            </w:tcBorders>
          </w:tcPr>
          <w:p>
            <w:pPr>
              <w:pageBreakBefore w:val="0"/>
            </w:pPr>
          </w:p>
        </w:tc>
        <w:tc>
          <w:tcPr>
            <w:tcW w:w="2895" w:type="dxa"/>
            <w:vMerge/>
            <w:tcBorders>
              <w:top w:val="nil"/>
              <w:left w:val="single" w:sz="4" w:space="0" w:color="FFFFFF"/>
              <w:bottom w:val="single" w:sz="2" w:space="0" w:color="000000"/>
              <w:right w:val="nil"/>
            </w:tcBorders>
          </w:tcPr>
          <w:p>
            <w:pPr>
              <w:pageBreakBefore w:val="0"/>
            </w:pPr>
          </w:p>
        </w:tc>
        <w:tc>
          <w:tcPr>
            <w:tcW w:w="600" w:type="dxa"/>
            <w:vMerge/>
            <w:tcBorders>
              <w:top w:val="nil"/>
              <w:left w:val="single" w:sz="4" w:space="0" w:color="FFFFFF"/>
              <w:bottom w:val="single" w:sz="2" w:space="0" w:color="000000"/>
              <w:right w:val="nil"/>
            </w:tcBorders>
          </w:tcPr>
          <w:p>
            <w:pPr>
              <w:pageBreakBefore w:val="0"/>
            </w:pP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c>
          <w:tcPr>
            <w:tcW w:w="100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i w:val="0"/>
                <w:color w:val="FFFFFF"/>
                <w:sz w:val="13"/>
                <w:u w:val="none"/>
              </w:rPr>
              <w:t>M$</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264</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(2.205)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9.121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(9.121)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76.230.505-4</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(386)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(127)</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76.306.442-5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3.333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(3.333)</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arriendo de equipos de generación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537.500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537.500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2.077.257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2.077.257</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22.004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(22.004)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171.561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(171.561)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comerciales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28.546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(28.546)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107.839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(107.839)</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construcción de obras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42.208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42.208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371.381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371.381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sistemas de información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97.629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(97.629)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368.822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(368.822)</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Construcción de redes eléctricas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47.866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243.208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(243.208)</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240.630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(240.630)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263.598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(263.598)</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Recuperación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58.395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76.411.321-7</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Reembolso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27.741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55.619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(55.619)</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76.412.700-5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operativos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52.879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(52.879)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165.266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(165.266)</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76.412.700-5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administrativos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171.302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(171.302)</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654.668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(654.668)</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76.412.700-5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Servicios comerciales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(33.338)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134.564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(134.564)</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76.412.700-5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Recuperación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76.412.700-5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Servicios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Reembolso de gastos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36.687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98</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98</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4.990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(4.990)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6.305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(6.305)</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76.680.107-2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Transmisora del Norte Grande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(114)</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(1.897)</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76.763.747-0</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76.763.747-0</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Eletrans III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(2.123)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3.314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(3.314)</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(1.316)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1.462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(1.462)</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76.954.578-6</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Transquinta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Arriendo de equipos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(7.918)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(5.569)</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77.302.440-5</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Tecnored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8.339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(8.339)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52.896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(52.896)</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(158)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1.139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(1.139)</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21.608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(21.608)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19.975</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(19.975)</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77.402.187-6</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Chilquinta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77.420.185-K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Enerquinta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(189)</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Tesorería centralizada (cargos)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1.206.768</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5.346.152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Tesorería centralizada (abonos)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450.000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2.170.000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Arriendo de propiedades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18.053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(18.053)</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68.942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(68.942)</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94.775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(94.775)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169.267</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(169.267)</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3.297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(3.297)</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9.976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(9.976)</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Ingreso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6.769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6.769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146.152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146.152</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Gasto por intereses tesorería centralizada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77.465.741-K</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CGE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Subsidiaria</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920</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556</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(39)</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112</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(112)</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(666)</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2.680</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(2.680)</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77.470.427-2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Luz Parral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Venta de energía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1</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77.470.446-9</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Litoral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3"/>
                <w:u w:val="none"/>
              </w:rPr>
              <w:t>(43)</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77.470.446-9</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Litoral Transmisión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(535)</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529</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(529)</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86.386.700-2</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Servicios comerciales</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96.813.520-1</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Servicio de subtransmisión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71.611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(71.611)</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56.823</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(56.823)</w:t>
            </w:r>
          </w:p>
        </w:tc>
      </w:tr>
      <w:tr>
        <w:tblPrEx>
          <w:tblW w:w="12780" w:type="dxa"/>
          <w:tblInd w:w="0" w:type="dxa"/>
          <w:tblLayout w:type="fixed"/>
        </w:tblPrEx>
        <w:trPr>
          <w:cantSplit/>
          <w:trHeight w:hRule="exact" w:val="225"/>
        </w:trPr>
        <w:tc>
          <w:tcPr>
            <w:tcW w:w="10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96.813.520-1</w:t>
            </w:r>
          </w:p>
        </w:tc>
        <w:tc>
          <w:tcPr>
            <w:tcW w:w="262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4"/>
                <w:u w:val="none"/>
              </w:rPr>
              <w:t>Chilquinta Distribución S.A.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Chile</w:t>
            </w:r>
          </w:p>
        </w:tc>
        <w:tc>
          <w:tcPr>
            <w:tcW w:w="9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Matriz común</w:t>
            </w:r>
          </w:p>
        </w:tc>
        <w:tc>
          <w:tcPr>
            <w:tcW w:w="28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Compra de energía y potencia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4"/>
                <w:u w:val="none"/>
              </w:rPr>
              <w:t>CL $</w:t>
            </w: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100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9.744</w:t>
            </w:r>
          </w:p>
        </w:tc>
        <w:tc>
          <w:tcPr>
            <w:tcW w:w="100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val="0"/>
                <w:i w:val="0"/>
                <w:color w:val="000000"/>
                <w:sz w:val="14"/>
                <w:u w:val="none"/>
              </w:rPr>
              <w:t>(9.744)</w:t>
            </w:r>
          </w:p>
        </w:tc>
      </w:tr>
    </w:tbl>
    <w:p>
      <w:pPr>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851"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851" w:right="0" w:firstLine="0"/>
        <w:jc w:val="both"/>
        <w:outlineLvl w:val="9"/>
        <w:rPr>
          <w:rFonts w:ascii="Calibri" w:eastAsia="Calibri" w:hAnsi="Calibri" w:cs="Calibri"/>
          <w:b w:val="0"/>
          <w:i w:val="0"/>
          <w:color w:val="000000"/>
          <w:sz w:val="20"/>
          <w:u w:val="none"/>
        </w:rPr>
        <w:sectPr>
          <w:headerReference w:type="default" r:id="rId17"/>
          <w:footerReference w:type="default" r:id="rId18"/>
          <w:type w:val="continuous"/>
          <w:pgSz w:w="15840" w:h="12240" w:orient="landscape"/>
          <w:pgMar w:top="1134" w:right="1134" w:bottom="1134" w:left="1134" w:header="0" w:footer="425"/>
          <w:cols w:space="708"/>
        </w:sectPr>
      </w:pPr>
    </w:p>
    <w:p>
      <w:pPr>
        <w:pStyle w:val="Heading2-wk"/>
        <w:keepNext/>
        <w:keepLines w:val="0"/>
        <w:pageBreakBefore w:val="0"/>
        <w:widowControl/>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3" w:name="Section35"/>
      <w:bookmarkEnd w:id="63"/>
      <w:bookmarkStart w:id="64" w:name="12bf74eac5fd44828135b54aa1cecc0c"/>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Directorio y gerencia de la sociedad.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bookmarkEnd w:id="64"/>
    </w:p>
    <w:p>
      <w:pPr>
        <w:pStyle w:val="Normal-wk"/>
        <w:keepNext w:val="0"/>
        <w:keepLines/>
        <w:pageBreakBefore w:val="0"/>
        <w:widowControl w:val="0"/>
        <w:numPr>
          <w:ilvl w:val="0"/>
          <w:numId w:val="0"/>
        </w:numPr>
        <w:spacing w:before="0" w:after="0" w:line="240" w:lineRule="exact"/>
        <w:ind w:left="141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Comercializadora SpA. no tiene Directorio como órgano administrador. En efecto, dicha sociedad posee un administrador quien, actuando por ésta, administra y representa a la Sociedad. </w:t>
      </w:r>
    </w:p>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1"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No hay desembolsos por concepto de remuneraciones del equipo gerencial en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sectPr>
      <w:headerReference w:type="default" r:id="rId19"/>
      <w:footerReference w:type="default" r:id="rId20"/>
      <w:type w:val="continuous"/>
      <w:pgSz w:w="12240" w:h="15840"/>
      <w:pgMar w:top="1134" w:right="1134" w:bottom="1134"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spacing w:before="0" w:after="0" w:line="288" w:lineRule="auto"/>
      <w:ind w:left="0" w:right="0" w:firstLine="0"/>
      <w:jc w:val="left"/>
      <w:outlineLvl w:val="9"/>
      <w:rPr>
        <w:rFonts w:ascii="Times New Roman" w:eastAsia="Times New Roman" w:hAnsi="Times New Roman" w:cs="Times New Roman"/>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498.9pt;height:1.98pt">
          <v:imagedata r:id="rId1" o:title=""/>
          <o:lock v:ext="edit" aspectratio="t"/>
        </v:shape>
      </w:pict>
    </w:r>
  </w:p>
  <w:p>
    <w:pPr>
      <w:pStyle w:val="Estndar"/>
      <w:keepNext w:val="0"/>
      <w:keepLines w:val="0"/>
      <w:pageBreakBefore w:val="0"/>
      <w:widowControl/>
      <w:numPr>
        <w:ilvl w:val="0"/>
        <w:numId w:val="0"/>
      </w:numPr>
      <w:tabs>
        <w:tab w:val="right" w:pos="940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Las notas adjuntas forman parte integral de estos estados financieros resumidos.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5</w:t>
    </w:r>
    <w:r>
      <w:rPr>
        <w:rFonts w:ascii="Calibri" w:eastAsia="Calibri" w:hAnsi="Calibri" w:cs="Calibri"/>
        <w:b w:val="0"/>
        <w:i w:val="0"/>
        <w:color w:val="000000"/>
        <w:sz w:val="20"/>
        <w:u w:val="none"/>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left"/>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resumidos.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7</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lef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13600"/>
      </w:tabs>
      <w:spacing w:before="0" w:after="0" w:line="240" w:lineRule="exact"/>
      <w:ind w:left="0" w:right="0" w:firstLine="0"/>
      <w:jc w:val="lef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resumidos.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w:t>
    </w:r>
    <w:r>
      <w:rPr>
        <w:rFonts w:ascii="Calibri" w:eastAsia="Calibri" w:hAnsi="Calibri" w:cs="Calibri"/>
        <w:b w:val="0"/>
        <w:i w:val="0"/>
        <w:color w:val="000000"/>
        <w:sz w:val="20"/>
        <w:u w:val="none"/>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right" w:pos="13600"/>
      </w:tabs>
      <w:spacing w:before="0" w:after="0" w:line="240"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23</w:t>
    </w:r>
    <w:r>
      <w:rPr>
        <w:rFonts w:ascii="Calibri" w:eastAsia="Calibri" w:hAnsi="Calibri" w:cs="Calibri"/>
        <w:b w:val="0"/>
        <w:i w:val="0"/>
        <w:color w:val="000000"/>
        <w:sz w:val="20"/>
        <w:u w:val="none"/>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677.48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27</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1"/>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498.9pt;height:1.98pt">
          <v:imagedata r:id="rId1" o:title=""/>
          <o:lock v:ext="edit" aspectratio="t"/>
        </v:shape>
      </w:pict>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28</w:t>
    </w:r>
    <w:r>
      <w:rPr>
        <w:rFonts w:ascii="Calibri" w:eastAsia="Calibri" w:hAnsi="Calibri" w:cs="Calibri"/>
        <w:b w:val="0"/>
        <w:i w:val="0"/>
        <w:sz w:val="20"/>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377" w:firstLine="0"/>
      <w:jc w:val="right"/>
      <w:outlineLvl w:val="9"/>
      <w:rPr>
        <w:rFonts w:ascii="Arial" w:eastAsia="Arial" w:hAnsi="Arial" w:cs="Arial"/>
        <w:b w:val="0"/>
        <w:i w:val="0"/>
        <w:color w:val="000000"/>
        <w:sz w:val="22"/>
        <w:u w:val="none"/>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left"/>
      <w:outlineLvl w:val="9"/>
      <w:rPr>
        <w:rFonts w:ascii="Arial" w:eastAsia="Arial" w:hAnsi="Arial" w:cs="Arial"/>
        <w:b w:val="0"/>
        <w:i w:val="0"/>
        <w:color w:val="000000"/>
        <w:sz w:val="22"/>
        <w:u w:val="none"/>
      </w:rPr>
    </w:pPr>
  </w:p>
  <w:p>
    <w:pPr>
      <w:keepNext w:val="0"/>
      <w:keepLines w:val="0"/>
      <w:pageBreakBefore w:val="0"/>
      <w:widowControl/>
      <w:numPr>
        <w:ilvl w:val="0"/>
        <w:numId w:val="0"/>
      </w:numPr>
      <w:tabs>
        <w:tab w:val="center" w:pos="4240"/>
        <w:tab w:val="right" w:pos="8500"/>
      </w:tabs>
      <w:spacing w:before="0" w:after="0" w:line="288" w:lineRule="auto"/>
      <w:ind w:left="0" w:right="-377" w:firstLine="0"/>
      <w:jc w:val="right"/>
      <w:outlineLvl w:val="9"/>
      <w:rPr>
        <w:rFonts w:ascii="Arial" w:eastAsia="Arial" w:hAnsi="Arial" w:cs="Arial"/>
        <w:b w:val="0"/>
        <w:i w:val="0"/>
        <w:color w:val="000000"/>
        <w:sz w:val="22"/>
        <w:u w:val="non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left"/>
      <w:outlineLvl w:val="9"/>
      <w:rPr>
        <w:rFonts w:ascii="Calibri" w:eastAsia="Calibri" w:hAnsi="Calibri" w:cs="Calibri"/>
        <w:b w:val="0"/>
        <w:i w:val="0"/>
        <w:sz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left" w:pos="5340"/>
        <w:tab w:val="right" w:pos="8500"/>
        <w:tab w:val="right" w:pos="9400"/>
      </w:tabs>
      <w:spacing w:before="0" w:after="0" w:line="288" w:lineRule="auto"/>
      <w:ind w:left="0" w:right="0" w:firstLine="0"/>
      <w:jc w:val="center"/>
      <w:outlineLvl w:val="9"/>
      <w:rPr>
        <w:rFonts w:ascii="Arial" w:eastAsia="Arial" w:hAnsi="Arial" w:cs="Arial"/>
        <w:b w:val="0"/>
        <w:i w:val="0"/>
        <w:color w:val="000000"/>
        <w:sz w:val="22"/>
        <w:u w:val="none"/>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left"/>
      <w:outlineLvl w:val="9"/>
      <w:rPr>
        <w:rFonts w:ascii="Arial" w:eastAsia="Arial" w:hAnsi="Arial" w:cs="Arial"/>
        <w:b w:val="0"/>
        <w:i w:val="0"/>
        <w:color w:val="000000"/>
        <w:sz w:val="22"/>
        <w:u w:val="none"/>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left"/>
      <w:outlineLvl w:val="9"/>
      <w:rPr>
        <w:rFonts w:ascii="Arial" w:eastAsia="Arial" w:hAnsi="Arial" w:cs="Arial"/>
        <w:b w:val="0"/>
        <w:i w:val="0"/>
        <w:color w:val="000000"/>
        <w:sz w:val="22"/>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val="0"/>
      <w:pageBreakBefore w:val="0"/>
      <w:widowControl/>
      <w:numPr>
        <w:ilvl w:val="0"/>
        <w:numId w:val="0"/>
      </w:numPr>
      <w:tabs>
        <w:tab w:val="center" w:pos="4240"/>
        <w:tab w:val="right" w:pos="8500"/>
      </w:tabs>
      <w:spacing w:before="0" w:after="0" w:line="288" w:lineRule="auto"/>
      <w:ind w:left="0" w:right="0" w:firstLine="0"/>
      <w:jc w:val="left"/>
      <w:outlineLvl w:val="9"/>
      <w:rPr>
        <w:rFonts w:ascii="Arial" w:eastAsia="Arial" w:hAnsi="Arial" w:cs="Arial"/>
        <w:b w:val="0"/>
        <w:i w:val="0"/>
        <w:color w:val="000000"/>
        <w:sz w:val="22"/>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4">
    <w:nsid w:val="00000005"/>
    <w:multiLevelType w:val="multilevel"/>
    <w:tmpl w:val="00000005"/>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5">
    <w:nsid w:val="00000006"/>
    <w:multiLevelType w:val="multilevel"/>
    <w:tmpl w:val="00000006"/>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6">
    <w:nsid w:val="00000007"/>
    <w:multiLevelType w:val="multilevel"/>
    <w:tmpl w:val="00000007"/>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7">
    <w:nsid w:val="00000008"/>
    <w:multiLevelType w:val="multilevel"/>
    <w:tmpl w:val="00000008"/>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8">
    <w:nsid w:val="00000009"/>
    <w:multiLevelType w:val="multilevel"/>
    <w:tmpl w:val="00000009"/>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4"/>
    <w:lvl w:ilvl="0">
      <w:start w:val="1"/>
      <w:numFmt w:val="upperRoman"/>
      <w:lvlText w:val="%1."/>
      <w:lvlJc w:val="left"/>
      <w:pPr>
        <w:tabs>
          <w:tab w:val="num" w:pos="720"/>
        </w:tabs>
        <w:ind w:left="720" w:hanging="360"/>
      </w:pPr>
      <w:rPr>
        <w:rFonts w:ascii="Calibri" w:eastAsia="Calibri" w:hAnsi="Calibri" w:cs="Calibri"/>
        <w:b/>
        <w:i w:val="0"/>
        <w:strike w:val="0"/>
        <w:color w:val="000000"/>
        <w:sz w:val="22"/>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0">
    <w:nsid w:val="0000000B"/>
    <w:multiLevelType w:val="hybridMultilevel"/>
    <w:tmpl w:val="0000000B"/>
    <w:lvl w:ilvl="0">
      <w:start w:val="1"/>
      <w:numFmt w:val="bullet"/>
      <w:lvlText w:val="-"/>
      <w:lvlJc w:val="left"/>
      <w:pPr>
        <w:tabs>
          <w:tab w:val="num" w:pos="2835"/>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multilevel"/>
    <w:tmpl w:val="00000003"/>
    <w:lvl w:ilvl="0">
      <w:start w:val="1"/>
      <w:numFmt w:val="lowerRoman"/>
      <w:lvlText w:val="%1)"/>
      <w:lvlJc w:val="left"/>
      <w:pPr>
        <w:tabs>
          <w:tab w:val="num" w:pos="2835"/>
        </w:tabs>
        <w:ind w:left="720" w:hanging="360"/>
      </w:pPr>
      <w:rPr>
        <w:rFonts w:ascii="Calibri" w:eastAsia="Calibri" w:hAnsi="Calibri" w:cs="Calibri"/>
        <w:b w:val="0"/>
        <w:i w:val="0"/>
        <w:strike w:val="0"/>
        <w:sz w:val="20"/>
      </w:r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12">
    <w:nsid w:val="0000000D"/>
    <w:multiLevelType w:val="hybridMultilevel"/>
    <w:tmpl w:val="0000000D"/>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tabs>
          <w:tab w:val="num" w:pos="2126"/>
        </w:tabs>
        <w:ind w:left="720" w:hanging="360"/>
      </w:pPr>
      <w:rPr>
        <w:rFonts w:ascii="Calibri" w:eastAsia="Calibri" w:hAnsi="Calibri" w:cs="Calibri"/>
        <w:b w:val="0"/>
        <w:i w:val="0"/>
        <w:strike w:val="0"/>
        <w:sz w:val="20"/>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ul1">
    <w:name w:val="oul1"/>
    <w:pPr>
      <w:numPr>
        <w:numId w:val="4"/>
      </w:numPr>
    </w:pPr>
  </w:style>
  <w:style w:type="numbering" w:customStyle="1" w:styleId="outlinearabic">
    <w:name w:val="outline.arabic"/>
    <w:pPr>
      <w:numPr>
        <w:numId w:val="5"/>
      </w:numPr>
    </w:pPr>
  </w:style>
  <w:style w:type="numbering" w:customStyle="1" w:styleId="ul1">
    <w:name w:val="ul1"/>
    <w:pPr>
      <w:numPr>
        <w:numId w:val="6"/>
      </w:numPr>
    </w:pPr>
  </w:style>
  <w:style w:type="numbering" w:customStyle="1" w:styleId="ul2">
    <w:name w:val="ul2"/>
    <w:pPr>
      <w:numPr>
        <w:numId w:val="7"/>
      </w:numPr>
    </w:pPr>
  </w:style>
  <w:style w:type="numbering" w:customStyle="1" w:styleId="ul3">
    <w:name w:val="ul3"/>
    <w:pPr>
      <w:numPr>
        <w:numId w:val="8"/>
      </w:numPr>
    </w:pPr>
  </w:style>
  <w:style w:type="numbering" w:customStyle="1" w:styleId="ul4">
    <w:name w:val="ul4"/>
    <w:pPr>
      <w:numPr>
        <w:numId w:val="9"/>
      </w:numPr>
    </w:pPr>
  </w:style>
  <w:style w:type="paragraph" w:customStyle="1" w:styleId="Normal-wk">
    <w:name w:val="Normal-wk"/>
    <w:qFormat/>
    <w:pPr>
      <w:keepNext w:val="0"/>
      <w:keepLines/>
      <w:spacing w:before="0" w:after="0" w:line="288" w:lineRule="auto"/>
      <w:ind w:left="0" w:firstLine="0"/>
      <w:jc w:val="left"/>
    </w:pPr>
    <w:rPr>
      <w:rFonts w:ascii="Calibri" w:eastAsia="Calibri" w:hAnsi="Calibri" w:cs="Calibri"/>
      <w:b w:val="0"/>
      <w:i w:val="0"/>
      <w:color w:val="000000"/>
      <w:spacing w:val="0"/>
      <w:sz w:val="20"/>
    </w:rPr>
  </w:style>
  <w:style w:type="paragraph" w:customStyle="1" w:styleId="CarCar">
    <w:name w:val="Car Car"/>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Char">
    <w:name w:val="Car Car Char"/>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1">
    <w:name w:val="Car Car1"/>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2">
    <w:name w:val="Car Car2"/>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CarCar3">
    <w:name w:val="Car Car3"/>
    <w:qFormat/>
    <w:pPr>
      <w:keepNext w:val="0"/>
      <w:spacing w:before="0" w:after="160" w:line="288" w:lineRule="auto"/>
      <w:ind w:left="0" w:firstLine="0"/>
      <w:jc w:val="left"/>
    </w:pPr>
    <w:rPr>
      <w:rFonts w:ascii="Arial" w:eastAsia="Arial" w:hAnsi="Arial" w:cs="Arial"/>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Header">
    <w:name w:val="header"/>
    <w:basedOn w:val="Normal"/>
    <w:link w:val="HeaderChar"/>
    <w:uiPriority w:val="99"/>
    <w:rsid w:val="00583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2BD"/>
  </w:style>
  <w:style w:type="paragraph" w:customStyle="1" w:styleId="Header-wk">
    <w:name w:val="Header-wk"/>
    <w:qFormat/>
    <w:pPr>
      <w:keepNext w:val="0"/>
      <w:spacing w:before="0" w:after="0" w:line="240" w:lineRule="auto"/>
      <w:ind w:left="0" w:firstLine="0"/>
      <w:jc w:val="left"/>
    </w:pPr>
    <w:rPr>
      <w:rFonts w:ascii="Arial" w:eastAsia="Arial" w:hAnsi="Arial" w:cs="Arial"/>
      <w:b w:val="0"/>
      <w:i w:val="0"/>
      <w:color w:val="000000"/>
      <w:spacing w:val="0"/>
      <w:sz w:val="22"/>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0" w:after="0" w:line="240" w:lineRule="auto"/>
      <w:ind w:left="0" w:firstLine="0"/>
      <w:jc w:val="left"/>
    </w:pPr>
    <w:rPr>
      <w:rFonts w:ascii="Calibri" w:eastAsia="Calibri" w:hAnsi="Calibri" w:cs="Calibri"/>
      <w:b/>
      <w:i w:val="0"/>
      <w:color w:val="000000"/>
      <w:spacing w:val="0"/>
      <w:sz w:val="20"/>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table" w:styleId="TableGrid">
    <w:name w:val="Table Grid"/>
    <w:basedOn w:val="TableNormal"/>
    <w:uiPriority w:val="39"/>
    <w:rsid w:val="00253C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Grid-wk">
    <w:name w:val="Table Grid-wk"/>
    <w:qFormat/>
    <w:pPr>
      <w:keepNext w:val="0"/>
      <w:spacing w:before="0" w:after="0" w:line="240" w:lineRule="auto"/>
      <w:ind w:left="0" w:firstLine="0"/>
      <w:jc w:val="left"/>
    </w:pPr>
    <w:rPr>
      <w:rFonts w:ascii="Calibri" w:eastAsia="Calibri" w:hAnsi="Calibri" w:cs="Calibri"/>
      <w:b w:val="0"/>
      <w:i w:val="0"/>
      <w:color w:val="000000"/>
      <w:spacing w:val="0"/>
      <w:sz w:val="20"/>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styleId="TOC1">
    <w:name w:val="toc 1"/>
    <w:basedOn w:val="Normal"/>
    <w:next w:val="Normal"/>
    <w:autoRedefine/>
    <w:uiPriority w:val="39"/>
    <w:rsid w:val="000F3DF7"/>
    <w:pPr>
      <w:spacing w:after="100"/>
    </w:pPr>
  </w:style>
  <w:style w:type="paragraph" w:customStyle="1" w:styleId="TOC1-wk">
    <w:name w:val="TOC 1-wk"/>
    <w:qFormat/>
    <w:pPr>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footer" Target="footer4.xml" /><Relationship Id="rId14" Type="http://schemas.openxmlformats.org/officeDocument/2006/relationships/header" Target="header5.xml" /><Relationship Id="rId15" Type="http://schemas.openxmlformats.org/officeDocument/2006/relationships/footer" Target="footer5.xml" /><Relationship Id="rId16" Type="http://schemas.openxmlformats.org/officeDocument/2006/relationships/footer" Target="footer6.xml" /><Relationship Id="rId17" Type="http://schemas.openxmlformats.org/officeDocument/2006/relationships/header" Target="header6.xml" /><Relationship Id="rId18" Type="http://schemas.openxmlformats.org/officeDocument/2006/relationships/footer" Target="footer7.xml" /><Relationship Id="rId19" Type="http://schemas.openxmlformats.org/officeDocument/2006/relationships/header" Target="header7.xml" /><Relationship Id="rId2" Type="http://schemas.openxmlformats.org/officeDocument/2006/relationships/webSettings" Target="webSettings.xml" /><Relationship Id="rId20" Type="http://schemas.openxmlformats.org/officeDocument/2006/relationships/footer" Target="footer8.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header" Target="header2.xml" /><Relationship Id="rId9" Type="http://schemas.openxmlformats.org/officeDocument/2006/relationships/footer" Target="footer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29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E215 (ESP) - EE.FF 06-2026 - CGE Comercializadora SpA. - Resumido</dc:title>
  <cp:revision>1</cp:revision>
</cp:coreProperties>
</file>