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bookmarkStart w:id="0" w:name="Section1"/>
      <w:bookmarkEnd w:id="0"/>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ListParagraph-wk"/>
        <w:keepNext w:val="0"/>
        <w:keepLines w:val="0"/>
        <w:pageBreakBefore w:val="0"/>
        <w:widowControl/>
        <w:numPr>
          <w:ilvl w:val="0"/>
          <w:numId w:val="13"/>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ESTADOS FINANCIEROS.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SITUACIÓN FINANCIERA CLASIFICADO.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y pasivos.</w:t>
      </w:r>
    </w:p>
    <w:p w:rsidR="00A77B3E">
      <w:pPr>
        <w:pStyle w:val="Normal-wk"/>
        <w:keepNext w:val="0"/>
        <w:keepLines/>
        <w:pageBreakBefore w:val="0"/>
        <w:widowControl w:val="0"/>
        <w:numPr>
          <w:ilvl w:val="0"/>
          <w:numId w:val="0"/>
        </w:numPr>
        <w:spacing w:before="0" w:after="0" w:line="240" w:lineRule="exact"/>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RESULTADOS POR FUNCIÓN.</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RESULTADO INTEGRAL.</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CAMBIOS EN EL PATRIMONIO NETO.</w:t>
      </w:r>
    </w:p>
    <w:p w:rsidR="00A77B3E">
      <w:pPr>
        <w:pStyle w:val="Normal-wk"/>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DE FLUJO DE EFECTIVO DIRECTO.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13"/>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NOTAS A LOS ESTADOS FINANCIEROS.</w:t>
      </w:r>
    </w:p>
    <w:p w:rsidR="00A77B3E">
      <w:pPr>
        <w:keepNext w:val="0"/>
        <w:keepLines/>
        <w:pageBreakBefore w:val="0"/>
        <w:widowControl w:val="0"/>
        <w:numPr>
          <w:ilvl w:val="0"/>
          <w:numId w:val="0"/>
        </w:numPr>
        <w:spacing w:before="0" w:after="0" w:line="288" w:lineRule="auto"/>
        <w:ind w:left="1080" w:right="0" w:firstLine="338"/>
        <w:jc w:val="both"/>
        <w:outlineLvl w:val="9"/>
        <w:rPr>
          <w:rFonts w:ascii="Calibri" w:eastAsia="Calibri" w:hAnsi="Calibri" w:cs="Calibri"/>
          <w:b w:val="0"/>
          <w:i w:val="0"/>
          <w:color w:val="000000"/>
          <w:sz w:val="24"/>
          <w:u w:val="none"/>
        </w:rPr>
      </w:pPr>
    </w:p>
    <w:p w:rsidR="00A77B3E">
      <w:pPr>
        <w:pStyle w:val="Normal-wk"/>
        <w:keepNext w:val="0"/>
        <w:keepLines/>
        <w:pageBreakBefore w:val="0"/>
        <w:widowControl w:val="0"/>
        <w:numPr>
          <w:ilvl w:val="0"/>
          <w:numId w:val="0"/>
        </w:numPr>
        <w:tabs>
          <w:tab w:val="left" w:pos="700"/>
        </w:tabs>
        <w:spacing w:before="0" w:after="0" w:line="288" w:lineRule="auto"/>
        <w:ind w:left="108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4"/>
          <w:u w:val="none"/>
        </w:rPr>
        <w:tab/>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sectPr>
          <w:headerReference w:type="default" r:id="rId4"/>
          <w:footerReference w:type="default" r:id="rId5"/>
          <w:type w:val="continuous"/>
          <w:pgSz w:w="12240" w:h="15840"/>
          <w:pgMar w:top="1134" w:right="1134" w:bottom="1134" w:left="1134" w:header="0" w:footer="0" w:gutter="0"/>
          <w:pgNumType w:start="1"/>
          <w:cols w:space="708"/>
          <w:docGrid w:linePitch="360"/>
        </w:sect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val="0"/>
          <w:i w:val="0"/>
          <w:color w:val="000000"/>
          <w:sz w:val="30"/>
          <w:u w:val="none"/>
        </w:rPr>
        <w:t>Estados Financieros</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30"/>
          <w:u w:val="none"/>
        </w:rPr>
        <w:t>CGE COMERCIALIZADORA SpA.</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r>
        <w:rPr>
          <w:rFonts w:ascii="Arial" w:eastAsia="Arial" w:hAnsi="Arial" w:cs="Arial"/>
          <w:b w:val="0"/>
          <w:i w:val="0"/>
          <w:color w:val="000000"/>
          <w:sz w:val="30"/>
          <w:u w:val="none"/>
        </w:rPr>
        <w:t>30 de junio de 2026 y 2025</w:t>
      </w:r>
    </w:p>
    <w:p>
      <w:pPr>
        <w:keepNext w:val="0"/>
        <w:keepLines/>
        <w:pageBreakBefore w:val="0"/>
        <w:widowControl w:val="0"/>
        <w:numPr>
          <w:ilvl w:val="0"/>
          <w:numId w:val="0"/>
        </w:numPr>
        <w:spacing w:before="0" w:after="0" w:line="288" w:lineRule="auto"/>
        <w:ind w:left="0" w:right="0" w:firstLine="0"/>
        <w:jc w:val="center"/>
        <w:outlineLvl w:val="9"/>
        <w:sectPr>
          <w:headerReference w:type="default" r:id="rId6"/>
          <w:footerReference w:type="default" r:id="rId7"/>
          <w:pgSz w:w="12240" w:h="15840"/>
          <w:pgMar w:top="2687" w:right="1134" w:bottom="1411" w:left="1134" w:header="700" w:footer="0"/>
          <w:pgNumType w:start="1"/>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8"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674.317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1.897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7.210.146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847.799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312.556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9.046.715</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9.099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192.320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3.685.292</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85.776</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618.449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4.590.936</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13.637.651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9"/>
          <w:footerReference w:type="default" r:id="rId10"/>
          <w:pgSz w:w="12240" w:h="15840"/>
          <w:pgMar w:top="1134" w:right="1134" w:bottom="1134" w:left="1134" w:header="0" w:footer="425"/>
          <w:pgNumType w:start="1"/>
          <w:cols w:space="708"/>
        </w:sectPr>
      </w:pPr>
    </w:p>
    <w:p>
      <w:pPr>
        <w:pStyle w:val="Normal-wk"/>
        <w:keepNext/>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CGE COMERCIALIZADORA SpA.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8"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4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480" w:type="dxa"/>
            <w:vMerge/>
            <w:tcBorders>
              <w:top w:val="nil"/>
              <w:left w:val="single" w:sz="4" w:space="0" w:color="FFFFFF"/>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77.449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7.120.634</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24.051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353.351</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457.189</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8.032.674</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34.805</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17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164.253</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199.058</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8.231.732</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1.500.000</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3.895.872</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10.047</w:t>
            </w: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5.405.919</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8"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13.637.651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RESULTADOS POR FUNCIÓN</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8"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exact" w:val="255"/>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20"/>
                <w:u w:val="none"/>
              </w:rPr>
              <w:t>ESTADO DE RESULTADOS POR FUNCIÓN</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exact" w:val="255"/>
        </w:trPr>
        <w:tc>
          <w:tcPr>
            <w:tcW w:w="70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55"/>
        </w:trPr>
        <w:tc>
          <w:tcPr>
            <w:tcW w:w="70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13.251.454</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(10.311.616)</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2.939.838</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(2.292.915)</w:t>
            </w:r>
          </w:p>
        </w:tc>
      </w:tr>
      <w:tr>
        <w:tblPrEx>
          <w:tblW w:w="996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(21.616)</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1.388</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626.695</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146.525</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(25.427)</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(6.493)</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48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741.304</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24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(135.001)</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606.303</w:t>
            </w: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por acción</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2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404,20</w:t>
            </w:r>
          </w:p>
        </w:tc>
      </w:tr>
      <w:tr>
        <w:tblPrEx>
          <w:tblW w:w="996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000000"/>
                <w:sz w:val="16"/>
                <w:u w:val="none"/>
              </w:rPr>
              <w:t>25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404,20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RESULTADO INTEGRAL</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8"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480"/>
        <w:gridCol w:w="1200"/>
        <w:gridCol w:w="1200"/>
      </w:tblGrid>
      <w:tr>
        <w:tblPrEx>
          <w:tblW w:w="9960" w:type="dxa"/>
          <w:tblInd w:w="0" w:type="dxa"/>
          <w:tblLayout w:type="fixed"/>
        </w:tblPrEx>
        <w:trPr>
          <w:cantSplit/>
          <w:trHeight w:hRule="auto" w:val="0"/>
          <w:tblHeader/>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20"/>
                <w:u w:val="none"/>
              </w:rPr>
              <w:t>ESTADO DEL RESULTADO INTEGRAL</w:t>
            </w:r>
          </w:p>
        </w:tc>
        <w:tc>
          <w:tcPr>
            <w:tcW w:w="48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nil"/>
              <w:right w:val="nil"/>
            </w:tcBorders>
          </w:tcPr>
          <w:p>
            <w:pPr>
              <w:keepNext/>
              <w:pageBreakBefore w:val="0"/>
            </w:pPr>
          </w:p>
        </w:tc>
        <w:tc>
          <w:tcPr>
            <w:tcW w:w="48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80" w:type="dxa"/>
            <w:vMerge/>
            <w:tcBorders>
              <w:top w:val="nil"/>
              <w:left w:val="single" w:sz="2" w:space="0" w:color="000000"/>
              <w:bottom w:val="single" w:sz="2" w:space="0" w:color="000000"/>
              <w:right w:val="nil"/>
            </w:tcBorders>
          </w:tcPr>
          <w:p>
            <w:pPr>
              <w:keepNext/>
              <w:pageBreakBefore w:val="0"/>
            </w:pPr>
          </w:p>
        </w:tc>
        <w:tc>
          <w:tcPr>
            <w:tcW w:w="4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606.303</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81.414</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no se reclasificará al resultado del periodo, antes de impuestos.</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81.414</w:t>
            </w: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se reclasificarán al resultado del período, antes de impuestos.</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4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4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(21.982)</w:t>
            </w: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no se reclasificarán al resultado del periodo.</w:t>
            </w:r>
          </w:p>
        </w:tc>
        <w:tc>
          <w:tcPr>
            <w:tcW w:w="48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(21.982)</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w:t>
            </w:r>
          </w:p>
        </w:tc>
        <w:tc>
          <w:tcPr>
            <w:tcW w:w="48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59.432</w:t>
            </w:r>
          </w:p>
        </w:tc>
      </w:tr>
      <w:tr>
        <w:tblPrEx>
          <w:tblW w:w="996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48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Resultado integral total.</w:t>
            </w:r>
          </w:p>
        </w:tc>
        <w:tc>
          <w:tcPr>
            <w:tcW w:w="480"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665.735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6" w:name="Section7"/>
      <w:bookmarkEnd w:id="6"/>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677.48pt;height:1.98pt">
            <v:imagedata r:id="rId8"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7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10"/>
        <w:gridCol w:w="1200"/>
        <w:gridCol w:w="1200"/>
        <w:gridCol w:w="1200"/>
        <w:gridCol w:w="1200"/>
        <w:gridCol w:w="1200"/>
        <w:gridCol w:w="1200"/>
      </w:tblGrid>
      <w:tr>
        <w:tblPrEx>
          <w:tblW w:w="13710" w:type="dxa"/>
          <w:tblInd w:w="0" w:type="dxa"/>
          <w:tblLayout w:type="fixed"/>
        </w:tblPrEx>
        <w:trPr>
          <w:cantSplit/>
          <w:trHeight w:hRule="auto" w:val="0"/>
        </w:trPr>
        <w:tc>
          <w:tcPr>
            <w:tcW w:w="651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2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2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710" w:type="dxa"/>
          <w:tblInd w:w="0" w:type="dxa"/>
          <w:tblLayout w:type="fixed"/>
        </w:tblPrEx>
        <w:trPr>
          <w:cantSplit/>
          <w:trHeight w:hRule="auto" w:val="0"/>
        </w:trPr>
        <w:tc>
          <w:tcPr>
            <w:tcW w:w="651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2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710" w:type="dxa"/>
          <w:tblInd w:w="0" w:type="dxa"/>
          <w:tblLayout w:type="fixed"/>
        </w:tblPrEx>
        <w:trPr>
          <w:cantSplit/>
          <w:trHeight w:hRule="auto" w:val="0"/>
        </w:trPr>
        <w:tc>
          <w:tcPr>
            <w:tcW w:w="651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1.500.000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10.047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10.047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3.895.872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5.405.919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5.405.919</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exact" w:val="225"/>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(1.630.500)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1.500.000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10.047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10.047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2.265.372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3.775.419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3.775.419</w:t>
            </w:r>
          </w:p>
        </w:tc>
      </w:tr>
    </w:tbl>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8"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7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10"/>
        <w:gridCol w:w="1200"/>
        <w:gridCol w:w="1200"/>
        <w:gridCol w:w="1200"/>
        <w:gridCol w:w="1200"/>
        <w:gridCol w:w="1200"/>
        <w:gridCol w:w="1200"/>
      </w:tblGrid>
      <w:tr>
        <w:tblPrEx>
          <w:tblW w:w="13710" w:type="dxa"/>
          <w:tblInd w:w="0" w:type="dxa"/>
          <w:tblLayout w:type="fixed"/>
        </w:tblPrEx>
        <w:trPr>
          <w:cantSplit/>
          <w:trHeight w:hRule="auto" w:val="0"/>
        </w:trPr>
        <w:tc>
          <w:tcPr>
            <w:tcW w:w="651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2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24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Reservas</w:t>
            </w:r>
          </w:p>
        </w:tc>
        <w:tc>
          <w:tcPr>
            <w:tcW w:w="12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3710" w:type="dxa"/>
          <w:tblInd w:w="0" w:type="dxa"/>
          <w:tblLayout w:type="fixed"/>
        </w:tblPrEx>
        <w:trPr>
          <w:cantSplit/>
          <w:trHeight w:hRule="auto" w:val="0"/>
        </w:trPr>
        <w:tc>
          <w:tcPr>
            <w:tcW w:w="651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20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reservas</w:t>
            </w: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atribuible a los propietarios de la controladora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3710" w:type="dxa"/>
          <w:tblInd w:w="0" w:type="dxa"/>
          <w:tblLayout w:type="fixed"/>
        </w:tblPrEx>
        <w:trPr>
          <w:cantSplit/>
          <w:trHeight w:hRule="auto" w:val="0"/>
        </w:trPr>
        <w:tc>
          <w:tcPr>
            <w:tcW w:w="651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1.500.000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(26.783)</w:t>
            </w:r>
          </w:p>
        </w:tc>
        <w:tc>
          <w:tcPr>
            <w:tcW w:w="1200"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(26.783)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6.457.976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7.931.193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7.931.193</w:t>
            </w: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606.303</w:t>
            </w:r>
          </w:p>
        </w:tc>
        <w:tc>
          <w:tcPr>
            <w:tcW w:w="120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606.303</w:t>
            </w:r>
          </w:p>
        </w:tc>
        <w:tc>
          <w:tcPr>
            <w:tcW w:w="1200" w:type="dxa"/>
            <w:tcBorders>
              <w:top w:val="single" w:sz="2" w:space="0" w:color="000000"/>
              <w:left w:val="single" w:sz="4" w:space="0" w:color="FFFFFF"/>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606.303</w:t>
            </w:r>
          </w:p>
        </w:tc>
      </w:tr>
      <w:tr>
        <w:tblPrEx>
          <w:tblW w:w="13710" w:type="dxa"/>
          <w:tblInd w:w="0" w:type="dxa"/>
          <w:tblLayout w:type="fixed"/>
        </w:tblPrEx>
        <w:trPr>
          <w:cantSplit/>
          <w:trHeight w:hRule="exact" w:val="225"/>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59.432</w:t>
            </w:r>
          </w:p>
        </w:tc>
        <w:tc>
          <w:tcPr>
            <w:tcW w:w="12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4" w:space="0" w:color="FFFFFF"/>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r>
      <w:tr>
        <w:tblPrEx>
          <w:tblW w:w="13710" w:type="dxa"/>
          <w:tblInd w:w="0" w:type="dxa"/>
          <w:tblLayout w:type="fixed"/>
        </w:tblPrEx>
        <w:trPr>
          <w:cantSplit/>
          <w:trHeight w:hRule="auto" w:val="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exact" w:val="225"/>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606.303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665.735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665.735</w:t>
            </w:r>
          </w:p>
        </w:tc>
      </w:tr>
      <w:tr>
        <w:tblPrEx>
          <w:tblW w:w="13710" w:type="dxa"/>
          <w:tblInd w:w="0" w:type="dxa"/>
          <w:tblLayout w:type="fixed"/>
        </w:tblPrEx>
        <w:trPr>
          <w:cantSplit/>
          <w:trHeight w:hRule="auto" w:val="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exact" w:val="225"/>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(4.194.000)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(4.194.000)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(4.194.000)</w:t>
            </w:r>
          </w:p>
        </w:tc>
      </w:tr>
      <w:tr>
        <w:tblPrEx>
          <w:tblW w:w="13710" w:type="dxa"/>
          <w:tblInd w:w="0" w:type="dxa"/>
          <w:tblLayout w:type="fixed"/>
        </w:tblPrEx>
        <w:trPr>
          <w:cantSplit/>
          <w:trHeight w:hRule="auto" w:val="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exact" w:val="225"/>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(3.587.697)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(3.528.265)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(3.528.265)</w:t>
            </w:r>
          </w:p>
        </w:tc>
      </w:tr>
      <w:tr>
        <w:tblPrEx>
          <w:tblW w:w="13710" w:type="dxa"/>
          <w:tblInd w:w="0" w:type="dxa"/>
          <w:tblLayout w:type="fixed"/>
        </w:tblPrEx>
        <w:trPr>
          <w:cantSplit/>
          <w:trHeight w:hRule="auto" w:val="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710" w:type="dxa"/>
          <w:tblInd w:w="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1.500.000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32.649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32.649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2.870.279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4.402.928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4.402.928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
          <w:u w:val="none"/>
        </w:rPr>
        <w:sectPr>
          <w:headerReference w:type="default" r:id="rId11"/>
          <w:footerReference w:type="default" r:id="rId12"/>
          <w:pgSz w:w="15840" w:h="12240" w:orient="landscape"/>
          <w:pgMar w:top="1411" w:right="992" w:bottom="1282"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7" w:name="Section8"/>
      <w:bookmarkEnd w:id="7"/>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DE FLUJO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8" o:title=""/>
            <o:lock v:ext="edit" aspectratio="t"/>
          </v:shape>
        </w:pic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16"/>
          <w:u w:val="none"/>
        </w:rPr>
        <w:t xml:space="preserve">  </w:t>
      </w: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35"/>
        <w:gridCol w:w="525"/>
        <w:gridCol w:w="1200"/>
        <w:gridCol w:w="1200"/>
      </w:tblGrid>
      <w:tr>
        <w:tblPrEx>
          <w:tblW w:w="9960" w:type="dxa"/>
          <w:tblInd w:w="0" w:type="dxa"/>
          <w:tblLayout w:type="fixed"/>
        </w:tblPrEx>
        <w:trPr>
          <w:cantSplit/>
          <w:trHeight w:hRule="auto" w:val="0"/>
          <w:tblHeader/>
        </w:trPr>
        <w:tc>
          <w:tcPr>
            <w:tcW w:w="70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52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035" w:type="dxa"/>
            <w:vMerge/>
            <w:tcBorders>
              <w:top w:val="nil"/>
              <w:left w:val="single" w:sz="2" w:space="0" w:color="000000"/>
              <w:bottom w:val="nil"/>
              <w:right w:val="nil"/>
            </w:tcBorders>
          </w:tcPr>
          <w:p>
            <w:pPr>
              <w:keepNext/>
              <w:pageBreakBefore w:val="0"/>
            </w:pPr>
          </w:p>
        </w:tc>
        <w:tc>
          <w:tcPr>
            <w:tcW w:w="52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al</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035" w:type="dxa"/>
            <w:vMerge/>
            <w:tcBorders>
              <w:top w:val="nil"/>
              <w:left w:val="single" w:sz="2" w:space="0" w:color="000000"/>
              <w:bottom w:val="single" w:sz="2" w:space="0" w:color="000000"/>
              <w:right w:val="nil"/>
            </w:tcBorders>
          </w:tcPr>
          <w:p>
            <w:pPr>
              <w:keepNext/>
              <w:pageBreakBefore w:val="0"/>
            </w:pPr>
          </w:p>
        </w:tc>
        <w:tc>
          <w:tcPr>
            <w:tcW w:w="5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Nota</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52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16.038.008</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(13.697.497)</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(1.369.567)</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(346.500)</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525"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262.424</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886.868</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(2.396.835)</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Importes procedentes de la venta de propiedades, planta y equipo.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5.550.000</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96.835</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3.250.000</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(42.015)</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(4.194.000)</w:t>
            </w:r>
          </w:p>
        </w:tc>
      </w:tr>
      <w:tr>
        <w:tblPrEx>
          <w:tblW w:w="9960" w:type="dxa"/>
          <w:tblInd w:w="0" w:type="dxa"/>
          <w:tblLayout w:type="fixed"/>
        </w:tblPrEx>
        <w:trPr>
          <w:cantSplit/>
          <w:trHeight w:hRule="exact" w:val="255"/>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(7.986)</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525"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(4.244.001)</w:t>
            </w:r>
          </w:p>
        </w:tc>
      </w:tr>
      <w:tr>
        <w:tblPrEx>
          <w:tblW w:w="9960" w:type="dxa"/>
          <w:tblInd w:w="0" w:type="dxa"/>
          <w:tblLayout w:type="fixed"/>
        </w:tblPrEx>
        <w:trPr>
          <w:cantSplit/>
          <w:trHeight w:hRule="auto" w:val="0"/>
        </w:trPr>
        <w:tc>
          <w:tcPr>
            <w:tcW w:w="70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5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52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(107.133)</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987.884</w:t>
            </w:r>
          </w:p>
        </w:tc>
      </w:tr>
      <w:tr>
        <w:tblPrEx>
          <w:tblW w:w="9960" w:type="dxa"/>
          <w:tblInd w:w="0" w:type="dxa"/>
          <w:tblLayout w:type="fixed"/>
        </w:tblPrEx>
        <w:trPr>
          <w:cantSplit/>
          <w:trHeight w:hRule="auto" w:val="0"/>
        </w:trPr>
        <w:tc>
          <w:tcPr>
            <w:tcW w:w="70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5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880.751</w:t>
            </w:r>
          </w:p>
        </w:tc>
      </w:tr>
    </w:tbl>
    <w:p>
      <w:pPr>
        <w:keepNext w:val="0"/>
        <w:keepLines/>
        <w:pageBreakBefore w:val="0"/>
        <w:widowControl w:val="0"/>
        <w:numPr>
          <w:ilvl w:val="0"/>
          <w:numId w:val="0"/>
        </w:numPr>
        <w:spacing w:before="0" w:after="0" w:line="288" w:lineRule="auto"/>
        <w:ind w:left="709" w:right="0" w:hanging="709"/>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hanging="709"/>
        <w:jc w:val="center"/>
        <w:outlineLvl w:val="9"/>
        <w:rPr>
          <w:rFonts w:ascii="Calibri" w:eastAsia="Calibri" w:hAnsi="Calibri" w:cs="Calibri"/>
          <w:b w:val="0"/>
          <w:i w:val="0"/>
          <w:color w:val="000000"/>
          <w:sz w:val="20"/>
          <w:u w:val="none"/>
        </w:rPr>
        <w:sectPr>
          <w:headerReference w:type="default" r:id="rId13"/>
          <w:footerReference w:type="default" r:id="rId14"/>
          <w:pgSz w:w="12240" w:h="15840"/>
          <w:pgMar w:top="1699" w:right="1134" w:bottom="1339"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8" w:name="Section9"/>
      <w:bookmarkEnd w:id="8"/>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8"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6a26ad26065499f8bbe64b6d45082d6"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6a26ad26065499f8bbe64b6d45082d6"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4560e0847141bf95bdbe76d948a38e" w:history="1">
              <w:r>
                <w:rPr>
                  <w:rFonts w:ascii="Calibri" w:eastAsia="Calibri" w:hAnsi="Calibri" w:cs="Calibri"/>
                  <w:b w:val="0"/>
                  <w:i w:val="0"/>
                  <w:color w:val="000000"/>
                  <w:sz w:val="20"/>
                  <w:u w:val="none"/>
                  <w:shd w:val="clear" w:color="auto" w:fill="auto"/>
                </w:rPr>
                <w:t>2.-</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4560e0847141bf95bdbe76d948a38e"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1c0574795c4cde9922414c2f1443a7" w:history="1">
              <w:r>
                <w:rPr>
                  <w:rFonts w:ascii="Calibri" w:eastAsia="Calibri" w:hAnsi="Calibri" w:cs="Calibri"/>
                  <w:b w:val="0"/>
                  <w:i w:val="0"/>
                  <w:color w:val="000000"/>
                  <w:sz w:val="20"/>
                  <w:u w:val="none"/>
                  <w:shd w:val="clear" w:color="auto" w:fill="auto"/>
                </w:rPr>
                <w:t>2.1.-</w:t>
                <w:tab/>
                <w:t xml:space="preserve">Bases de preparación de los estados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1c0574795c4cde9922414c2f1443a7"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9bde871f38b45bcaee56df41ff03c7d" w:history="1">
              <w:r>
                <w:rPr>
                  <w:rFonts w:ascii="Calibri" w:eastAsia="Calibri" w:hAnsi="Calibri" w:cs="Calibri"/>
                  <w:b w:val="0"/>
                  <w:i w:val="0"/>
                  <w:color w:val="000000"/>
                  <w:sz w:val="20"/>
                  <w:u w:val="none"/>
                  <w:shd w:val="clear" w:color="auto" w:fill="auto"/>
                </w:rPr>
                <w:t>2.2.-</w:t>
                <w:tab/>
                <w:t>Nuevos estándares, interpretaciones y enmiendas adoptadas por CGE Comercializadora SpA.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9bde871f38b45bcaee56df41ff03c7d"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4a82f2d5efe4edcbffe8e7fcf1415cc" w:history="1">
              <w:r>
                <w:rPr>
                  <w:rFonts w:ascii="Calibri" w:eastAsia="Calibri" w:hAnsi="Calibri" w:cs="Calibri"/>
                  <w:b w:val="0"/>
                  <w:i w:val="0"/>
                  <w:color w:val="000000"/>
                  <w:sz w:val="20"/>
                  <w:u w:val="none"/>
                  <w:shd w:val="clear" w:color="auto" w:fill="auto"/>
                </w:rPr>
                <w:t>2.3.-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4a82f2d5efe4edcbffe8e7fcf1415cc" w:history="1">
              <w:r>
                <w:rPr>
                  <w:rFonts w:ascii="Calibri" w:eastAsia="Calibri" w:hAnsi="Calibri" w:cs="Calibri"/>
                  <w:b w:val="0"/>
                  <w:i w:val="0"/>
                  <w:color w:val="000000"/>
                  <w:sz w:val="20"/>
                  <w:u w:val="none"/>
                  <w:shd w:val="clear" w:color="auto" w:fill="auto"/>
                </w:rPr>
                <w:t>12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6bfffcdac974829bf9c7d2342a95394" w:history="1">
              <w:r>
                <w:rPr>
                  <w:rFonts w:ascii="Calibri" w:eastAsia="Calibri" w:hAnsi="Calibri" w:cs="Calibri"/>
                  <w:b w:val="0"/>
                  <w:i w:val="0"/>
                  <w:color w:val="000000"/>
                  <w:sz w:val="20"/>
                  <w:u w:val="none"/>
                  <w:shd w:val="clear" w:color="auto" w:fill="auto"/>
                </w:rPr>
                <w:t>2.4.-</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6bfffcdac974829bf9c7d2342a95394"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70825314664cda84cf3c8e7aff5ff5" w:history="1">
              <w:r>
                <w:rPr>
                  <w:rFonts w:ascii="Calibri" w:eastAsia="Calibri" w:hAnsi="Calibri" w:cs="Calibri"/>
                  <w:b w:val="0"/>
                  <w:i w:val="0"/>
                  <w:color w:val="000000"/>
                  <w:sz w:val="20"/>
                  <w:u w:val="none"/>
                  <w:shd w:val="clear" w:color="auto" w:fill="auto"/>
                </w:rPr>
                <w:t>2.5.-</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70825314664cda84cf3c8e7aff5ff5"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00c5aa591624124a8fa0c83249dc319" w:history="1">
              <w:r>
                <w:rPr>
                  <w:rFonts w:ascii="Calibri" w:eastAsia="Calibri" w:hAnsi="Calibri" w:cs="Calibri"/>
                  <w:b w:val="0"/>
                  <w:i w:val="0"/>
                  <w:color w:val="000000"/>
                  <w:sz w:val="20"/>
                  <w:u w:val="none"/>
                  <w:shd w:val="clear" w:color="auto" w:fill="auto"/>
                </w:rPr>
                <w:t>2.6.-</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00c5aa591624124a8fa0c83249dc319"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bdda91693da49ceb7180f82382c4905" w:history="1">
              <w:r>
                <w:rPr>
                  <w:rFonts w:ascii="Calibri" w:eastAsia="Calibri" w:hAnsi="Calibri" w:cs="Calibri"/>
                  <w:b w:val="0"/>
                  <w:i w:val="0"/>
                  <w:color w:val="000000"/>
                  <w:sz w:val="20"/>
                  <w:u w:val="none"/>
                  <w:shd w:val="clear" w:color="auto" w:fill="auto"/>
                </w:rPr>
                <w:t>2.7.-</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bdda91693da49ceb7180f82382c4905"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aa86dd5ed2b4e68af190ba9e0530acd" w:history="1">
              <w:r>
                <w:rPr>
                  <w:rFonts w:ascii="Calibri" w:eastAsia="Calibri" w:hAnsi="Calibri" w:cs="Calibri"/>
                  <w:b w:val="0"/>
                  <w:i w:val="0"/>
                  <w:color w:val="000000"/>
                  <w:sz w:val="20"/>
                  <w:u w:val="none"/>
                  <w:shd w:val="clear" w:color="auto" w:fill="auto"/>
                </w:rPr>
                <w:t>2.8.-</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aa86dd5ed2b4e68af190ba9e0530acd"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ec144398e564af38aa146da25ddd244" w:history="1">
              <w:r>
                <w:rPr>
                  <w:rFonts w:ascii="Calibri" w:eastAsia="Calibri" w:hAnsi="Calibri" w:cs="Calibri"/>
                  <w:b w:val="0"/>
                  <w:i w:val="0"/>
                  <w:color w:val="000000"/>
                  <w:sz w:val="20"/>
                  <w:u w:val="none"/>
                  <w:shd w:val="clear" w:color="auto" w:fill="auto"/>
                </w:rPr>
                <w:t>2.9.-</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ec144398e564af38aa146da25ddd244"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653cffff3af4f52b5985165348b0a15" w:history="1">
              <w:r>
                <w:rPr>
                  <w:rFonts w:ascii="Calibri" w:eastAsia="Calibri" w:hAnsi="Calibri" w:cs="Calibri"/>
                  <w:b w:val="0"/>
                  <w:i w:val="0"/>
                  <w:color w:val="000000"/>
                  <w:sz w:val="20"/>
                  <w:u w:val="none"/>
                  <w:shd w:val="clear" w:color="auto" w:fill="auto"/>
                </w:rPr>
                <w:t>2.10.-</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653cffff3af4f52b5985165348b0a15"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f9e41bf9edf475f953bb4d4e681f137" w:history="1">
              <w:r>
                <w:rPr>
                  <w:rFonts w:ascii="Calibri" w:eastAsia="Calibri" w:hAnsi="Calibri" w:cs="Calibri"/>
                  <w:b w:val="0"/>
                  <w:i w:val="0"/>
                  <w:color w:val="000000"/>
                  <w:sz w:val="20"/>
                  <w:u w:val="none"/>
                  <w:shd w:val="clear" w:color="auto" w:fill="auto"/>
                </w:rPr>
                <w:t xml:space="preserve">2.11.- </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f9e41bf9edf475f953bb4d4e681f137"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f2da3df81354f4c8540fdb61353b35c" w:history="1">
              <w:r>
                <w:rPr>
                  <w:rFonts w:ascii="Calibri" w:eastAsia="Calibri" w:hAnsi="Calibri" w:cs="Calibri"/>
                  <w:b w:val="0"/>
                  <w:i w:val="0"/>
                  <w:color w:val="000000"/>
                  <w:sz w:val="20"/>
                  <w:u w:val="none"/>
                  <w:shd w:val="clear" w:color="auto" w:fill="auto"/>
                </w:rPr>
                <w:t>2.12.-</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f2da3df81354f4c8540fdb61353b35c"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976862608d7426fa516b94a20b88a18" w:history="1">
              <w:r>
                <w:rPr>
                  <w:rFonts w:ascii="Calibri" w:eastAsia="Calibri" w:hAnsi="Calibri" w:cs="Calibri"/>
                  <w:b w:val="0"/>
                  <w:i w:val="0"/>
                  <w:color w:val="000000"/>
                  <w:sz w:val="20"/>
                  <w:u w:val="none"/>
                  <w:shd w:val="clear" w:color="auto" w:fill="auto"/>
                </w:rPr>
                <w:t>2.13.-</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976862608d7426fa516b94a20b88a18"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99ffe4a62294d6a8978e5a88351d5c3" w:history="1">
              <w:r>
                <w:rPr>
                  <w:rFonts w:ascii="Calibri" w:eastAsia="Calibri" w:hAnsi="Calibri" w:cs="Calibri"/>
                  <w:b w:val="0"/>
                  <w:i w:val="0"/>
                  <w:color w:val="000000"/>
                  <w:sz w:val="20"/>
                  <w:u w:val="none"/>
                  <w:shd w:val="clear" w:color="auto" w:fill="auto"/>
                </w:rPr>
                <w:t>2.14.-</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99ffe4a62294d6a8978e5a88351d5c3"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d6ea5a6f612436ebe5ba361dc99c441" w:history="1">
              <w:r>
                <w:rPr>
                  <w:rFonts w:ascii="Calibri" w:eastAsia="Calibri" w:hAnsi="Calibri" w:cs="Calibri"/>
                  <w:b w:val="0"/>
                  <w:i w:val="0"/>
                  <w:color w:val="000000"/>
                  <w:sz w:val="20"/>
                  <w:u w:val="none"/>
                  <w:shd w:val="clear" w:color="auto" w:fill="auto"/>
                </w:rPr>
                <w:t>2.15.-</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d6ea5a6f612436ebe5ba361dc99c441"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ed3f3c571584bdea915116229a85e7c" w:history="1">
              <w:r>
                <w:rPr>
                  <w:rFonts w:ascii="Calibri" w:eastAsia="Calibri" w:hAnsi="Calibri" w:cs="Calibri"/>
                  <w:b w:val="0"/>
                  <w:i w:val="0"/>
                  <w:color w:val="000000"/>
                  <w:sz w:val="20"/>
                  <w:u w:val="none"/>
                  <w:shd w:val="clear" w:color="auto" w:fill="auto"/>
                </w:rPr>
                <w:t>2.16.-</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ed3f3c571584bdea915116229a85e7c"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5eb6524ae714be8a32ddeb6423b6b21" w:history="1">
              <w:r>
                <w:rPr>
                  <w:rFonts w:ascii="Calibri" w:eastAsia="Calibri" w:hAnsi="Calibri" w:cs="Calibri"/>
                  <w:b w:val="0"/>
                  <w:i w:val="0"/>
                  <w:color w:val="000000"/>
                  <w:sz w:val="20"/>
                  <w:u w:val="none"/>
                  <w:shd w:val="clear" w:color="auto" w:fill="auto"/>
                </w:rPr>
                <w:t>2.17.-</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5eb6524ae714be8a32ddeb6423b6b21"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325c2501d5d42378340921ba3a2d826" w:history="1">
              <w:r>
                <w:rPr>
                  <w:rFonts w:ascii="Calibri" w:eastAsia="Calibri" w:hAnsi="Calibri" w:cs="Calibri"/>
                  <w:b w:val="0"/>
                  <w:i w:val="0"/>
                  <w:color w:val="000000"/>
                  <w:sz w:val="20"/>
                  <w:u w:val="none"/>
                  <w:shd w:val="clear" w:color="auto" w:fill="auto"/>
                </w:rPr>
                <w:t>2.18.-</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325c2501d5d42378340921ba3a2d826"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2ab339eaf3545fa83f0e03145ed1a9a" w:history="1">
              <w:r>
                <w:rPr>
                  <w:rFonts w:ascii="Calibri" w:eastAsia="Calibri" w:hAnsi="Calibri" w:cs="Calibri"/>
                  <w:b w:val="0"/>
                  <w:i w:val="0"/>
                  <w:color w:val="000000"/>
                  <w:sz w:val="20"/>
                  <w:u w:val="none"/>
                  <w:shd w:val="clear" w:color="auto" w:fill="auto"/>
                </w:rPr>
                <w:t>2.19.-</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2ab339eaf3545fa83f0e03145ed1a9a"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4409b281b9d4fbaaea5d4cc3cea98ba" w:history="1">
              <w:r>
                <w:rPr>
                  <w:rFonts w:ascii="Calibri" w:eastAsia="Calibri" w:hAnsi="Calibri" w:cs="Calibri"/>
                  <w:b w:val="0"/>
                  <w:i w:val="0"/>
                  <w:color w:val="000000"/>
                  <w:sz w:val="20"/>
                  <w:u w:val="none"/>
                  <w:shd w:val="clear" w:color="auto" w:fill="auto"/>
                </w:rPr>
                <w:t>2.20.-</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4409b281b9d4fbaaea5d4cc3cea98ba"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bf8d9284ebe434da24ea980f240c1aa" w:history="1">
              <w:r>
                <w:rPr>
                  <w:rFonts w:ascii="Calibri" w:eastAsia="Calibri" w:hAnsi="Calibri" w:cs="Calibri"/>
                  <w:b w:val="0"/>
                  <w:i w:val="0"/>
                  <w:color w:val="000000"/>
                  <w:sz w:val="20"/>
                  <w:u w:val="none"/>
                  <w:shd w:val="clear" w:color="auto" w:fill="auto"/>
                </w:rPr>
                <w:t>2.21.-</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bf8d9284ebe434da24ea980f240c1aa"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c1db825cfce442a9ca2904968dbb2c1" w:history="1">
              <w:r>
                <w:rPr>
                  <w:rFonts w:ascii="Calibri" w:eastAsia="Calibri" w:hAnsi="Calibri" w:cs="Calibri"/>
                  <w:b w:val="0"/>
                  <w:i w:val="0"/>
                  <w:color w:val="000000"/>
                  <w:sz w:val="20"/>
                  <w:u w:val="none"/>
                  <w:shd w:val="clear" w:color="auto" w:fill="auto"/>
                </w:rPr>
                <w:t>2.22.-</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c1db825cfce442a9ca2904968dbb2c1"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50b1222ae7145048a5c32014c14aa06" w:history="1">
              <w:r>
                <w:rPr>
                  <w:rFonts w:ascii="Calibri" w:eastAsia="Calibri" w:hAnsi="Calibri" w:cs="Calibri"/>
                  <w:b w:val="0"/>
                  <w:i w:val="0"/>
                  <w:color w:val="000000"/>
                  <w:sz w:val="20"/>
                  <w:u w:val="none"/>
                  <w:shd w:val="clear" w:color="auto" w:fill="auto"/>
                </w:rPr>
                <w:t>2.23.-</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50b1222ae7145048a5c32014c14aa06"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595d13e326b4ff8b9fd4c584935a9c0" w:history="1">
              <w:r>
                <w:rPr>
                  <w:rFonts w:ascii="Calibri" w:eastAsia="Calibri" w:hAnsi="Calibri" w:cs="Calibri"/>
                  <w:b w:val="0"/>
                  <w:i w:val="0"/>
                  <w:color w:val="000000"/>
                  <w:sz w:val="20"/>
                  <w:u w:val="none"/>
                  <w:shd w:val="clear" w:color="auto" w:fill="auto"/>
                </w:rPr>
                <w:t>2.24.-</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595d13e326b4ff8b9fd4c584935a9c0"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6e92d08af7a4c7db2321afc77e10d4c" w:history="1">
              <w:r>
                <w:rPr>
                  <w:rFonts w:ascii="Calibri" w:eastAsia="Calibri" w:hAnsi="Calibri" w:cs="Calibri"/>
                  <w:b w:val="0"/>
                  <w:i w:val="0"/>
                  <w:color w:val="000000"/>
                  <w:sz w:val="20"/>
                  <w:u w:val="none"/>
                  <w:shd w:val="clear" w:color="auto" w:fill="auto"/>
                </w:rPr>
                <w:t>2.25.-</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6e92d08af7a4c7db2321afc77e10d4c"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b36f3bb27fe4466bcc6a2d617d73d3e" w:history="1">
              <w:r>
                <w:rPr>
                  <w:rFonts w:ascii="Calibri" w:eastAsia="Calibri" w:hAnsi="Calibri" w:cs="Calibri"/>
                  <w:b w:val="0"/>
                  <w:i w:val="0"/>
                  <w:color w:val="000000"/>
                  <w:sz w:val="20"/>
                  <w:u w:val="none"/>
                  <w:shd w:val="clear" w:color="auto" w:fill="auto"/>
                </w:rPr>
                <w:t>3.-</w:t>
                <w:tab/>
                <w:t>ESTIMACIONES Y JUICIOS O CRITERIOS CRÍTICOS DE LA ADMINISTRACIÓN.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b36f3bb27fe4466bcc6a2d617d73d3e"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12748641bb94e2295ac9748388b2c0b" w:history="1">
              <w:r>
                <w:rPr>
                  <w:rFonts w:ascii="Calibri" w:eastAsia="Calibri" w:hAnsi="Calibri" w:cs="Calibri"/>
                  <w:b w:val="0"/>
                  <w:i w:val="0"/>
                  <w:color w:val="000000"/>
                  <w:sz w:val="20"/>
                  <w:u w:val="none"/>
                  <w:shd w:val="clear" w:color="auto" w:fill="auto"/>
                </w:rPr>
                <w:t>3.1.-</w:t>
                <w:tab/>
                <w:t>Beneficios por Indemnizaciones por cese pactadas (PIAS) y premios por antigüedad.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12748641bb94e2295ac9748388b2c0b"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2d5ecb80f2e4cf585dae12d04abef1b" w:history="1">
              <w:r>
                <w:rPr>
                  <w:rFonts w:ascii="Calibri" w:eastAsia="Calibri" w:hAnsi="Calibri" w:cs="Calibri"/>
                  <w:b w:val="0"/>
                  <w:i w:val="0"/>
                  <w:color w:val="000000"/>
                  <w:sz w:val="20"/>
                  <w:u w:val="none"/>
                  <w:shd w:val="clear" w:color="auto" w:fill="auto"/>
                </w:rPr>
                <w:t>4.-</w:t>
                <w:tab/>
                <w:t>POLÍTICA DE GESTIÓN DE RIESGOS.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2d5ecb80f2e4cf585dae12d04abef1b"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d1af5e99a714aa492e35027117d4a0e" w:history="1">
              <w:r>
                <w:rPr>
                  <w:rFonts w:ascii="Calibri" w:eastAsia="Calibri" w:hAnsi="Calibri" w:cs="Calibri"/>
                  <w:b w:val="0"/>
                  <w:i w:val="0"/>
                  <w:color w:val="000000"/>
                  <w:sz w:val="20"/>
                  <w:u w:val="none"/>
                  <w:shd w:val="clear" w:color="auto" w:fill="auto"/>
                </w:rPr>
                <w:t>4.1.-</w:t>
                <w:tab/>
                <w:t xml:space="preserve"> Riesgo financiero.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d1af5e99a714aa492e35027117d4a0e"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b8ab656e800462db02140dd6838432a" w:history="1">
              <w:r>
                <w:rPr>
                  <w:rFonts w:ascii="Calibri" w:eastAsia="Calibri" w:hAnsi="Calibri" w:cs="Calibri"/>
                  <w:b w:val="0"/>
                  <w:i w:val="0"/>
                  <w:color w:val="000000"/>
                  <w:sz w:val="20"/>
                  <w:u w:val="none"/>
                  <w:shd w:val="clear" w:color="auto" w:fill="auto"/>
                </w:rPr>
                <w:t>5.-</w:t>
                <w:tab/>
                <w:t>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b8ab656e800462db02140dd6838432a"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c22877788b0486083001159964308bc" w:history="1">
              <w:r>
                <w:rPr>
                  <w:rFonts w:ascii="Calibri" w:eastAsia="Calibri" w:hAnsi="Calibri" w:cs="Calibri"/>
                  <w:b w:val="0"/>
                  <w:i w:val="0"/>
                  <w:color w:val="000000"/>
                  <w:sz w:val="20"/>
                  <w:u w:val="none"/>
                  <w:shd w:val="clear" w:color="auto" w:fill="auto"/>
                </w:rPr>
                <w:t>5.1.-</w:t>
                <w:tab/>
                <w:t>Categorías de activos y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c22877788b0486083001159964308bc"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f263028fb8d415d8456b3487f60b21e" w:history="1">
              <w:r>
                <w:rPr>
                  <w:rFonts w:ascii="Calibri" w:eastAsia="Calibri" w:hAnsi="Calibri" w:cs="Calibri"/>
                  <w:b w:val="0"/>
                  <w:i w:val="0"/>
                  <w:color w:val="000000"/>
                  <w:sz w:val="20"/>
                  <w:u w:val="none"/>
                  <w:shd w:val="clear" w:color="auto" w:fill="auto"/>
                </w:rPr>
                <w:t>6.-</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f263028fb8d415d8456b3487f60b21e"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cf0372ca66f495bb07df9438476a05c" w:history="1">
              <w:r>
                <w:rPr>
                  <w:rFonts w:ascii="Calibri" w:eastAsia="Calibri" w:hAnsi="Calibri" w:cs="Calibri"/>
                  <w:b w:val="0"/>
                  <w:i w:val="0"/>
                  <w:color w:val="000000"/>
                  <w:sz w:val="20"/>
                  <w:u w:val="none"/>
                  <w:shd w:val="clear" w:color="auto" w:fill="auto"/>
                </w:rPr>
                <w:t>6.1.-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cf0372ca66f495bb07df9438476a05c"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fae70d826c046caa1fa9f4f2ddea61c" w:history="1">
              <w:r>
                <w:rPr>
                  <w:rFonts w:ascii="Calibri" w:eastAsia="Calibri" w:hAnsi="Calibri" w:cs="Calibri"/>
                  <w:b w:val="0"/>
                  <w:i w:val="0"/>
                  <w:color w:val="000000"/>
                  <w:sz w:val="20"/>
                  <w:u w:val="none"/>
                  <w:shd w:val="clear" w:color="auto" w:fill="auto"/>
                </w:rPr>
                <w:t>6.2.-</w:t>
                <w:tab/>
                <w:t>Detalles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fae70d826c046caa1fa9f4f2ddea61c"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737d0f16a1a48eea1d968968d18fd33" w:history="1">
              <w:r>
                <w:rPr>
                  <w:rFonts w:ascii="Calibri" w:eastAsia="Calibri" w:hAnsi="Calibri" w:cs="Calibri"/>
                  <w:b w:val="0"/>
                  <w:i w:val="0"/>
                  <w:color w:val="000000"/>
                  <w:sz w:val="20"/>
                  <w:u w:val="none"/>
                  <w:shd w:val="clear" w:color="auto" w:fill="auto"/>
                </w:rPr>
                <w:t>6.3.-</w:t>
                <w:tab/>
                <w:t>Conciliación de los pasivos que surgen de las actividades de financiamiento.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737d0f16a1a48eea1d968968d18fd33"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d4fb12b6f854218b5844ff3ffe54022" w:history="1">
              <w:r>
                <w:rPr>
                  <w:rFonts w:ascii="Calibri" w:eastAsia="Calibri" w:hAnsi="Calibri" w:cs="Calibri"/>
                  <w:b w:val="0"/>
                  <w:i w:val="0"/>
                  <w:color w:val="000000"/>
                  <w:sz w:val="20"/>
                  <w:u w:val="none"/>
                  <w:shd w:val="clear" w:color="auto" w:fill="auto"/>
                </w:rPr>
                <w:t>7.-</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d4fb12b6f854218b5844ff3ffe54022"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0796d9214542d5a6bf786d4906a85b" w:history="1">
              <w:r>
                <w:rPr>
                  <w:rFonts w:ascii="Calibri" w:eastAsia="Calibri" w:hAnsi="Calibri" w:cs="Calibri"/>
                  <w:b w:val="0"/>
                  <w:i w:val="0"/>
                  <w:color w:val="000000"/>
                  <w:sz w:val="20"/>
                  <w:u w:val="none"/>
                  <w:shd w:val="clear" w:color="auto" w:fill="auto"/>
                </w:rPr>
                <w:t>7.1.-</w:t>
                <w:tab/>
                <w:t>Composición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0796d9214542d5a6bf786d4906a85b"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6d3c01ec28e4dd0af2dc2818b341e65" w:history="1">
              <w:r>
                <w:rPr>
                  <w:rFonts w:ascii="Calibri" w:eastAsia="Calibri" w:hAnsi="Calibri" w:cs="Calibri"/>
                  <w:b w:val="0"/>
                  <w:i w:val="0"/>
                  <w:color w:val="000000"/>
                  <w:sz w:val="20"/>
                  <w:u w:val="none"/>
                  <w:shd w:val="clear" w:color="auto" w:fill="auto"/>
                </w:rPr>
                <w:t>7.2.-</w:t>
                <w:tab/>
                <w:t>Estratificación de la cartera.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6d3c01ec28e4dd0af2dc2818b341e65"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299857756cc4d969ec82afb865875dc" w:history="1">
              <w:r>
                <w:rPr>
                  <w:rFonts w:ascii="Calibri" w:eastAsia="Calibri" w:hAnsi="Calibri" w:cs="Calibri"/>
                  <w:b w:val="0"/>
                  <w:i w:val="0"/>
                  <w:color w:val="000000"/>
                  <w:sz w:val="20"/>
                  <w:u w:val="none"/>
                  <w:shd w:val="clear" w:color="auto" w:fill="auto"/>
                </w:rPr>
                <w:t>7.3.-</w:t>
                <w:tab/>
                <w:t>Resumen de estratificación de la cartera deudores comerciales.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299857756cc4d969ec82afb865875dc"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cf2912d3fa94e11a917c9f0e57ada2b" w:history="1">
              <w:r>
                <w:rPr>
                  <w:rFonts w:ascii="Calibri" w:eastAsia="Calibri" w:hAnsi="Calibri" w:cs="Calibri"/>
                  <w:b w:val="0"/>
                  <w:i w:val="0"/>
                  <w:color w:val="000000"/>
                  <w:sz w:val="20"/>
                  <w:u w:val="none"/>
                  <w:shd w:val="clear" w:color="auto" w:fill="auto"/>
                </w:rPr>
                <w:t>7.4.-</w:t>
                <w:tab/>
                <w:t>Cartera protestada y en cobranza judicial.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cf2912d3fa94e11a917c9f0e57ada2b"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23ccc5998854fac819c7a36c5209c0f" w:history="1">
              <w:r>
                <w:rPr>
                  <w:rFonts w:ascii="Calibri" w:eastAsia="Calibri" w:hAnsi="Calibri" w:cs="Calibri"/>
                  <w:b w:val="0"/>
                  <w:i w:val="0"/>
                  <w:color w:val="000000"/>
                  <w:sz w:val="20"/>
                  <w:u w:val="none"/>
                  <w:shd w:val="clear" w:color="auto" w:fill="auto"/>
                </w:rPr>
                <w:t xml:space="preserve">7.5.- </w:t>
                <w:tab/>
                <w:t>Número y monto de operaciones.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23ccc5998854fac819c7a36c5209c0f"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aa2e81ae5994cbcad2949f8ab422629" w:history="1">
              <w:r>
                <w:rPr>
                  <w:rFonts w:ascii="Calibri" w:eastAsia="Calibri" w:hAnsi="Calibri" w:cs="Calibri"/>
                  <w:b w:val="0"/>
                  <w:i w:val="0"/>
                  <w:color w:val="000000"/>
                  <w:sz w:val="20"/>
                  <w:u w:val="none"/>
                  <w:shd w:val="clear" w:color="auto" w:fill="auto"/>
                </w:rPr>
                <w:t>8.-</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aa2e81ae5994cbcad2949f8ab422629"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32d13a17f43459aa7a24935fca0e0d0" w:history="1">
              <w:r>
                <w:rPr>
                  <w:rFonts w:ascii="Calibri" w:eastAsia="Calibri" w:hAnsi="Calibri" w:cs="Calibri"/>
                  <w:b w:val="0"/>
                  <w:i w:val="0"/>
                  <w:color w:val="000000"/>
                  <w:sz w:val="20"/>
                  <w:u w:val="none"/>
                  <w:shd w:val="clear" w:color="auto" w:fill="auto"/>
                </w:rPr>
                <w:t>8.1.-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32d13a17f43459aa7a24935fca0e0d0"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d3b845acdac46fb8ed0f2e069dec4b4" w:history="1">
              <w:r>
                <w:rPr>
                  <w:rFonts w:ascii="Calibri" w:eastAsia="Calibri" w:hAnsi="Calibri" w:cs="Calibri"/>
                  <w:b w:val="0"/>
                  <w:i w:val="0"/>
                  <w:color w:val="000000"/>
                  <w:sz w:val="20"/>
                  <w:u w:val="none"/>
                  <w:shd w:val="clear" w:color="auto" w:fill="auto"/>
                </w:rPr>
                <w:t>8.2.-</w:t>
                <w:tab/>
                <w:t xml:space="preserve">Directorio y gerencia de la sociedad.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d3b845acdac46fb8ed0f2e069dec4b4"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32eca9d0864e82b53f450ced206938" w:history="1">
              <w:r>
                <w:rPr>
                  <w:rFonts w:ascii="Calibri" w:eastAsia="Calibri" w:hAnsi="Calibri" w:cs="Calibri"/>
                  <w:b w:val="0"/>
                  <w:i w:val="0"/>
                  <w:color w:val="000000"/>
                  <w:sz w:val="20"/>
                  <w:u w:val="none"/>
                  <w:shd w:val="clear" w:color="auto" w:fill="auto"/>
                </w:rPr>
                <w:t>9.-</w:t>
                <w:tab/>
                <w:t>ACTIVOS, PASIVOS POR IMPUESTOS.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32eca9d0864e82b53f450ced206938"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12a283e57c6477dabbbd0fa9b9fca4d" w:history="1">
              <w:r>
                <w:rPr>
                  <w:rFonts w:ascii="Calibri" w:eastAsia="Calibri" w:hAnsi="Calibri" w:cs="Calibri"/>
                  <w:b w:val="0"/>
                  <w:i w:val="0"/>
                  <w:color w:val="000000"/>
                  <w:sz w:val="20"/>
                  <w:u w:val="none"/>
                  <w:shd w:val="clear" w:color="auto" w:fill="auto"/>
                </w:rPr>
                <w:t>10.-</w:t>
                <w:tab/>
                <w:t>OTROS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12a283e57c6477dabbbd0fa9b9fca4d"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6e32df961434a2f8c38adef749a4d1a" w:history="1">
              <w:r>
                <w:rPr>
                  <w:rFonts w:ascii="Calibri" w:eastAsia="Calibri" w:hAnsi="Calibri" w:cs="Calibri"/>
                  <w:b w:val="0"/>
                  <w:i w:val="0"/>
                  <w:color w:val="000000"/>
                  <w:sz w:val="20"/>
                  <w:u w:val="none"/>
                  <w:shd w:val="clear" w:color="auto" w:fill="auto"/>
                </w:rPr>
                <w:t>11.-</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6e32df961434a2f8c38adef749a4d1a"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02581e980e946b48d8860f311a2bc95" w:history="1">
              <w:r>
                <w:rPr>
                  <w:rFonts w:ascii="Calibri" w:eastAsia="Calibri" w:hAnsi="Calibri" w:cs="Calibri"/>
                  <w:b w:val="0"/>
                  <w:i w:val="0"/>
                  <w:color w:val="000000"/>
                  <w:sz w:val="20"/>
                  <w:u w:val="none"/>
                  <w:shd w:val="clear" w:color="auto" w:fill="auto"/>
                </w:rPr>
                <w:t>11.1.-</w:t>
                <w:tab/>
                <w:t>Composición y movimientos de los activos intangibles.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02581e980e946b48d8860f311a2bc95" w:history="1">
              <w:r>
                <w:rPr>
                  <w:rFonts w:ascii="Calibri" w:eastAsia="Calibri" w:hAnsi="Calibri" w:cs="Calibri"/>
                  <w:b w:val="0"/>
                  <w:i w:val="0"/>
                  <w:color w:val="000000"/>
                  <w:sz w:val="20"/>
                  <w:u w:val="none"/>
                  <w:shd w:val="clear" w:color="auto" w:fill="auto"/>
                </w:rPr>
                <w:t>37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265539219d847aa974b390f1a3ffc18" w:history="1">
              <w:r>
                <w:rPr>
                  <w:rFonts w:ascii="Calibri" w:eastAsia="Calibri" w:hAnsi="Calibri" w:cs="Calibri"/>
                  <w:b w:val="0"/>
                  <w:i w:val="0"/>
                  <w:color w:val="000000"/>
                  <w:sz w:val="20"/>
                  <w:u w:val="none"/>
                  <w:shd w:val="clear" w:color="auto" w:fill="auto"/>
                </w:rPr>
                <w:t>12.-</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265539219d847aa974b390f1a3ffc18"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fa5acb3403249c2a1117133cd8106a0" w:history="1">
              <w:r>
                <w:rPr>
                  <w:rFonts w:ascii="Calibri" w:eastAsia="Calibri" w:hAnsi="Calibri" w:cs="Calibri"/>
                  <w:b w:val="0"/>
                  <w:i w:val="0"/>
                  <w:color w:val="000000"/>
                  <w:sz w:val="20"/>
                  <w:u w:val="none"/>
                  <w:shd w:val="clear" w:color="auto" w:fill="auto"/>
                </w:rPr>
                <w:t>12.1.-</w:t>
                <w:tab/>
                <w:t>Vidas útiles.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fa5acb3403249c2a1117133cd8106a0" w:history="1">
              <w:r>
                <w:rPr>
                  <w:rFonts w:ascii="Calibri" w:eastAsia="Calibri" w:hAnsi="Calibri" w:cs="Calibri"/>
                  <w:b w:val="0"/>
                  <w:i w:val="0"/>
                  <w:color w:val="000000"/>
                  <w:sz w:val="20"/>
                  <w:u w:val="none"/>
                  <w:shd w:val="clear" w:color="auto" w:fill="auto"/>
                </w:rPr>
                <w:t>38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995962dca0840f6963b61668d86d5c8" w:history="1">
              <w:r>
                <w:rPr>
                  <w:rFonts w:ascii="Calibri" w:eastAsia="Calibri" w:hAnsi="Calibri" w:cs="Calibri"/>
                  <w:b w:val="0"/>
                  <w:i w:val="0"/>
                  <w:color w:val="000000"/>
                  <w:sz w:val="20"/>
                  <w:u w:val="none"/>
                  <w:shd w:val="clear" w:color="auto" w:fill="auto"/>
                </w:rPr>
                <w:t>12.2.-</w:t>
                <w:tab/>
                <w:t>Detalle de los rubros.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995962dca0840f6963b61668d86d5c8" w:history="1">
              <w:r>
                <w:rPr>
                  <w:rFonts w:ascii="Calibri" w:eastAsia="Calibri" w:hAnsi="Calibri" w:cs="Calibri"/>
                  <w:b w:val="0"/>
                  <w:i w:val="0"/>
                  <w:color w:val="000000"/>
                  <w:sz w:val="20"/>
                  <w:u w:val="none"/>
                  <w:shd w:val="clear" w:color="auto" w:fill="auto"/>
                </w:rPr>
                <w:t>39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7d93892681c4e7f8e13e4198a4ed153" w:history="1">
              <w:r>
                <w:rPr>
                  <w:rFonts w:ascii="Calibri" w:eastAsia="Calibri" w:hAnsi="Calibri" w:cs="Calibri"/>
                  <w:b w:val="0"/>
                  <w:i w:val="0"/>
                  <w:color w:val="000000"/>
                  <w:sz w:val="20"/>
                  <w:u w:val="none"/>
                  <w:shd w:val="clear" w:color="auto" w:fill="auto"/>
                </w:rPr>
                <w:t>12.3.-</w:t>
                <w:tab/>
                <w:t>Reconciliación de cambios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7d93892681c4e7f8e13e4198a4ed153"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54eb835252415aaeda98f237eb668e" w:history="1">
              <w:r>
                <w:rPr>
                  <w:rFonts w:ascii="Calibri" w:eastAsia="Calibri" w:hAnsi="Calibri" w:cs="Calibri"/>
                  <w:b w:val="0"/>
                  <w:i w:val="0"/>
                  <w:color w:val="000000"/>
                  <w:sz w:val="20"/>
                  <w:u w:val="none"/>
                  <w:shd w:val="clear" w:color="auto" w:fill="auto"/>
                </w:rPr>
                <w:t>12.4.-</w:t>
                <w:tab/>
                <w:t>Política de inversiones en 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54eb835252415aaeda98f237eb668e"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c46923eca341f2bf259f81528d15d2" w:history="1">
              <w:r>
                <w:rPr>
                  <w:rFonts w:ascii="Calibri" w:eastAsia="Calibri" w:hAnsi="Calibri" w:cs="Calibri"/>
                  <w:b w:val="0"/>
                  <w:i w:val="0"/>
                  <w:color w:val="000000"/>
                  <w:sz w:val="20"/>
                  <w:u w:val="none"/>
                  <w:shd w:val="clear" w:color="auto" w:fill="auto"/>
                </w:rPr>
                <w:t>12.5.-</w:t>
                <w:tab/>
                <w:t>Costo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c46923eca341f2bf259f81528d15d2" w:history="1">
              <w:r>
                <w:rPr>
                  <w:rFonts w:ascii="Calibri" w:eastAsia="Calibri" w:hAnsi="Calibri" w:cs="Calibri"/>
                  <w:b w:val="0"/>
                  <w:i w:val="0"/>
                  <w:color w:val="000000"/>
                  <w:sz w:val="20"/>
                  <w:u w:val="none"/>
                  <w:shd w:val="clear" w:color="auto" w:fill="auto"/>
                </w:rPr>
                <w:t>40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9dfbe7db9224fb693522ed9a0a6c872" w:history="1">
              <w:r>
                <w:rPr>
                  <w:rFonts w:ascii="Calibri" w:eastAsia="Calibri" w:hAnsi="Calibri" w:cs="Calibri"/>
                  <w:b w:val="0"/>
                  <w:i w:val="0"/>
                  <w:color w:val="000000"/>
                  <w:sz w:val="20"/>
                  <w:u w:val="none"/>
                  <w:shd w:val="clear" w:color="auto" w:fill="auto"/>
                </w:rPr>
                <w:t>13.-</w:t>
                <w:tab/>
                <w:t>DETERIORO DE ACTIVOS.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9dfbe7db9224fb693522ed9a0a6c872"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8cc072d2bb44e1b192283241a241d5" w:history="1">
              <w:r>
                <w:rPr>
                  <w:rFonts w:ascii="Calibri" w:eastAsia="Calibri" w:hAnsi="Calibri" w:cs="Calibri"/>
                  <w:b w:val="0"/>
                  <w:i w:val="0"/>
                  <w:color w:val="000000"/>
                  <w:sz w:val="20"/>
                  <w:u w:val="none"/>
                  <w:shd w:val="clear" w:color="auto" w:fill="auto"/>
                </w:rPr>
                <w:t>13.1.-</w:t>
                <w:tab/>
                <w:t>Pérdidas por deterioro del valor y reversión de las pérdidas por deterioro del valor.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8cc072d2bb44e1b192283241a241d5"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8010e77effd438bb0b22fa507f692c1" w:history="1">
              <w:r>
                <w:rPr>
                  <w:rFonts w:ascii="Calibri" w:eastAsia="Calibri" w:hAnsi="Calibri" w:cs="Calibri"/>
                  <w:b w:val="0"/>
                  <w:i w:val="0"/>
                  <w:color w:val="000000"/>
                  <w:sz w:val="20"/>
                  <w:u w:val="none"/>
                  <w:shd w:val="clear" w:color="auto" w:fill="auto"/>
                </w:rPr>
                <w:t>14.-</w:t>
                <w:tab/>
                <w:t>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8010e77effd438bb0b22fa507f692c1"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2dca6051af438fbde2ac87af9f1842" w:history="1">
              <w:r>
                <w:rPr>
                  <w:rFonts w:ascii="Calibri" w:eastAsia="Calibri" w:hAnsi="Calibri" w:cs="Calibri"/>
                  <w:b w:val="0"/>
                  <w:i w:val="0"/>
                  <w:color w:val="000000"/>
                  <w:sz w:val="20"/>
                  <w:u w:val="none"/>
                  <w:shd w:val="clear" w:color="auto" w:fill="auto"/>
                </w:rPr>
                <w:t>14.1.-</w:t>
                <w:tab/>
                <w:t>Activos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2dca6051af438fbde2ac87af9f1842"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4565e3e1e434795a5d0e84bd4880815" w:history="1">
              <w:r>
                <w:rPr>
                  <w:rFonts w:ascii="Calibri" w:eastAsia="Calibri" w:hAnsi="Calibri" w:cs="Calibri"/>
                  <w:b w:val="0"/>
                  <w:i w:val="0"/>
                  <w:color w:val="000000"/>
                  <w:sz w:val="20"/>
                  <w:u w:val="none"/>
                  <w:shd w:val="clear" w:color="auto" w:fill="auto"/>
                </w:rPr>
                <w:t>14.2.-</w:t>
                <w:tab/>
                <w:t>Pasivos por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4565e3e1e434795a5d0e84bd4880815" w:history="1">
              <w:r>
                <w:rPr>
                  <w:rFonts w:ascii="Calibri" w:eastAsia="Calibri" w:hAnsi="Calibri" w:cs="Calibri"/>
                  <w:b w:val="0"/>
                  <w:i w:val="0"/>
                  <w:color w:val="000000"/>
                  <w:sz w:val="20"/>
                  <w:u w:val="none"/>
                  <w:shd w:val="clear" w:color="auto" w:fill="auto"/>
                </w:rPr>
                <w:t>41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6344e25cca149f6a736fc606cecd0f2" w:history="1">
              <w:r>
                <w:rPr>
                  <w:rFonts w:ascii="Calibri" w:eastAsia="Calibri" w:hAnsi="Calibri" w:cs="Calibri"/>
                  <w:b w:val="0"/>
                  <w:i w:val="0"/>
                  <w:color w:val="000000"/>
                  <w:sz w:val="20"/>
                  <w:u w:val="none"/>
                  <w:shd w:val="clear" w:color="auto" w:fill="auto"/>
                </w:rPr>
                <w:t>14.3.-</w:t>
                <w:tab/>
                <w:t>Movimientos de impuesto diferido del estado de situación financiera.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6344e25cca149f6a736fc606cecd0f2"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0628da255d14239ae218442f7a486ef" w:history="1">
              <w:r>
                <w:rPr>
                  <w:rFonts w:ascii="Calibri" w:eastAsia="Calibri" w:hAnsi="Calibri" w:cs="Calibri"/>
                  <w:b w:val="0"/>
                  <w:i w:val="0"/>
                  <w:color w:val="000000"/>
                  <w:sz w:val="20"/>
                  <w:u w:val="none"/>
                  <w:shd w:val="clear" w:color="auto" w:fill="auto"/>
                </w:rPr>
                <w:t>14.4.-</w:t>
                <w:tab/>
                <w:t>Compensación de partidas.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0628da255d14239ae218442f7a486ef"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d3a17e9042e4cfbb8b4ae37e3f495b2" w:history="1">
              <w:r>
                <w:rPr>
                  <w:rFonts w:ascii="Calibri" w:eastAsia="Calibri" w:hAnsi="Calibri" w:cs="Calibri"/>
                  <w:b w:val="0"/>
                  <w:i w:val="0"/>
                  <w:color w:val="000000"/>
                  <w:sz w:val="20"/>
                  <w:u w:val="none"/>
                  <w:shd w:val="clear" w:color="auto" w:fill="auto"/>
                </w:rPr>
                <w:t>15.-</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d3a17e9042e4cfbb8b4ae37e3f495b2" w:history="1">
              <w:r>
                <w:rPr>
                  <w:rFonts w:ascii="Calibri" w:eastAsia="Calibri" w:hAnsi="Calibri" w:cs="Calibri"/>
                  <w:b w:val="0"/>
                  <w:i w:val="0"/>
                  <w:color w:val="000000"/>
                  <w:sz w:val="20"/>
                  <w:u w:val="none"/>
                  <w:shd w:val="clear" w:color="auto" w:fill="auto"/>
                </w:rPr>
                <w:t>42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b366d66e89d48348f54f1ccc080c805" w:history="1">
              <w:r>
                <w:rPr>
                  <w:rFonts w:ascii="Calibri" w:eastAsia="Calibri" w:hAnsi="Calibri" w:cs="Calibri"/>
                  <w:b w:val="0"/>
                  <w:i w:val="0"/>
                  <w:color w:val="000000"/>
                  <w:sz w:val="20"/>
                  <w:u w:val="none"/>
                  <w:shd w:val="clear" w:color="auto" w:fill="auto"/>
                </w:rPr>
                <w:t>15.1.-</w:t>
                <w:tab/>
                <w:t>Pasivos acumulados (o devengados).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b366d66e89d48348f54f1ccc080c805"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fda04dd476043c68092b092c58a5b71" w:history="1">
              <w:r>
                <w:rPr>
                  <w:rFonts w:ascii="Calibri" w:eastAsia="Calibri" w:hAnsi="Calibri" w:cs="Calibri"/>
                  <w:b w:val="0"/>
                  <w:i w:val="0"/>
                  <w:color w:val="000000"/>
                  <w:sz w:val="20"/>
                  <w:u w:val="none"/>
                  <w:shd w:val="clear" w:color="auto" w:fill="auto"/>
                </w:rPr>
                <w:t>15.2.-</w:t>
                <w:tab/>
                <w:t>Información cuentas comerciales y otras cuentas por pagar con pagos al día y con plazos vencidos.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fda04dd476043c68092b092c58a5b71"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36d34b9e784c089c02b764e3c96793" w:history="1">
              <w:r>
                <w:rPr>
                  <w:rFonts w:ascii="Calibri" w:eastAsia="Calibri" w:hAnsi="Calibri" w:cs="Calibri"/>
                  <w:b w:val="0"/>
                  <w:i w:val="0"/>
                  <w:color w:val="000000"/>
                  <w:sz w:val="20"/>
                  <w:u w:val="none"/>
                  <w:shd w:val="clear" w:color="auto" w:fill="auto"/>
                </w:rPr>
                <w:t>16.-</w:t>
                <w:tab/>
                <w:t>OTRAS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36d34b9e784c089c02b764e3c96793"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5420f1267cc469fb5be3d7984527acb" w:history="1">
              <w:r>
                <w:rPr>
                  <w:rFonts w:ascii="Calibri" w:eastAsia="Calibri" w:hAnsi="Calibri" w:cs="Calibri"/>
                  <w:b w:val="0"/>
                  <w:i w:val="0"/>
                  <w:color w:val="000000"/>
                  <w:sz w:val="20"/>
                  <w:u w:val="none"/>
                  <w:shd w:val="clear" w:color="auto" w:fill="auto"/>
                </w:rPr>
                <w:t>16.1.-</w:t>
                <w:tab/>
                <w:t>Provisiones – saldos.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5420f1267cc469fb5be3d7984527acb" w:history="1">
              <w:r>
                <w:rPr>
                  <w:rFonts w:ascii="Calibri" w:eastAsia="Calibri" w:hAnsi="Calibri" w:cs="Calibri"/>
                  <w:b w:val="0"/>
                  <w:i w:val="0"/>
                  <w:color w:val="000000"/>
                  <w:sz w:val="20"/>
                  <w:u w:val="none"/>
                  <w:shd w:val="clear" w:color="auto" w:fill="auto"/>
                </w:rPr>
                <w:t>44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c25645aa67e42a3a39d0e2d586deb03" w:history="1">
              <w:r>
                <w:rPr>
                  <w:rFonts w:ascii="Calibri" w:eastAsia="Calibri" w:hAnsi="Calibri" w:cs="Calibri"/>
                  <w:b w:val="0"/>
                  <w:i w:val="0"/>
                  <w:color w:val="000000"/>
                  <w:sz w:val="20"/>
                  <w:u w:val="none"/>
                  <w:shd w:val="clear" w:color="auto" w:fill="auto"/>
                </w:rPr>
                <w:t>16.2.-</w:t>
                <w:tab/>
                <w:t>Movimiento de las 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c25645aa67e42a3a39d0e2d586deb03"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15f010edf04968a09a8ce7a5244399" w:history="1">
              <w:r>
                <w:rPr>
                  <w:rFonts w:ascii="Calibri" w:eastAsia="Calibri" w:hAnsi="Calibri" w:cs="Calibri"/>
                  <w:b w:val="0"/>
                  <w:i w:val="0"/>
                  <w:color w:val="000000"/>
                  <w:sz w:val="20"/>
                  <w:u w:val="none"/>
                  <w:shd w:val="clear" w:color="auto" w:fill="auto"/>
                </w:rPr>
                <w:t>17.-</w:t>
                <w:tab/>
                <w:t>PROVISIONES POR BENEFICIOS A LOS EMPLEADOS.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15f010edf04968a09a8ce7a5244399"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f5eb52080724ccd8fe910cb1d7daeb4" w:history="1">
              <w:r>
                <w:rPr>
                  <w:rFonts w:ascii="Calibri" w:eastAsia="Calibri" w:hAnsi="Calibri" w:cs="Calibri"/>
                  <w:b w:val="0"/>
                  <w:i w:val="0"/>
                  <w:color w:val="000000"/>
                  <w:sz w:val="20"/>
                  <w:u w:val="none"/>
                  <w:shd w:val="clear" w:color="auto" w:fill="auto"/>
                </w:rPr>
                <w:t>17.1.-</w:t>
                <w:tab/>
                <w:t>Detalle del rubro.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f5eb52080724ccd8fe910cb1d7daeb4" w:history="1">
              <w:r>
                <w:rPr>
                  <w:rFonts w:ascii="Calibri" w:eastAsia="Calibri" w:hAnsi="Calibri" w:cs="Calibri"/>
                  <w:b w:val="0"/>
                  <w:i w:val="0"/>
                  <w:color w:val="000000"/>
                  <w:sz w:val="20"/>
                  <w:u w:val="none"/>
                  <w:shd w:val="clear" w:color="auto" w:fill="auto"/>
                </w:rPr>
                <w:t>45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49d1cb209184ac0b720eb028d7fe7d1" w:history="1">
              <w:r>
                <w:rPr>
                  <w:rFonts w:ascii="Calibri" w:eastAsia="Calibri" w:hAnsi="Calibri" w:cs="Calibri"/>
                  <w:b w:val="0"/>
                  <w:i w:val="0"/>
                  <w:color w:val="000000"/>
                  <w:sz w:val="20"/>
                  <w:u w:val="none"/>
                  <w:shd w:val="clear" w:color="auto" w:fill="auto"/>
                </w:rPr>
                <w:t>17.2.-</w:t>
                <w:tab/>
                <w:t>Detalle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49d1cb209184ac0b720eb028d7fe7d1"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e65e14a41024fdcad113ccb076c95a4" w:history="1">
              <w:r>
                <w:rPr>
                  <w:rFonts w:ascii="Calibri" w:eastAsia="Calibri" w:hAnsi="Calibri" w:cs="Calibri"/>
                  <w:b w:val="0"/>
                  <w:i w:val="0"/>
                  <w:color w:val="000000"/>
                  <w:sz w:val="20"/>
                  <w:u w:val="none"/>
                  <w:shd w:val="clear" w:color="auto" w:fill="auto"/>
                </w:rPr>
                <w:t>17.3.-</w:t>
                <w:tab/>
                <w:t>Balance de las obligaciones post empleo y similares.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e65e14a41024fdcad113ccb076c95a4"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309912e9cc84b1aad837bc24558bc39" w:history="1">
              <w:r>
                <w:rPr>
                  <w:rFonts w:ascii="Calibri" w:eastAsia="Calibri" w:hAnsi="Calibri" w:cs="Calibri"/>
                  <w:b w:val="0"/>
                  <w:i w:val="0"/>
                  <w:color w:val="000000"/>
                  <w:sz w:val="20"/>
                  <w:u w:val="none"/>
                  <w:shd w:val="clear" w:color="auto" w:fill="auto"/>
                </w:rPr>
                <w:t>17.4.-</w:t>
                <w:tab/>
                <w:t>Gastos reconocidos en el estado de resultados.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309912e9cc84b1aad837bc24558bc39"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10548ea4bd84132b5634e420646b83e" w:history="1">
              <w:r>
                <w:rPr>
                  <w:rFonts w:ascii="Calibri" w:eastAsia="Calibri" w:hAnsi="Calibri" w:cs="Calibri"/>
                  <w:b w:val="0"/>
                  <w:i w:val="0"/>
                  <w:color w:val="000000"/>
                  <w:sz w:val="20"/>
                  <w:u w:val="none"/>
                  <w:shd w:val="clear" w:color="auto" w:fill="auto"/>
                </w:rPr>
                <w:t>17.5.-</w:t>
                <w:tab/>
                <w:t xml:space="preserve">Hipótesis actuariales.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10548ea4bd84132b5634e420646b83e" w:history="1">
              <w:r>
                <w:rPr>
                  <w:rFonts w:ascii="Calibri" w:eastAsia="Calibri" w:hAnsi="Calibri" w:cs="Calibri"/>
                  <w:b w:val="0"/>
                  <w:i w:val="0"/>
                  <w:color w:val="000000"/>
                  <w:sz w:val="20"/>
                  <w:u w:val="none"/>
                  <w:shd w:val="clear" w:color="auto" w:fill="auto"/>
                </w:rPr>
                <w:t>46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2197859ad649a4b5c0eb15e91b2b50" w:history="1">
              <w:r>
                <w:rPr>
                  <w:rFonts w:ascii="Calibri" w:eastAsia="Calibri" w:hAnsi="Calibri" w:cs="Calibri"/>
                  <w:b w:val="0"/>
                  <w:i w:val="0"/>
                  <w:color w:val="000000"/>
                  <w:sz w:val="20"/>
                  <w:u w:val="none"/>
                  <w:shd w:val="clear" w:color="auto" w:fill="auto"/>
                </w:rPr>
                <w:t>17.6.-</w:t>
                <w:tab/>
                <w:t>Flujo y plazo de los compromisos.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2197859ad649a4b5c0eb15e91b2b50"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bf1c2e9bb0d4545b4f77a6a4428e0cf" w:history="1">
              <w:r>
                <w:rPr>
                  <w:rFonts w:ascii="Calibri" w:eastAsia="Calibri" w:hAnsi="Calibri" w:cs="Calibri"/>
                  <w:b w:val="0"/>
                  <w:i w:val="0"/>
                  <w:color w:val="000000"/>
                  <w:sz w:val="20"/>
                  <w:u w:val="none"/>
                  <w:shd w:val="clear" w:color="auto" w:fill="auto"/>
                </w:rPr>
                <w:t>18.-</w:t>
                <w:tab/>
                <w:t>OTROS PASIVOS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bf1c2e9bb0d4545b4f77a6a4428e0cf" w:history="1">
              <w:r>
                <w:rPr>
                  <w:rFonts w:ascii="Calibri" w:eastAsia="Calibri" w:hAnsi="Calibri" w:cs="Calibri"/>
                  <w:b w:val="0"/>
                  <w:i w:val="0"/>
                  <w:color w:val="000000"/>
                  <w:sz w:val="20"/>
                  <w:u w:val="none"/>
                  <w:shd w:val="clear" w:color="auto" w:fill="auto"/>
                </w:rPr>
                <w:t>47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1bf1f684bb540a7968e54fc3558ac55" w:history="1">
              <w:r>
                <w:rPr>
                  <w:rFonts w:ascii="Calibri" w:eastAsia="Calibri" w:hAnsi="Calibri" w:cs="Calibri"/>
                  <w:b w:val="0"/>
                  <w:i w:val="0"/>
                  <w:color w:val="000000"/>
                  <w:sz w:val="20"/>
                  <w:u w:val="none"/>
                  <w:shd w:val="clear" w:color="auto" w:fill="auto"/>
                </w:rPr>
                <w:t>18.1.-</w:t>
                <w:tab/>
                <w:t>Ingresos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1bf1f684bb540a7968e54fc3558ac55"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e3e6d9d179e4f2daf4cb4d856b7f12f" w:history="1">
              <w:r>
                <w:rPr>
                  <w:rFonts w:ascii="Calibri" w:eastAsia="Calibri" w:hAnsi="Calibri" w:cs="Calibri"/>
                  <w:b w:val="0"/>
                  <w:i w:val="0"/>
                  <w:color w:val="000000"/>
                  <w:sz w:val="20"/>
                  <w:u w:val="none"/>
                  <w:shd w:val="clear" w:color="auto" w:fill="auto"/>
                </w:rPr>
                <w:t>19.-</w:t>
                <w:tab/>
                <w:t>PASIVOS POR 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e3e6d9d179e4f2daf4cb4d856b7f12f"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45d98656ff64be5be463709170779e4" w:history="1">
              <w:r>
                <w:rPr>
                  <w:rFonts w:ascii="Calibri" w:eastAsia="Calibri" w:hAnsi="Calibri" w:cs="Calibri"/>
                  <w:b w:val="0"/>
                  <w:i w:val="0"/>
                  <w:color w:val="000000"/>
                  <w:sz w:val="20"/>
                  <w:u w:val="none"/>
                  <w:shd w:val="clear" w:color="auto" w:fill="auto"/>
                </w:rPr>
                <w:t>19.1.-</w:t>
                <w:tab/>
                <w:t xml:space="preserve">Obligaciones por arrendamientos.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45d98656ff64be5be463709170779e4" w:history="1">
              <w:r>
                <w:rPr>
                  <w:rFonts w:ascii="Calibri" w:eastAsia="Calibri" w:hAnsi="Calibri" w:cs="Calibri"/>
                  <w:b w:val="0"/>
                  <w:i w:val="0"/>
                  <w:color w:val="000000"/>
                  <w:sz w:val="20"/>
                  <w:u w:val="none"/>
                  <w:shd w:val="clear" w:color="auto" w:fill="auto"/>
                </w:rPr>
                <w:t>48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146baedb6e04c6cacacda212b25024e" w:history="1">
              <w:r>
                <w:rPr>
                  <w:rFonts w:ascii="Calibri" w:eastAsia="Calibri" w:hAnsi="Calibri" w:cs="Calibri"/>
                  <w:b w:val="0"/>
                  <w:i w:val="0"/>
                  <w:color w:val="000000"/>
                  <w:sz w:val="20"/>
                  <w:u w:val="none"/>
                  <w:shd w:val="clear" w:color="auto" w:fill="auto"/>
                </w:rPr>
                <w:t>19.2.-</w:t>
                <w:tab/>
                <w:t xml:space="preserve">Activos por derecho de uso.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146baedb6e04c6cacacda212b25024e"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30dea68a35d4d3b8a10efd73b2aab8a" w:history="1">
              <w:r>
                <w:rPr>
                  <w:rFonts w:ascii="Calibri" w:eastAsia="Calibri" w:hAnsi="Calibri" w:cs="Calibri"/>
                  <w:b w:val="0"/>
                  <w:i w:val="0"/>
                  <w:color w:val="000000"/>
                  <w:sz w:val="20"/>
                  <w:u w:val="none"/>
                  <w:shd w:val="clear" w:color="auto" w:fill="auto"/>
                </w:rPr>
                <w:t>20.-</w:t>
                <w:tab/>
                <w:t>PATRIMONIO NETO.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30dea68a35d4d3b8a10efd73b2aab8a"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3e09509399b450b98502a6694be39a2" w:history="1">
              <w:r>
                <w:rPr>
                  <w:rFonts w:ascii="Calibri" w:eastAsia="Calibri" w:hAnsi="Calibri" w:cs="Calibri"/>
                  <w:b w:val="0"/>
                  <w:i w:val="0"/>
                  <w:color w:val="000000"/>
                  <w:sz w:val="20"/>
                  <w:u w:val="none"/>
                  <w:shd w:val="clear" w:color="auto" w:fill="auto"/>
                </w:rPr>
                <w:t>20.1.-</w:t>
                <w:tab/>
                <w:t>Gestión de capital.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3e09509399b450b98502a6694be39a2"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fafbe394947421d8446579edd5d61b5" w:history="1">
              <w:r>
                <w:rPr>
                  <w:rFonts w:ascii="Calibri" w:eastAsia="Calibri" w:hAnsi="Calibri" w:cs="Calibri"/>
                  <w:b w:val="0"/>
                  <w:i w:val="0"/>
                  <w:color w:val="000000"/>
                  <w:sz w:val="20"/>
                  <w:u w:val="none"/>
                  <w:shd w:val="clear" w:color="auto" w:fill="auto"/>
                </w:rPr>
                <w:t>20.2.-</w:t>
                <w:tab/>
                <w:t>Capital suscrito y pagado.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fafbe394947421d8446579edd5d61b5"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795de826fd64448bee32ffa36d93018" w:history="1">
              <w:r>
                <w:rPr>
                  <w:rFonts w:ascii="Calibri" w:eastAsia="Calibri" w:hAnsi="Calibri" w:cs="Calibri"/>
                  <w:b w:val="0"/>
                  <w:i w:val="0"/>
                  <w:color w:val="000000"/>
                  <w:sz w:val="20"/>
                  <w:u w:val="none"/>
                  <w:shd w:val="clear" w:color="auto" w:fill="auto"/>
                </w:rPr>
                <w:t>20.3.-</w:t>
                <w:tab/>
                <w:t>Número de acciones suscritas y pagadas.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795de826fd64448bee32ffa36d93018" w:history="1">
              <w:r>
                <w:rPr>
                  <w:rFonts w:ascii="Calibri" w:eastAsia="Calibri" w:hAnsi="Calibri" w:cs="Calibri"/>
                  <w:b w:val="0"/>
                  <w:i w:val="0"/>
                  <w:color w:val="000000"/>
                  <w:sz w:val="20"/>
                  <w:u w:val="none"/>
                  <w:shd w:val="clear" w:color="auto" w:fill="auto"/>
                </w:rPr>
                <w:t>49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3ffaa06b0894c8fa061132af7058d21" w:history="1">
              <w:r>
                <w:rPr>
                  <w:rFonts w:ascii="Calibri" w:eastAsia="Calibri" w:hAnsi="Calibri" w:cs="Calibri"/>
                  <w:b w:val="0"/>
                  <w:i w:val="0"/>
                  <w:color w:val="000000"/>
                  <w:sz w:val="20"/>
                  <w:u w:val="none"/>
                  <w:shd w:val="clear" w:color="auto" w:fill="auto"/>
                </w:rPr>
                <w:t>20.4.-</w:t>
                <w:tab/>
                <w:t>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3ffaa06b0894c8fa061132af7058d21"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8987956b8d4be49da40ace217f0144" w:history="1">
              <w:r>
                <w:rPr>
                  <w:rFonts w:ascii="Calibri" w:eastAsia="Calibri" w:hAnsi="Calibri" w:cs="Calibri"/>
                  <w:b w:val="0"/>
                  <w:i w:val="0"/>
                  <w:color w:val="000000"/>
                  <w:sz w:val="20"/>
                  <w:u w:val="none"/>
                  <w:shd w:val="clear" w:color="auto" w:fill="auto"/>
                </w:rPr>
                <w:t>20.5.-</w:t>
                <w:tab/>
                <w:t>Reservas.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8987956b8d4be49da40ace217f0144"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fa4702fcf554532b15126ed267e52bb" w:history="1">
              <w:r>
                <w:rPr>
                  <w:rFonts w:ascii="Calibri" w:eastAsia="Calibri" w:hAnsi="Calibri" w:cs="Calibri"/>
                  <w:b w:val="0"/>
                  <w:i w:val="0"/>
                  <w:color w:val="000000"/>
                  <w:sz w:val="20"/>
                  <w:u w:val="none"/>
                  <w:shd w:val="clear" w:color="auto" w:fill="auto"/>
                </w:rPr>
                <w:t>20.6.-</w:t>
                <w:tab/>
                <w:t>Reconciliación del movimiento en reservas de los otros resultados integrales.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fa4702fcf554532b15126ed267e52bb" w:history="1">
              <w:r>
                <w:rPr>
                  <w:rFonts w:ascii="Calibri" w:eastAsia="Calibri" w:hAnsi="Calibri" w:cs="Calibri"/>
                  <w:b w:val="0"/>
                  <w:i w:val="0"/>
                  <w:color w:val="000000"/>
                  <w:sz w:val="20"/>
                  <w:u w:val="none"/>
                  <w:shd w:val="clear" w:color="auto" w:fill="auto"/>
                </w:rPr>
                <w:t>50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cf0dd0577084a59a348b07c83f89246" w:history="1">
              <w:r>
                <w:rPr>
                  <w:rFonts w:ascii="Calibri" w:eastAsia="Calibri" w:hAnsi="Calibri" w:cs="Calibri"/>
                  <w:b w:val="0"/>
                  <w:i w:val="0"/>
                  <w:color w:val="000000"/>
                  <w:sz w:val="20"/>
                  <w:u w:val="none"/>
                  <w:shd w:val="clear" w:color="auto" w:fill="auto"/>
                </w:rPr>
                <w:t>21.-</w:t>
                <w:tab/>
                <w:t>INGRESOS DE ACTIVIDADES ORDINARIAS.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cf0dd0577084a59a348b07c83f89246"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98b0a7b8b504559b523c17d34cb94d5" w:history="1">
              <w:r>
                <w:rPr>
                  <w:rFonts w:ascii="Calibri" w:eastAsia="Calibri" w:hAnsi="Calibri" w:cs="Calibri"/>
                  <w:b w:val="0"/>
                  <w:i w:val="0"/>
                  <w:color w:val="000000"/>
                  <w:sz w:val="20"/>
                  <w:u w:val="none"/>
                  <w:shd w:val="clear" w:color="auto" w:fill="auto"/>
                </w:rPr>
                <w:t>21.1.-</w:t>
                <w:tab/>
                <w:t>Ingresos ordinarios.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98b0a7b8b504559b523c17d34cb94d5"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3619cf3966e47c19d27c09de0fa28a4" w:history="1">
              <w:r>
                <w:rPr>
                  <w:rFonts w:ascii="Calibri" w:eastAsia="Calibri" w:hAnsi="Calibri" w:cs="Calibri"/>
                  <w:b w:val="0"/>
                  <w:i w:val="0"/>
                  <w:color w:val="000000"/>
                  <w:sz w:val="20"/>
                  <w:u w:val="none"/>
                  <w:shd w:val="clear" w:color="auto" w:fill="auto"/>
                </w:rPr>
                <w:t>22.-</w:t>
                <w:tab/>
                <w:t>COMPOSICIÓN DE RESULTADOS RELEVANTES.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3619cf3966e47c19d27c09de0fa28a4"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f22e3b099c140a8bd66f716acc237d2" w:history="1">
              <w:r>
                <w:rPr>
                  <w:rFonts w:ascii="Calibri" w:eastAsia="Calibri" w:hAnsi="Calibri" w:cs="Calibri"/>
                  <w:b w:val="0"/>
                  <w:i w:val="0"/>
                  <w:color w:val="000000"/>
                  <w:sz w:val="20"/>
                  <w:u w:val="none"/>
                  <w:shd w:val="clear" w:color="auto" w:fill="auto"/>
                </w:rPr>
                <w:t>22.1.-</w:t>
                <w:tab/>
                <w:t>Gastos por naturaleza.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f22e3b099c140a8bd66f716acc237d2" w:history="1">
              <w:r>
                <w:rPr>
                  <w:rFonts w:ascii="Calibri" w:eastAsia="Calibri" w:hAnsi="Calibri" w:cs="Calibri"/>
                  <w:b w:val="0"/>
                  <w:i w:val="0"/>
                  <w:color w:val="000000"/>
                  <w:sz w:val="20"/>
                  <w:u w:val="none"/>
                  <w:shd w:val="clear" w:color="auto" w:fill="auto"/>
                </w:rPr>
                <w:t>51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240b7a6d81b414fab3f942f228cba5c" w:history="1">
              <w:r>
                <w:rPr>
                  <w:rFonts w:ascii="Calibri" w:eastAsia="Calibri" w:hAnsi="Calibri" w:cs="Calibri"/>
                  <w:b w:val="0"/>
                  <w:i w:val="0"/>
                  <w:color w:val="000000"/>
                  <w:sz w:val="20"/>
                  <w:u w:val="none"/>
                  <w:shd w:val="clear" w:color="auto" w:fill="auto"/>
                </w:rPr>
                <w:t>22.2.-</w:t>
                <w:tab/>
                <w:t>Gastos de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240b7a6d81b414fab3f942f228cba5c"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64811a6cfdf42ff9992268be553ef0d" w:history="1">
              <w:r>
                <w:rPr>
                  <w:rFonts w:ascii="Calibri" w:eastAsia="Calibri" w:hAnsi="Calibri" w:cs="Calibri"/>
                  <w:b w:val="0"/>
                  <w:i w:val="0"/>
                  <w:color w:val="000000"/>
                  <w:sz w:val="20"/>
                  <w:u w:val="none"/>
                  <w:shd w:val="clear" w:color="auto" w:fill="auto"/>
                </w:rPr>
                <w:t>22.3.-</w:t>
                <w:tab/>
                <w:t>Depreciación y amortización.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64811a6cfdf42ff9992268be553ef0d"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cc7266ae9f343e993db656bbf786cec" w:history="1">
              <w:r>
                <w:rPr>
                  <w:rFonts w:ascii="Calibri" w:eastAsia="Calibri" w:hAnsi="Calibri" w:cs="Calibri"/>
                  <w:b w:val="0"/>
                  <w:i w:val="0"/>
                  <w:color w:val="000000"/>
                  <w:sz w:val="20"/>
                  <w:u w:val="none"/>
                  <w:shd w:val="clear" w:color="auto" w:fill="auto"/>
                </w:rPr>
                <w:t>22.4.-</w:t>
                <w:tab/>
                <w:t>Otras ganancias (pérdidas).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cc7266ae9f343e993db656bbf786cec"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9111b8250104b508affd19b15abebd3" w:history="1">
              <w:r>
                <w:rPr>
                  <w:rFonts w:ascii="Calibri" w:eastAsia="Calibri" w:hAnsi="Calibri" w:cs="Calibri"/>
                  <w:b w:val="0"/>
                  <w:i w:val="0"/>
                  <w:color w:val="000000"/>
                  <w:sz w:val="20"/>
                  <w:u w:val="none"/>
                  <w:shd w:val="clear" w:color="auto" w:fill="auto"/>
                </w:rPr>
                <w:t>23.-</w:t>
                <w:tab/>
                <w:t>RESULTADO FINANCIERO.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9111b8250104b508affd19b15abebd3" w:history="1">
              <w:r>
                <w:rPr>
                  <w:rFonts w:ascii="Calibri" w:eastAsia="Calibri" w:hAnsi="Calibri" w:cs="Calibri"/>
                  <w:b w:val="0"/>
                  <w:i w:val="0"/>
                  <w:color w:val="000000"/>
                  <w:sz w:val="20"/>
                  <w:u w:val="none"/>
                  <w:shd w:val="clear" w:color="auto" w:fill="auto"/>
                </w:rPr>
                <w:t>52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dea0ae9816d4bf080c4218460bef8b3" w:history="1">
              <w:r>
                <w:rPr>
                  <w:rFonts w:ascii="Calibri" w:eastAsia="Calibri" w:hAnsi="Calibri" w:cs="Calibri"/>
                  <w:b w:val="0"/>
                  <w:i w:val="0"/>
                  <w:color w:val="000000"/>
                  <w:sz w:val="20"/>
                  <w:u w:val="none"/>
                  <w:shd w:val="clear" w:color="auto" w:fill="auto"/>
                </w:rPr>
                <w:t>23.1.-</w:t>
                <w:tab/>
                <w:t>Composición ganancias (pérdidas) de cambio en moneda extranjera.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dea0ae9816d4bf080c4218460bef8b3" w:history="1">
              <w:r>
                <w:rPr>
                  <w:rFonts w:ascii="Calibri" w:eastAsia="Calibri" w:hAnsi="Calibri" w:cs="Calibri"/>
                  <w:b w:val="0"/>
                  <w:i w:val="0"/>
                  <w:color w:val="000000"/>
                  <w:sz w:val="20"/>
                  <w:u w:val="none"/>
                  <w:shd w:val="clear" w:color="auto" w:fill="auto"/>
                </w:rPr>
                <w:t>53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ae262307ff4493dafcaaf8119870b13" w:history="1">
              <w:r>
                <w:rPr>
                  <w:rFonts w:ascii="Calibri" w:eastAsia="Calibri" w:hAnsi="Calibri" w:cs="Calibri"/>
                  <w:b w:val="0"/>
                  <w:i w:val="0"/>
                  <w:color w:val="000000"/>
                  <w:sz w:val="20"/>
                  <w:u w:val="none"/>
                  <w:shd w:val="clear" w:color="auto" w:fill="auto"/>
                </w:rPr>
                <w:t>23.2.-</w:t>
                <w:tab/>
                <w:t>Composición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ae262307ff4493dafcaaf8119870b13" w:history="1">
              <w:r>
                <w:rPr>
                  <w:rFonts w:ascii="Calibri" w:eastAsia="Calibri" w:hAnsi="Calibri" w:cs="Calibri"/>
                  <w:b w:val="0"/>
                  <w:i w:val="0"/>
                  <w:color w:val="000000"/>
                  <w:sz w:val="20"/>
                  <w:u w:val="none"/>
                  <w:shd w:val="clear" w:color="auto" w:fill="auto"/>
                </w:rPr>
                <w:t>53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d9abe565674f49aa1330e23160087b" w:history="1">
              <w:r>
                <w:rPr>
                  <w:rFonts w:ascii="Calibri" w:eastAsia="Calibri" w:hAnsi="Calibri" w:cs="Calibri"/>
                  <w:b w:val="0"/>
                  <w:i w:val="0"/>
                  <w:color w:val="000000"/>
                  <w:sz w:val="20"/>
                  <w:u w:val="none"/>
                  <w:shd w:val="clear" w:color="auto" w:fill="auto"/>
                </w:rPr>
                <w:t>24.-</w:t>
                <w:tab/>
                <w:t>GASTO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d9abe565674f49aa1330e23160087b"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16879b53b8740358a59ce337d540ec8" w:history="1">
              <w:r>
                <w:rPr>
                  <w:rFonts w:ascii="Calibri" w:eastAsia="Calibri" w:hAnsi="Calibri" w:cs="Calibri"/>
                  <w:b w:val="0"/>
                  <w:i w:val="0"/>
                  <w:color w:val="000000"/>
                  <w:sz w:val="20"/>
                  <w:u w:val="none"/>
                  <w:shd w:val="clear" w:color="auto" w:fill="auto"/>
                </w:rPr>
                <w:t>24.1.-</w:t>
                <w:tab/>
                <w:t>Efecto en resultados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16879b53b8740358a59ce337d540ec8"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4818fd65cc4062a697511f7988c27d" w:history="1">
              <w:r>
                <w:rPr>
                  <w:rFonts w:ascii="Calibri" w:eastAsia="Calibri" w:hAnsi="Calibri" w:cs="Calibri"/>
                  <w:b w:val="0"/>
                  <w:i w:val="0"/>
                  <w:color w:val="000000"/>
                  <w:sz w:val="20"/>
                  <w:u w:val="none"/>
                  <w:shd w:val="clear" w:color="auto" w:fill="auto"/>
                </w:rPr>
                <w:t>24.2.-</w:t>
                <w:tab/>
                <w:t>Conciliación entre el resultado por impuestos a las ganancias contabilizado y la tasa efectiva.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4818fd65cc4062a697511f7988c27d" w:history="1">
              <w:r>
                <w:rPr>
                  <w:rFonts w:ascii="Calibri" w:eastAsia="Calibri" w:hAnsi="Calibri" w:cs="Calibri"/>
                  <w:b w:val="0"/>
                  <w:i w:val="0"/>
                  <w:color w:val="000000"/>
                  <w:sz w:val="20"/>
                  <w:u w:val="none"/>
                  <w:shd w:val="clear" w:color="auto" w:fill="auto"/>
                </w:rPr>
                <w:t>54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9538ead642445cf9ce02da913c4043e" w:history="1">
              <w:r>
                <w:rPr>
                  <w:rFonts w:ascii="Calibri" w:eastAsia="Calibri" w:hAnsi="Calibri" w:cs="Calibri"/>
                  <w:b w:val="0"/>
                  <w:i w:val="0"/>
                  <w:color w:val="000000"/>
                  <w:sz w:val="20"/>
                  <w:u w:val="none"/>
                  <w:shd w:val="clear" w:color="auto" w:fill="auto"/>
                </w:rPr>
                <w:t>24.3.-</w:t>
                <w:tab/>
                <w:t>Efecto en los resultados integrales por impuestos a las ganancias.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9538ead642445cf9ce02da913c4043e"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b2501c1e0fa499997a5998ed36cbcaf" w:history="1">
              <w:r>
                <w:rPr>
                  <w:rFonts w:ascii="Calibri" w:eastAsia="Calibri" w:hAnsi="Calibri" w:cs="Calibri"/>
                  <w:b w:val="0"/>
                  <w:i w:val="0"/>
                  <w:color w:val="000000"/>
                  <w:sz w:val="20"/>
                  <w:u w:val="none"/>
                  <w:shd w:val="clear" w:color="auto" w:fill="auto"/>
                </w:rPr>
                <w:t>25.-</w:t>
                <w:tab/>
                <w:t>GANANCIAS POR ACCIÓN.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b2501c1e0fa499997a5998ed36cbcaf"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de89191769f45619ea749624aa99dfe" w:history="1">
              <w:r>
                <w:rPr>
                  <w:rFonts w:ascii="Calibri" w:eastAsia="Calibri" w:hAnsi="Calibri" w:cs="Calibri"/>
                  <w:b w:val="0"/>
                  <w:i w:val="0"/>
                  <w:color w:val="000000"/>
                  <w:sz w:val="20"/>
                  <w:u w:val="none"/>
                  <w:shd w:val="clear" w:color="auto" w:fill="auto"/>
                </w:rPr>
                <w:t>26.-</w:t>
                <w:tab/>
                <w:t>INFORMACIÓN POR SEGMENTO.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de89191769f45619ea749624aa99dfe"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fb0e52680bf49dcadc1d0ec11148514" w:history="1">
              <w:r>
                <w:rPr>
                  <w:rFonts w:ascii="Calibri" w:eastAsia="Calibri" w:hAnsi="Calibri" w:cs="Calibri"/>
                  <w:b w:val="0"/>
                  <w:i w:val="0"/>
                  <w:color w:val="000000"/>
                  <w:sz w:val="20"/>
                  <w:u w:val="none"/>
                  <w:shd w:val="clear" w:color="auto" w:fill="auto"/>
                </w:rPr>
                <w:t>26.1.-</w:t>
                <w:tab/>
                <w:t>Criterios de segmentación.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fb0e52680bf49dcadc1d0ec11148514" w:history="1">
              <w:r>
                <w:rPr>
                  <w:rFonts w:ascii="Calibri" w:eastAsia="Calibri" w:hAnsi="Calibri" w:cs="Calibri"/>
                  <w:b w:val="0"/>
                  <w:i w:val="0"/>
                  <w:color w:val="000000"/>
                  <w:sz w:val="20"/>
                  <w:u w:val="none"/>
                  <w:shd w:val="clear" w:color="auto" w:fill="auto"/>
                </w:rPr>
                <w:t>55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f40e9fbe9f04df9be1ea0430202146d" w:history="1">
              <w:r>
                <w:rPr>
                  <w:rFonts w:ascii="Calibri" w:eastAsia="Calibri" w:hAnsi="Calibri" w:cs="Calibri"/>
                  <w:b w:val="0"/>
                  <w:i w:val="0"/>
                  <w:color w:val="000000"/>
                  <w:sz w:val="20"/>
                  <w:u w:val="none"/>
                  <w:shd w:val="clear" w:color="auto" w:fill="auto"/>
                </w:rPr>
                <w:t>26.2.-</w:t>
                <w:tab/>
                <w:t>Cuadros de resultados por segmentos.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f40e9fbe9f04df9be1ea0430202146d"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f84e864dc44bc0a60384ffedb9d37e" w:history="1">
              <w:r>
                <w:rPr>
                  <w:rFonts w:ascii="Calibri" w:eastAsia="Calibri" w:hAnsi="Calibri" w:cs="Calibri"/>
                  <w:b w:val="0"/>
                  <w:i w:val="0"/>
                  <w:color w:val="000000"/>
                  <w:sz w:val="20"/>
                  <w:u w:val="none"/>
                  <w:shd w:val="clear" w:color="auto" w:fill="auto"/>
                </w:rPr>
                <w:t>26.3.-</w:t>
                <w:tab/>
                <w:t>Flujos de efectivo por segmento por método directo.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f84e864dc44bc0a60384ffedb9d37e"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1a9664d32ba4802b36aaff49ab6d6cb" w:history="1">
              <w:r>
                <w:rPr>
                  <w:rFonts w:ascii="Calibri" w:eastAsia="Calibri" w:hAnsi="Calibri" w:cs="Calibri"/>
                  <w:b w:val="0"/>
                  <w:i w:val="0"/>
                  <w:color w:val="000000"/>
                  <w:sz w:val="20"/>
                  <w:u w:val="none"/>
                  <w:shd w:val="clear" w:color="auto" w:fill="auto"/>
                </w:rPr>
                <w:t>27.-</w:t>
                <w:tab/>
                <w:t>CONTINGENCIAS, JUICIOS Y OTROS.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1a9664d32ba4802b36aaff49ab6d6cb"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27305af7c6c4e068c4635f85ef7cc6f" w:history="1">
              <w:r>
                <w:rPr>
                  <w:rFonts w:ascii="Calibri" w:eastAsia="Calibri" w:hAnsi="Calibri" w:cs="Calibri"/>
                  <w:b w:val="0"/>
                  <w:i w:val="0"/>
                  <w:color w:val="000000"/>
                  <w:sz w:val="20"/>
                  <w:u w:val="none"/>
                  <w:shd w:val="clear" w:color="auto" w:fill="auto"/>
                </w:rPr>
                <w:t>27.1.-</w:t>
                <w:tab/>
                <w:t>Juicios y otras acciones legales.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27305af7c6c4e068c4635f85ef7cc6f"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c5f860cd04473b8bc1d156b2ceee5e" w:history="1">
              <w:r>
                <w:rPr>
                  <w:rFonts w:ascii="Calibri" w:eastAsia="Calibri" w:hAnsi="Calibri" w:cs="Calibri"/>
                  <w:b w:val="0"/>
                  <w:i w:val="0"/>
                  <w:color w:val="000000"/>
                  <w:sz w:val="20"/>
                  <w:u w:val="none"/>
                  <w:shd w:val="clear" w:color="auto" w:fill="auto"/>
                </w:rPr>
                <w:t>27.2.-</w:t>
                <w:tab/>
                <w:t>Sanciones administrativas.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c5f860cd04473b8bc1d156b2ceee5e"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28d6f4e1c34896b82ca2ad9bba910d" w:history="1">
              <w:r>
                <w:rPr>
                  <w:rFonts w:ascii="Calibri" w:eastAsia="Calibri" w:hAnsi="Calibri" w:cs="Calibri"/>
                  <w:b w:val="0"/>
                  <w:i w:val="0"/>
                  <w:color w:val="000000"/>
                  <w:sz w:val="20"/>
                  <w:u w:val="none"/>
                  <w:shd w:val="clear" w:color="auto" w:fill="auto"/>
                </w:rPr>
                <w:t>27.3.-</w:t>
                <w:tab/>
                <w:t>Restricciones.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28d6f4e1c34896b82ca2ad9bba910d" w:history="1">
              <w:r>
                <w:rPr>
                  <w:rFonts w:ascii="Calibri" w:eastAsia="Calibri" w:hAnsi="Calibri" w:cs="Calibri"/>
                  <w:b w:val="0"/>
                  <w:i w:val="0"/>
                  <w:color w:val="000000"/>
                  <w:sz w:val="20"/>
                  <w:u w:val="none"/>
                  <w:shd w:val="clear" w:color="auto" w:fill="auto"/>
                </w:rPr>
                <w:t>56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d0dfefcc64b4a3c889738b90573ab2b" w:history="1">
              <w:r>
                <w:rPr>
                  <w:rFonts w:ascii="Calibri" w:eastAsia="Calibri" w:hAnsi="Calibri" w:cs="Calibri"/>
                  <w:b w:val="0"/>
                  <w:i w:val="0"/>
                  <w:color w:val="000000"/>
                  <w:sz w:val="20"/>
                  <w:u w:val="none"/>
                  <w:shd w:val="clear" w:color="auto" w:fill="auto"/>
                </w:rPr>
                <w:t>28.-</w:t>
                <w:tab/>
                <w:t>DISTRIBUCIÓN DEL PERSONAL.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d0dfefcc64b4a3c889738b90573ab2b" w:history="1">
              <w:r>
                <w:rPr>
                  <w:rFonts w:ascii="Calibri" w:eastAsia="Calibri" w:hAnsi="Calibri" w:cs="Calibri"/>
                  <w:b w:val="0"/>
                  <w:i w:val="0"/>
                  <w:color w:val="000000"/>
                  <w:sz w:val="20"/>
                  <w:u w:val="none"/>
                  <w:shd w:val="clear" w:color="auto" w:fill="auto"/>
                </w:rPr>
                <w:t>57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5bf910d08804719b731dc3722d20e88" w:history="1">
              <w:r>
                <w:rPr>
                  <w:rFonts w:ascii="Calibri" w:eastAsia="Calibri" w:hAnsi="Calibri" w:cs="Calibri"/>
                  <w:b w:val="0"/>
                  <w:i w:val="0"/>
                  <w:color w:val="000000"/>
                  <w:sz w:val="20"/>
                  <w:u w:val="none"/>
                  <w:shd w:val="clear" w:color="auto" w:fill="auto"/>
                </w:rPr>
                <w:t>29.-</w:t>
                <w:tab/>
                <w:t>HECHOS POSTERIORES.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5bf910d08804719b731dc3722d20e88" w:history="1">
              <w:r>
                <w:rPr>
                  <w:rFonts w:ascii="Calibri" w:eastAsia="Calibri" w:hAnsi="Calibri" w:cs="Calibri"/>
                  <w:b w:val="0"/>
                  <w:i w:val="0"/>
                  <w:color w:val="000000"/>
                  <w:sz w:val="20"/>
                  <w:u w:val="none"/>
                  <w:shd w:val="clear" w:color="auto" w:fill="auto"/>
                </w:rPr>
                <w:t>57</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5"/>
          <w:footerReference w:type="default" r:id="rId16"/>
          <w:pgSz w:w="12240" w:h="15840"/>
          <w:pgMar w:top="1134" w:right="1134" w:bottom="1134" w:left="1134" w:header="0" w:footer="425"/>
          <w:cols w:space="708"/>
        </w:sectPr>
      </w:pPr>
    </w:p>
    <w:p>
      <w:pPr>
        <w:pStyle w:val="Normal-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val="0"/>
          <w:i w:val="0"/>
          <w:color w:val="000000"/>
          <w:sz w:val="20"/>
          <w:u w:val="none"/>
        </w:rPr>
      </w:pPr>
      <w:bookmarkStart w:id="9" w:name="Section10"/>
      <w:bookmarkEnd w:id="9"/>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w:t>
      </w:r>
    </w:p>
    <w:p>
      <w:pPr>
        <w:pStyle w:val="Normal-wk"/>
        <w:keepNext w:val="0"/>
        <w:keepLines/>
        <w:pageBreakBefore w:val="0"/>
        <w:widowControl w:val="0"/>
        <w:numPr>
          <w:ilvl w:val="0"/>
          <w:numId w:val="0"/>
        </w:numPr>
        <w:spacing w:before="0" w:after="0" w:line="259"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keepNext w:val="0"/>
        <w:keepLines/>
        <w:pageBreakBefore w:val="0"/>
        <w:widowControl w:val="0"/>
        <w:numPr>
          <w:ilvl w:val="0"/>
          <w:numId w:val="0"/>
        </w:numPr>
        <w:tabs>
          <w:tab w:val="left" w:pos="700"/>
        </w:tabs>
        <w:spacing w:before="0" w:after="0" w:line="259" w:lineRule="auto"/>
        <w:ind w:left="0" w:right="0" w:firstLine="0"/>
        <w:jc w:val="both"/>
        <w:outlineLvl w:val="9"/>
        <w:rPr>
          <w:rFonts w:ascii="Calibri" w:eastAsia="Calibri" w:hAnsi="Calibri" w:cs="Calibri"/>
          <w:b w:val="0"/>
          <w:i w:val="0"/>
          <w:color w:val="000000"/>
          <w:sz w:val="18"/>
          <w:u w:val="none"/>
        </w:rPr>
      </w:pPr>
      <w:r>
        <w:pict>
          <v:shape id="_x0000_i1033" type="#_x0000_t75" style="width:498.9pt;height:1.98pt">
            <v:imagedata r:id="rId8"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Heading1-wk"/>
        <w:keepNext w:val="0"/>
        <w:keepLines w:val="0"/>
        <w:pageBreakBefore w:val="0"/>
        <w:widowControl/>
        <w:numPr>
          <w:ilvl w:val="0"/>
          <w:numId w:val="0"/>
        </w:numPr>
        <w:spacing w:before="0" w:after="0" w:line="240" w:lineRule="exact"/>
        <w:ind w:left="0" w:right="0" w:firstLine="0"/>
        <w:jc w:val="both"/>
        <w:outlineLvl w:val="9"/>
        <w:rPr>
          <w:rFonts w:ascii="Calibri" w:eastAsia="Calibri" w:hAnsi="Calibri" w:cs="Calibri"/>
          <w:b/>
          <w:i w:val="0"/>
          <w:color w:val="000000"/>
          <w:sz w:val="20"/>
          <w:u w:val="none"/>
        </w:rPr>
      </w:pPr>
      <w:bookmarkStart w:id="10" w:name="06a26ad26065499f8bbe64b6d45082d6"/>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CGE Comercializadora SpA. Rut 77.316.204-2, es una sociedad por acciones, tiene su domicilio social en Avda. Presidente Riesco N° 5561 piso 12 en la comuna de Las Condes de la ciudad de Santiago, en la República de Chile. La Sociedad, fue constituida el día 11 de febrero de 2021, mediante escritura pública, protocolizada ante el notario Juan Ricardo San Martín Urrejola.</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es una sociedad cuyos negocios principales comprenden la comercialización de energía eléctrica, mediante la negociación de condiciones de suministro con distintos generadores del sistema eléctrico chileno, con el objeto de abastecer requerimientos de clientes libres, como también desarrollar su actividad en el negocio de construcción de obras eléctricas a terceros y arrendamientos de equipos.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El accionista propietario del 100% de las acciones de CGE Comercializadora SpA. es CGE Transmisión S.A., subsidiaria de State Grid Chile Electricity SpA. CGE Comercializadora SpA. es integrante del Grupo State Grid Corporation of China, cuya matriz final es dicha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 emisión de estos estados financieros correspondientes al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ha sido aprobada por la administración el</w:t>
      </w:r>
      <w:r>
        <w:rPr>
          <w:rFonts w:ascii="Calibri" w:eastAsia="Calibri" w:hAnsi="Calibri" w:cs="Calibri"/>
          <w:b w:val="0"/>
          <w:i w:val="0"/>
          <w:color w:val="000000"/>
          <w:sz w:val="20"/>
          <w:highlight w:val="white"/>
          <w:u w:val="none"/>
        </w:rPr>
        <w:t xml:space="preserve"> 3 de marzo 2026, q</w:t>
      </w:r>
      <w:r>
        <w:rPr>
          <w:rFonts w:ascii="Calibri" w:eastAsia="Calibri" w:hAnsi="Calibri" w:cs="Calibri"/>
          <w:b w:val="0"/>
          <w:i w:val="0"/>
          <w:sz w:val="20"/>
        </w:rPr>
        <w:t>uien con dicha fecha autorizó además su publicación.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11" w:name="Section11"/>
      <w:bookmarkEnd w:id="11"/>
      <w:bookmarkStart w:id="12" w:name="184560e0847141bf95bdbe76d948a38e"/>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se detallan a continuación.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footerReference w:type="default" r:id="rId17"/>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3" w:name="Section12"/>
      <w:bookmarkEnd w:id="13"/>
      <w:bookmarkStart w:id="14" w:name="3a1c0574795c4cde9922414c2f1443a7"/>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de CGE Comercializadora SpA.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han sido preparados de acuerdo con el principio de costo.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se han utilizado las políticas emanadas desde State Grid Chile Electricity SpA.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se han utilizado estimaciones contables críticas para cuantificar algunos activos, pasivos, ingresos y gastos. Las áreas que involucran un mayor grado de juicio o complejidad o áreas en las que los supuestos y estimaciones son significativos para los estados financieros se describen en Nota 3.</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se han efectuado reclasificaciones para facilitar su comparación con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Estas reclasificaciones no modifican el resultado ni el patrimonio del ejercicio anterior.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560"/>
          <w:cols w:space="708"/>
        </w:sectPr>
      </w:pPr>
    </w:p>
    <w:p>
      <w:pPr>
        <w:pStyle w:val="Heading2-wk"/>
        <w:keepNext w:val="0"/>
        <w:keepLines w:val="0"/>
        <w:pageBreakBefore w:val="0"/>
        <w:widowControl/>
        <w:numPr>
          <w:ilvl w:val="0"/>
          <w:numId w:val="0"/>
        </w:numPr>
        <w:tabs>
          <w:tab w:val="left" w:pos="700"/>
        </w:tabs>
        <w:spacing w:before="0" w:after="0" w:line="240" w:lineRule="exact"/>
        <w:ind w:left="0" w:right="0" w:firstLine="709"/>
        <w:jc w:val="both"/>
        <w:outlineLvl w:val="1"/>
        <w:rPr>
          <w:rFonts w:ascii="Calibri" w:eastAsia="Calibri" w:hAnsi="Calibri" w:cs="Calibri"/>
          <w:b/>
          <w:i w:val="0"/>
          <w:color w:val="000000"/>
          <w:sz w:val="20"/>
          <w:u w:val="none"/>
        </w:rPr>
      </w:pPr>
      <w:bookmarkStart w:id="15" w:name="Section13"/>
      <w:bookmarkEnd w:id="15"/>
      <w:bookmarkStart w:id="16" w:name="a9bde871f38b45bcaee56df41ff03c7d"/>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CGE Comercializadora SpA.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30" w:lineRule="exact"/>
        <w:ind w:left="2124" w:right="0" w:hanging="708"/>
        <w:jc w:val="both"/>
        <w:outlineLvl w:val="9"/>
        <w:rPr>
          <w:rFonts w:ascii="Aptos" w:eastAsia="Aptos" w:hAnsi="Aptos" w:cs="Aptos"/>
          <w:b w:val="0"/>
          <w:i w:val="0"/>
          <w:color w:val="000000"/>
          <w:sz w:val="24"/>
          <w:u w:val="none"/>
        </w:rPr>
      </w:pPr>
      <w:r>
        <w:rPr>
          <w:rFonts w:ascii="Calibri" w:eastAsia="Calibri" w:hAnsi="Calibri" w:cs="Calibri"/>
          <w:b w:val="0"/>
          <w:i w:val="0"/>
          <w:color w:val="000000"/>
          <w:sz w:val="20"/>
          <w:u w:val="none"/>
        </w:rPr>
        <w:t>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 agosto de 2023, el IASB emitió enmiendas a la NIC 21 “Efectos de las Variaciones en las Tasas de Cambio”, ellas especifican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enmiendas entran en vigencia para los ejercicios anuales que comiencen a partir del 1 de enero de 2025. Al aplicar las enmiendas, no está permitido reexpresar la información comparativa.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adopción de esta norma y su enmienda no generó impactos en los estados financieros de la Sociedad en la fecha de aplicación inicial.</w:t>
      </w:r>
    </w:p>
    <w:p>
      <w:pPr>
        <w:keepNext w:val="0"/>
        <w:keepLines w:val="0"/>
        <w:pageBreakBefore w:val="0"/>
        <w:widowControl/>
        <w:numPr>
          <w:ilvl w:val="0"/>
          <w:numId w:val="0"/>
        </w:numPr>
        <w:tabs>
          <w:tab w:val="left" w:pos="700"/>
        </w:tabs>
        <w:spacing w:before="0" w:after="0" w:line="288" w:lineRule="auto"/>
        <w:ind w:left="0" w:right="0" w:firstLine="0"/>
        <w:jc w:val="both"/>
        <w:outlineLvl w:val="9"/>
        <w:rPr>
          <w:rFonts w:ascii="Calibri" w:eastAsia="Calibri" w:hAnsi="Calibri" w:cs="Calibri"/>
          <w:b/>
          <w:i w:val="0"/>
          <w:color w:val="000000"/>
          <w:sz w:val="20"/>
          <w:u w:val="none"/>
        </w:rPr>
      </w:pPr>
    </w:p>
    <w:p>
      <w:pPr>
        <w:keepNext w:val="0"/>
        <w:keepLines w:val="0"/>
        <w:pageBreakBefore w:val="0"/>
        <w:widowControl/>
        <w:numPr>
          <w:ilvl w:val="0"/>
          <w:numId w:val="0"/>
        </w:numPr>
        <w:tabs>
          <w:tab w:val="left" w:pos="700"/>
        </w:tabs>
        <w:spacing w:before="0" w:after="0" w:line="288" w:lineRule="auto"/>
        <w:ind w:left="0" w:right="0" w:firstLine="0"/>
        <w:jc w:val="both"/>
        <w:outlineLvl w:val="9"/>
        <w:sectPr>
          <w:type w:val="continuous"/>
          <w:pgSz w:w="12240" w:h="15840"/>
          <w:pgMar w:top="1134" w:right="1134" w:bottom="1134" w:left="1134" w:header="0" w:footer="560"/>
          <w:cols w:space="708"/>
        </w:sectPr>
      </w:pPr>
    </w:p>
    <w:p>
      <w:pPr>
        <w:pStyle w:val="Heading2-wk"/>
        <w:keepNext w:val="0"/>
        <w:keepLines w:val="0"/>
        <w:pageBreakBefore w:val="0"/>
        <w:widowControl/>
        <w:numPr>
          <w:ilvl w:val="0"/>
          <w:numId w:val="0"/>
        </w:numPr>
        <w:tabs>
          <w:tab w:val="left" w:pos="700"/>
        </w:tabs>
        <w:spacing w:before="0" w:after="0" w:line="240" w:lineRule="exact"/>
        <w:ind w:left="1417" w:right="0" w:hanging="709"/>
        <w:jc w:val="both"/>
        <w:outlineLvl w:val="1"/>
        <w:rPr>
          <w:rFonts w:ascii="Calibri" w:eastAsia="Calibri" w:hAnsi="Calibri" w:cs="Calibri"/>
          <w:b/>
          <w:i w:val="0"/>
          <w:color w:val="000000"/>
          <w:sz w:val="20"/>
          <w:u w:val="none"/>
        </w:rPr>
      </w:pPr>
      <w:bookmarkStart w:id="17" w:name="Section14"/>
      <w:bookmarkEnd w:id="17"/>
      <w:bookmarkStart w:id="18" w:name="24a82f2d5efe4edcbffe8e7fcf1415cc"/>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8"/>
    </w:p>
    <w:p>
      <w:pPr>
        <w:pStyle w:val="Normal-wk"/>
        <w:keepNext w:val="0"/>
        <w:keepLines/>
        <w:pageBreakBefore w:val="0"/>
        <w:widowControl w:val="0"/>
        <w:numPr>
          <w:ilvl w:val="0"/>
          <w:numId w:val="0"/>
        </w:numPr>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2.3.1.-    En mayo de 2024, el IASB emitió enmiendas a la NIIF 9 y NIIF 7 “Clasificación y Medición de los Instrumentos Financieros“, enmiendas que: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 </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serán efectivas para los períodos anuales que comiencen a partir del 1 de enero de 2026. Las </w:t>
      </w:r>
      <w:r>
        <w:rPr>
          <w:rFonts w:ascii="Calibri" w:eastAsia="Calibri" w:hAnsi="Calibri" w:cs="Calibri"/>
          <w:b w:val="0"/>
          <w:i w:val="0"/>
          <w:color w:val="000000"/>
          <w:sz w:val="20"/>
          <w:u w:val="none"/>
        </w:rPr>
        <w:t>entidades</w:t>
      </w:r>
      <w:r>
        <w:rPr>
          <w:rFonts w:ascii="Calibri" w:eastAsia="Calibri" w:hAnsi="Calibri" w:cs="Calibri"/>
          <w:b w:val="0"/>
          <w:i w:val="0"/>
          <w:sz w:val="20"/>
        </w:rPr>
        <w:t xml:space="preserve">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nuevos requisitos se aplicarán retrospectivamente con un ajuste en el saldo de apertura de los resultados acumulados. No es necesario reexpresar períodos anteriores. Además, se requiere que una entidad revele in</w:t>
      </w:r>
      <w:r>
        <w:rPr>
          <w:rFonts w:ascii="Calibri" w:eastAsia="Calibri" w:hAnsi="Calibri" w:cs="Calibri"/>
          <w:b w:val="0"/>
          <w:i w:val="0"/>
          <w:sz w:val="20"/>
        </w:rPr>
        <w:t>f</w:t>
      </w:r>
      <w:r>
        <w:rPr>
          <w:rFonts w:ascii="Calibri" w:eastAsia="Calibri" w:hAnsi="Calibri" w:cs="Calibri"/>
          <w:b w:val="0"/>
          <w:i w:val="0"/>
          <w:sz w:val="20"/>
        </w:rPr>
        <w:t>ormación sobre los activos financieros que cambian su categoría de medición debido a las modificaciones.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 xml:space="preserve">2.3.2.- </w:t>
      </w:r>
      <w:r>
        <w:rPr>
          <w:rFonts w:ascii="Calibri" w:eastAsia="Calibri" w:hAnsi="Calibri" w:cs="Calibri"/>
          <w:b w:val="0"/>
          <w:i w:val="0"/>
          <w:sz w:val="24"/>
        </w:rPr>
        <w:t xml:space="preserve"> </w:t>
      </w:r>
      <w:r>
        <w:rPr>
          <w:rFonts w:ascii="Calibri" w:eastAsia="Calibri" w:hAnsi="Calibri" w:cs="Calibri"/>
          <w:b w:val="0"/>
          <w:i w:val="0"/>
          <w:sz w:val="24"/>
        </w:rPr>
        <w:tab/>
      </w:r>
      <w:r>
        <w:rPr>
          <w:rFonts w:ascii="Calibri" w:eastAsia="Calibri" w:hAnsi="Calibri" w:cs="Calibri"/>
          <w:b w:val="0"/>
          <w:i w:val="0"/>
          <w:color w:val="000000"/>
          <w:sz w:val="20"/>
          <w:u w:val="none"/>
        </w:rPr>
        <w:t>En</w:t>
      </w:r>
      <w:r>
        <w:rPr>
          <w:rFonts w:ascii="Calibri" w:eastAsia="Calibri" w:hAnsi="Calibri" w:cs="Calibri"/>
          <w:b w:val="0"/>
          <w:i w:val="0"/>
          <w:sz w:val="20"/>
        </w:rPr>
        <w:t xml:space="preserve">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spacing w:before="0" w:after="0" w:line="288" w:lineRule="auto"/>
        <w:ind w:left="284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Estas enmiendas aplican para los períodos de presentación de informes anuales que comiencen a partir del 1 de enero de 2026. Se permite su aplicación anticipada.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 xml:space="preserve">2.3.3.- </w:t>
      </w:r>
      <w:r>
        <w:rPr>
          <w:rFonts w:ascii="Calibri" w:eastAsia="Calibri" w:hAnsi="Calibri" w:cs="Calibri"/>
          <w:b w:val="0"/>
          <w:i w:val="0"/>
          <w:sz w:val="20"/>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spacing w:before="0" w:after="0" w:line="276" w:lineRule="auto"/>
        <w:ind w:left="2551" w:right="0" w:hanging="425"/>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spacing w:before="0" w:after="0" w:line="276" w:lineRule="auto"/>
        <w:ind w:left="2551" w:right="0" w:hanging="425"/>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 xml:space="preserve">2.3.4.- </w:t>
      </w:r>
      <w:r>
        <w:rPr>
          <w:rFonts w:ascii="Calibri" w:eastAsia="Calibri" w:hAnsi="Calibri" w:cs="Calibri"/>
          <w:b w:val="0"/>
          <w:i w:val="0"/>
          <w:sz w:val="20"/>
        </w:rPr>
        <w:tab/>
      </w:r>
      <w:r>
        <w:rPr>
          <w:rFonts w:ascii="Calibri" w:eastAsia="Calibri" w:hAnsi="Calibri" w:cs="Calibri"/>
          <w:b w:val="0"/>
          <w:i w:val="0"/>
          <w:sz w:val="20"/>
        </w:rPr>
        <w:t xml:space="preserve">En abril de 2024, el IASB emitió la NIIF 18 “Presentación e Información a Revelar en los Estados Financieros”, que sustituye a la NIC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 </w:t>
      </w:r>
    </w:p>
    <w:p>
      <w:pPr>
        <w:keepNext w:val="0"/>
        <w:keepLines/>
        <w:pageBreakBefore w:val="0"/>
        <w:widowControl w:val="0"/>
        <w:numPr>
          <w:ilvl w:val="0"/>
          <w:numId w:val="0"/>
        </w:numPr>
        <w:spacing w:before="0" w:after="0" w:line="276" w:lineRule="auto"/>
        <w:ind w:left="2126"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NIIF 18 y todas las modificaciones consiguientes entran en vigor para los ejercicios que comiencen a partir del 1 de enero de 2027, permitiéndose su aplicación anticipada. Se requiere su aplicación retroactiva.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2.3.5.-</w:t>
      </w:r>
      <w:r>
        <w:rPr>
          <w:rFonts w:ascii="Calibri" w:eastAsia="Calibri" w:hAnsi="Calibri" w:cs="Calibri"/>
          <w:b w:val="0"/>
          <w:i w:val="0"/>
          <w:sz w:val="20"/>
        </w:rPr>
        <w:tab/>
      </w:r>
      <w:r>
        <w:rPr>
          <w:rFonts w:ascii="Calibri" w:eastAsia="Calibri" w:hAnsi="Calibri" w:cs="Calibri"/>
          <w:b w:val="0"/>
          <w:i w:val="0"/>
          <w:sz w:val="20"/>
        </w:rPr>
        <w:t xml:space="preserve">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 NIIF 19 entrará en vigor para los períodos sobre los que se informa que comiencen a partir del 1 de enero de 2027, permitiéndose su aplicación anticipada.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2.3.6.-</w:t>
      </w:r>
      <w:r>
        <w:rPr>
          <w:rFonts w:ascii="Calibri" w:eastAsia="Calibri" w:hAnsi="Calibri" w:cs="Calibri"/>
          <w:b w:val="0"/>
          <w:i w:val="0"/>
          <w:sz w:val="20"/>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76" w:lineRule="auto"/>
        <w:ind w:left="2409" w:right="0" w:hanging="709"/>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2.3.7.-</w:t>
      </w:r>
      <w:r>
        <w:rPr>
          <w:rFonts w:ascii="Calibri" w:eastAsia="Calibri" w:hAnsi="Calibri" w:cs="Calibri"/>
          <w:b w:val="0"/>
          <w:i w:val="0"/>
          <w:sz w:val="20"/>
        </w:rPr>
        <w:tab/>
      </w:r>
      <w:r>
        <w:rPr>
          <w:rFonts w:ascii="Calibri" w:eastAsia="Calibri" w:hAnsi="Calibri" w:cs="Calibri"/>
          <w:b w:val="0"/>
          <w:i w:val="0"/>
          <w:sz w:val="20"/>
        </w:rPr>
        <w:t>En noviembre de 2025, el IASB emitió las Enmiendas a los Ejemplos Ilustrativos de las NIIF 7, NIIF 18, NIC 1, NIC 8, NIC 36 y NIC 37 – Revelaciones sobre Incertidumbres en los Estados Financieros (“los ejemplos”), que agregaron ejemplos ilustrativos a varias normas contables NIIF.</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Juicios relacionados con la materialidad.</w:t>
      </w:r>
    </w:p>
    <w:p>
      <w:pPr>
        <w:keepNext w:val="0"/>
        <w:keepLines/>
        <w:pageBreakBefore w:val="0"/>
        <w:widowControl w:val="0"/>
        <w:numPr>
          <w:ilvl w:val="0"/>
          <w:numId w:val="0"/>
        </w:numPr>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spacing w:before="0" w:after="0" w:line="276" w:lineRule="auto"/>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spacing w:before="0" w:after="0" w:line="230" w:lineRule="exact"/>
        <w:ind w:left="2551" w:right="0" w:hanging="425"/>
        <w:jc w:val="left"/>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2.3.8.-</w:t>
      </w:r>
      <w:r>
        <w:rPr>
          <w:rFonts w:ascii="Calibri" w:eastAsia="Calibri" w:hAnsi="Calibri" w:cs="Calibri"/>
          <w:b w:val="0"/>
          <w:i w:val="0"/>
          <w:sz w:val="20"/>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w:t>
      </w:r>
      <w:r>
        <w:rPr>
          <w:rFonts w:ascii="Calibri" w:eastAsia="Calibri" w:hAnsi="Calibri" w:cs="Calibri"/>
          <w:b w:val="0"/>
          <w:i w:val="0"/>
          <w:sz w:val="20"/>
        </w:rPr>
        <w:t xml:space="preserve">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w:t>
      </w:r>
      <w:r>
        <w:rPr>
          <w:rFonts w:ascii="Calibri" w:eastAsia="Calibri" w:hAnsi="Calibri" w:cs="Calibri"/>
          <w:b w:val="0"/>
          <w:i w:val="0"/>
          <w:sz w:val="20"/>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Aptos" w:eastAsia="Aptos" w:hAnsi="Aptos" w:cs="Aptos"/>
          <w:b w:val="0"/>
          <w:i w:val="0"/>
          <w:sz w:val="24"/>
        </w:rPr>
      </w:pPr>
      <w:r>
        <w:rPr>
          <w:rFonts w:ascii="Calibri" w:eastAsia="Calibri" w:hAnsi="Calibri" w:cs="Calibri"/>
          <w:b w:val="0"/>
          <w:i w:val="0"/>
          <w:sz w:val="20"/>
        </w:rPr>
        <w:t>La</w:t>
      </w:r>
      <w:r>
        <w:rPr>
          <w:rFonts w:ascii="Calibri" w:eastAsia="Calibri" w:hAnsi="Calibri" w:cs="Calibri"/>
          <w:b w:val="0"/>
          <w:i w:val="0"/>
          <w:sz w:val="20"/>
        </w:rPr>
        <w:t xml:space="preserve"> </w:t>
      </w:r>
      <w:r>
        <w:rPr>
          <w:rFonts w:ascii="Calibri" w:eastAsia="Calibri" w:hAnsi="Calibri" w:cs="Calibri"/>
          <w:b w:val="0"/>
          <w:i w:val="0"/>
          <w:color w:val="000000"/>
          <w:sz w:val="20"/>
          <w:u w:val="none"/>
        </w:rPr>
        <w:t>Administración</w:t>
      </w:r>
      <w:r>
        <w:rPr>
          <w:rFonts w:ascii="Calibri" w:eastAsia="Calibri" w:hAnsi="Calibri" w:cs="Calibri"/>
          <w:b w:val="0"/>
          <w:i w:val="0"/>
          <w:sz w:val="20"/>
        </w:rPr>
        <w:t xml:space="preserve"> la Sociedad estima que la adopción de las Normas, Enmiendas e Interpretaciones </w:t>
      </w:r>
      <w:r>
        <w:rPr>
          <w:rFonts w:ascii="Calibri" w:eastAsia="Calibri" w:hAnsi="Calibri" w:cs="Calibri"/>
          <w:b w:val="0"/>
          <w:i w:val="0"/>
          <w:sz w:val="20"/>
        </w:rPr>
        <w:t>y que pudiesen aplicar a la Sociedad, no tendrán un impacto significativo en los estados financieros en el ejercicio de su primera aplicación.</w:t>
      </w:r>
      <w:r>
        <w:rPr>
          <w:rFonts w:ascii="Calibri" w:eastAsia="Calibri" w:hAnsi="Calibri" w:cs="Calibri"/>
          <w:b w:val="0"/>
          <w:i w:val="0"/>
          <w:color w:val="000000"/>
          <w:sz w:val="20"/>
          <w:u w:val="none"/>
        </w:rPr>
        <w:tab/>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footerReference w:type="default" r:id="rId18"/>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1417" w:right="0" w:hanging="709"/>
        <w:jc w:val="both"/>
        <w:outlineLvl w:val="1"/>
        <w:rPr>
          <w:rFonts w:ascii="Calibri" w:eastAsia="Calibri" w:hAnsi="Calibri" w:cs="Calibri"/>
          <w:b/>
          <w:i w:val="0"/>
          <w:color w:val="000000"/>
          <w:sz w:val="20"/>
          <w:u w:val="none"/>
        </w:rPr>
      </w:pPr>
      <w:bookmarkStart w:id="19" w:name="Section15"/>
      <w:bookmarkEnd w:id="19"/>
      <w:bookmarkStart w:id="20" w:name="f6bfffcdac974829bf9c7d2342a95394"/>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la Sociedad se valoran utilizando la moneda del entorno económico principal en que la entidad opera (“moneda funcional”). La moneda funcional de CGE Comercializadora SpA. es el Peso chileno, que constituye además la moneda de presentación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598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995"/>
        <w:gridCol w:w="1995"/>
        <w:gridCol w:w="1995"/>
      </w:tblGrid>
      <w:tr>
        <w:tblPrEx>
          <w:tblW w:w="5985" w:type="dxa"/>
          <w:tblInd w:w="2126"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995"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995"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r>
      <w:tr>
        <w:tblPrEx>
          <w:tblW w:w="5985" w:type="dxa"/>
          <w:tblInd w:w="2126"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9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r>
      <w:tr>
        <w:tblPrEx>
          <w:tblW w:w="5985" w:type="dxa"/>
          <w:tblInd w:w="2126" w:type="dxa"/>
          <w:tblLayout w:type="fixed"/>
        </w:tblPrEx>
        <w:trPr>
          <w:cantSplit/>
          <w:trHeight w:hRule="auto" w:val="0"/>
        </w:trPr>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31-12-2025</w:t>
            </w:r>
          </w:p>
        </w:tc>
        <w:tc>
          <w:tcPr>
            <w:tcW w:w="19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907,13</w:t>
            </w:r>
          </w:p>
        </w:tc>
        <w:tc>
          <w:tcPr>
            <w:tcW w:w="199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39.727,96</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tbl>
      <w:tblPr>
        <w:tblW w:w="6135" w:type="dxa"/>
        <w:tblInd w:w="2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415"/>
        <w:gridCol w:w="720"/>
        <w:gridCol w:w="2280"/>
      </w:tblGrid>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CL $</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Pesos chilenos</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US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Dólar estadounidense</w:t>
            </w:r>
          </w:p>
        </w:tc>
      </w:tr>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U.F.</w:t>
            </w:r>
          </w:p>
        </w:tc>
        <w:tc>
          <w:tcPr>
            <w:tcW w:w="2415"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Unidades de fomento</w:t>
            </w: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28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21" w:name="Section16"/>
      <w:bookmarkEnd w:id="21"/>
      <w:bookmarkStart w:id="22" w:name="2070825314664cda84cf3c8e7aff5ff5"/>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venta de energía y servicios asociados, para los que se toman las decisiones estratégicas. Esta información se detalla en Nota 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23" w:name="Section17"/>
      <w:bookmarkEnd w:id="23"/>
      <w:bookmarkStart w:id="24" w:name="000c5aa591624124a8fa0c83249dc319"/>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ejercicio o periodo en el que se incurren.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71"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71"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25" w:name="Section18"/>
      <w:bookmarkEnd w:id="25"/>
      <w:bookmarkStart w:id="26" w:name="cbdda91693da49ceb7180f82382c4905"/>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rPr>
          <w:rFonts w:ascii="Calibri" w:eastAsia="Calibri" w:hAnsi="Calibri" w:cs="Calibri"/>
          <w:b w:val="0"/>
          <w:i w:val="0"/>
          <w:sz w:val="20"/>
        </w:rPr>
      </w:pPr>
      <w:bookmarkEnd w:id="26"/>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2.7.1.-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CGE Comercializadora SpA.,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de se revisan en cada fecha de presentación y se ajustan si corresponde.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1417" w:right="0" w:hanging="709"/>
        <w:jc w:val="both"/>
        <w:outlineLvl w:val="1"/>
        <w:rPr>
          <w:rFonts w:ascii="Calibri" w:eastAsia="Calibri" w:hAnsi="Calibri" w:cs="Calibri"/>
          <w:b/>
          <w:i w:val="0"/>
          <w:color w:val="000000"/>
          <w:sz w:val="20"/>
          <w:u w:val="none"/>
        </w:rPr>
      </w:pPr>
      <w:bookmarkStart w:id="27" w:name="Section19"/>
      <w:bookmarkEnd w:id="27"/>
      <w:bookmarkStart w:id="28" w:name="0aa86dd5ed2b4e68af190ba9e0530acd"/>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28"/>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por intereses incurridos para la construcción de cualquier activo apto se capitalizan durante el periodo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val="0"/>
        <w:pageBreakBefore w:val="0"/>
        <w:widowControl/>
        <w:numPr>
          <w:ilvl w:val="0"/>
          <w:numId w:val="0"/>
        </w:numPr>
        <w:spacing w:before="0" w:after="0" w:line="288" w:lineRule="auto"/>
        <w:ind w:left="709" w:right="0" w:firstLine="0"/>
        <w:jc w:val="both"/>
        <w:outlineLvl w:val="1"/>
        <w:rPr>
          <w:rFonts w:ascii="Calibri" w:eastAsia="Calibri" w:hAnsi="Calibri" w:cs="Calibri"/>
          <w:b/>
          <w:i w:val="0"/>
          <w:color w:val="000000"/>
          <w:sz w:val="20"/>
          <w:u w:val="none"/>
        </w:rPr>
      </w:pPr>
      <w:bookmarkStart w:id="29" w:name="Section20"/>
      <w:bookmarkEnd w:id="29"/>
      <w:bookmarkStart w:id="30" w:name="6ec144398e564af38aa146da25ddd244"/>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pérdidas por deterioro se reconocen en resultados del ejercicio. Se asignan primero para reducir el valor en libros de </w:t>
      </w:r>
      <w:r>
        <w:rPr>
          <w:rFonts w:ascii="Calibri" w:eastAsia="Calibri" w:hAnsi="Calibri" w:cs="Calibri"/>
          <w:b w:val="0"/>
          <w:i w:val="0"/>
          <w:color w:val="000000"/>
          <w:sz w:val="20"/>
          <w:u w:val="none"/>
        </w:rPr>
        <w:t>cualquier</w:t>
      </w:r>
      <w:r>
        <w:rPr>
          <w:rFonts w:ascii="Calibri" w:eastAsia="Calibri" w:hAnsi="Calibri" w:cs="Calibri"/>
          <w:b w:val="0"/>
          <w:i w:val="0"/>
          <w:sz w:val="20"/>
        </w:rPr>
        <w:t xml:space="preserve">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31" w:name="Section21"/>
      <w:bookmarkEnd w:id="31"/>
      <w:bookmarkStart w:id="32" w:name="3653cffff3af4f52b5985165348b0a15"/>
      <w:r>
        <w:rPr>
          <w:rFonts w:ascii="Calibri" w:eastAsia="Calibri" w:hAnsi="Calibri" w:cs="Calibri"/>
          <w:b/>
          <w:i w:val="0"/>
          <w:color w:val="000000"/>
          <w:sz w:val="20"/>
          <w:u w:val="none"/>
        </w:rPr>
        <w:t>2.10.-</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32"/>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2.10.1.-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mide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6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la Sociedad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la Sociedad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Instrumentos de deuda en otro resultado integral, con ganancias o pérdidas recicladas a resultados en el momento de su realización. Los activos financieros en esta categoría son los instrumentos de deuda cotizados de la Sociedad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Instrumentos de capital en otro resultado integral, sin reciclaje de ganancias o pérdidas a resultados en el momento de su realización. Esta categoría solo incluye los instrumentos de capital, que la Sociedad tiene la intención de mantener en el futuro previsible y que la Sociedad ha elegido irrevocablemente para clasificarlos en el reconocimiento inicial o la transición. La Sociedad clasificó sus instrumentos de patrimonio no cotizados como instrumentos de patrimonio en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Los activos financieros a valor razonable con cambios en resultados comprenden instrumentos derivados e instrumentos de capital cotizados que la Sociedad no ha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 al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2.10.2.-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la Sociedad registre las pérdidas crediticias esperadas de todos sus títulos de deuda, préstamos y deudores comerciales, ya sea sobre una base de 12 meses o de por vida.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ha establecido una matriz de provisiones que se basa en la experiencia histórica de pérdidas crediticias, ajustada por factores prospectivos específicos para los deudores y el entorno económico.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33" w:name="Section22"/>
      <w:bookmarkEnd w:id="33"/>
      <w:bookmarkStart w:id="34" w:name="2f9e41bf9edf475f953bb4d4e681f137"/>
      <w:r>
        <w:rPr>
          <w:rFonts w:ascii="Calibri" w:eastAsia="Calibri" w:hAnsi="Calibri" w:cs="Calibri"/>
          <w:b/>
          <w:i w:val="0"/>
          <w:color w:val="000000"/>
          <w:sz w:val="20"/>
          <w:u w:val="none"/>
        </w:rPr>
        <w:t xml:space="preserve">2.11.- </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keepLines/>
        <w:pageBreakBefore w:val="0"/>
        <w:widowControl w:val="0"/>
        <w:numPr>
          <w:ilvl w:val="0"/>
          <w:numId w:val="0"/>
        </w:numPr>
        <w:tabs>
          <w:tab w:val="left" w:pos="700"/>
        </w:tabs>
        <w:spacing w:before="0" w:after="0" w:line="288" w:lineRule="auto"/>
        <w:ind w:left="1440" w:right="0" w:firstLine="0"/>
        <w:jc w:val="both"/>
        <w:outlineLvl w:val="9"/>
        <w:rPr>
          <w:rFonts w:ascii="Calibri" w:eastAsia="Calibri" w:hAnsi="Calibri" w:cs="Calibri"/>
          <w:b w:val="0"/>
          <w:i w:val="0"/>
          <w:color w:val="000000"/>
          <w:sz w:val="20"/>
          <w:u w:val="none"/>
        </w:rPr>
      </w:pPr>
      <w:bookmarkEnd w:id="34"/>
    </w:p>
    <w:p>
      <w:pPr>
        <w:pStyle w:val="Normal-wk"/>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existencias se valorizan a su costo o a su valor neto realizable, el menor de los dos. El costo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se determina de acuerdo al método de precio medio ponderado (PMP).</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2-wk"/>
        <w:keepNext w:val="0"/>
        <w:keepLines w:val="0"/>
        <w:pageBreakBefore w:val="0"/>
        <w:widowControl/>
        <w:numPr>
          <w:ilvl w:val="0"/>
          <w:numId w:val="0"/>
        </w:numPr>
        <w:tabs>
          <w:tab w:val="left" w:pos="700"/>
        </w:tabs>
        <w:spacing w:before="0" w:after="0" w:line="288" w:lineRule="auto"/>
        <w:ind w:left="0" w:right="0" w:firstLine="709"/>
        <w:jc w:val="both"/>
        <w:outlineLvl w:val="1"/>
        <w:rPr>
          <w:rFonts w:ascii="Calibri" w:eastAsia="Calibri" w:hAnsi="Calibri" w:cs="Calibri"/>
          <w:b/>
          <w:i w:val="0"/>
          <w:color w:val="000000"/>
          <w:sz w:val="20"/>
          <w:u w:val="none"/>
        </w:rPr>
      </w:pPr>
      <w:bookmarkStart w:id="35" w:name="Section23"/>
      <w:bookmarkEnd w:id="35"/>
      <w:bookmarkStart w:id="36" w:name="1f2da3df81354f4c8540fdb61353b35c"/>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37" w:name="Section24"/>
      <w:bookmarkEnd w:id="37"/>
      <w:bookmarkStart w:id="38" w:name="5976862608d7426fa516b94a20b88a18"/>
      <w:r>
        <w:rPr>
          <w:rFonts w:ascii="Calibri" w:eastAsia="Calibri" w:hAnsi="Calibri" w:cs="Calibri"/>
          <w:b/>
          <w:i w:val="0"/>
          <w:color w:val="000000"/>
          <w:sz w:val="20"/>
          <w:u w:val="none"/>
        </w:rPr>
        <w:t>2.13.-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8"/>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val="0"/>
        <w:pageBreakBefore w:val="0"/>
        <w:widowControl/>
        <w:numPr>
          <w:ilvl w:val="0"/>
          <w:numId w:val="0"/>
        </w:numPr>
        <w:spacing w:before="0" w:after="0" w:line="288" w:lineRule="auto"/>
        <w:ind w:left="0" w:right="0" w:firstLine="720"/>
        <w:jc w:val="both"/>
        <w:outlineLvl w:val="1"/>
        <w:rPr>
          <w:rFonts w:ascii="Calibri" w:eastAsia="Calibri" w:hAnsi="Calibri" w:cs="Calibri"/>
          <w:b/>
          <w:i w:val="0"/>
          <w:color w:val="000000"/>
          <w:sz w:val="20"/>
          <w:u w:val="none"/>
        </w:rPr>
      </w:pPr>
      <w:bookmarkStart w:id="39" w:name="Section25"/>
      <w:bookmarkEnd w:id="39"/>
      <w:bookmarkStart w:id="40" w:name="299ffe4a62294d6a8978e5a88351d5c3"/>
      <w:r>
        <w:rPr>
          <w:rFonts w:ascii="Calibri" w:eastAsia="Calibri" w:hAnsi="Calibri" w:cs="Calibri"/>
          <w:b/>
          <w:i w:val="0"/>
          <w:color w:val="000000"/>
          <w:sz w:val="20"/>
          <w:u w:val="none"/>
        </w:rPr>
        <w:t>2.14.-</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w:t>
      </w:r>
      <w:r>
        <w:rPr>
          <w:rFonts w:ascii="Calibri" w:eastAsia="Calibri" w:hAnsi="Calibri" w:cs="Calibri"/>
          <w:b w:val="0"/>
          <w:i w:val="0"/>
          <w:color w:val="000000"/>
          <w:sz w:val="20"/>
          <w:u w:val="none"/>
        </w:rPr>
        <w:t>instrumentos de patrimonio propios de la entidad.</w:t>
      </w:r>
    </w:p>
    <w:p>
      <w:pPr>
        <w:keepNext w:val="0"/>
        <w:keepLines w:val="0"/>
        <w:pageBreakBefore w:val="0"/>
        <w:widowControl/>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val="0"/>
        <w:pageBreakBefore w:val="0"/>
        <w:widowControl/>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41" w:name="Section26"/>
      <w:bookmarkEnd w:id="41"/>
      <w:bookmarkStart w:id="42" w:name="9d6ea5a6f612436ebe5ba361dc99c441"/>
      <w:r>
        <w:rPr>
          <w:rFonts w:ascii="Calibri" w:eastAsia="Calibri" w:hAnsi="Calibri" w:cs="Calibri"/>
          <w:b/>
          <w:i w:val="0"/>
          <w:color w:val="000000"/>
          <w:sz w:val="20"/>
          <w:u w:val="none"/>
        </w:rPr>
        <w:t>2.15.-</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2"/>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19"/>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43" w:name="Section27"/>
      <w:bookmarkEnd w:id="43"/>
      <w:bookmarkStart w:id="44" w:name="5ed3f3c571584bdea915116229a85e7c"/>
      <w:r>
        <w:rPr>
          <w:rFonts w:ascii="Calibri" w:eastAsia="Calibri" w:hAnsi="Calibri" w:cs="Calibri"/>
          <w:b/>
          <w:i w:val="0"/>
          <w:color w:val="000000"/>
          <w:sz w:val="20"/>
          <w:u w:val="none"/>
        </w:rPr>
        <w:t>2.16.-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préstamos, obligaciones con el público y pasivos financieros de naturaleza similar, en caso de existir,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obligaciones financieras se clasifican como pasivos corrientes a menos que CGE Comercializadora SpA. tenga un derecho incondicional a diferir su liquidación durante al menos 12 meses después de la fecha de los </w:t>
      </w:r>
      <w:r>
        <w:rPr>
          <w:rFonts w:ascii="Calibri" w:eastAsia="Calibri" w:hAnsi="Calibri" w:cs="Calibri"/>
          <w:b w:val="0"/>
          <w:i w:val="0"/>
          <w:color w:val="000000"/>
          <w:sz w:val="20"/>
          <w:u w:val="none"/>
        </w:rPr>
        <w:t xml:space="preserve">estados de situación financiera. </w:t>
      </w:r>
    </w:p>
    <w:p>
      <w:pPr>
        <w:keepNext w:val="0"/>
        <w:keepLines w:val="0"/>
        <w:pageBreakBefore w:val="0"/>
        <w:widowControl/>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val="0"/>
        <w:pageBreakBefore w:val="0"/>
        <w:widowControl/>
        <w:numPr>
          <w:ilvl w:val="0"/>
          <w:numId w:val="0"/>
        </w:numPr>
        <w:spacing w:before="0" w:after="0" w:line="288" w:lineRule="auto"/>
        <w:ind w:left="0" w:right="0" w:firstLine="0"/>
        <w:jc w:val="both"/>
        <w:outlineLvl w:val="9"/>
        <w:sectPr>
          <w:footerReference w:type="default" r:id="rId20"/>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45" w:name="Section28"/>
      <w:bookmarkEnd w:id="45"/>
      <w:bookmarkStart w:id="46" w:name="95eb6524ae714be8a32ddeb6423b6b21"/>
      <w:r>
        <w:rPr>
          <w:rFonts w:ascii="Calibri" w:eastAsia="Calibri" w:hAnsi="Calibri" w:cs="Calibri"/>
          <w:b/>
          <w:i w:val="0"/>
          <w:color w:val="000000"/>
          <w:sz w:val="20"/>
          <w:u w:val="none"/>
        </w:rPr>
        <w:t>2.17.-</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reconoce por las diferencias temporales que surgen de las inversiones en subsidiarias y en asociadas, excepto cuando la oportunidad en que se revertirán las diferencias temporales es con</w:t>
      </w:r>
      <w:r>
        <w:rPr>
          <w:rFonts w:ascii="Calibri" w:eastAsia="Calibri" w:hAnsi="Calibri" w:cs="Calibri"/>
          <w:b w:val="0"/>
          <w:i w:val="0"/>
          <w:color w:val="000000"/>
          <w:sz w:val="20"/>
          <w:u w:val="none"/>
        </w:rPr>
        <w:t>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footerReference w:type="default" r:id="rId21"/>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47" w:name="Section29"/>
      <w:bookmarkEnd w:id="47"/>
      <w:bookmarkStart w:id="48" w:name="b325c2501d5d42378340921ba3a2d826"/>
      <w:r>
        <w:rPr>
          <w:rFonts w:ascii="Calibri" w:eastAsia="Calibri" w:hAnsi="Calibri" w:cs="Calibri"/>
          <w:b/>
          <w:i w:val="0"/>
          <w:color w:val="000000"/>
          <w:sz w:val="20"/>
          <w:u w:val="none"/>
        </w:rPr>
        <w:t>2.18.-</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48"/>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2.18.1.-</w:t>
      </w:r>
      <w:r>
        <w:rPr>
          <w:rFonts w:ascii="Calibri" w:eastAsia="Calibri" w:hAnsi="Calibri" w:cs="Calibri"/>
          <w:b w:val="0"/>
          <w:i w:val="0"/>
          <w:sz w:val="20"/>
        </w:rPr>
        <w:tab/>
      </w:r>
      <w:r>
        <w:rPr>
          <w:rFonts w:ascii="Calibri" w:eastAsia="Calibri" w:hAnsi="Calibri" w:cs="Calibri"/>
          <w:b w:val="0"/>
          <w:i w:val="0"/>
          <w:sz w:val="20"/>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2.18.2.-</w:t>
      </w:r>
      <w:r>
        <w:rPr>
          <w:rFonts w:ascii="Calibri" w:eastAsia="Calibri" w:hAnsi="Calibri" w:cs="Calibri"/>
          <w:b w:val="0"/>
          <w:i w:val="0"/>
          <w:color w:val="000000"/>
          <w:sz w:val="20"/>
          <w:u w:val="none"/>
        </w:rPr>
        <w:tab/>
      </w:r>
      <w:r>
        <w:rPr>
          <w:rFonts w:ascii="Calibri" w:eastAsia="Calibri" w:hAnsi="Calibri" w:cs="Calibri"/>
          <w:b w:val="0"/>
          <w:i w:val="0"/>
          <w:sz w:val="20"/>
        </w:rPr>
        <w:t>Beneficios</w:t>
      </w:r>
      <w:r>
        <w:rPr>
          <w:rFonts w:ascii="Calibri" w:eastAsia="Calibri" w:hAnsi="Calibri" w:cs="Calibri"/>
          <w:b w:val="0"/>
          <w:i w:val="0"/>
          <w:color w:val="000000"/>
          <w:sz w:val="20"/>
          <w:u w:val="none"/>
        </w:rPr>
        <w:t xml:space="preserve"> post jubilatorios.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mantiene beneficios post-jubilatorios acordados con el personal conforme a los contratos colectivos e individuales vigentes, para todo el personal contratado con anterioridad al año 1992. Este beneficio se reconoce en base al método de la unidad de crédito proyectada.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12"/>
        <w:jc w:val="both"/>
        <w:outlineLvl w:val="9"/>
        <w:rPr>
          <w:rFonts w:ascii="Calibri" w:eastAsia="Calibri" w:hAnsi="Calibri" w:cs="Calibri"/>
          <w:b w:val="0"/>
          <w:i w:val="0"/>
          <w:color w:val="000000"/>
          <w:sz w:val="20"/>
          <w:u w:val="none"/>
        </w:rPr>
      </w:pPr>
      <w:r>
        <w:rPr>
          <w:rFonts w:ascii="Calibri" w:eastAsia="Calibri" w:hAnsi="Calibri" w:cs="Calibri"/>
          <w:b w:val="0"/>
          <w:i w:val="0"/>
          <w:sz w:val="20"/>
        </w:rPr>
        <w:t>2.18.3.- Indemnizaciones por años de servicio (PIAS).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constituye pasivos por obligaciones por indemnizaciones por cese de servicios, en base a lo estipulado en los contratos colectivos e individuales del personal. Si este beneficio se encuentra pactado, la obligación se trata de acuerdo con NIC 19,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periodos en los cuales ocurren. No son reciclados posteriormente.</w:t>
      </w:r>
    </w:p>
    <w:p>
      <w:pPr>
        <w:keepNext w:val="0"/>
        <w:keepLines/>
        <w:pageBreakBefore w:val="0"/>
        <w:widowControl w:val="0"/>
        <w:numPr>
          <w:ilvl w:val="0"/>
          <w:numId w:val="0"/>
        </w:numPr>
        <w:spacing w:before="0" w:after="0" w:line="288" w:lineRule="auto"/>
        <w:ind w:left="2124"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2.18.4.- 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beneficios por cese que no califican con lo descrito en el punto 2.18.3 se pagan cuando la relación laboral se interrumpe antes de la fecha normal de retiro o cuando un empleado acepta voluntariamente el cese a cambio de estos beneficios. CGE Comercializadora SpA. reconoce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40" w:lineRule="exact"/>
        <w:ind w:left="2835" w:right="0" w:hanging="709"/>
        <w:jc w:val="both"/>
        <w:outlineLvl w:val="9"/>
        <w:rPr>
          <w:rFonts w:ascii="Calibri" w:eastAsia="Calibri" w:hAnsi="Calibri" w:cs="Calibri"/>
          <w:b w:val="0"/>
          <w:i w:val="0"/>
          <w:sz w:val="20"/>
        </w:rPr>
      </w:pPr>
      <w:r>
        <w:rPr>
          <w:rFonts w:ascii="Calibri" w:eastAsia="Calibri" w:hAnsi="Calibri" w:cs="Calibri"/>
          <w:b w:val="0"/>
          <w:i w:val="0"/>
          <w:sz w:val="20"/>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15"/>
        </w:numPr>
        <w:spacing w:before="0" w:after="0" w:line="240" w:lineRule="exact"/>
        <w:ind w:left="2835" w:right="0" w:hanging="709"/>
        <w:jc w:val="both"/>
        <w:outlineLvl w:val="9"/>
        <w:rPr>
          <w:rFonts w:ascii="Calibri" w:eastAsia="Calibri" w:hAnsi="Calibri" w:cs="Calibri"/>
          <w:b w:val="0"/>
          <w:i w:val="0"/>
          <w:sz w:val="20"/>
        </w:rPr>
      </w:pPr>
      <w:r>
        <w:rPr>
          <w:rFonts w:ascii="Calibri" w:eastAsia="Calibri" w:hAnsi="Calibri" w:cs="Calibri"/>
          <w:b w:val="0"/>
          <w:i w:val="0"/>
          <w:sz w:val="20"/>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2115" w:right="0" w:hanging="34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2.18.5.-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tiene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ejercicios en los cuales ocurren. No son reciclados posteriormente.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2.18.6.-</w:t>
      </w:r>
      <w:r>
        <w:rPr>
          <w:rFonts w:ascii="Calibri" w:eastAsia="Calibri" w:hAnsi="Calibri" w:cs="Calibri"/>
          <w:b w:val="0"/>
          <w:i w:val="0"/>
          <w:sz w:val="20"/>
        </w:rPr>
        <w:tab/>
      </w:r>
      <w:r>
        <w:rPr>
          <w:rFonts w:ascii="Calibri" w:eastAsia="Calibri" w:hAnsi="Calibri" w:cs="Calibri"/>
          <w:b w:val="0"/>
          <w:i w:val="0"/>
          <w:sz w:val="20"/>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un pasivo y un gasto por participación en las utilidades en base a contratos colectivos e individuales de sus trabajadores, sobre la base de una fórmula que toma en cuenta la utilidad atribuible a los accionistas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49" w:name="Section30"/>
      <w:bookmarkEnd w:id="49"/>
      <w:bookmarkStart w:id="50" w:name="42ab339eaf3545fa83f0e03145ed1a9a"/>
      <w:r>
        <w:rPr>
          <w:rFonts w:ascii="Calibri" w:eastAsia="Calibri" w:hAnsi="Calibri" w:cs="Calibri"/>
          <w:b/>
          <w:i w:val="0"/>
          <w:color w:val="000000"/>
          <w:sz w:val="20"/>
          <w:u w:val="none"/>
        </w:rPr>
        <w:t>2.19.-</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una provisión cuando está obligado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para contratos onerosos, litigios y otras contingencias se reconocen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6"/>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tiene una obligación presente, ya sea legal o constructiva, como resultado de sucesos pasados;</w:t>
      </w:r>
    </w:p>
    <w:p>
      <w:pPr>
        <w:pStyle w:val="Normal-wk"/>
        <w:keepNext w:val="0"/>
        <w:keepLines/>
        <w:pageBreakBefore w:val="0"/>
        <w:widowControl w:val="0"/>
        <w:numPr>
          <w:ilvl w:val="0"/>
          <w:numId w:val="17"/>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 probable que vaya a ser necesaria una salida de recursos para liquidar la obligación; </w:t>
      </w:r>
    </w:p>
    <w:p>
      <w:pPr>
        <w:pStyle w:val="Normal-wk"/>
        <w:keepNext w:val="0"/>
        <w:keepLines/>
        <w:pageBreakBefore w:val="0"/>
        <w:widowControl w:val="0"/>
        <w:numPr>
          <w:ilvl w:val="0"/>
          <w:numId w:val="18"/>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w:t>
      </w:r>
      <w:r>
        <w:rPr>
          <w:rFonts w:ascii="Calibri" w:eastAsia="Calibri" w:hAnsi="Calibri" w:cs="Calibri"/>
          <w:b w:val="0"/>
          <w:i w:val="0"/>
          <w:color w:val="000000"/>
          <w:sz w:val="20"/>
          <w:u w:val="none"/>
        </w:rPr>
        <w:t xml:space="preserve">e puede ser estimado de forma fiable.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40" w:line="240" w:lineRule="exact"/>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se valoran por el valor actual de los desembolsos que se espera que sean necesarios para liquidar la obligación usando la mejor estimación de CGE Comercializadora SpA.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4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4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51" w:name="Section31"/>
      <w:bookmarkEnd w:id="51"/>
      <w:bookmarkStart w:id="52" w:name="44409b281b9d4fbaaea5d4cc3cea98ba"/>
      <w:r>
        <w:rPr>
          <w:rFonts w:ascii="Calibri" w:eastAsia="Calibri" w:hAnsi="Calibri" w:cs="Calibri"/>
          <w:b/>
          <w:i w:val="0"/>
          <w:color w:val="000000"/>
          <w:sz w:val="20"/>
          <w:u w:val="none"/>
        </w:rPr>
        <w:t>2.20.-</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período.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footerReference w:type="default" r:id="rId22"/>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53" w:name="Section32"/>
      <w:bookmarkEnd w:id="53"/>
      <w:bookmarkStart w:id="54" w:name="4bf8d9284ebe434da24ea980f240c1aa"/>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los ingresos cuando se han cumplido satisfactoriamente los pasos establecidos en la norma y es probable que los beneficios económicos futuros vayan a fluir a la entidad y se cumplen las condiciones específicas para cada una de las actividades de CGE Comercializadora SpA., tal y como se describe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electricidad y servicios.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contratos de la Sociedad con clientes para la venta de energía y servicios incluyen una obligación de dese</w:t>
      </w:r>
      <w:r>
        <w:rPr>
          <w:rFonts w:ascii="Calibri" w:eastAsia="Calibri" w:hAnsi="Calibri" w:cs="Calibri"/>
          <w:b w:val="0"/>
          <w:i w:val="0"/>
          <w:sz w:val="20"/>
        </w:rPr>
        <w:t>mpeño, por lo que el ingreso por ventas de electricidad se registra en base a la facturación efectiva del periodo de consumo, además de incluir una estimación de energía por facturar que ha sido suministrado hasta la fecha de cierre del periodo o ejercicio.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2.21.2.-</w:t>
      </w:r>
      <w:r>
        <w:rPr>
          <w:rFonts w:ascii="Calibri" w:eastAsia="Calibri" w:hAnsi="Calibri" w:cs="Calibri"/>
          <w:b w:val="0"/>
          <w:i w:val="0"/>
          <w:sz w:val="20"/>
        </w:rPr>
        <w:tab/>
      </w:r>
      <w:r>
        <w:rPr>
          <w:rFonts w:ascii="Calibri" w:eastAsia="Calibri" w:hAnsi="Calibri" w:cs="Calibri"/>
          <w:b w:val="0"/>
          <w:i w:val="0"/>
          <w:sz w:val="20"/>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ingresos por intereses se reconocen usando el método de la tasa de interés efectiva. </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2.21.3.-</w:t>
      </w:r>
      <w:r>
        <w:rPr>
          <w:rFonts w:ascii="Calibri" w:eastAsia="Calibri" w:hAnsi="Calibri" w:cs="Calibri"/>
          <w:b w:val="0"/>
          <w:i w:val="0"/>
          <w:sz w:val="20"/>
        </w:rPr>
        <w:tab/>
      </w:r>
      <w:r>
        <w:rPr>
          <w:rFonts w:ascii="Calibri" w:eastAsia="Calibri" w:hAnsi="Calibri" w:cs="Calibri"/>
          <w:b w:val="0"/>
          <w:i w:val="0"/>
          <w:sz w:val="20"/>
        </w:rPr>
        <w:t>Ingresos por construcción de obras.</w:t>
      </w:r>
    </w:p>
    <w:p>
      <w:pPr>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periodo del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footerReference w:type="default" r:id="rId23"/>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55" w:name="Section33"/>
      <w:bookmarkEnd w:id="55"/>
      <w:bookmarkStart w:id="56" w:name="2c1db825cfce442a9ca2904968dbb2c1"/>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6"/>
    </w:p>
    <w:p>
      <w:pPr>
        <w:pStyle w:val="Normal-wk"/>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la Sociedad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arrienda determinadas propiedades, planta y equipo. Para los arrendamientos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Cada pago por arrendamiento se distribuye entre el pasivo y las cargas financieras para obtener una tasa de interés constante sobre el saldo pendiente de la deuda. Las correspondientes obligaciones por arrendamiento, netas de cargas financieras, se incluyen como pasivos por arrendamientos. El elemento de interés del costo financiero se carga en el estado de resultados durante el periodo de arrendamiento de forma que se obtenga una tasa periódica constante de interés sobre el saldo restante del pasivo para cada periodo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la Sociedad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Sociedad actúa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arrienda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57" w:name="Section34"/>
      <w:bookmarkEnd w:id="57"/>
      <w:bookmarkStart w:id="58" w:name="950b1222ae7145048a5c32014c14aa06"/>
      <w:r>
        <w:rPr>
          <w:rFonts w:ascii="Calibri" w:eastAsia="Calibri" w:hAnsi="Calibri" w:cs="Calibri"/>
          <w:b/>
          <w:i w:val="0"/>
          <w:color w:val="000000"/>
          <w:sz w:val="20"/>
          <w:u w:val="none"/>
        </w:rPr>
        <w:t>2.23.-</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a pagar a los accionistas de CGE Comercializadora SpA.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el accionista.</w:t>
      </w:r>
    </w:p>
    <w:p>
      <w:pPr>
        <w:keepNext w:val="0"/>
        <w:keepLines w:val="0"/>
        <w:pageBreakBefore w:val="0"/>
        <w:widowControl/>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val="0"/>
        <w:pageBreakBefore w:val="0"/>
        <w:widowControl/>
        <w:numPr>
          <w:ilvl w:val="0"/>
          <w:numId w:val="0"/>
        </w:numPr>
        <w:spacing w:before="0" w:after="0" w:line="288" w:lineRule="auto"/>
        <w:ind w:left="1416" w:right="0" w:firstLine="0"/>
        <w:jc w:val="both"/>
        <w:outlineLvl w:val="9"/>
        <w:sectPr>
          <w:footerReference w:type="default" r:id="rId24"/>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59" w:name="Section35"/>
      <w:bookmarkEnd w:id="59"/>
      <w:bookmarkStart w:id="60" w:name="7595d13e326b4ff8b9fd4c584935a9c0"/>
      <w:r>
        <w:rPr>
          <w:rFonts w:ascii="Calibri" w:eastAsia="Calibri" w:hAnsi="Calibri" w:cs="Calibri"/>
          <w:b/>
          <w:i w:val="0"/>
          <w:color w:val="000000"/>
          <w:sz w:val="20"/>
          <w:u w:val="none"/>
        </w:rPr>
        <w:t>2.24.-</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de ventas incluyen el costo de adquisición de insumos necesarios para el desarrollo de los negocios de CGE Comercializadora SpA.,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61" w:name="Section36"/>
      <w:bookmarkEnd w:id="61"/>
      <w:bookmarkStart w:id="62" w:name="06e92d08af7a4c7db2321afc77e10d4c"/>
      <w:r>
        <w:rPr>
          <w:rFonts w:ascii="Calibri" w:eastAsia="Calibri" w:hAnsi="Calibri" w:cs="Calibri"/>
          <w:b/>
          <w:i w:val="0"/>
          <w:color w:val="000000"/>
          <w:sz w:val="20"/>
          <w:u w:val="none"/>
        </w:rPr>
        <w:t>2.25.-</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6"/>
          <w:u w:val="none"/>
        </w:rPr>
      </w:pPr>
      <w:bookmarkEnd w:id="62"/>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operación: Actividades que constituyen los ingresos ordinarios de la Sociedad, así como otras actividades que no pueden ser calificadas como de inversión o financiación.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Acti</w:t>
      </w:r>
      <w:r>
        <w:rPr>
          <w:rFonts w:ascii="Calibri" w:eastAsia="Calibri" w:hAnsi="Calibri" w:cs="Calibri"/>
          <w:b w:val="0"/>
          <w:i w:val="0"/>
          <w:color w:val="000000"/>
          <w:sz w:val="20"/>
          <w:u w:val="none"/>
        </w:rPr>
        <w:t>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ha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56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63" w:name="Section37"/>
      <w:bookmarkEnd w:id="63"/>
      <w:bookmarkStart w:id="64" w:name="7b36f3bb27fe4466bcc6a2d617d73d3e"/>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ESTIMACIONES Y JUICIOS O CRITERIOS CRÍTICOS DE LA ADMINISTRACIÓN</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4"/>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estimaciones y criterios usados son continuamente evaluados y se basan en la experiencia histórica y otros factores, incluyendo la expectativa de ocurrencia de eventos futuros que se consideran razonables de acuerdo con las circunstancias.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efectúa estimaciones y supuestos respecto del futuro. Las estimaciones contables resultantes por definición muy pocas veces serán iguales a los resultados reales. Las estimaciones y supuestos que tienen un riesgo significativo de causar un ajuste material a los saldos de los activos y pasivos en el próximo ejercicio se presentan a continuación: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footerReference w:type="default" r:id="rId25"/>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65" w:name="Section38"/>
      <w:bookmarkEnd w:id="65"/>
      <w:bookmarkStart w:id="66" w:name="b12748641bb94e2295ac9748388b2c0b"/>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Beneficios por Indemnizaciones por cese pactadas (PIAS) y premios por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6"/>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presente de las obligaciones por indemnizaciones por años de servicio pactadas y premios por antigüedad (“los beneficios”) depende de un número de factores que se determinan sobre bases actuariales usando un número de supuestos. Los supuestos usados al determinar el costo neto por los beneficios incluyen la tasa de descuento. Cualquier cambio en estos supuestos tendrá impacto en el valor en libros de la obligación por los beneficios.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determina la tasa de descuento al final de cada año que considera más apropiada de acuerdo a las condiciones de mercado a la fecha de valoración. Esta tasa de interés es la que utiliza la Sociedad para determinar el valor presente de las futuras salidas de flujos de efectivo estimadas que se prevé se requerirá para cancelar las obligaciones por planes de beneficios. Al determinar la tasa de descuento, CGE Comercializadora SpA. considera las tasas de interés de mercado de bonos que se denominan en la moneda en la que los beneficios se pagarán y que tienen plazos de vencimiento similares o que se aproximan a los plazos de las respectivas obligaciones por los beneficios.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supuestos claves para establecer las obligaciones por planes de beneficios se basan en parte en las condiciones actuales del mercado. En la Nota 17.5 se presenta información adicional al respecto.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3"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referida metodología utiliza supuestos críticos vinculados con tasa de interés, factores de reajustes e indexación y estimaciones de permanencia futura, cuya variación pueden generar modificaciones significativas sobre los estados financieros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footerReference w:type="default" r:id="rId26"/>
          <w:type w:val="continuous"/>
          <w:pgSz w:w="12240" w:h="15840"/>
          <w:pgMar w:top="1134" w:right="1134" w:bottom="1134" w:left="1134" w:header="0" w:footer="560"/>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67" w:name="Section39"/>
      <w:bookmarkEnd w:id="67"/>
      <w:bookmarkStart w:id="68" w:name="32d5ecb80f2e4cf585dae12d04abef1b"/>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GESTIÓN DE RIESGOS.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8"/>
    </w:p>
    <w:p>
      <w:pPr>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factores de riesgo a los que están sometidas CGE Comercializadora SpA. son de carácter general y se enumeran a continuación: </w:t>
      </w:r>
    </w:p>
    <w:p>
      <w:pPr>
        <w:keepNext w:val="0"/>
        <w:keepLines/>
        <w:pageBreakBefore w:val="0"/>
        <w:widowControl w:val="0"/>
        <w:numPr>
          <w:ilvl w:val="0"/>
          <w:numId w:val="0"/>
        </w:numPr>
        <w:spacing w:before="0" w:after="0" w:line="240" w:lineRule="exact"/>
        <w:ind w:left="709" w:right="0" w:firstLine="0"/>
        <w:jc w:val="both"/>
        <w:outlineLvl w:val="9"/>
        <w:sectPr>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69" w:name="Section40"/>
      <w:bookmarkEnd w:id="69"/>
      <w:bookmarkStart w:id="70" w:name="fd1af5e99a714aa492e35027117d4a0e"/>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 Riesgo financiero.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0"/>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4.1.1.-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Riesgo de tipo de cambio y unidades de reajuste.</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no tiene exposición al riesgo de variaciones en el tipo de cambio y unidades de reajuste entre sus flujos operacionales y de sus obligaciones financieras.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ejercicio terminado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CGE Comercializadora SpA. no mantiene deudas financieras denominadas en moneda extranjera o Unidades de Fomento.</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Riesgo de tasa de interés. </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tasa de interés es el riesgo de que flujos de instrumentos financieros fluctúen debido a cambios en las tasas de interés de mercado. La Sociedad no tiene exposición al riesgo de cambio en tasas de interés al no mantener deudas financieras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Riesgo de liquidez y estructura de pasivos financieros. </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riesgo de liquidez está relacionado con las necesidades de fondos para hacer frente a las obligaciones de pago proveedores (ver nota 15), arrendamientos (ver nota 19) y empresas relacionadas (ver nota 8). La Sociedad mantiene una adecuada gestión de los activos y pasivos, optimizando los excedentes de caja diarios y de esa manera asegurar el cumplimiento de los compromisos de deudas en el momento de su vencimiento. La Sociedad al cierre del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no tiene deuda con instituciones financieras.</w:t>
      </w:r>
    </w:p>
    <w:p>
      <w:pPr>
        <w:keepNext w:val="0"/>
        <w:keepLines/>
        <w:pageBreakBefore w:val="0"/>
        <w:widowControl w:val="0"/>
        <w:numPr>
          <w:ilvl w:val="0"/>
          <w:numId w:val="0"/>
        </w:numPr>
        <w:spacing w:before="0" w:after="0" w:line="288" w:lineRule="auto"/>
        <w:ind w:left="212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5" w:right="0" w:firstLine="0"/>
        <w:jc w:val="both"/>
        <w:outlineLvl w:val="9"/>
        <w:sectPr>
          <w:footerReference w:type="default" r:id="rId27"/>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71" w:name="Section41"/>
      <w:bookmarkEnd w:id="71"/>
      <w:bookmarkStart w:id="72" w:name="2b8ab656e800462db02140dd6838432a"/>
      <w:r>
        <w:rPr>
          <w:rFonts w:ascii="Calibri" w:eastAsia="Calibri" w:hAnsi="Calibri" w:cs="Calibri"/>
          <w:b/>
          <w:i w:val="0"/>
          <w:color w:val="000000"/>
          <w:sz w:val="20"/>
          <w:u w:val="none"/>
        </w:rPr>
        <w:t>5.-</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Y PASIVOS FINANCIEROS.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72"/>
    </w:p>
    <w:p>
      <w:pPr>
        <w:keepNext/>
        <w:keepLines/>
        <w:pageBreakBefore w:val="0"/>
        <w:widowControl w:val="0"/>
        <w:numPr>
          <w:ilvl w:val="0"/>
          <w:numId w:val="0"/>
        </w:numPr>
        <w:tabs>
          <w:tab w:val="left" w:pos="700"/>
        </w:tabs>
        <w:spacing w:before="0" w:after="0" w:line="288" w:lineRule="auto"/>
        <w:ind w:left="0" w:right="0" w:firstLine="0"/>
        <w:jc w:val="both"/>
        <w:outlineLvl w:val="9"/>
        <w:sectPr>
          <w:footerReference w:type="default" r:id="rId28"/>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9"/>
        <w:jc w:val="both"/>
        <w:outlineLvl w:val="1"/>
        <w:rPr>
          <w:rFonts w:ascii="Calibri" w:eastAsia="Calibri" w:hAnsi="Calibri" w:cs="Calibri"/>
          <w:b/>
          <w:i w:val="0"/>
          <w:color w:val="000000"/>
          <w:sz w:val="20"/>
          <w:u w:val="none"/>
        </w:rPr>
      </w:pPr>
      <w:bookmarkStart w:id="73" w:name="Section42"/>
      <w:bookmarkEnd w:id="73"/>
      <w:bookmarkStart w:id="74" w:name="cc22877788b0486083001159964308bc"/>
      <w:r>
        <w:rPr>
          <w:rFonts w:ascii="Calibri" w:eastAsia="Calibri" w:hAnsi="Calibri" w:cs="Calibri"/>
          <w:b/>
          <w:i w:val="0"/>
          <w:color w:val="000000"/>
          <w:sz w:val="20"/>
          <w:u w:val="none"/>
        </w:rPr>
        <w:t>5.1.-</w:t>
      </w:r>
      <w:r>
        <w:rPr>
          <w:rFonts w:ascii="Calibri" w:eastAsia="Calibri" w:hAnsi="Calibri" w:cs="Calibri"/>
          <w:b/>
          <w:i w:val="0"/>
          <w:color w:val="000000"/>
          <w:sz w:val="20"/>
          <w:u w:val="none"/>
        </w:rPr>
        <w:tab/>
      </w:r>
      <w:r>
        <w:rPr>
          <w:rFonts w:ascii="Calibri" w:eastAsia="Calibri" w:hAnsi="Calibri" w:cs="Calibri"/>
          <w:b/>
          <w:i w:val="0"/>
          <w:color w:val="000000"/>
          <w:sz w:val="20"/>
          <w:u w:val="none"/>
        </w:rPr>
        <w:t>Categorías de activos y pasivos financieros.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bookmarkEnd w:id="74"/>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 continuación, se presentan las diferentes categorías de activos y pasivos financieros, comparando los valores registrados contablemente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y sus respectivos valores razonables.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40" w:type="dxa"/>
          <w:tblLayout w:type="fixed"/>
        </w:tblPrEx>
        <w:trPr>
          <w:cantSplit/>
          <w:trHeight w:hRule="auto" w:val="0"/>
        </w:trPr>
        <w:tc>
          <w:tcPr>
            <w:tcW w:w="45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 de junio de 2026</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20" w:type="dxa"/>
          <w:tblInd w:w="1440" w:type="dxa"/>
          <w:tblLayout w:type="fixed"/>
        </w:tblPrEx>
        <w:trPr>
          <w:cantSplit/>
          <w:trHeight w:hRule="auto" w:val="0"/>
        </w:trPr>
        <w:tc>
          <w:tcPr>
            <w:tcW w:w="450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8520" w:type="dxa"/>
          <w:tblInd w:w="1440" w:type="dxa"/>
          <w:tblLayout w:type="fixed"/>
        </w:tblPrEx>
        <w:trPr>
          <w:cantSplit/>
          <w:trHeight w:hRule="auto" w:val="0"/>
        </w:trPr>
        <w:tc>
          <w:tcPr>
            <w:tcW w:w="45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20" w:type="dxa"/>
          <w:tblInd w:w="1440"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500"/>
        <w:gridCol w:w="1005"/>
        <w:gridCol w:w="1005"/>
        <w:gridCol w:w="1005"/>
        <w:gridCol w:w="1005"/>
      </w:tblGrid>
      <w:tr>
        <w:tblPrEx>
          <w:tblW w:w="8520" w:type="dxa"/>
          <w:tblInd w:w="1440" w:type="dxa"/>
          <w:tblLayout w:type="fixed"/>
        </w:tblPrEx>
        <w:trPr>
          <w:cantSplit/>
          <w:trHeight w:hRule="auto" w:val="0"/>
        </w:trPr>
        <w:tc>
          <w:tcPr>
            <w:tcW w:w="450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 de diciembre de 2025</w:t>
            </w:r>
          </w:p>
        </w:tc>
        <w:tc>
          <w:tcPr>
            <w:tcW w:w="10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Activos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Pasivos al costo amortizado</w:t>
            </w:r>
          </w:p>
        </w:tc>
        <w:tc>
          <w:tcPr>
            <w:tcW w:w="100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valor Contable</w:t>
            </w:r>
          </w:p>
        </w:tc>
        <w:tc>
          <w:tcPr>
            <w:tcW w:w="1005"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a valor Razonable</w:t>
            </w:r>
          </w:p>
        </w:tc>
      </w:tr>
      <w:tr>
        <w:tblPrEx>
          <w:tblW w:w="8520" w:type="dxa"/>
          <w:tblInd w:w="1440" w:type="dxa"/>
          <w:tblLayout w:type="fixed"/>
        </w:tblPrEx>
        <w:trPr>
          <w:cantSplit/>
          <w:trHeight w:hRule="auto" w:val="0"/>
        </w:trPr>
        <w:tc>
          <w:tcPr>
            <w:tcW w:w="4500" w:type="dxa"/>
            <w:vMerge/>
            <w:tcBorders>
              <w:top w:val="nil"/>
              <w:left w:val="single" w:sz="2" w:space="0" w:color="000000"/>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2" w:space="0" w:color="000000"/>
            </w:tcBorders>
          </w:tcPr>
          <w:p>
            <w:pPr>
              <w:keepNext/>
              <w:pageBreakBefore w:val="0"/>
            </w:pPr>
          </w:p>
        </w:tc>
      </w:tr>
      <w:tr>
        <w:tblPrEx>
          <w:tblW w:w="8520" w:type="dxa"/>
          <w:tblInd w:w="1440" w:type="dxa"/>
          <w:tblLayout w:type="fixed"/>
        </w:tblPrEx>
        <w:trPr>
          <w:cantSplit/>
          <w:trHeight w:hRule="auto" w:val="0"/>
        </w:trPr>
        <w:tc>
          <w:tcPr>
            <w:tcW w:w="450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ACTIVOS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Efectivo y equivalentes al efectivo.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674.317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674.317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674.317</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Deudores comerciales y otras cuentas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7.219.246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7.219.246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7.219.246</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cobrar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847.799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847.799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847.799</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ACTIVOS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8.741.362</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8.741.362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8.741.362</w:t>
            </w:r>
          </w:p>
        </w:tc>
      </w:tr>
      <w:tr>
        <w:tblPrEx>
          <w:tblW w:w="8520" w:type="dxa"/>
          <w:tblInd w:w="1440" w:type="dxa"/>
          <w:tblLayout w:type="fixed"/>
        </w:tblPrEx>
        <w:trPr>
          <w:cantSplit/>
          <w:trHeight w:hRule="auto" w:val="0"/>
        </w:trPr>
        <w:tc>
          <w:tcPr>
            <w:tcW w:w="45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PASIVOS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comerciales y otras cuentas por pagar.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7.120.634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7.120.634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7.120.634</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Cuentas por pagar a entidades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24.051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24.051</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112.254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112.254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112.254</w:t>
            </w:r>
          </w:p>
        </w:tc>
      </w:tr>
      <w:tr>
        <w:tblPrEx>
          <w:tblW w:w="8520" w:type="dxa"/>
          <w:tblInd w:w="1440" w:type="dxa"/>
          <w:tblLayout w:type="fixed"/>
        </w:tblPrEx>
        <w:trPr>
          <w:cantSplit/>
          <w:trHeight w:hRule="auto" w:val="0"/>
        </w:trPr>
        <w:tc>
          <w:tcPr>
            <w:tcW w:w="45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PASIVOS</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7.256.939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7.256.939</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7.256.939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footerReference w:type="default" r:id="rId29"/>
          <w:type w:val="continuous"/>
          <w:pgSz w:w="12240" w:h="15840"/>
          <w:pgMar w:top="1134" w:right="1134" w:bottom="1134" w:left="1134" w:header="0" w:footer="425"/>
          <w:cols w:space="708"/>
        </w:sectPr>
      </w:pPr>
    </w:p>
    <w:p>
      <w:pPr>
        <w:pStyle w:val="Heading1-wk"/>
        <w:keepNext w:val="0"/>
        <w:keepLines w:val="0"/>
        <w:pageBreakBefore w:val="0"/>
        <w:widowControl/>
        <w:numPr>
          <w:ilvl w:val="0"/>
          <w:numId w:val="0"/>
        </w:numPr>
        <w:spacing w:before="0" w:after="0" w:line="288" w:lineRule="auto"/>
        <w:ind w:left="0" w:right="0" w:firstLine="0"/>
        <w:jc w:val="both"/>
        <w:outlineLvl w:val="0"/>
        <w:rPr>
          <w:rFonts w:ascii="Calibri" w:eastAsia="Calibri" w:hAnsi="Calibri" w:cs="Calibri"/>
          <w:b/>
          <w:i w:val="0"/>
          <w:color w:val="000000"/>
          <w:sz w:val="20"/>
          <w:u w:val="none"/>
        </w:rPr>
      </w:pPr>
      <w:bookmarkStart w:id="75" w:name="Section43"/>
      <w:bookmarkEnd w:id="75"/>
      <w:bookmarkStart w:id="76" w:name="ff263028fb8d415d8456b3487f60b21e"/>
      <w:r>
        <w:rPr>
          <w:rFonts w:ascii="Calibri" w:eastAsia="Calibri" w:hAnsi="Calibri" w:cs="Calibri"/>
          <w:b/>
          <w:i w:val="0"/>
          <w:color w:val="000000"/>
          <w:sz w:val="20"/>
          <w:u w:val="none"/>
        </w:rPr>
        <w:t>6.-</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6"/>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77" w:name="Section44"/>
      <w:bookmarkEnd w:id="77"/>
      <w:bookmarkStart w:id="78" w:name="fcf0372ca66f495bb07df9438476a05c"/>
      <w:r>
        <w:rPr>
          <w:rFonts w:ascii="Calibri" w:eastAsia="Calibri" w:hAnsi="Calibri" w:cs="Calibri"/>
          <w:b/>
          <w:i w:val="0"/>
          <w:color w:val="000000"/>
          <w:sz w:val="20"/>
          <w:u w:val="none"/>
        </w:rPr>
        <w:t>6.1.-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78"/>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efectivo y equivalentes al efectivo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Efectivo</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Saldos en bancos.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674.317</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674.317</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505"/>
        <w:gridCol w:w="1005"/>
        <w:gridCol w:w="1005"/>
        <w:gridCol w:w="1005"/>
      </w:tblGrid>
      <w:tr>
        <w:tblPrEx>
          <w:tblW w:w="8520" w:type="dxa"/>
          <w:tblInd w:w="1440" w:type="dxa"/>
          <w:tblLayout w:type="fixed"/>
        </w:tblPrEx>
        <w:trPr>
          <w:cantSplit/>
          <w:trHeight w:hRule="auto" w:val="0"/>
        </w:trPr>
        <w:tc>
          <w:tcPr>
            <w:tcW w:w="55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Información del efectivo y equivalentes al efectivo por moneda</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5505" w:type="dxa"/>
            <w:vMerge/>
            <w:tcBorders>
              <w:top w:val="nil"/>
              <w:left w:val="single" w:sz="2" w:space="0" w:color="000000"/>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550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Monto del efectivo y equivalente al efectivo.</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674.317</w:t>
            </w:r>
          </w:p>
        </w:tc>
      </w:tr>
      <w:tr>
        <w:tblPrEx>
          <w:tblW w:w="8520" w:type="dxa"/>
          <w:tblInd w:w="1440" w:type="dxa"/>
          <w:tblLayout w:type="fixed"/>
        </w:tblPrEx>
        <w:trPr>
          <w:cantSplit/>
          <w:trHeight w:hRule="auto" w:val="0"/>
        </w:trPr>
        <w:tc>
          <w:tcPr>
            <w:tcW w:w="6510" w:type="dxa"/>
            <w:gridSpan w:val="2"/>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674.317</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fecha no existen restricciones sobre el efectivo y equivalente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tiene líneas de sobregiro disponibles.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footerReference w:type="default" r:id="rId30"/>
          <w:type w:val="continuous"/>
          <w:pgSz w:w="12240" w:h="15840"/>
          <w:pgMar w:top="1134" w:right="1134" w:bottom="1134" w:left="1134" w:header="0" w:footer="560"/>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79" w:name="Section45"/>
      <w:bookmarkEnd w:id="79"/>
      <w:bookmarkStart w:id="80" w:name="6fae70d826c046caa1fa9f4f2ddea61c"/>
      <w:r>
        <w:rPr>
          <w:rFonts w:ascii="Calibri" w:eastAsia="Calibri" w:hAnsi="Calibri" w:cs="Calibri"/>
          <w:b/>
          <w:i w:val="0"/>
          <w:color w:val="000000"/>
          <w:sz w:val="20"/>
          <w:u w:val="none"/>
        </w:rPr>
        <w:t>6.2.-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Detalles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0"/>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composición de los otros pagos por actividades de la operación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10"/>
        <w:gridCol w:w="1005"/>
        <w:gridCol w:w="1005"/>
      </w:tblGrid>
      <w:tr>
        <w:tblPrEx>
          <w:tblW w:w="8520" w:type="dxa"/>
          <w:tblInd w:w="1440" w:type="dxa"/>
          <w:tblLayout w:type="fixed"/>
        </w:tblPrEx>
        <w:trPr>
          <w:cantSplit/>
          <w:trHeight w:hRule="auto" w:val="0"/>
        </w:trPr>
        <w:tc>
          <w:tcPr>
            <w:tcW w:w="651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 partidas flujo de efectivo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51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30-06-2026</w:t>
            </w:r>
          </w:p>
        </w:tc>
        <w:tc>
          <w:tcPr>
            <w:tcW w:w="1005" w:type="dxa"/>
            <w:tcBorders>
              <w:top w:val="nil"/>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51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651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Otros pagos por actividades de operación</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 de IVA - Impuesto único - Impuestos 2da categoría - Impuesto adicional.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(346.500)</w:t>
            </w:r>
          </w:p>
        </w:tc>
      </w:tr>
      <w:tr>
        <w:tblPrEx>
          <w:tblW w:w="8520" w:type="dxa"/>
          <w:tblInd w:w="144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 otros pagos por actividades de operación</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(346.500)</w:t>
            </w:r>
          </w:p>
        </w:tc>
      </w:tr>
    </w:tbl>
    <w:p>
      <w:pPr>
        <w:keepNext w:val="0"/>
        <w:keepLines/>
        <w:pageBreakBefore w:val="0"/>
        <w:widowControl w:val="0"/>
        <w:numPr>
          <w:ilvl w:val="0"/>
          <w:numId w:val="0"/>
        </w:numPr>
        <w:spacing w:before="0" w:after="0" w:line="288" w:lineRule="auto"/>
        <w:ind w:left="1418" w:right="0" w:firstLine="72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720"/>
        <w:jc w:val="both"/>
        <w:outlineLvl w:val="9"/>
        <w:rPr>
          <w:rFonts w:ascii="Calibri" w:eastAsia="Calibri" w:hAnsi="Calibri" w:cs="Calibri"/>
          <w:b w:val="0"/>
          <w:i w:val="0"/>
          <w:color w:val="000000"/>
          <w:sz w:val="20"/>
          <w:u w:val="none"/>
        </w:rPr>
        <w:sectPr>
          <w:footerReference w:type="default" r:id="rId31"/>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81" w:name="Section46"/>
      <w:bookmarkEnd w:id="81"/>
      <w:bookmarkStart w:id="82" w:name="0737d0f16a1a48eea1d968968d18fd33"/>
      <w:r>
        <w:rPr>
          <w:rFonts w:ascii="Calibri" w:eastAsia="Calibri" w:hAnsi="Calibri" w:cs="Calibri"/>
          <w:b/>
          <w:i w:val="0"/>
          <w:color w:val="000000"/>
          <w:sz w:val="20"/>
          <w:u w:val="none"/>
        </w:rPr>
        <w:t>6.3.-</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de los pasivos que surgen de las actividades de financiamiento.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82"/>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detalle de la Conciliación de los pasivos que surgen de las actividades de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1183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95"/>
        <w:gridCol w:w="1005"/>
        <w:gridCol w:w="1005"/>
        <w:gridCol w:w="1005"/>
        <w:gridCol w:w="1005"/>
        <w:gridCol w:w="1005"/>
        <w:gridCol w:w="1005"/>
        <w:gridCol w:w="1005"/>
        <w:gridCol w:w="1005"/>
      </w:tblGrid>
      <w:tr>
        <w:tblPrEx>
          <w:tblW w:w="11835" w:type="dxa"/>
          <w:tblInd w:w="720" w:type="dxa"/>
          <w:tblLayout w:type="fixed"/>
        </w:tblPrEx>
        <w:trPr>
          <w:cantSplit/>
          <w:trHeight w:hRule="auto" w:val="0"/>
        </w:trPr>
        <w:tc>
          <w:tcPr>
            <w:tcW w:w="3795"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5025"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301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1835" w:type="dxa"/>
          <w:tblInd w:w="720" w:type="dxa"/>
          <w:tblLayout w:type="fixed"/>
        </w:tblPrEx>
        <w:trPr>
          <w:cantSplit/>
          <w:trHeight w:hRule="exact" w:val="480"/>
        </w:trPr>
        <w:tc>
          <w:tcPr>
            <w:tcW w:w="3795"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 xml:space="preserve">Saldo al </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1005" w:type="dxa"/>
            <w:vMerge w:val="restart"/>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r>
      <w:tr>
        <w:tblPrEx>
          <w:tblW w:w="11835" w:type="dxa"/>
          <w:tblInd w:w="720" w:type="dxa"/>
          <w:tblLayout w:type="fixed"/>
        </w:tblPrEx>
        <w:trPr>
          <w:cantSplit/>
          <w:trHeight w:hRule="exact" w:val="225"/>
        </w:trPr>
        <w:tc>
          <w:tcPr>
            <w:tcW w:w="3795"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11835" w:type="dxa"/>
          <w:tblInd w:w="720" w:type="dxa"/>
          <w:tblLayout w:type="fixed"/>
        </w:tblPrEx>
        <w:trPr>
          <w:cantSplit/>
          <w:trHeight w:hRule="exact" w:val="225"/>
        </w:trPr>
        <w:tc>
          <w:tcPr>
            <w:tcW w:w="3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835"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112.254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112.254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112.254</w:t>
            </w:r>
          </w:p>
        </w:tc>
      </w:tr>
      <w:tr>
        <w:tblPrEx>
          <w:tblW w:w="11835" w:type="dxa"/>
          <w:tblInd w:w="720" w:type="dxa"/>
          <w:tblLayout w:type="fixed"/>
        </w:tblPrEx>
        <w:trPr>
          <w:cantSplit/>
          <w:trHeight w:hRule="auto" w:val="0"/>
        </w:trPr>
        <w:tc>
          <w:tcPr>
            <w:tcW w:w="3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112.254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112.254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112.254</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11850"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10"/>
        <w:gridCol w:w="1005"/>
        <w:gridCol w:w="1005"/>
        <w:gridCol w:w="1005"/>
        <w:gridCol w:w="1005"/>
        <w:gridCol w:w="1005"/>
        <w:gridCol w:w="1005"/>
        <w:gridCol w:w="1005"/>
        <w:gridCol w:w="1005"/>
      </w:tblGrid>
      <w:tr>
        <w:tblPrEx>
          <w:tblW w:w="11850" w:type="dxa"/>
          <w:tblInd w:w="709" w:type="dxa"/>
          <w:tblLayout w:type="fixed"/>
        </w:tblPrEx>
        <w:trPr>
          <w:cantSplit/>
          <w:trHeight w:hRule="auto" w:val="0"/>
        </w:trPr>
        <w:tc>
          <w:tcPr>
            <w:tcW w:w="381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5025" w:type="dxa"/>
            <w:gridSpan w:val="5"/>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Flujo de efectivo de financiamiento</w:t>
            </w:r>
          </w:p>
        </w:tc>
        <w:tc>
          <w:tcPr>
            <w:tcW w:w="3015" w:type="dxa"/>
            <w:gridSpan w:val="3"/>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Cambios que no representan flujo de efectivo</w:t>
            </w:r>
          </w:p>
        </w:tc>
      </w:tr>
      <w:tr>
        <w:tblPrEx>
          <w:tblW w:w="11850" w:type="dxa"/>
          <w:tblInd w:w="709" w:type="dxa"/>
          <w:tblLayout w:type="fixed"/>
        </w:tblPrEx>
        <w:trPr>
          <w:cantSplit/>
          <w:trHeight w:hRule="exact" w:val="225"/>
        </w:trPr>
        <w:tc>
          <w:tcPr>
            <w:tcW w:w="381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2"/>
                <w:u w:val="none"/>
              </w:rPr>
              <w:t>Saldo al</w:t>
            </w:r>
          </w:p>
          <w:p>
            <w:pPr>
              <w:spacing w:after="0" w:line="240" w:lineRule="auto"/>
              <w:jc w:val="center"/>
            </w:pP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Provenientes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Utilizados</w:t>
            </w:r>
          </w:p>
        </w:tc>
        <w:tc>
          <w:tcPr>
            <w:tcW w:w="1005" w:type="dxa"/>
            <w:vMerge w:val="restart"/>
            <w:tcBorders>
              <w:top w:val="nil"/>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Intereses pagados</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c>
          <w:tcPr>
            <w:tcW w:w="1005" w:type="dxa"/>
            <w:vMerge w:val="restart"/>
            <w:tcBorders>
              <w:top w:val="nil"/>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Diferencias de cambio/Unidad de Reajuste</w:t>
            </w:r>
          </w:p>
        </w:tc>
        <w:tc>
          <w:tcPr>
            <w:tcW w:w="100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Costos financieros</w:t>
            </w:r>
          </w:p>
        </w:tc>
        <w:tc>
          <w:tcPr>
            <w:tcW w:w="1005" w:type="dxa"/>
            <w:vMerge w:val="restart"/>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Saldo al</w:t>
            </w:r>
          </w:p>
        </w:tc>
      </w:tr>
      <w:tr>
        <w:tblPrEx>
          <w:tblW w:w="11850" w:type="dxa"/>
          <w:tblInd w:w="709" w:type="dxa"/>
          <w:tblLayout w:type="fixed"/>
        </w:tblPrEx>
        <w:trPr>
          <w:cantSplit/>
          <w:trHeight w:hRule="exact" w:val="225"/>
        </w:trPr>
        <w:tc>
          <w:tcPr>
            <w:tcW w:w="3810" w:type="dxa"/>
            <w:tcBorders>
              <w:top w:val="nil"/>
              <w:left w:val="nil"/>
              <w:bottom w:val="nil"/>
              <w:right w:val="single" w:sz="2" w:space="0" w:color="000000"/>
            </w:tcBorders>
            <w:tcMar>
              <w:top w:w="0" w:type="dxa"/>
              <w:left w:w="0" w:type="dxa"/>
              <w:bottom w:w="0" w:type="dxa"/>
              <w:right w:w="0" w:type="dxa"/>
            </w:tcMar>
            <w:vAlign w:val="bottom"/>
          </w:tcPr>
          <w:p>
            <w:pPr>
              <w:keepNext/>
              <w:pageBreakBefore w:val="0"/>
              <w:spacing w:before="0" w:after="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4" w:space="0" w:color="FFFFFF"/>
            </w:tcBorders>
          </w:tcPr>
          <w:p>
            <w:pPr>
              <w:keepNext/>
              <w:pageBreakBefore w:val="0"/>
            </w:pPr>
          </w:p>
        </w:tc>
        <w:tc>
          <w:tcPr>
            <w:tcW w:w="1005" w:type="dxa"/>
            <w:vMerge/>
            <w:tcBorders>
              <w:top w:val="nil"/>
              <w:left w:val="nil"/>
              <w:bottom w:val="nil"/>
              <w:right w:val="nil"/>
            </w:tcBorders>
          </w:tcPr>
          <w:p>
            <w:pPr>
              <w:keepNext/>
              <w:pageBreakBefore w:val="0"/>
            </w:pPr>
          </w:p>
        </w:tc>
        <w:tc>
          <w:tcPr>
            <w:tcW w:w="1005" w:type="dxa"/>
            <w:vMerge/>
            <w:tcBorders>
              <w:top w:val="nil"/>
              <w:left w:val="single" w:sz="4" w:space="0" w:color="FFFFFF"/>
              <w:bottom w:val="nil"/>
              <w:right w:val="single" w:sz="2" w:space="0" w:color="000000"/>
            </w:tcBorders>
          </w:tcPr>
          <w:p>
            <w:pPr>
              <w:keepNext/>
              <w:pageBreakBefore w:val="0"/>
            </w:pPr>
          </w:p>
        </w:tc>
      </w:tr>
      <w:tr>
        <w:tblPrEx>
          <w:tblW w:w="11850" w:type="dxa"/>
          <w:tblInd w:w="709" w:type="dxa"/>
          <w:tblLayout w:type="fixed"/>
        </w:tblPrEx>
        <w:trPr>
          <w:cantSplit/>
          <w:trHeight w:hRule="auto" w:val="0"/>
        </w:trPr>
        <w:tc>
          <w:tcPr>
            <w:tcW w:w="381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(préstamos bancarios).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(bonos).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Otros pasivos financieros (Instrumentos financieros).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175.819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(84.671)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91.148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5.108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15.998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112.254</w:t>
            </w: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Pasivos por arrendamientos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Préstamos de empresas relacionadas.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709" w:type="dxa"/>
          <w:tblLayout w:type="fixed"/>
        </w:tblPrEx>
        <w:trPr>
          <w:cantSplit/>
          <w:trHeight w:hRule="auto" w:val="0"/>
        </w:trPr>
        <w:tc>
          <w:tcPr>
            <w:tcW w:w="38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175.819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(84.671)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91.148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5.108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15.998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112.254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32"/>
          <w:footerReference w:type="default" r:id="rId33"/>
          <w:pgSz w:w="15840" w:h="12240" w:orient="landscape"/>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83" w:name="Section47"/>
      <w:bookmarkEnd w:id="83"/>
      <w:bookmarkStart w:id="84" w:name="bd4fb12b6f854218b5844ff3ffe54022"/>
      <w:r>
        <w:rPr>
          <w:rFonts w:ascii="Calibri" w:eastAsia="Calibri" w:hAnsi="Calibri" w:cs="Calibri"/>
          <w:b/>
          <w:i w:val="0"/>
          <w:color w:val="000000"/>
          <w:sz w:val="20"/>
          <w:u w:val="none"/>
        </w:rPr>
        <w:t>7.-</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84"/>
    </w:p>
    <w:p>
      <w:pPr>
        <w:keepNext w:val="0"/>
        <w:keepLines/>
        <w:pageBreakBefore w:val="0"/>
        <w:widowControl w:val="0"/>
        <w:numPr>
          <w:ilvl w:val="0"/>
          <w:numId w:val="0"/>
        </w:numPr>
        <w:spacing w:before="0" w:after="0" w:line="288" w:lineRule="auto"/>
        <w:ind w:left="705" w:right="0" w:firstLine="0"/>
        <w:jc w:val="both"/>
        <w:outlineLvl w:val="9"/>
        <w:sectPr>
          <w:headerReference w:type="default" r:id="rId34"/>
          <w:footerReference w:type="default" r:id="rId35"/>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85" w:name="Section48"/>
      <w:bookmarkEnd w:id="85"/>
      <w:bookmarkStart w:id="86" w:name="9c0796d9214542d5a6bf786d4906a85b"/>
      <w:r>
        <w:rPr>
          <w:rFonts w:ascii="Calibri" w:eastAsia="Calibri" w:hAnsi="Calibri" w:cs="Calibri"/>
          <w:b/>
          <w:i w:val="0"/>
          <w:color w:val="000000"/>
          <w:sz w:val="20"/>
          <w:u w:val="none"/>
        </w:rPr>
        <w:t>7.1.-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del rubro.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86"/>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neto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neto.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6.952.442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neto.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257.704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9.099</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7.210.146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9.099</w:t>
            </w:r>
          </w:p>
        </w:tc>
      </w:tr>
    </w:tbl>
    <w:p>
      <w:pPr>
        <w:keepNext w:val="0"/>
        <w:keepLines/>
        <w:pageBreakBefore w:val="0"/>
        <w:widowControl w:val="0"/>
        <w:numPr>
          <w:ilvl w:val="0"/>
          <w:numId w:val="0"/>
        </w:numPr>
        <w:spacing w:before="0" w:after="0" w:line="288" w:lineRule="auto"/>
        <w:ind w:left="2160" w:right="0" w:hanging="709"/>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Detalle de otras cuentas por cobrar,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cuentas por cobrar, neto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3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Por cobrar al personal</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Préstamos al personal.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30.815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9.099</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Anticipo de remuneraciones.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16.794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 xml:space="preserve">Sub 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47.609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9.099</w:t>
            </w:r>
          </w:p>
        </w:tc>
      </w:tr>
      <w:tr>
        <w:tblPrEx>
          <w:tblW w:w="7845" w:type="dxa"/>
          <w:tblInd w:w="2126" w:type="dxa"/>
          <w:tblLayout w:type="fixed"/>
        </w:tblPrEx>
        <w:trPr>
          <w:cantSplit/>
          <w:trHeight w:hRule="auto" w:val="0"/>
        </w:trPr>
        <w:tc>
          <w:tcPr>
            <w:tcW w:w="3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Impuestos por recuperar</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Iva crédito fiscal.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90.269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exact" w:val="255"/>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6"/>
                <w:u w:val="none"/>
              </w:rPr>
              <w:t xml:space="preserve">Sub 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90.269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3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Deudores varios</w:t>
            </w:r>
          </w:p>
        </w:tc>
        <w:tc>
          <w:tcPr>
            <w:tcW w:w="100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varios.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Anticipo proveedores.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76.572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Otros documentos por cobrar.</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43.254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exact" w:val="255"/>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48" w:after="30" w:line="240" w:lineRule="auto"/>
              <w:jc w:val="left"/>
            </w:pPr>
            <w:r>
              <w:rPr>
                <w:rFonts w:ascii="Calibri" w:eastAsia="Calibri" w:hAnsi="Calibri" w:cs="Calibri"/>
                <w:b/>
                <w:i w:val="0"/>
                <w:color w:val="FFFFFF"/>
                <w:sz w:val="16"/>
                <w:u w:val="none"/>
              </w:rPr>
              <w:t xml:space="preserve">Sub 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119.826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i w:val="0"/>
                <w:color w:val="FFFFFF"/>
                <w:sz w:val="16"/>
                <w:u w:val="none"/>
              </w:rPr>
              <w:t>0</w:t>
            </w:r>
          </w:p>
        </w:tc>
      </w:tr>
      <w:tr>
        <w:tblPrEx>
          <w:tblW w:w="7845" w:type="dxa"/>
          <w:tblInd w:w="2126" w:type="dxa"/>
          <w:tblLayout w:type="fixed"/>
        </w:tblPrEx>
        <w:trPr>
          <w:cantSplit/>
          <w:trHeight w:hRule="auto" w:val="0"/>
        </w:trPr>
        <w:tc>
          <w:tcPr>
            <w:tcW w:w="38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257.704</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9.099</w:t>
            </w:r>
          </w:p>
        </w:tc>
      </w:tr>
    </w:tbl>
    <w:p>
      <w:pPr>
        <w:keepNext w:val="0"/>
        <w:keepLines/>
        <w:pageBreakBefore w:val="0"/>
        <w:widowControl w:val="0"/>
        <w:numPr>
          <w:ilvl w:val="0"/>
          <w:numId w:val="0"/>
        </w:numPr>
        <w:spacing w:before="0" w:after="0" w:line="288" w:lineRule="auto"/>
        <w:ind w:left="1701" w:right="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Clases de deudores comerciales y otras cuentas por cobrar, bruto.</w:t>
      </w:r>
    </w:p>
    <w:p>
      <w:pPr>
        <w:keepNext w:val="0"/>
        <w:keepLines/>
        <w:pageBreakBefore w:val="0"/>
        <w:widowControl w:val="0"/>
        <w:numPr>
          <w:ilvl w:val="0"/>
          <w:numId w:val="0"/>
        </w:numPr>
        <w:spacing w:before="0" w:after="0" w:line="288" w:lineRule="auto"/>
        <w:ind w:left="0" w:right="48"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825"/>
        <w:gridCol w:w="1005"/>
        <w:gridCol w:w="1005"/>
        <w:gridCol w:w="1005"/>
        <w:gridCol w:w="1005"/>
      </w:tblGrid>
      <w:tr>
        <w:tblPrEx>
          <w:tblW w:w="7845" w:type="dxa"/>
          <w:tblInd w:w="2126" w:type="dxa"/>
          <w:tblLayout w:type="fixed"/>
        </w:tblPrEx>
        <w:trPr>
          <w:cantSplit/>
          <w:trHeight w:hRule="auto" w:val="0"/>
        </w:trPr>
        <w:tc>
          <w:tcPr>
            <w:tcW w:w="382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deudores comerciales y otras cuentas por cobrar, bruto</w:t>
            </w:r>
          </w:p>
        </w:tc>
        <w:tc>
          <w:tcPr>
            <w:tcW w:w="201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7845" w:type="dxa"/>
          <w:tblInd w:w="2126" w:type="dxa"/>
          <w:tblLayout w:type="fixed"/>
        </w:tblPrEx>
        <w:trPr>
          <w:cantSplit/>
          <w:trHeight w:hRule="auto" w:val="0"/>
        </w:trPr>
        <w:tc>
          <w:tcPr>
            <w:tcW w:w="3825"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c>
          <w:tcPr>
            <w:tcW w:w="1005"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382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 bruto.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7.454.907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 xml:space="preserve">Otras cuentas por cobrar, bruto.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257.704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9.099</w:t>
            </w:r>
          </w:p>
        </w:tc>
      </w:tr>
      <w:tr>
        <w:tblPrEx>
          <w:tblW w:w="7845" w:type="dxa"/>
          <w:tblInd w:w="2126" w:type="dxa"/>
          <w:tblLayout w:type="fixed"/>
        </w:tblPrEx>
        <w:trPr>
          <w:cantSplit/>
          <w:trHeight w:hRule="auto" w:val="0"/>
        </w:trPr>
        <w:tc>
          <w:tcPr>
            <w:tcW w:w="38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7.712.611</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9.099</w:t>
            </w:r>
          </w:p>
        </w:tc>
      </w:tr>
    </w:tbl>
    <w:p>
      <w:pPr>
        <w:keepNext w:val="0"/>
        <w:keepLines/>
        <w:pageBreakBefore w:val="0"/>
        <w:widowControl w:val="0"/>
        <w:numPr>
          <w:ilvl w:val="0"/>
          <w:numId w:val="0"/>
        </w:numPr>
        <w:spacing w:before="0" w:after="0" w:line="288" w:lineRule="auto"/>
        <w:ind w:left="720" w:right="48"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7.1.4.-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 de 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Importe en libros de deudores comerciales, otras cuentas por cobrar deteriorados</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Deudores comerciales.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(502.465)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(502.465)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El movimiento de la provisión por deterioro de los deudores comerciales y otras cuentas por cobrar 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 xml:space="preserve"> </w:t>
      </w:r>
      <w:r>
        <w:rPr>
          <w:rFonts w:ascii="Calibri" w:eastAsia="Calibri" w:hAnsi="Calibri" w:cs="Calibri"/>
          <w:b w:val="0"/>
          <w:i w:val="0"/>
          <w:color w:val="000000"/>
          <w:sz w:val="20"/>
          <w:u w:val="none"/>
        </w:rPr>
        <w:t xml:space="preserve">se muestra en el siguiente cuadro: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835"/>
        <w:gridCol w:w="1005"/>
        <w:gridCol w:w="1005"/>
      </w:tblGrid>
      <w:tr>
        <w:tblPrEx>
          <w:tblW w:w="7845" w:type="dxa"/>
          <w:tblInd w:w="2126" w:type="dxa"/>
          <w:tblLayout w:type="fixed"/>
        </w:tblPrEx>
        <w:trPr>
          <w:cantSplit/>
          <w:trHeight w:hRule="auto" w:val="0"/>
        </w:trPr>
        <w:tc>
          <w:tcPr>
            <w:tcW w:w="583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deudores comerciales y otras cuentas por cobrar vencidos y no pagados con deterioro</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835"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Saldo inicial.</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(502.465)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(382.575)</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Baja (reversiones) de deudores comerciales y otras cuentas por cobrar deterioradas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11.977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disminución del período o ejercicio.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(131.867)</w:t>
            </w:r>
          </w:p>
        </w:tc>
      </w:tr>
      <w:tr>
        <w:tblPrEx>
          <w:tblW w:w="7845" w:type="dxa"/>
          <w:tblInd w:w="2126" w:type="dxa"/>
          <w:tblLayout w:type="fixed"/>
        </w:tblPrEx>
        <w:trPr>
          <w:cantSplit/>
          <w:trHeight w:hRule="auto" w:val="0"/>
        </w:trPr>
        <w:tc>
          <w:tcPr>
            <w:tcW w:w="58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(502.465)</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(502.465)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El valor justo de los deudores comerciales y otras cuentas por cobrar no difiere significativamente del valor de libros presentado. Asimismo, el valor libros de los deudores y clientes por cobrar en mora no deteriorados y deteriorados representan una aproximación razonable al valor justo de los mismos y consideran una provisión de deterioro cuando existe evidencia objetiva de que </w:t>
      </w:r>
      <w:r>
        <w:rPr>
          <w:rFonts w:ascii="Calibri" w:eastAsia="Calibri" w:hAnsi="Calibri" w:cs="Calibri"/>
          <w:b w:val="0"/>
          <w:i w:val="0"/>
          <w:color w:val="000000"/>
          <w:sz w:val="20"/>
          <w:u w:val="none"/>
        </w:rPr>
        <w:t>CGE Comercializadora SpA.</w:t>
      </w:r>
      <w:r>
        <w:rPr>
          <w:rFonts w:ascii="Calibri" w:eastAsia="Calibri" w:hAnsi="Calibri" w:cs="Calibri"/>
          <w:b w:val="0"/>
          <w:i w:val="0"/>
          <w:sz w:val="20"/>
        </w:rPr>
        <w:t xml:space="preserve"> no será capaz de cobrar el importe que se le adeuda, ello aún luego de aplicar las acciones de cobranza.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 exposición máxima al riesgo de crédito a la fecha de reporte es el valor en libros de cada clase de cuenta por cobrar mencionada. </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Se consideran saldos de dudoso cobro, todos aquellos que se incluyen en la matriz de cálculo de pérdida esperada basado en la experiencia histórica de pérdidas crediticias de CGE Comercializadora SpA., ajustada por factores prospectivos específicos para los deudores y el entorno económico.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La política de provisión de incobrables de CGE Comercializadora SpA. contempla la actualización de las variables macroeconómicas cuando lo amerite en caso de visualizar un cambio significativo.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Los castigos tributarios son realizados en la medida que las deudas son declaradas sin posibilidad alguna de recupero, de acuerdo a las normas tributarias vigentes.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left"/>
        <w:outlineLvl w:val="1"/>
        <w:rPr>
          <w:rFonts w:ascii="Calibri" w:eastAsia="Calibri" w:hAnsi="Calibri" w:cs="Calibri"/>
          <w:b/>
          <w:i w:val="0"/>
          <w:color w:val="000000"/>
          <w:sz w:val="20"/>
          <w:u w:val="none"/>
        </w:rPr>
      </w:pPr>
      <w:bookmarkStart w:id="87" w:name="Section49"/>
      <w:bookmarkEnd w:id="87"/>
      <w:bookmarkStart w:id="88" w:name="a6d3c01ec28e4dd0af2dc2818b341e65"/>
      <w:r>
        <w:rPr>
          <w:rFonts w:ascii="Calibri" w:eastAsia="Calibri" w:hAnsi="Calibri" w:cs="Calibri"/>
          <w:b/>
          <w:i w:val="0"/>
          <w:color w:val="000000"/>
          <w:sz w:val="20"/>
          <w:u w:val="none"/>
        </w:rPr>
        <w:t>7.2.-</w:t>
      </w:r>
      <w:r>
        <w:rPr>
          <w:rFonts w:ascii="Calibri" w:eastAsia="Calibri" w:hAnsi="Calibri" w:cs="Calibri"/>
          <w:b/>
          <w:i w:val="0"/>
          <w:color w:val="000000"/>
          <w:sz w:val="20"/>
          <w:u w:val="none"/>
        </w:rPr>
        <w:tab/>
      </w:r>
      <w:r>
        <w:rPr>
          <w:rFonts w:ascii="Calibri" w:eastAsia="Calibri" w:hAnsi="Calibri" w:cs="Calibri"/>
          <w:b/>
          <w:i w:val="0"/>
          <w:color w:val="000000"/>
          <w:sz w:val="20"/>
          <w:u w:val="none"/>
        </w:rPr>
        <w:t>Estratificación de la cartera.</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bookmarkEnd w:id="88"/>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55"/>
        <w:gridCol w:w="930"/>
        <w:gridCol w:w="930"/>
        <w:gridCol w:w="930"/>
        <w:gridCol w:w="930"/>
        <w:gridCol w:w="930"/>
        <w:gridCol w:w="930"/>
        <w:gridCol w:w="930"/>
        <w:gridCol w:w="930"/>
        <w:gridCol w:w="930"/>
        <w:gridCol w:w="930"/>
        <w:gridCol w:w="930"/>
        <w:gridCol w:w="930"/>
        <w:gridCol w:w="930"/>
      </w:tblGrid>
      <w:tr>
        <w:tblPrEx>
          <w:tblW w:w="13845" w:type="dxa"/>
          <w:tblInd w:w="709" w:type="dxa"/>
          <w:tblLayout w:type="fixed"/>
        </w:tblPrEx>
        <w:trPr>
          <w:cantSplit/>
          <w:trHeight w:hRule="auto" w:val="0"/>
        </w:trPr>
        <w:tc>
          <w:tcPr>
            <w:tcW w:w="17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corrientes</w:t>
            </w:r>
          </w:p>
        </w:tc>
        <w:tc>
          <w:tcPr>
            <w:tcW w:w="93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auto" w:val="0"/>
        </w:trPr>
        <w:tc>
          <w:tcPr>
            <w:tcW w:w="1755" w:type="dxa"/>
            <w:vMerge/>
            <w:tcBorders>
              <w:top w:val="nil"/>
              <w:left w:val="single" w:sz="2" w:space="0" w:color="000000"/>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755" w:type="dxa"/>
            <w:vMerge/>
            <w:tcBorders>
              <w:top w:val="nil"/>
              <w:left w:val="single" w:sz="2" w:space="0" w:color="000000"/>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755" w:type="dxa"/>
            <w:vMerge/>
            <w:tcBorders>
              <w:top w:val="nil"/>
              <w:left w:val="single" w:sz="2" w:space="0" w:color="000000"/>
              <w:bottom w:val="single" w:sz="2" w:space="0" w:color="000000"/>
              <w:right w:val="nil"/>
            </w:tcBorders>
          </w:tcPr>
          <w:p>
            <w:pPr>
              <w:keepNext/>
              <w:pageBreakBefore w:val="0"/>
            </w:pP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4.131.362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538.839</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403.632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349.560</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609.292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308.568</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61.496</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4.902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23.898</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350.422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6.781.971</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6.781.971</w:t>
            </w:r>
          </w:p>
        </w:tc>
        <w:tc>
          <w:tcPr>
            <w:tcW w:w="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245.115</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245.115</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235.989</w:t>
            </w:r>
          </w:p>
        </w:tc>
        <w:tc>
          <w:tcPr>
            <w:tcW w:w="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(28.691)</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(15.761)</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(22.603)</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(32.950)</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(85.839)</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(58.383)</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(14.585)</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(1.388)</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(8.849)</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(270.692)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(539.741)</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(539.741)</w:t>
            </w:r>
          </w:p>
        </w:tc>
        <w:tc>
          <w:tcPr>
            <w:tcW w:w="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4.347.786</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523.078</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381.029</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316.610</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523.453</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250.185</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46.911</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3.514</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15.049</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79.730</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6.487.345</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6.478.219</w:t>
            </w:r>
          </w:p>
        </w:tc>
        <w:tc>
          <w:tcPr>
            <w:tcW w:w="93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49"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estratificación de la cartera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384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755"/>
        <w:gridCol w:w="930"/>
        <w:gridCol w:w="930"/>
        <w:gridCol w:w="930"/>
        <w:gridCol w:w="930"/>
        <w:gridCol w:w="930"/>
        <w:gridCol w:w="930"/>
        <w:gridCol w:w="930"/>
        <w:gridCol w:w="930"/>
        <w:gridCol w:w="930"/>
        <w:gridCol w:w="930"/>
        <w:gridCol w:w="930"/>
        <w:gridCol w:w="930"/>
        <w:gridCol w:w="930"/>
      </w:tblGrid>
      <w:tr>
        <w:tblPrEx>
          <w:tblW w:w="13845" w:type="dxa"/>
          <w:tblInd w:w="709" w:type="dxa"/>
          <w:tblLayout w:type="fixed"/>
        </w:tblPrEx>
        <w:trPr>
          <w:cantSplit/>
          <w:trHeight w:hRule="auto" w:val="0"/>
        </w:trPr>
        <w:tc>
          <w:tcPr>
            <w:tcW w:w="17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Cartera </w:t>
            </w:r>
          </w:p>
          <w:p>
            <w:pPr>
              <w:spacing w:after="0" w:line="240" w:lineRule="auto"/>
              <w:jc w:val="center"/>
            </w:pPr>
            <w:r>
              <w:rPr>
                <w:rFonts w:ascii="Calibri" w:eastAsia="Calibri" w:hAnsi="Calibri" w:cs="Calibri"/>
                <w:b/>
                <w:i w:val="0"/>
                <w:color w:val="FFFFFF"/>
                <w:sz w:val="14"/>
                <w:u w:val="none"/>
              </w:rPr>
              <w:t>al día</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1-30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31-60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61-90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91-120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121-150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151-180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181-210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211-250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Morosidad </w:t>
            </w:r>
          </w:p>
          <w:p>
            <w:pPr>
              <w:spacing w:after="0" w:line="240" w:lineRule="auto"/>
              <w:jc w:val="center"/>
            </w:pPr>
            <w:r>
              <w:rPr>
                <w:rFonts w:ascii="Calibri" w:eastAsia="Calibri" w:hAnsi="Calibri" w:cs="Calibri"/>
                <w:b/>
                <w:i w:val="0"/>
                <w:color w:val="FFFFFF"/>
                <w:sz w:val="14"/>
                <w:u w:val="none"/>
              </w:rPr>
              <w:t>mayor a 251 días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deudores</w:t>
            </w:r>
          </w:p>
        </w:tc>
        <w:tc>
          <w:tcPr>
            <w:tcW w:w="93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corrientes</w:t>
            </w:r>
          </w:p>
        </w:tc>
        <w:tc>
          <w:tcPr>
            <w:tcW w:w="930" w:type="dxa"/>
            <w:vMerge w:val="restart"/>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line="240" w:lineRule="auto"/>
              <w:jc w:val="center"/>
            </w:pPr>
            <w:r>
              <w:rPr>
                <w:rFonts w:ascii="Calibri" w:eastAsia="Calibri" w:hAnsi="Calibri" w:cs="Calibri"/>
                <w:b/>
                <w:i w:val="0"/>
                <w:color w:val="FFFFFF"/>
                <w:sz w:val="14"/>
                <w:u w:val="none"/>
              </w:rPr>
              <w:t xml:space="preserve">Total </w:t>
            </w:r>
          </w:p>
          <w:p>
            <w:pPr>
              <w:spacing w:after="0" w:line="240" w:lineRule="auto"/>
              <w:jc w:val="center"/>
            </w:pPr>
            <w:r>
              <w:rPr>
                <w:rFonts w:ascii="Calibri" w:eastAsia="Calibri" w:hAnsi="Calibri" w:cs="Calibri"/>
                <w:b/>
                <w:i w:val="0"/>
                <w:color w:val="FFFFFF"/>
                <w:sz w:val="14"/>
                <w:u w:val="none"/>
              </w:rPr>
              <w:t>no corrientes</w:t>
            </w:r>
          </w:p>
        </w:tc>
      </w:tr>
      <w:tr>
        <w:tblPrEx>
          <w:tblW w:w="13845" w:type="dxa"/>
          <w:tblInd w:w="709" w:type="dxa"/>
          <w:tblLayout w:type="fixed"/>
        </w:tblPrEx>
        <w:trPr>
          <w:cantSplit/>
          <w:trHeight w:hRule="auto" w:val="0"/>
        </w:trPr>
        <w:tc>
          <w:tcPr>
            <w:tcW w:w="1755" w:type="dxa"/>
            <w:vMerge/>
            <w:tcBorders>
              <w:top w:val="nil"/>
              <w:left w:val="single" w:sz="2" w:space="0" w:color="000000"/>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755" w:type="dxa"/>
            <w:vMerge/>
            <w:tcBorders>
              <w:top w:val="nil"/>
              <w:left w:val="single" w:sz="2" w:space="0" w:color="000000"/>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4" w:space="0" w:color="FFFFFF"/>
            </w:tcBorders>
          </w:tcPr>
          <w:p>
            <w:pPr>
              <w:keepNext/>
              <w:pageBreakBefore w:val="0"/>
            </w:pPr>
          </w:p>
        </w:tc>
        <w:tc>
          <w:tcPr>
            <w:tcW w:w="930" w:type="dxa"/>
            <w:vMerge/>
            <w:tcBorders>
              <w:top w:val="nil"/>
              <w:left w:val="nil"/>
              <w:bottom w:val="nil"/>
              <w:right w:val="single" w:sz="2" w:space="0" w:color="000000"/>
            </w:tcBorders>
          </w:tcPr>
          <w:p>
            <w:pPr>
              <w:keepNext/>
              <w:pageBreakBefore w:val="0"/>
            </w:pPr>
          </w:p>
        </w:tc>
      </w:tr>
      <w:tr>
        <w:tblPrEx>
          <w:tblW w:w="13845" w:type="dxa"/>
          <w:tblInd w:w="709" w:type="dxa"/>
          <w:tblLayout w:type="fixed"/>
        </w:tblPrEx>
        <w:trPr>
          <w:cantSplit/>
          <w:trHeight w:hRule="auto" w:val="0"/>
        </w:trPr>
        <w:tc>
          <w:tcPr>
            <w:tcW w:w="1755" w:type="dxa"/>
            <w:vMerge/>
            <w:tcBorders>
              <w:top w:val="nil"/>
              <w:left w:val="single" w:sz="2" w:space="0" w:color="000000"/>
              <w:bottom w:val="single" w:sz="2" w:space="0" w:color="000000"/>
              <w:right w:val="nil"/>
            </w:tcBorders>
          </w:tcPr>
          <w:p>
            <w:pPr>
              <w:keepNext/>
              <w:pageBreakBefore w:val="0"/>
            </w:pP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3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Deudores comerciales, bruto.</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3.412.776</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2.335.367</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713.005</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268.757</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305.726</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31.731</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15.000</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14.307</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58.579</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299.659</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7.454.907</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7.454.907</w:t>
            </w:r>
          </w:p>
        </w:tc>
        <w:tc>
          <w:tcPr>
            <w:tcW w:w="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Otras cuentas por cobrar, bruto.</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266.803</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266.803</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257.704</w:t>
            </w:r>
          </w:p>
        </w:tc>
        <w:tc>
          <w:tcPr>
            <w:tcW w:w="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9.099</w:t>
            </w: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Provisión deterioro Deudores Comerciales.</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(49.920)</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(68.325)</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(39.952)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(25.281)</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(43.046)</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(6.006)</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(3.612)</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(4.321)</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(21.703)</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(240.299)</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(502.465)</w:t>
            </w:r>
          </w:p>
        </w:tc>
        <w:tc>
          <w:tcPr>
            <w:tcW w:w="93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(502.465)</w:t>
            </w:r>
          </w:p>
        </w:tc>
        <w:tc>
          <w:tcPr>
            <w:tcW w:w="93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3845" w:type="dxa"/>
          <w:tblInd w:w="709" w:type="dxa"/>
          <w:tblLayout w:type="fixed"/>
        </w:tblPrEx>
        <w:trPr>
          <w:cantSplit/>
          <w:trHeight w:hRule="auto" w:val="0"/>
        </w:trPr>
        <w:tc>
          <w:tcPr>
            <w:tcW w:w="17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 xml:space="preserve">Total </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3.629.659</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2.267.042</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673.053</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243.476</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262.680</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25.725</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11.388</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9.986</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36.876</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59.360</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7.219.245</w:t>
            </w:r>
          </w:p>
        </w:tc>
        <w:tc>
          <w:tcPr>
            <w:tcW w:w="93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7.210.146</w:t>
            </w:r>
          </w:p>
        </w:tc>
        <w:tc>
          <w:tcPr>
            <w:tcW w:w="93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9.099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36"/>
          <w:footerReference w:type="default" r:id="rId37"/>
          <w:pgSz w:w="16834" w:h="11909" w:orient="landscape"/>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89" w:name="Section50"/>
      <w:bookmarkEnd w:id="89"/>
      <w:bookmarkStart w:id="90" w:name="a299857756cc4d969ec82afb865875dc"/>
      <w:r>
        <w:rPr>
          <w:rFonts w:ascii="Calibri" w:eastAsia="Calibri" w:hAnsi="Calibri" w:cs="Calibri"/>
          <w:b/>
          <w:i w:val="0"/>
          <w:color w:val="000000"/>
          <w:sz w:val="20"/>
          <w:u w:val="none"/>
        </w:rPr>
        <w:t>7.3.-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estratificación de la cartera deudores comerciales.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0"/>
    </w:p>
    <w:p>
      <w:pPr>
        <w:pStyle w:val="Normal-wk"/>
        <w:keepNext w:val="0"/>
        <w:keepLines/>
        <w:pageBreakBefore w:val="0"/>
        <w:widowControl w:val="0"/>
        <w:numPr>
          <w:ilvl w:val="0"/>
          <w:numId w:val="0"/>
        </w:numPr>
        <w:spacing w:before="0" w:after="0" w:line="240" w:lineRule="exact"/>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resumen de estratificación de cartera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720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800"/>
        <w:gridCol w:w="1080"/>
        <w:gridCol w:w="1080"/>
        <w:gridCol w:w="1080"/>
        <w:gridCol w:w="1080"/>
        <w:gridCol w:w="1080"/>
      </w:tblGrid>
      <w:tr>
        <w:tblPrEx>
          <w:tblW w:w="7200" w:type="dxa"/>
          <w:tblInd w:w="1440" w:type="dxa"/>
          <w:tblLayout w:type="fixed"/>
        </w:tblPrEx>
        <w:trPr>
          <w:cantSplit/>
          <w:trHeight w:hRule="auto" w:val="0"/>
        </w:trPr>
        <w:tc>
          <w:tcPr>
            <w:tcW w:w="720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r>
      <w:tr>
        <w:tblPrEx>
          <w:tblW w:w="7200" w:type="dxa"/>
          <w:tblInd w:w="1440" w:type="dxa"/>
          <w:tblLayout w:type="fixed"/>
        </w:tblPrEx>
        <w:trPr>
          <w:cantSplit/>
          <w:trHeight w:hRule="auto" w:val="0"/>
        </w:trPr>
        <w:tc>
          <w:tcPr>
            <w:tcW w:w="18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08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7200" w:type="dxa"/>
          <w:tblInd w:w="1440" w:type="dxa"/>
          <w:tblLayout w:type="fixed"/>
        </w:tblPrEx>
        <w:trPr>
          <w:cantSplit/>
          <w:trHeight w:hRule="auto" w:val="0"/>
        </w:trPr>
        <w:tc>
          <w:tcPr>
            <w:tcW w:w="1800" w:type="dxa"/>
            <w:vMerge/>
            <w:tcBorders>
              <w:top w:val="nil"/>
              <w:left w:val="single" w:sz="2" w:space="0" w:color="000000"/>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200" w:type="dxa"/>
          <w:tblInd w:w="1440" w:type="dxa"/>
          <w:tblLayout w:type="fixed"/>
        </w:tblPrEx>
        <w:trPr>
          <w:cantSplit/>
          <w:trHeight w:hRule="exact" w:val="60"/>
        </w:trPr>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0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7200" w:type="dxa"/>
          <w:tblInd w:w="1440" w:type="dxa"/>
          <w:tblLayout w:type="fixed"/>
        </w:tblPrEx>
        <w:trPr>
          <w:cantSplit/>
          <w:trHeight w:hRule="exact" w:val="60"/>
        </w:trPr>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10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7200" w:type="dxa"/>
          <w:tblInd w:w="1440" w:type="dxa"/>
          <w:tblLayout w:type="fixed"/>
        </w:tblPrEx>
        <w:trPr>
          <w:cantSplit/>
          <w:trHeight w:hRule="exact" w:val="60"/>
        </w:trPr>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720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800"/>
        <w:gridCol w:w="1080"/>
        <w:gridCol w:w="1080"/>
        <w:gridCol w:w="1080"/>
        <w:gridCol w:w="1080"/>
        <w:gridCol w:w="1080"/>
      </w:tblGrid>
      <w:tr>
        <w:tblPrEx>
          <w:tblW w:w="7200" w:type="dxa"/>
          <w:tblInd w:w="1440" w:type="dxa"/>
          <w:tblLayout w:type="fixed"/>
        </w:tblPrEx>
        <w:trPr>
          <w:cantSplit/>
          <w:trHeight w:hRule="auto" w:val="0"/>
        </w:trPr>
        <w:tc>
          <w:tcPr>
            <w:tcW w:w="7200" w:type="dxa"/>
            <w:gridSpan w:val="6"/>
            <w:tcBorders>
              <w:top w:val="single" w:sz="2" w:space="0" w:color="000000"/>
              <w:left w:val="single" w:sz="2" w:space="0" w:color="000000"/>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7200" w:type="dxa"/>
          <w:tblInd w:w="1440" w:type="dxa"/>
          <w:tblLayout w:type="fixed"/>
        </w:tblPrEx>
        <w:trPr>
          <w:cantSplit/>
          <w:trHeight w:hRule="auto" w:val="0"/>
        </w:trPr>
        <w:tc>
          <w:tcPr>
            <w:tcW w:w="180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Tramos de deudas</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Clientes de cartera no repactada</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Cartera no repactada, bruta</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Provisión deterioro</w:t>
            </w:r>
          </w:p>
        </w:tc>
        <w:tc>
          <w:tcPr>
            <w:tcW w:w="108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cartera, bruta</w:t>
            </w:r>
          </w:p>
        </w:tc>
        <w:tc>
          <w:tcPr>
            <w:tcW w:w="108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 provisión deterioro</w:t>
            </w:r>
          </w:p>
        </w:tc>
      </w:tr>
      <w:tr>
        <w:tblPrEx>
          <w:tblW w:w="7200" w:type="dxa"/>
          <w:tblInd w:w="1440" w:type="dxa"/>
          <w:tblLayout w:type="fixed"/>
        </w:tblPrEx>
        <w:trPr>
          <w:cantSplit/>
          <w:trHeight w:hRule="auto" w:val="0"/>
        </w:trPr>
        <w:tc>
          <w:tcPr>
            <w:tcW w:w="1800" w:type="dxa"/>
            <w:vMerge/>
            <w:tcBorders>
              <w:top w:val="nil"/>
              <w:left w:val="single" w:sz="2" w:space="0" w:color="000000"/>
              <w:bottom w:val="single" w:sz="2" w:space="0" w:color="000000"/>
              <w:right w:val="nil"/>
            </w:tcBorders>
          </w:tcPr>
          <w:p>
            <w:pPr>
              <w:keepNext/>
              <w:pageBreakBefore w:val="0"/>
            </w:pP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N°</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8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08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7200" w:type="dxa"/>
          <w:tblInd w:w="1440" w:type="dxa"/>
          <w:tblLayout w:type="fixed"/>
        </w:tblPrEx>
        <w:trPr>
          <w:cantSplit/>
          <w:trHeight w:hRule="exact" w:val="60"/>
        </w:trPr>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Por vencer</w:t>
            </w:r>
          </w:p>
        </w:tc>
        <w:tc>
          <w:tcPr>
            <w:tcW w:w="10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Vendida y no facturada (1).</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1.300.206</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1.300.206</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Por vencer (2).</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134</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2.112.570</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(49.920)</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2.112.570</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(49.920)</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por vencer</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134</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3.412.776</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(49.920)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3.412.776</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(49.920)</w:t>
            </w:r>
          </w:p>
        </w:tc>
      </w:tr>
      <w:tr>
        <w:tblPrEx>
          <w:tblW w:w="7200" w:type="dxa"/>
          <w:tblInd w:w="1440" w:type="dxa"/>
          <w:tblLayout w:type="fixed"/>
        </w:tblPrEx>
        <w:trPr>
          <w:cantSplit/>
          <w:trHeight w:hRule="exact" w:val="60"/>
        </w:trPr>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Vencidos (3)</w:t>
            </w:r>
          </w:p>
        </w:tc>
        <w:tc>
          <w:tcPr>
            <w:tcW w:w="108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 y 30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2.335.367</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(68.325)</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2.335.367</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(68.325)</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31 y 60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713.005</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(39.952)</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713.005</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(39.952)</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61 y 90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75</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268.757</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(25.281)</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268.757</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(25.281)</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91 y 120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305.726</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(43.046)</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305.726</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(43.046)</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121 y 150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31.731</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(6.006)</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31.731</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(6.006)</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151 y 180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15.000</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(3.612)</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15.000</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(3.612)</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181 y 210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14.307</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(4.321)</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14.307</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(4.321)</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Entre 211 y 250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58.579</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(21.703)</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58.579</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(21.703)</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Más de 250 días.</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22</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299.659</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(240.299)</w:t>
            </w:r>
          </w:p>
        </w:tc>
        <w:tc>
          <w:tcPr>
            <w:tcW w:w="108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299.659</w:t>
            </w:r>
          </w:p>
        </w:tc>
        <w:tc>
          <w:tcPr>
            <w:tcW w:w="108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(240.299)</w:t>
            </w: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Sub total vencidos</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220</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4.042.131</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(452.545)</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4.042.131</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(452.545)</w:t>
            </w:r>
          </w:p>
        </w:tc>
      </w:tr>
      <w:tr>
        <w:tblPrEx>
          <w:tblW w:w="7200" w:type="dxa"/>
          <w:tblInd w:w="1440" w:type="dxa"/>
          <w:tblLayout w:type="fixed"/>
        </w:tblPrEx>
        <w:trPr>
          <w:cantSplit/>
          <w:trHeight w:hRule="exact" w:val="60"/>
        </w:trPr>
        <w:tc>
          <w:tcPr>
            <w:tcW w:w="18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200" w:type="dxa"/>
          <w:tblInd w:w="1440" w:type="dxa"/>
          <w:tblLayout w:type="fixed"/>
        </w:tblPrEx>
        <w:trPr>
          <w:cantSplit/>
          <w:trHeight w:hRule="auto" w:val="0"/>
        </w:trPr>
        <w:tc>
          <w:tcPr>
            <w:tcW w:w="18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354</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7.454.907</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(502.465)</w:t>
            </w:r>
          </w:p>
        </w:tc>
        <w:tc>
          <w:tcPr>
            <w:tcW w:w="108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7.454.907</w:t>
            </w:r>
          </w:p>
        </w:tc>
        <w:tc>
          <w:tcPr>
            <w:tcW w:w="108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(502.465)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Vendida y no facturada: Corresponde a la estimación de energía por facturar que ha sido suministrada hasta la fecha de cierre de los estados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Por vencer: Corresponde a las facturas y boletas emitidas que al cierre de los estados financieros se encuentran sin vencer su fecha de pago.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w:t>
      </w:r>
      <w:r>
        <w:rPr>
          <w:rFonts w:ascii="Calibri" w:eastAsia="Calibri" w:hAnsi="Calibri" w:cs="Calibri"/>
          <w:b w:val="0"/>
          <w:i w:val="0"/>
          <w:color w:val="000000"/>
          <w:sz w:val="20"/>
          <w:u w:val="none"/>
        </w:rPr>
        <w:tab/>
      </w:r>
      <w:r>
        <w:rPr>
          <w:rFonts w:ascii="Calibri" w:eastAsia="Calibri" w:hAnsi="Calibri" w:cs="Calibri"/>
          <w:b w:val="0"/>
          <w:i w:val="0"/>
          <w:sz w:val="20"/>
        </w:rPr>
        <w:t>Vencidos</w:t>
      </w:r>
      <w:r>
        <w:rPr>
          <w:rFonts w:ascii="Calibri" w:eastAsia="Calibri" w:hAnsi="Calibri" w:cs="Calibri"/>
          <w:b w:val="0"/>
          <w:i w:val="0"/>
          <w:color w:val="000000"/>
          <w:sz w:val="20"/>
          <w:u w:val="none"/>
        </w:rPr>
        <w:t>: Corresponde a las facturas y boletas emitidas que al cierre de los estados financieros tienen como mínimo un día de morosidad con respecto a su fecha de vencimiento.</w:t>
      </w: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sectPr>
          <w:headerReference w:type="default" r:id="rId38"/>
          <w:footerReference w:type="default" r:id="rId39"/>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91" w:name="Section51"/>
      <w:bookmarkEnd w:id="91"/>
      <w:bookmarkStart w:id="92" w:name="9cf2912d3fa94e11a917c9f0e57ada2b"/>
      <w:r>
        <w:rPr>
          <w:rFonts w:ascii="Calibri" w:eastAsia="Calibri" w:hAnsi="Calibri" w:cs="Calibri"/>
          <w:b/>
          <w:i w:val="0"/>
          <w:color w:val="000000"/>
          <w:sz w:val="20"/>
          <w:u w:val="none"/>
        </w:rPr>
        <w:t>7.4.-</w:t>
      </w:r>
      <w:r>
        <w:rPr>
          <w:rFonts w:ascii="Calibri" w:eastAsia="Calibri" w:hAnsi="Calibri" w:cs="Calibri"/>
          <w:b/>
          <w:i w:val="0"/>
          <w:color w:val="000000"/>
          <w:sz w:val="20"/>
          <w:u w:val="none"/>
        </w:rPr>
        <w:tab/>
      </w:r>
      <w:r>
        <w:rPr>
          <w:rFonts w:ascii="Calibri" w:eastAsia="Calibri" w:hAnsi="Calibri" w:cs="Calibri"/>
          <w:b/>
          <w:i w:val="0"/>
          <w:color w:val="000000"/>
          <w:sz w:val="20"/>
          <w:u w:val="none"/>
        </w:rPr>
        <w:t>Cartera protestada y en cobranza judicial.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2"/>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hay cartera protestada y en cobranza judicial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93" w:name="Section52"/>
      <w:bookmarkEnd w:id="93"/>
      <w:bookmarkStart w:id="94" w:name="d23ccc5998854fac819c7a36c5209c0f"/>
      <w:r>
        <w:rPr>
          <w:rFonts w:ascii="Calibri" w:eastAsia="Calibri" w:hAnsi="Calibri" w:cs="Calibri"/>
          <w:b/>
          <w:i w:val="0"/>
          <w:color w:val="000000"/>
          <w:sz w:val="20"/>
          <w:u w:val="none"/>
        </w:rPr>
        <w:t xml:space="preserve">7.5.- </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y monto de operaciones.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bookmarkEnd w:id="9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número y monto de operaciones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 por venta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Segmentos de ventas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Operaciones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Ventas de energía eléctrica Chile.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1.648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13.251.454</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1.648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13.251.454</w:t>
            </w:r>
          </w:p>
        </w:tc>
      </w:tr>
    </w:tbl>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95" w:name="Section53"/>
      <w:bookmarkEnd w:id="95"/>
      <w:bookmarkStart w:id="96" w:name="7aa2e81ae5994cbcad2949f8ab422629"/>
      <w:r>
        <w:rPr>
          <w:rFonts w:ascii="Calibri" w:eastAsia="Calibri" w:hAnsi="Calibri" w:cs="Calibri"/>
          <w:b/>
          <w:i w:val="0"/>
          <w:color w:val="000000"/>
          <w:sz w:val="20"/>
          <w:u w:val="none"/>
        </w:rPr>
        <w:t>8.-</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6"/>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como política informar todas las transacciones que efectúa con partes relacionadas durante el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97" w:name="Section54"/>
      <w:bookmarkEnd w:id="97"/>
      <w:bookmarkStart w:id="98" w:name="132d13a17f43459aa7a24935fca0e0d0"/>
      <w:r>
        <w:rPr>
          <w:rFonts w:ascii="Calibri" w:eastAsia="Calibri" w:hAnsi="Calibri" w:cs="Calibri"/>
          <w:b/>
          <w:i w:val="0"/>
          <w:color w:val="000000"/>
          <w:sz w:val="20"/>
          <w:u w:val="none"/>
        </w:rPr>
        <w:t>8.1.-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98"/>
    </w:p>
    <w:p>
      <w:pPr>
        <w:pStyle w:val="Normal-wk"/>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0"/>
        </w:numPr>
        <w:spacing w:before="0" w:after="0" w:line="240" w:lineRule="exact"/>
        <w:ind w:left="1776" w:right="0" w:firstLine="348"/>
        <w:jc w:val="both"/>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val="0"/>
        <w:pageBreakBefore w:val="0"/>
        <w:widowControl/>
        <w:numPr>
          <w:ilvl w:val="0"/>
          <w:numId w:val="0"/>
        </w:numPr>
        <w:spacing w:before="0" w:after="0" w:line="288" w:lineRule="auto"/>
        <w:ind w:left="720" w:right="0" w:firstLine="0"/>
        <w:jc w:val="both"/>
        <w:outlineLvl w:val="9"/>
        <w:rPr>
          <w:rFonts w:ascii="Arial" w:eastAsia="Arial" w:hAnsi="Arial" w:cs="Arial"/>
          <w:b w:val="0"/>
          <w:i w:val="0"/>
          <w:color w:val="000000"/>
          <w:sz w:val="22"/>
          <w:u w:val="none"/>
        </w:rPr>
      </w:pPr>
    </w:p>
    <w:tbl>
      <w:tblPr>
        <w:tblW w:w="1209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280"/>
        <w:gridCol w:w="555"/>
        <w:gridCol w:w="2100"/>
        <w:gridCol w:w="1005"/>
        <w:gridCol w:w="1005"/>
        <w:gridCol w:w="660"/>
        <w:gridCol w:w="900"/>
        <w:gridCol w:w="900"/>
        <w:gridCol w:w="900"/>
        <w:gridCol w:w="900"/>
      </w:tblGrid>
      <w:tr>
        <w:tblPrEx>
          <w:tblW w:w="1209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2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5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1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09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280" w:type="dxa"/>
            <w:vMerge/>
            <w:tcBorders>
              <w:top w:val="nil"/>
              <w:left w:val="single" w:sz="4" w:space="0" w:color="FFFFFF"/>
              <w:bottom w:val="nil"/>
              <w:right w:val="nil"/>
            </w:tcBorders>
          </w:tcPr>
          <w:p>
            <w:pPr>
              <w:keepNext/>
              <w:pageBreakBefore w:val="0"/>
            </w:pPr>
          </w:p>
        </w:tc>
        <w:tc>
          <w:tcPr>
            <w:tcW w:w="555" w:type="dxa"/>
            <w:vMerge/>
            <w:tcBorders>
              <w:top w:val="nil"/>
              <w:left w:val="single" w:sz="4" w:space="0" w:color="FFFFFF"/>
              <w:bottom w:val="nil"/>
              <w:right w:val="nil"/>
            </w:tcBorders>
          </w:tcPr>
          <w:p>
            <w:pPr>
              <w:keepNext/>
              <w:pageBreakBefore w:val="0"/>
            </w:pPr>
          </w:p>
        </w:tc>
        <w:tc>
          <w:tcPr>
            <w:tcW w:w="21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09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280" w:type="dxa"/>
            <w:vMerge/>
            <w:tcBorders>
              <w:top w:val="nil"/>
              <w:left w:val="single" w:sz="4" w:space="0" w:color="FFFFFF"/>
              <w:bottom w:val="single" w:sz="2" w:space="0" w:color="000000"/>
              <w:right w:val="nil"/>
            </w:tcBorders>
          </w:tcPr>
          <w:p>
            <w:pPr>
              <w:keepNext/>
              <w:pageBreakBefore w:val="0"/>
            </w:pPr>
          </w:p>
        </w:tc>
        <w:tc>
          <w:tcPr>
            <w:tcW w:w="555" w:type="dxa"/>
            <w:vMerge/>
            <w:tcBorders>
              <w:top w:val="nil"/>
              <w:left w:val="single" w:sz="4" w:space="0" w:color="FFFFFF"/>
              <w:bottom w:val="single" w:sz="2" w:space="0" w:color="000000"/>
              <w:right w:val="nil"/>
            </w:tcBorders>
          </w:tcPr>
          <w:p>
            <w:pPr>
              <w:keepNext/>
              <w:pageBreakBefore w:val="0"/>
            </w:pPr>
          </w:p>
        </w:tc>
        <w:tc>
          <w:tcPr>
            <w:tcW w:w="210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9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76.230.505-4</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53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90" w:type="dxa"/>
          <w:tblInd w:w="1417" w:type="dxa"/>
          <w:tblLayout w:type="fixed"/>
        </w:tblPrEx>
        <w:trPr>
          <w:cantSplit/>
          <w:trHeight w:hRule="exact" w:val="24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76.306.442-5</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II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2</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9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equipos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213.863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9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57.455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9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25.696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9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9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1.651</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9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76.680.107-2</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Transmisora del Norte Grande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9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546.983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9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2.063</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90" w:type="dxa"/>
          <w:tblInd w:w="1417" w:type="dxa"/>
          <w:tblLayout w:type="fixed"/>
        </w:tblPrEx>
        <w:trPr>
          <w:cantSplit/>
          <w:trHeight w:hRule="exact" w:val="37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77.470.427-2</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Transmisión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90" w:type="dxa"/>
          <w:tblInd w:w="1417" w:type="dxa"/>
          <w:tblLayout w:type="fixed"/>
        </w:tblPrEx>
        <w:trPr>
          <w:cantSplit/>
          <w:trHeight w:hRule="exact" w:val="37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77.470.446-9</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Litoral Transmisión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90" w:type="dxa"/>
          <w:tblInd w:w="1417" w:type="dxa"/>
          <w:tblLayout w:type="fixed"/>
        </w:tblPrEx>
        <w:trPr>
          <w:cantSplit/>
          <w:trHeight w:hRule="auto" w:val="0"/>
        </w:trPr>
        <w:tc>
          <w:tcPr>
            <w:tcW w:w="849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847.799</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348"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03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280"/>
        <w:gridCol w:w="555"/>
        <w:gridCol w:w="2100"/>
        <w:gridCol w:w="1005"/>
        <w:gridCol w:w="1005"/>
        <w:gridCol w:w="660"/>
        <w:gridCol w:w="885"/>
        <w:gridCol w:w="885"/>
        <w:gridCol w:w="885"/>
        <w:gridCol w:w="885"/>
      </w:tblGrid>
      <w:tr>
        <w:tblPrEx>
          <w:tblW w:w="1203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28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5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21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66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03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280" w:type="dxa"/>
            <w:vMerge/>
            <w:tcBorders>
              <w:top w:val="nil"/>
              <w:left w:val="single" w:sz="4" w:space="0" w:color="FFFFFF"/>
              <w:bottom w:val="nil"/>
              <w:right w:val="nil"/>
            </w:tcBorders>
          </w:tcPr>
          <w:p>
            <w:pPr>
              <w:keepNext/>
              <w:pageBreakBefore w:val="0"/>
            </w:pPr>
          </w:p>
        </w:tc>
        <w:tc>
          <w:tcPr>
            <w:tcW w:w="555" w:type="dxa"/>
            <w:vMerge/>
            <w:tcBorders>
              <w:top w:val="nil"/>
              <w:left w:val="single" w:sz="4" w:space="0" w:color="FFFFFF"/>
              <w:bottom w:val="nil"/>
              <w:right w:val="nil"/>
            </w:tcBorders>
          </w:tcPr>
          <w:p>
            <w:pPr>
              <w:keepNext/>
              <w:pageBreakBefore w:val="0"/>
            </w:pPr>
          </w:p>
        </w:tc>
        <w:tc>
          <w:tcPr>
            <w:tcW w:w="2100"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660"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03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280" w:type="dxa"/>
            <w:vMerge/>
            <w:tcBorders>
              <w:top w:val="nil"/>
              <w:left w:val="single" w:sz="4" w:space="0" w:color="FFFFFF"/>
              <w:bottom w:val="single" w:sz="2" w:space="0" w:color="000000"/>
              <w:right w:val="nil"/>
            </w:tcBorders>
          </w:tcPr>
          <w:p>
            <w:pPr>
              <w:keepNext/>
              <w:pageBreakBefore w:val="0"/>
            </w:pPr>
          </w:p>
        </w:tc>
        <w:tc>
          <w:tcPr>
            <w:tcW w:w="555" w:type="dxa"/>
            <w:vMerge/>
            <w:tcBorders>
              <w:top w:val="nil"/>
              <w:left w:val="single" w:sz="4" w:space="0" w:color="FFFFFF"/>
              <w:bottom w:val="single" w:sz="2" w:space="0" w:color="000000"/>
              <w:right w:val="nil"/>
            </w:tcBorders>
          </w:tcPr>
          <w:p>
            <w:pPr>
              <w:keepNext/>
              <w:pageBreakBefore w:val="0"/>
            </w:pPr>
          </w:p>
        </w:tc>
        <w:tc>
          <w:tcPr>
            <w:tcW w:w="2100"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660"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3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11.304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3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3"/>
                <w:u w:val="none"/>
              </w:rPr>
              <w:t>8.399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30" w:type="dxa"/>
          <w:tblInd w:w="1417" w:type="dxa"/>
          <w:tblLayout w:type="fixed"/>
        </w:tblPrEx>
        <w:trPr>
          <w:cantSplit/>
          <w:trHeight w:hRule="exact" w:val="19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77.302.440-5</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Tecnored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30" w:type="dxa"/>
          <w:tblInd w:w="1417" w:type="dxa"/>
          <w:tblLayout w:type="fixed"/>
        </w:tblPrEx>
        <w:trPr>
          <w:cantSplit/>
          <w:trHeight w:hRule="exact" w:val="19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77.302.440-5</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Tecnored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Arriendo de equipos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2.807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30" w:type="dxa"/>
          <w:tblInd w:w="1417" w:type="dxa"/>
          <w:tblLayout w:type="fixed"/>
        </w:tblPrEx>
        <w:trPr>
          <w:cantSplit/>
          <w:trHeight w:hRule="exact" w:val="34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77.465.741-K</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Transmisión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985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30" w:type="dxa"/>
          <w:tblInd w:w="1417" w:type="dxa"/>
          <w:tblLayout w:type="fixed"/>
        </w:tblPrEx>
        <w:trPr>
          <w:cantSplit/>
          <w:trHeight w:hRule="exact" w:val="19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77.470.427-2</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556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30" w:type="dxa"/>
          <w:tblInd w:w="1417" w:type="dxa"/>
          <w:tblLayout w:type="fixed"/>
        </w:tblPrEx>
        <w:trPr>
          <w:cantSplit/>
          <w:trHeight w:hRule="exact" w:val="34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96.813.520-1</w:t>
            </w:r>
          </w:p>
        </w:tc>
        <w:tc>
          <w:tcPr>
            <w:tcW w:w="22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5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21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6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30" w:type="dxa"/>
          <w:tblInd w:w="1417" w:type="dxa"/>
          <w:tblLayout w:type="fixed"/>
        </w:tblPrEx>
        <w:trPr>
          <w:cantSplit/>
          <w:trHeight w:hRule="exact" w:val="225"/>
        </w:trPr>
        <w:tc>
          <w:tcPr>
            <w:tcW w:w="849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24.051</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8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95"/>
        <w:gridCol w:w="2595"/>
        <w:gridCol w:w="1005"/>
        <w:gridCol w:w="960"/>
        <w:gridCol w:w="2415"/>
        <w:gridCol w:w="765"/>
        <w:gridCol w:w="1005"/>
        <w:gridCol w:w="1005"/>
        <w:gridCol w:w="1005"/>
        <w:gridCol w:w="1005"/>
      </w:tblGrid>
      <w:tr>
        <w:tblPrEx>
          <w:tblW w:w="12855" w:type="dxa"/>
          <w:tblInd w:w="709" w:type="dxa"/>
          <w:tblLayout w:type="fixed"/>
        </w:tblPrEx>
        <w:trPr>
          <w:cantSplit/>
          <w:trHeight w:hRule="auto" w:val="0"/>
          <w:tblHeader/>
        </w:trPr>
        <w:tc>
          <w:tcPr>
            <w:tcW w:w="10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5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96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24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76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201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201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2855" w:type="dxa"/>
          <w:tblInd w:w="709" w:type="dxa"/>
          <w:tblLayout w:type="fixed"/>
        </w:tblPrEx>
        <w:trPr>
          <w:cantSplit/>
          <w:trHeight w:hRule="auto" w:val="0"/>
          <w:tblHeader/>
        </w:trPr>
        <w:tc>
          <w:tcPr>
            <w:tcW w:w="1095" w:type="dxa"/>
            <w:vMerge/>
            <w:tcBorders>
              <w:top w:val="nil"/>
              <w:left w:val="single" w:sz="2" w:space="0" w:color="000000"/>
              <w:bottom w:val="nil"/>
              <w:right w:val="nil"/>
            </w:tcBorders>
          </w:tcPr>
          <w:p>
            <w:pPr>
              <w:keepNext/>
              <w:pageBreakBefore w:val="0"/>
            </w:pPr>
          </w:p>
        </w:tc>
        <w:tc>
          <w:tcPr>
            <w:tcW w:w="25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960" w:type="dxa"/>
            <w:vMerge/>
            <w:tcBorders>
              <w:top w:val="nil"/>
              <w:left w:val="single" w:sz="4" w:space="0" w:color="FFFFFF"/>
              <w:bottom w:val="nil"/>
              <w:right w:val="nil"/>
            </w:tcBorders>
          </w:tcPr>
          <w:p>
            <w:pPr>
              <w:keepNext/>
              <w:pageBreakBefore w:val="0"/>
            </w:pPr>
          </w:p>
        </w:tc>
        <w:tc>
          <w:tcPr>
            <w:tcW w:w="241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single" w:sz="4" w:space="0" w:color="FFFFFF"/>
            </w:tcBorders>
          </w:tcPr>
          <w:p>
            <w:pPr>
              <w:keepNext/>
              <w:pageBreakBefore w:val="0"/>
            </w:pP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2855" w:type="dxa"/>
          <w:tblInd w:w="709" w:type="dxa"/>
          <w:tblLayout w:type="fixed"/>
        </w:tblPrEx>
        <w:trPr>
          <w:cantSplit/>
          <w:trHeight w:hRule="auto" w:val="0"/>
          <w:tblHeader/>
        </w:trPr>
        <w:tc>
          <w:tcPr>
            <w:tcW w:w="1095" w:type="dxa"/>
            <w:vMerge/>
            <w:tcBorders>
              <w:top w:val="nil"/>
              <w:left w:val="single" w:sz="2" w:space="0" w:color="000000"/>
              <w:bottom w:val="nil"/>
              <w:right w:val="nil"/>
            </w:tcBorders>
          </w:tcPr>
          <w:p>
            <w:pPr>
              <w:keepNext/>
              <w:pageBreakBefore w:val="0"/>
            </w:pPr>
          </w:p>
        </w:tc>
        <w:tc>
          <w:tcPr>
            <w:tcW w:w="259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960" w:type="dxa"/>
            <w:vMerge/>
            <w:tcBorders>
              <w:top w:val="nil"/>
              <w:left w:val="single" w:sz="4" w:space="0" w:color="FFFFFF"/>
              <w:bottom w:val="nil"/>
              <w:right w:val="nil"/>
            </w:tcBorders>
          </w:tcPr>
          <w:p>
            <w:pPr>
              <w:keepNext/>
              <w:pageBreakBefore w:val="0"/>
            </w:pPr>
          </w:p>
        </w:tc>
        <w:tc>
          <w:tcPr>
            <w:tcW w:w="2415" w:type="dxa"/>
            <w:vMerge/>
            <w:tcBorders>
              <w:top w:val="nil"/>
              <w:left w:val="single" w:sz="4" w:space="0" w:color="FFFFFF"/>
              <w:bottom w:val="nil"/>
              <w:right w:val="nil"/>
            </w:tcBorders>
          </w:tcPr>
          <w:p>
            <w:pPr>
              <w:keepNext/>
              <w:pageBreakBefore w:val="0"/>
            </w:pPr>
          </w:p>
        </w:tc>
        <w:tc>
          <w:tcPr>
            <w:tcW w:w="765"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2855" w:type="dxa"/>
          <w:tblInd w:w="709" w:type="dxa"/>
          <w:tblLayout w:type="fixed"/>
        </w:tblPrEx>
        <w:trPr>
          <w:cantSplit/>
          <w:trHeight w:hRule="auto" w:val="0"/>
          <w:tblHeader/>
        </w:trPr>
        <w:tc>
          <w:tcPr>
            <w:tcW w:w="1095" w:type="dxa"/>
            <w:vMerge/>
            <w:tcBorders>
              <w:top w:val="nil"/>
              <w:left w:val="single" w:sz="2" w:space="0" w:color="000000"/>
              <w:bottom w:val="single" w:sz="2" w:space="0" w:color="000000"/>
              <w:right w:val="nil"/>
            </w:tcBorders>
          </w:tcPr>
          <w:p>
            <w:pPr>
              <w:pageBreakBefore w:val="0"/>
            </w:pPr>
          </w:p>
        </w:tc>
        <w:tc>
          <w:tcPr>
            <w:tcW w:w="2595" w:type="dxa"/>
            <w:vMerge/>
            <w:tcBorders>
              <w:top w:val="nil"/>
              <w:left w:val="single" w:sz="4" w:space="0" w:color="FFFFFF"/>
              <w:bottom w:val="single" w:sz="2" w:space="0" w:color="000000"/>
              <w:right w:val="nil"/>
            </w:tcBorders>
          </w:tcPr>
          <w:p>
            <w:pPr>
              <w:pageBreakBefore w:val="0"/>
            </w:pPr>
          </w:p>
        </w:tc>
        <w:tc>
          <w:tcPr>
            <w:tcW w:w="1005" w:type="dxa"/>
            <w:vMerge/>
            <w:tcBorders>
              <w:top w:val="nil"/>
              <w:left w:val="single" w:sz="4" w:space="0" w:color="FFFFFF"/>
              <w:bottom w:val="single" w:sz="2" w:space="0" w:color="000000"/>
              <w:right w:val="nil"/>
            </w:tcBorders>
          </w:tcPr>
          <w:p>
            <w:pPr>
              <w:pageBreakBefore w:val="0"/>
            </w:pPr>
          </w:p>
        </w:tc>
        <w:tc>
          <w:tcPr>
            <w:tcW w:w="960" w:type="dxa"/>
            <w:vMerge/>
            <w:tcBorders>
              <w:top w:val="nil"/>
              <w:left w:val="single" w:sz="4" w:space="0" w:color="FFFFFF"/>
              <w:bottom w:val="single" w:sz="2" w:space="0" w:color="000000"/>
              <w:right w:val="nil"/>
            </w:tcBorders>
          </w:tcPr>
          <w:p>
            <w:pPr>
              <w:pageBreakBefore w:val="0"/>
            </w:pPr>
          </w:p>
        </w:tc>
        <w:tc>
          <w:tcPr>
            <w:tcW w:w="2415" w:type="dxa"/>
            <w:vMerge/>
            <w:tcBorders>
              <w:top w:val="nil"/>
              <w:left w:val="single" w:sz="4" w:space="0" w:color="FFFFFF"/>
              <w:bottom w:val="single" w:sz="2" w:space="0" w:color="000000"/>
              <w:right w:val="nil"/>
            </w:tcBorders>
          </w:tcPr>
          <w:p>
            <w:pPr>
              <w:pageBreakBefore w:val="0"/>
            </w:pPr>
          </w:p>
        </w:tc>
        <w:tc>
          <w:tcPr>
            <w:tcW w:w="765" w:type="dxa"/>
            <w:vMerge/>
            <w:tcBorders>
              <w:top w:val="nil"/>
              <w:left w:val="single" w:sz="4" w:space="0" w:color="FFFFFF"/>
              <w:bottom w:val="single" w:sz="2" w:space="0" w:color="000000"/>
              <w:right w:val="nil"/>
            </w:tcBorders>
          </w:tcPr>
          <w:p>
            <w:pPr>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76.230.505-4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Venta de energía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264</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76.230.505-4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2.205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(2.205)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9.121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(9.121)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76.230.505-4</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386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(386)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(45)</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76.306.442-5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II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Venta de energía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14</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76.306.442-5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II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127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(127)</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76.306.442-5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II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3.333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(3.333)</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Ingreso por arriendo de equipos de generación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537.500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537.500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2.077.257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2.077.257</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operativos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22.004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(22.004)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171.561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(171.561)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comerciales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28.546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(28.546)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107.839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(107.839)</w:t>
            </w:r>
          </w:p>
        </w:tc>
      </w:tr>
      <w:tr>
        <w:tblPrEx>
          <w:tblW w:w="12855" w:type="dxa"/>
          <w:tblInd w:w="709"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Ingreso por construcción de obras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42.208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42.208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371.381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371.381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sistemas de información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97.629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(97.629)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368.822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(368.822)</w:t>
            </w:r>
          </w:p>
        </w:tc>
      </w:tr>
      <w:tr>
        <w:tblPrEx>
          <w:tblW w:w="12855" w:type="dxa"/>
          <w:tblInd w:w="709" w:type="dxa"/>
          <w:tblLayout w:type="fixed"/>
        </w:tblPrEx>
        <w:trPr>
          <w:cantSplit/>
          <w:trHeight w:hRule="auto" w:val="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Construcción de redes eléctricas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47.866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243.208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(243.208)</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240.630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(240.630)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263.598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(263.598)</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Recuperación de gastos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58.395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76.411.321-7</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General de Electricidad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Reembolso de gastos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27.741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55.619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(55.619)</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76.412.700-5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Servicios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operativos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52.879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(52.879)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165.266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(165.266)</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76.412.700-5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Servicios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administrativos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171.302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(171.302)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654.668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(654.668)</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76.412.700-5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Servicios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comerciales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33.338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(33.338)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134.564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(134.564)</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76.412.700-5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Servicios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Recuperación de gastos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76.412.700-5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Servicios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Reembolso de gastos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36.687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76.680.107-2</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Transmisora del Norte Grande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Venta de energía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98</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76.680.107-2</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Transmisora del Norte Grande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4.990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(4.990)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6.305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(6.305)</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76.680.107-2</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Compañía Transmisora del Norte Grande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1.897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(1.897)</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76.763.747-0</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III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(511)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76.763.747-0</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Eletrans III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3.314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(3.314)</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76.954.578-6</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Transquinta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76.954.578-6</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Transquinta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1.316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(1.316)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1.462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(1.462)</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76.954.578-6</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Transquinta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Venta de energía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77.302.440-5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Tecnored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Arriendo de equipos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7.918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(7.918)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5.569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(5.569)</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77.302.440-5</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Tecnored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8.339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(8.339)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52.896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(52.896)</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77.402.187-6</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Chilquinta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1.139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(1.139)</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77.402.187-6</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Chilquinta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21.608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(21.608)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19.975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(19.975)</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77.402.187-6</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Chilquinta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Venta de energía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77.420.185-K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Enerquinta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(189)</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Tesorería centralizada (cargos)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1.206.768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5.346.152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Tesorería centralizada (abonos)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450.000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2.170.000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Arriendo de propiedades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18.053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(18.053)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68.942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(68.942)</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94.775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(94.775)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169.267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(169.267)</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3.297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(3.297)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9.976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(9.976)</w:t>
            </w:r>
          </w:p>
        </w:tc>
      </w:tr>
      <w:tr>
        <w:tblPrEx>
          <w:tblW w:w="12855" w:type="dxa"/>
          <w:tblInd w:w="709" w:type="dxa"/>
          <w:tblLayout w:type="fixed"/>
        </w:tblPrEx>
        <w:trPr>
          <w:cantSplit/>
          <w:trHeight w:hRule="exact" w:val="24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Ingreso por intereses tesorería centralizada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6.769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6.769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146.152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146.152</w:t>
            </w:r>
          </w:p>
        </w:tc>
      </w:tr>
      <w:tr>
        <w:tblPrEx>
          <w:tblW w:w="12855" w:type="dxa"/>
          <w:tblInd w:w="709" w:type="dxa"/>
          <w:tblLayout w:type="fixed"/>
        </w:tblPrEx>
        <w:trPr>
          <w:cantSplit/>
          <w:trHeight w:hRule="exact" w:val="240"/>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Gasto por intereses tesorería centralizada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77.465.741-K</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CGE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Subsidiaria</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Venta de energía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556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556</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77.470.427-2</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Luz Parral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(112)</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77.470.427-2</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Luz Parral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(666)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2.680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(2.680)</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77.470.427-2</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Luz Parral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Venta de energía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1</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77.470.446-9</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Litoral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(43)</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77.470.446-9</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Litoral Transmisión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529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(529)</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86.386.700-2</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Transformadores Tusan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Servicios comerciales</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96.813.520-1</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Chilquinta Distribución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Servicio de subtransmisión</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71.611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(71.611)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56.823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(56.823)</w:t>
            </w:r>
          </w:p>
        </w:tc>
      </w:tr>
      <w:tr>
        <w:tblPrEx>
          <w:tblW w:w="12855" w:type="dxa"/>
          <w:tblInd w:w="709" w:type="dxa"/>
          <w:tblLayout w:type="fixed"/>
        </w:tblPrEx>
        <w:trPr>
          <w:cantSplit/>
          <w:trHeight w:hRule="exact" w:val="19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96.813.520-1</w:t>
            </w:r>
          </w:p>
        </w:tc>
        <w:tc>
          <w:tcPr>
            <w:tcW w:w="25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2"/>
                <w:u w:val="none"/>
              </w:rPr>
              <w:t>Chilquinta Distribución S.A.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Chile</w:t>
            </w:r>
          </w:p>
        </w:tc>
        <w:tc>
          <w:tcPr>
            <w:tcW w:w="9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Matriz común</w:t>
            </w:r>
          </w:p>
        </w:tc>
        <w:tc>
          <w:tcPr>
            <w:tcW w:w="24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Compra de energía y potencia</w:t>
            </w:r>
          </w:p>
        </w:tc>
        <w:tc>
          <w:tcPr>
            <w:tcW w:w="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2"/>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9.744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2"/>
                <w:u w:val="none"/>
              </w:rPr>
              <w:t>(9.744)</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
          <w:u w:val="none"/>
        </w:rPr>
        <w:sectPr>
          <w:headerReference w:type="default" r:id="rId40"/>
          <w:footerReference w:type="default" r:id="rId41"/>
          <w:pgSz w:w="15840" w:h="12240" w:orient="landscape"/>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99" w:name="Section55"/>
      <w:bookmarkEnd w:id="99"/>
      <w:bookmarkStart w:id="100" w:name="8d3b845acdac46fb8ed0f2e069dec4b4"/>
      <w:r>
        <w:rPr>
          <w:rFonts w:ascii="Calibri" w:eastAsia="Calibri" w:hAnsi="Calibri" w:cs="Calibri"/>
          <w:b/>
          <w:i w:val="0"/>
          <w:color w:val="000000"/>
          <w:sz w:val="20"/>
          <w:u w:val="none"/>
        </w:rPr>
        <w:t>8.2.-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Directorio y gerencia de la sociedad.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Comercializadora SpA. no tiene Directorio como órgano administrador. En efecto, dicha sociedad posee un administrador quien, actuando por ésta, administra y representa a la Sociedad.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8.2.1.-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Remuneración del equipo gerencial.</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hay desembolsos por concepto de remuneraciones del equipo gerencial 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headerReference w:type="default" r:id="rId42"/>
          <w:footerReference w:type="default" r:id="rId43"/>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01" w:name="Section56"/>
      <w:bookmarkEnd w:id="101"/>
      <w:bookmarkStart w:id="102" w:name="5132eca9d0864e82b53f450ced206938"/>
      <w:r>
        <w:rPr>
          <w:rFonts w:ascii="Calibri" w:eastAsia="Calibri" w:hAnsi="Calibri" w:cs="Calibri"/>
          <w:b/>
          <w:i w:val="0"/>
          <w:color w:val="000000"/>
          <w:sz w:val="20"/>
          <w:u w:val="none"/>
        </w:rPr>
        <w:t>9.-</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PASIVOS POR IMPUESTOS.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2"/>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20" w:type="dxa"/>
          <w:tblLayout w:type="fixed"/>
        </w:tblPrEx>
        <w:trPr>
          <w:cantSplit/>
          <w:trHeight w:hRule="auto" w:val="0"/>
        </w:trPr>
        <w:tc>
          <w:tcPr>
            <w:tcW w:w="68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pasivos por impuestos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40" w:type="dxa"/>
          <w:tblInd w:w="720"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40" w:type="dxa"/>
          <w:tblInd w:w="720"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Pagos provisionales mensuales.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792.734</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activos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792.734</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por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Impuesto a la renta de primera categoría.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(480.178)</w:t>
            </w:r>
          </w:p>
        </w:tc>
      </w:tr>
      <w:tr>
        <w:tblPrEx>
          <w:tblW w:w="9240" w:type="dxa"/>
          <w:tblInd w:w="720"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Subtotal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(480.178)</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exact" w:val="255"/>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activos (pasivos) por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312.556</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03" w:name="Section57"/>
      <w:bookmarkEnd w:id="103"/>
      <w:bookmarkStart w:id="104" w:name="112a283e57c6477dabbbd0fa9b9fca4d"/>
      <w:r>
        <w:rPr>
          <w:rFonts w:ascii="Calibri" w:eastAsia="Calibri" w:hAnsi="Calibri" w:cs="Calibri"/>
          <w:b/>
          <w:i w:val="0"/>
          <w:color w:val="000000"/>
          <w:sz w:val="20"/>
          <w:u w:val="none"/>
        </w:rPr>
        <w:t>10.-</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ACTIVOS NO FINANCIEROS.</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4"/>
    </w:p>
    <w:p>
      <w:pPr>
        <w:pStyle w:val="Normal-wk"/>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es el siguiente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20" w:type="dxa"/>
          <w:tblLayout w:type="fixed"/>
        </w:tblPrEx>
        <w:trPr>
          <w:cantSplit/>
          <w:trHeight w:hRule="auto" w:val="0"/>
        </w:trPr>
        <w:tc>
          <w:tcPr>
            <w:tcW w:w="68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activos no financieros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40" w:type="dxa"/>
          <w:tblInd w:w="720"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23" w:after="20" w:line="240" w:lineRule="auto"/>
              <w:jc w:val="center"/>
            </w:pPr>
            <w:r>
              <w:rPr>
                <w:rFonts w:ascii="Calibri" w:eastAsia="Calibri" w:hAnsi="Calibri" w:cs="Calibri"/>
                <w:b/>
                <w:i w:val="0"/>
                <w:color w:val="FFFFFF"/>
                <w:sz w:val="16"/>
                <w:u w:val="none"/>
              </w:rPr>
              <w:t>31-12-2025</w:t>
            </w:r>
          </w:p>
        </w:tc>
      </w:tr>
      <w:tr>
        <w:tblPrEx>
          <w:tblW w:w="9240" w:type="dxa"/>
          <w:tblInd w:w="720"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Gastos pagados por anticipado.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1.897</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1.897</w:t>
            </w:r>
          </w:p>
        </w:tc>
      </w:tr>
    </w:tbl>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los gastos pagados por anticipados corresponden a pólizas de seguros anticipadas.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105" w:name="Section58"/>
      <w:bookmarkEnd w:id="105"/>
      <w:bookmarkStart w:id="106" w:name="66e32df961434a2f8c38adef749a4d1a"/>
      <w:r>
        <w:rPr>
          <w:rFonts w:ascii="Calibri" w:eastAsia="Calibri" w:hAnsi="Calibri" w:cs="Calibri"/>
          <w:b/>
          <w:i w:val="0"/>
          <w:color w:val="000000"/>
          <w:sz w:val="20"/>
          <w:u w:val="none"/>
        </w:rPr>
        <w:t>11.-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6"/>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07" w:name="Section59"/>
      <w:bookmarkEnd w:id="107"/>
      <w:bookmarkStart w:id="108" w:name="402581e980e946b48d8860f311a2bc95"/>
      <w:r>
        <w:rPr>
          <w:rFonts w:ascii="Calibri" w:eastAsia="Calibri" w:hAnsi="Calibri" w:cs="Calibri"/>
          <w:b/>
          <w:i w:val="0"/>
          <w:color w:val="000000"/>
          <w:sz w:val="20"/>
          <w:u w:val="none"/>
        </w:rPr>
        <w:t>11.1.-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y movimientos de los activos intangibles.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0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Este rubro está compuesto principalmente por software computacionales. Su detalle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40" w:type="dxa"/>
          <w:tblLayout w:type="fixed"/>
        </w:tblPrEx>
        <w:trPr>
          <w:cantSplit/>
          <w:trHeight w:hRule="auto" w:val="0"/>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30-06-2026</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40" w:type="dxa"/>
          <w:tblLayout w:type="fixed"/>
        </w:tblPrEx>
        <w:trPr>
          <w:cantSplit/>
          <w:trHeight w:hRule="auto" w:val="0"/>
        </w:trPr>
        <w:tc>
          <w:tcPr>
            <w:tcW w:w="49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Intangibles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brutos</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Amortización acumulada</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Valores netos</w:t>
            </w:r>
          </w:p>
        </w:tc>
      </w:tr>
      <w:tr>
        <w:tblPrEx>
          <w:tblW w:w="8520" w:type="dxa"/>
          <w:tblInd w:w="1440"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358.931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(166.611)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192.320</w:t>
            </w:r>
          </w:p>
        </w:tc>
      </w:tr>
      <w:tr>
        <w:tblPrEx>
          <w:tblW w:w="8520" w:type="dxa"/>
          <w:tblInd w:w="1440"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358.931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(166.611)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192.320</w:t>
            </w:r>
          </w:p>
        </w:tc>
      </w:tr>
    </w:tbl>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amortización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alcanza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(M$ </w:t>
      </w:r>
      <w:r>
        <w:rPr>
          <w:rFonts w:ascii="Calibri" w:eastAsia="Calibri" w:hAnsi="Calibri" w:cs="Calibri"/>
          <w:b w:val="0"/>
          <w:i w:val="0"/>
          <w:color w:val="000000"/>
          <w:sz w:val="20"/>
          <w:u w:val="none"/>
        </w:rPr>
        <w:t>166.611</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la que corresponde a los activos intangibles distintos a la plusvalía con vida útil finita.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vidas útiles aplicadas en el rubro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Vidas útiles estimadas o tasas de amortización utilizadas</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 tasa</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Mínima</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Máxima</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Programas Informáticos.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Vida</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5</w:t>
            </w:r>
          </w:p>
        </w:tc>
      </w:tr>
    </w:tbl>
    <w:p>
      <w:pPr>
        <w:keepNext w:val="0"/>
        <w:keepLines/>
        <w:pageBreakBefore w:val="0"/>
        <w:widowControl w:val="0"/>
        <w:numPr>
          <w:ilvl w:val="0"/>
          <w:numId w:val="0"/>
        </w:numPr>
        <w:spacing w:before="0" w:after="0" w:line="288" w:lineRule="auto"/>
        <w:ind w:left="1416" w:right="0" w:firstLine="2"/>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2"/>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192.320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192.320</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(17.221)</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(17.221)</w:t>
            </w:r>
          </w:p>
        </w:tc>
      </w:tr>
      <w:tr>
        <w:tblPrEx>
          <w:tblW w:w="8520" w:type="dxa"/>
          <w:tblInd w:w="1440"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Cambios,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(17.221)</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(17.221)</w:t>
            </w:r>
          </w:p>
        </w:tc>
      </w:tr>
      <w:tr>
        <w:tblPrEx>
          <w:tblW w:w="8520" w:type="dxa"/>
          <w:tblInd w:w="1440"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175.099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175.099</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Movimientos en activos intangibles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 neto</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intangibles identificables, neto</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261.205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261.205</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(68.885)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(68.885)</w:t>
            </w:r>
          </w:p>
        </w:tc>
      </w:tr>
      <w:tr>
        <w:tblPrEx>
          <w:tblW w:w="8520" w:type="dxa"/>
          <w:tblInd w:w="1440"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4"/>
                <w:u w:val="none"/>
              </w:rPr>
              <w:t>Cambios,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(68.885)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(68.885)</w:t>
            </w:r>
          </w:p>
        </w:tc>
      </w:tr>
      <w:tr>
        <w:tblPrEx>
          <w:tblW w:w="8520" w:type="dxa"/>
          <w:tblInd w:w="1440" w:type="dxa"/>
          <w:tblLayout w:type="fixed"/>
        </w:tblPrEx>
        <w:trPr>
          <w:cantSplit/>
          <w:trHeight w:hRule="auto" w:val="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192.320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192.320</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cargo a resultados del ejercicio por amortización de intangibles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Línea de partida en el estado de resultados que incluye amortización de activos intangibles identificables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4"/>
                <w:u w:val="none"/>
              </w:rPr>
              <w:t>01-01-2025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single" w:sz="4" w:space="0" w:color="FFFFFF"/>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single" w:sz="4" w:space="0" w:color="FFFFFF"/>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30-06-2025</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Programas informáticos</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43" w:after="2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34.442</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4"/>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34.442</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09" w:name="Section60"/>
      <w:bookmarkEnd w:id="109"/>
      <w:bookmarkStart w:id="110" w:name="8265539219d847aa974b390f1a3ffc18"/>
      <w:r>
        <w:rPr>
          <w:rFonts w:ascii="Calibri" w:eastAsia="Calibri" w:hAnsi="Calibri" w:cs="Calibri"/>
          <w:b/>
          <w:i w:val="0"/>
          <w:color w:val="000000"/>
          <w:sz w:val="20"/>
          <w:u w:val="none"/>
        </w:rPr>
        <w:t>12.-</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bookmarkEnd w:id="110"/>
    </w:p>
    <w:p>
      <w:pPr>
        <w:keepNext w:val="0"/>
        <w:keepLines/>
        <w:pageBreakBefore w:val="0"/>
        <w:widowControl w:val="0"/>
        <w:numPr>
          <w:ilvl w:val="0"/>
          <w:numId w:val="0"/>
        </w:numPr>
        <w:spacing w:before="0" w:after="0" w:line="288" w:lineRule="auto"/>
        <w:ind w:left="0" w:right="0" w:firstLine="72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11" w:name="Section61"/>
      <w:bookmarkEnd w:id="111"/>
      <w:bookmarkStart w:id="112" w:name="bfa5acb3403249c2a1117133cd8106a0"/>
      <w:r>
        <w:rPr>
          <w:rFonts w:ascii="Calibri" w:eastAsia="Calibri" w:hAnsi="Calibri" w:cs="Calibri"/>
          <w:b/>
          <w:i w:val="0"/>
          <w:color w:val="000000"/>
          <w:sz w:val="20"/>
          <w:u w:val="none"/>
        </w:rPr>
        <w:t>12.1.-</w:t>
      </w:r>
      <w:r>
        <w:rPr>
          <w:rFonts w:ascii="Calibri" w:eastAsia="Calibri" w:hAnsi="Calibri" w:cs="Calibri"/>
          <w:b/>
          <w:i w:val="0"/>
          <w:color w:val="000000"/>
          <w:sz w:val="20"/>
          <w:u w:val="none"/>
        </w:rPr>
        <w:tab/>
      </w:r>
      <w:r>
        <w:rPr>
          <w:rFonts w:ascii="Calibri" w:eastAsia="Calibri" w:hAnsi="Calibri" w:cs="Calibri"/>
          <w:b/>
          <w:i w:val="0"/>
          <w:color w:val="000000"/>
          <w:sz w:val="20"/>
          <w:u w:val="none"/>
        </w:rPr>
        <w:t>Vidas útiles.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siguiente cuadro muestra las vidas útiles técnicas para los bienes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Vida útil para la depreciación de propiedades, planta y equipo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i w:val="0"/>
                <w:color w:val="FFFFFF"/>
                <w:sz w:val="16"/>
                <w:u w:val="none"/>
              </w:rPr>
              <w:t>Vida útil</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Mínima</w:t>
            </w:r>
          </w:p>
        </w:tc>
        <w:tc>
          <w:tcPr>
            <w:tcW w:w="12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bottom"/>
          </w:tcPr>
          <w:p>
            <w:pPr>
              <w:keepNext/>
              <w:pageBreakBefore w:val="0"/>
              <w:spacing w:before="33" w:after="20" w:line="240" w:lineRule="auto"/>
              <w:jc w:val="center"/>
            </w:pPr>
            <w:r>
              <w:rPr>
                <w:rFonts w:ascii="Calibri" w:eastAsia="Calibri" w:hAnsi="Calibri" w:cs="Calibri"/>
                <w:b/>
                <w:i w:val="0"/>
                <w:color w:val="FFFFFF"/>
                <w:sz w:val="16"/>
                <w:u w:val="none"/>
              </w:rPr>
              <w:t>Máxima</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Vida útil para equipamiento de tecnologías de la información.</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5</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Vida útil para instalaciones fijas y accesorios.</w:t>
            </w:r>
          </w:p>
        </w:tc>
        <w:tc>
          <w:tcPr>
            <w:tcW w:w="12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10</w:t>
            </w:r>
          </w:p>
        </w:tc>
        <w:tc>
          <w:tcPr>
            <w:tcW w:w="120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45</w:t>
            </w:r>
          </w:p>
        </w:tc>
      </w:tr>
    </w:tbl>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13" w:name="Section62"/>
      <w:bookmarkEnd w:id="113"/>
      <w:bookmarkStart w:id="114" w:name="5995962dca0840f6963b61668d86d5c8"/>
      <w:r>
        <w:rPr>
          <w:rFonts w:ascii="Calibri" w:eastAsia="Calibri" w:hAnsi="Calibri" w:cs="Calibri"/>
          <w:b/>
          <w:i w:val="0"/>
          <w:color w:val="000000"/>
          <w:sz w:val="20"/>
          <w:u w:val="none"/>
        </w:rPr>
        <w:t>12.2.-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los rubros.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netos de propiedades, planta y equipo.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neto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4.410</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3.680.882</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3.680.882</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3.685.292</w:t>
            </w:r>
          </w:p>
        </w:tc>
      </w:tr>
    </w:tbl>
    <w:p>
      <w:pPr>
        <w:keepNext w:val="0"/>
        <w:keepLines/>
        <w:pageBreakBefore w:val="0"/>
        <w:widowControl w:val="0"/>
        <w:numPr>
          <w:ilvl w:val="0"/>
          <w:numId w:val="0"/>
        </w:numPr>
        <w:tabs>
          <w:tab w:val="left" w:pos="700"/>
        </w:tabs>
        <w:spacing w:before="0" w:after="0" w:line="288" w:lineRule="auto"/>
        <w:ind w:left="1418" w:right="-1"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Valores brutos de propiedades, planta y equipo.</w:t>
      </w:r>
    </w:p>
    <w:p>
      <w:pPr>
        <w:keepNext w:val="0"/>
        <w:keepLines/>
        <w:pageBreakBefore w:val="0"/>
        <w:widowControl w:val="0"/>
        <w:numPr>
          <w:ilvl w:val="0"/>
          <w:numId w:val="0"/>
        </w:numPr>
        <w:tabs>
          <w:tab w:val="left" w:pos="700"/>
        </w:tabs>
        <w:spacing w:before="0" w:after="0" w:line="288" w:lineRule="auto"/>
        <w:ind w:left="0" w:right="-1" w:firstLine="0"/>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Clases de propiedades, planta y equipo, bruto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23.853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4.605.685</w:t>
            </w:r>
          </w:p>
        </w:tc>
      </w:tr>
      <w:tr>
        <w:tblPrEx>
          <w:tblW w:w="7845" w:type="dxa"/>
          <w:tblInd w:w="2126" w:type="dxa"/>
          <w:tblLayout w:type="fixed"/>
        </w:tblPrEx>
        <w:trPr>
          <w:cantSplit/>
          <w:trHeight w:hRule="exact" w:val="255"/>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6"/>
                <w:u w:val="none"/>
              </w:rPr>
              <w:t>4.605.685</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4.629.538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12.2.3.-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Depreciación acumulada de propiedades, planta y equipo.</w:t>
      </w:r>
    </w:p>
    <w:p>
      <w:pPr>
        <w:keepNext w:val="0"/>
        <w:keepLines/>
        <w:pageBreakBefore w:val="0"/>
        <w:widowControl w:val="0"/>
        <w:numPr>
          <w:ilvl w:val="0"/>
          <w:numId w:val="0"/>
        </w:numPr>
        <w:spacing w:before="0" w:after="0" w:line="288" w:lineRule="auto"/>
        <w:ind w:left="1412" w:right="0" w:firstLine="4"/>
        <w:jc w:val="both"/>
        <w:outlineLvl w:val="9"/>
        <w:rPr>
          <w:rFonts w:ascii="Calibri" w:eastAsia="Calibri" w:hAnsi="Calibri" w:cs="Calibri"/>
          <w:b w:val="0"/>
          <w:i w:val="0"/>
          <w:color w:val="000000"/>
          <w:sz w:val="20"/>
          <w:u w:val="none"/>
        </w:rPr>
      </w:pPr>
    </w:p>
    <w:tbl>
      <w:tblPr>
        <w:tblW w:w="78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5445"/>
        <w:gridCol w:w="1200"/>
        <w:gridCol w:w="1200"/>
      </w:tblGrid>
      <w:tr>
        <w:tblPrEx>
          <w:tblW w:w="7845" w:type="dxa"/>
          <w:tblInd w:w="2126" w:type="dxa"/>
          <w:tblLayout w:type="fixed"/>
        </w:tblPrEx>
        <w:trPr>
          <w:cantSplit/>
          <w:trHeight w:hRule="auto" w:val="0"/>
        </w:trPr>
        <w:tc>
          <w:tcPr>
            <w:tcW w:w="544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Depreciación acumulada y deterioro, propiedades, planta y equipo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7845" w:type="dxa"/>
          <w:tblInd w:w="2126" w:type="dxa"/>
          <w:tblLayout w:type="fixed"/>
        </w:tblPrEx>
        <w:trPr>
          <w:cantSplit/>
          <w:trHeight w:hRule="auto" w:val="0"/>
        </w:trPr>
        <w:tc>
          <w:tcPr>
            <w:tcW w:w="544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Equipamiento de tecnología de la información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19.443</w:t>
            </w:r>
          </w:p>
        </w:tc>
      </w:tr>
      <w:tr>
        <w:tblPrEx>
          <w:tblW w:w="7845" w:type="dxa"/>
          <w:tblInd w:w="2126" w:type="dxa"/>
          <w:tblLayout w:type="fixed"/>
        </w:tblPrEx>
        <w:trPr>
          <w:cantSplit/>
          <w:trHeight w:hRule="exact" w:val="60"/>
        </w:trPr>
        <w:tc>
          <w:tcPr>
            <w:tcW w:w="544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Instalaciones fijas y accesorios</w:t>
            </w: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924.803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        Instalaciones y accesorios diversos.</w:t>
            </w:r>
          </w:p>
        </w:tc>
        <w:tc>
          <w:tcPr>
            <w:tcW w:w="1200" w:type="dxa"/>
            <w:tcBorders>
              <w:top w:val="nil"/>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924.803</w:t>
            </w:r>
          </w:p>
        </w:tc>
      </w:tr>
      <w:tr>
        <w:tblPrEx>
          <w:tblW w:w="7845" w:type="dxa"/>
          <w:tblInd w:w="2126" w:type="dxa"/>
          <w:tblLayout w:type="fixed"/>
        </w:tblPrEx>
        <w:trPr>
          <w:cantSplit/>
          <w:trHeight w:hRule="auto" w:val="0"/>
        </w:trPr>
        <w:tc>
          <w:tcPr>
            <w:tcW w:w="54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944.246</w:t>
            </w:r>
          </w:p>
        </w:tc>
      </w:tr>
    </w:tbl>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15" w:name="Section63"/>
      <w:bookmarkEnd w:id="115"/>
      <w:bookmarkStart w:id="116" w:name="27d93892681c4e7f8e13e4198a4ed153"/>
      <w:r>
        <w:rPr>
          <w:rFonts w:ascii="Calibri" w:eastAsia="Calibri" w:hAnsi="Calibri" w:cs="Calibri"/>
          <w:b/>
          <w:i w:val="0"/>
          <w:color w:val="000000"/>
          <w:sz w:val="20"/>
          <w:u w:val="none"/>
        </w:rPr>
        <w:t>12.3.-</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 cambios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6"/>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propiedades, planta y equipo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55"/>
        <w:gridCol w:w="1995"/>
        <w:gridCol w:w="2700"/>
        <w:gridCol w:w="1200"/>
        <w:gridCol w:w="1200"/>
        <w:gridCol w:w="1200"/>
      </w:tblGrid>
      <w:tr>
        <w:tblPrEx>
          <w:tblW w:w="8550" w:type="dxa"/>
          <w:tblInd w:w="1417" w:type="dxa"/>
          <w:tblLayout w:type="fixed"/>
        </w:tblPrEx>
        <w:trPr>
          <w:cantSplit/>
          <w:trHeight w:hRule="exact" w:val="195"/>
        </w:trPr>
        <w:tc>
          <w:tcPr>
            <w:tcW w:w="4950"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año 2026</w:t>
            </w:r>
          </w:p>
        </w:tc>
        <w:tc>
          <w:tcPr>
            <w:tcW w:w="12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Equipamiento de tecnologías de la información, neto</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Instalaciones fijas y accesorios, neto</w:t>
            </w:r>
          </w:p>
        </w:tc>
        <w:tc>
          <w:tcPr>
            <w:tcW w:w="120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planta y equipo, neto</w:t>
            </w: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4950" w:type="dxa"/>
            <w:gridSpan w:val="3"/>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2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4.410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3.680.882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3.685.292</w:t>
            </w:r>
          </w:p>
        </w:tc>
      </w:tr>
      <w:tr>
        <w:tblPrEx>
          <w:tblW w:w="8550" w:type="dxa"/>
          <w:tblInd w:w="1417" w:type="dxa"/>
          <w:tblLayout w:type="fixed"/>
        </w:tblPrEx>
        <w:trPr>
          <w:cantSplit/>
          <w:trHeight w:hRule="exact" w:val="60"/>
        </w:trPr>
        <w:tc>
          <w:tcPr>
            <w:tcW w:w="25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405"/>
        </w:trPr>
        <w:tc>
          <w:tcPr>
            <w:tcW w:w="25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6"/>
                <w:u w:val="none"/>
              </w:rPr>
              <w:t>Cambios</w:t>
            </w:r>
          </w:p>
        </w:tc>
        <w:tc>
          <w:tcPr>
            <w:tcW w:w="469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distintos de los procedentes de combinaciones de negocios.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255" w:type="dxa"/>
            <w:vMerge/>
            <w:tcBorders>
              <w:top w:val="nil"/>
              <w:left w:val="single" w:sz="2" w:space="0" w:color="000000"/>
              <w:bottom w:val="nil"/>
              <w:right w:val="nil"/>
            </w:tcBorders>
          </w:tcPr>
          <w:p>
            <w:pPr>
              <w:keepNext/>
              <w:pageBreakBefore w:val="0"/>
            </w:pPr>
          </w:p>
        </w:tc>
        <w:tc>
          <w:tcPr>
            <w:tcW w:w="469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Retiros.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(3.967)</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(3.967)</w:t>
            </w:r>
          </w:p>
        </w:tc>
      </w:tr>
      <w:tr>
        <w:tblPrEx>
          <w:tblW w:w="8550" w:type="dxa"/>
          <w:tblInd w:w="1417" w:type="dxa"/>
          <w:tblLayout w:type="fixed"/>
        </w:tblPrEx>
        <w:trPr>
          <w:cantSplit/>
          <w:trHeight w:hRule="auto" w:val="0"/>
        </w:trPr>
        <w:tc>
          <w:tcPr>
            <w:tcW w:w="255" w:type="dxa"/>
            <w:vMerge/>
            <w:tcBorders>
              <w:top w:val="nil"/>
              <w:left w:val="single" w:sz="2" w:space="0" w:color="000000"/>
              <w:bottom w:val="single" w:sz="2" w:space="0" w:color="000000"/>
              <w:right w:val="nil"/>
            </w:tcBorders>
          </w:tcPr>
          <w:p>
            <w:pPr>
              <w:keepNext/>
              <w:pageBreakBefore w:val="0"/>
            </w:pPr>
          </w:p>
        </w:tc>
        <w:tc>
          <w:tcPr>
            <w:tcW w:w="469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(55.739)</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(56.198)</w:t>
            </w:r>
          </w:p>
        </w:tc>
      </w:tr>
      <w:tr>
        <w:tblPrEx>
          <w:tblW w:w="8550" w:type="dxa"/>
          <w:tblInd w:w="1417" w:type="dxa"/>
          <w:tblLayout w:type="fixed"/>
        </w:tblPrEx>
        <w:trPr>
          <w:cantSplit/>
          <w:trHeight w:hRule="auto" w:val="0"/>
        </w:trPr>
        <w:tc>
          <w:tcPr>
            <w:tcW w:w="2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cambios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(66.070)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(66.529)</w:t>
            </w:r>
          </w:p>
        </w:tc>
      </w:tr>
      <w:tr>
        <w:tblPrEx>
          <w:tblW w:w="8550" w:type="dxa"/>
          <w:tblInd w:w="1417" w:type="dxa"/>
          <w:tblLayout w:type="fixed"/>
        </w:tblPrEx>
        <w:trPr>
          <w:cantSplit/>
          <w:trHeight w:hRule="auto" w:val="0"/>
        </w:trPr>
        <w:tc>
          <w:tcPr>
            <w:tcW w:w="25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final al 30 de junio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3.951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3.614.812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3.618.763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55"/>
        <w:gridCol w:w="1995"/>
        <w:gridCol w:w="2700"/>
        <w:gridCol w:w="1200"/>
        <w:gridCol w:w="1200"/>
        <w:gridCol w:w="1200"/>
      </w:tblGrid>
      <w:tr>
        <w:tblPrEx>
          <w:tblW w:w="8550" w:type="dxa"/>
          <w:tblInd w:w="1417" w:type="dxa"/>
          <w:tblLayout w:type="fixed"/>
        </w:tblPrEx>
        <w:trPr>
          <w:cantSplit/>
          <w:trHeight w:hRule="exact" w:val="195"/>
        </w:trPr>
        <w:tc>
          <w:tcPr>
            <w:tcW w:w="4950" w:type="dxa"/>
            <w:gridSpan w:val="3"/>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año 2025</w:t>
            </w:r>
          </w:p>
        </w:tc>
        <w:tc>
          <w:tcPr>
            <w:tcW w:w="12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Equipamiento de tecnologías de la información, neto</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Instalaciones fijas y accesorios, neto</w:t>
            </w:r>
          </w:p>
        </w:tc>
        <w:tc>
          <w:tcPr>
            <w:tcW w:w="1200"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Propiedades, planta y equipo, neto</w:t>
            </w: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exact" w:val="195"/>
        </w:trPr>
        <w:tc>
          <w:tcPr>
            <w:tcW w:w="4950" w:type="dxa"/>
            <w:gridSpan w:val="3"/>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4950" w:type="dxa"/>
            <w:gridSpan w:val="3"/>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2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6.414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3.523.297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3.529.711</w:t>
            </w:r>
          </w:p>
        </w:tc>
      </w:tr>
      <w:tr>
        <w:tblPrEx>
          <w:tblW w:w="8550" w:type="dxa"/>
          <w:tblInd w:w="1417" w:type="dxa"/>
          <w:tblLayout w:type="fixed"/>
        </w:tblPrEx>
        <w:trPr>
          <w:cantSplit/>
          <w:trHeight w:hRule="exact" w:val="60"/>
        </w:trPr>
        <w:tc>
          <w:tcPr>
            <w:tcW w:w="25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255"/>
        </w:trPr>
        <w:tc>
          <w:tcPr>
            <w:tcW w:w="255" w:type="dxa"/>
            <w:vMerge w:val="restart"/>
            <w:tcBorders>
              <w:top w:val="nil"/>
              <w:left w:val="single" w:sz="2" w:space="0" w:color="000000"/>
              <w:bottom w:val="nil"/>
              <w:right w:val="single" w:sz="2" w:space="0" w:color="000000"/>
            </w:tcBorders>
            <w:tcMar>
              <w:top w:w="0" w:type="dxa"/>
              <w:left w:w="53" w:type="dxa"/>
              <w:bottom w:w="0" w:type="dxa"/>
              <w:right w:w="53" w:type="dxa"/>
            </w:tcMar>
            <w:textDirection w:val="btLr"/>
            <w:vAlign w:val="top"/>
          </w:tcPr>
          <w:p>
            <w:pPr>
              <w:keepNext/>
              <w:pageBreakBefore w:val="0"/>
              <w:spacing w:line="240" w:lineRule="auto"/>
              <w:ind w:left="0" w:right="0"/>
              <w:jc w:val="center"/>
            </w:pPr>
            <w:r>
              <w:rPr>
                <w:rFonts w:ascii="Calibri" w:eastAsia="Calibri" w:hAnsi="Calibri" w:cs="Calibri"/>
                <w:b/>
                <w:i w:val="0"/>
                <w:color w:val="000000"/>
                <w:sz w:val="16"/>
                <w:u w:val="none"/>
              </w:rPr>
              <w:t>Cambios</w:t>
            </w:r>
          </w:p>
        </w:tc>
        <w:tc>
          <w:tcPr>
            <w:tcW w:w="469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Disposiciones.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255" w:type="dxa"/>
            <w:vMerge/>
            <w:tcBorders>
              <w:top w:val="nil"/>
              <w:left w:val="single" w:sz="2" w:space="0" w:color="000000"/>
              <w:bottom w:val="nil"/>
              <w:right w:val="nil"/>
            </w:tcBorders>
          </w:tcPr>
          <w:p>
            <w:pPr>
              <w:keepNext/>
              <w:pageBreakBefore w:val="0"/>
            </w:pPr>
          </w:p>
        </w:tc>
        <w:tc>
          <w:tcPr>
            <w:tcW w:w="469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Retiros.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(2.970)</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(2.970)</w:t>
            </w:r>
          </w:p>
        </w:tc>
      </w:tr>
      <w:tr>
        <w:tblPrEx>
          <w:tblW w:w="8550" w:type="dxa"/>
          <w:tblInd w:w="1417" w:type="dxa"/>
          <w:tblLayout w:type="fixed"/>
        </w:tblPrEx>
        <w:trPr>
          <w:cantSplit/>
          <w:trHeight w:hRule="auto" w:val="0"/>
        </w:trPr>
        <w:tc>
          <w:tcPr>
            <w:tcW w:w="255" w:type="dxa"/>
            <w:vMerge/>
            <w:tcBorders>
              <w:top w:val="nil"/>
              <w:left w:val="single" w:sz="2" w:space="0" w:color="000000"/>
              <w:bottom w:val="nil"/>
              <w:right w:val="nil"/>
            </w:tcBorders>
          </w:tcPr>
          <w:p>
            <w:pPr>
              <w:keepNext/>
              <w:pageBreakBefore w:val="0"/>
            </w:pPr>
          </w:p>
        </w:tc>
        <w:tc>
          <w:tcPr>
            <w:tcW w:w="469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(2.004)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(224.381)</w:t>
            </w:r>
          </w:p>
        </w:tc>
        <w:tc>
          <w:tcPr>
            <w:tcW w:w="1200" w:type="dxa"/>
            <w:tcBorders>
              <w:top w:val="single" w:sz="4" w:space="0" w:color="FFFFFF"/>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(226.385)</w:t>
            </w:r>
          </w:p>
        </w:tc>
      </w:tr>
      <w:tr>
        <w:tblPrEx>
          <w:tblW w:w="8550" w:type="dxa"/>
          <w:tblInd w:w="1417" w:type="dxa"/>
          <w:tblLayout w:type="fixed"/>
        </w:tblPrEx>
        <w:trPr>
          <w:cantSplit/>
          <w:trHeight w:hRule="auto" w:val="0"/>
        </w:trPr>
        <w:tc>
          <w:tcPr>
            <w:tcW w:w="255" w:type="dxa"/>
            <w:vMerge/>
            <w:tcBorders>
              <w:top w:val="nil"/>
              <w:left w:val="single" w:sz="2" w:space="0" w:color="000000"/>
              <w:bottom w:val="single" w:sz="2" w:space="0" w:color="000000"/>
              <w:right w:val="nil"/>
            </w:tcBorders>
          </w:tcPr>
          <w:p>
            <w:pPr>
              <w:keepNext/>
              <w:pageBreakBefore w:val="0"/>
            </w:pPr>
          </w:p>
        </w:tc>
        <w:tc>
          <w:tcPr>
            <w:tcW w:w="4695" w:type="dxa"/>
            <w:gridSpan w:val="2"/>
            <w:tcBorders>
              <w:top w:val="nil"/>
              <w:left w:val="nil"/>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otros cambios.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8550" w:type="dxa"/>
          <w:tblInd w:w="1417" w:type="dxa"/>
          <w:tblLayout w:type="fixed"/>
        </w:tblPrEx>
        <w:trPr>
          <w:cantSplit/>
          <w:trHeight w:hRule="auto" w:val="0"/>
        </w:trPr>
        <w:tc>
          <w:tcPr>
            <w:tcW w:w="2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cambios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(2.004)</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157.585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155.581</w:t>
            </w:r>
          </w:p>
        </w:tc>
      </w:tr>
      <w:tr>
        <w:tblPrEx>
          <w:tblW w:w="8550" w:type="dxa"/>
          <w:tblInd w:w="1417" w:type="dxa"/>
          <w:tblLayout w:type="fixed"/>
        </w:tblPrEx>
        <w:trPr>
          <w:cantSplit/>
          <w:trHeight w:hRule="auto" w:val="0"/>
        </w:trPr>
        <w:tc>
          <w:tcPr>
            <w:tcW w:w="25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9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27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gridSpan w:val="3"/>
            <w:tcBorders>
              <w:top w:val="nil"/>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final al 31 de diciembre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4.410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3.680.882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3.685.292</w:t>
            </w:r>
          </w:p>
        </w:tc>
      </w:tr>
    </w:tbl>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17" w:name="Section64"/>
      <w:bookmarkEnd w:id="117"/>
      <w:bookmarkStart w:id="118" w:name="2254eb835252415aaeda98f237eb668e"/>
      <w:r>
        <w:rPr>
          <w:rFonts w:ascii="Calibri" w:eastAsia="Calibri" w:hAnsi="Calibri" w:cs="Calibri"/>
          <w:b/>
          <w:i w:val="0"/>
          <w:color w:val="000000"/>
          <w:sz w:val="20"/>
          <w:u w:val="none"/>
        </w:rPr>
        <w:t>12.4.-</w:t>
      </w:r>
      <w:r>
        <w:rPr>
          <w:rFonts w:ascii="Calibri" w:eastAsia="Calibri" w:hAnsi="Calibri" w:cs="Calibri"/>
          <w:b/>
          <w:i w:val="0"/>
          <w:color w:val="000000"/>
          <w:sz w:val="20"/>
          <w:u w:val="none"/>
        </w:rPr>
        <w:tab/>
      </w:r>
      <w:r>
        <w:rPr>
          <w:rFonts w:ascii="Calibri" w:eastAsia="Calibri" w:hAnsi="Calibri" w:cs="Calibri"/>
          <w:b/>
          <w:i w:val="0"/>
          <w:color w:val="000000"/>
          <w:sz w:val="20"/>
          <w:u w:val="none"/>
        </w:rPr>
        <w:t>Política de inversiones en 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18"/>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ha mantenido tradicionalmente una política de llevar a cabo todas las obras necesarias para satisfacer los incrementos de la demanda en sus líneas de negocio, conservar en buen estado sus propiedades e instalaciones. El monto de adiciones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alcanzó a M$ 384.936 (</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30 de junio de 2025</w:t>
      </w:r>
      <w:r>
        <w:rPr>
          <w:rFonts w:ascii="Calibri" w:eastAsia="Calibri" w:hAnsi="Calibri" w:cs="Calibri"/>
          <w:b w:val="0"/>
          <w:i w:val="0"/>
          <w:sz w:val="20"/>
        </w:rPr>
        <w:t xml:space="preserve"> no hay adiciones</w:t>
      </w:r>
      <w:r>
        <w:rPr>
          <w:rFonts w:ascii="Calibri" w:eastAsia="Calibri" w:hAnsi="Calibri" w:cs="Calibri"/>
          <w:b w:val="0"/>
          <w:i w:val="0"/>
          <w:color w:val="000000"/>
          <w:sz w:val="20"/>
          <w:u w:val="none"/>
        </w:rPr>
        <w:t>)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restricciones en la titularidad de propiedades, planta y equipo de la Sociedad.</w:t>
      </w:r>
    </w:p>
    <w:p>
      <w:pPr>
        <w:keepNext/>
        <w:keepLines/>
        <w:pageBreakBefore w:val="0"/>
        <w:widowControl w:val="0"/>
        <w:numPr>
          <w:ilvl w:val="0"/>
          <w:numId w:val="0"/>
        </w:numPr>
        <w:tabs>
          <w:tab w:val="left" w:pos="700"/>
        </w:tabs>
        <w:spacing w:before="0" w:after="0" w:line="269" w:lineRule="auto"/>
        <w:ind w:left="720" w:right="0" w:firstLine="72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69" w:lineRule="auto"/>
        <w:ind w:left="720" w:right="0" w:firstLine="720"/>
        <w:jc w:val="both"/>
        <w:outlineLvl w:val="9"/>
        <w:sectPr>
          <w:footerReference w:type="default" r:id="rId44"/>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Calibri" w:eastAsia="Calibri" w:hAnsi="Calibri" w:cs="Calibri"/>
          <w:b w:val="0"/>
          <w:i w:val="0"/>
          <w:color w:val="000000"/>
          <w:sz w:val="20"/>
          <w:u w:val="none"/>
        </w:rPr>
      </w:pPr>
      <w:bookmarkStart w:id="119" w:name="Section65"/>
      <w:bookmarkEnd w:id="119"/>
      <w:bookmarkStart w:id="120" w:name="09c46923eca341f2bf259f81528d15d2"/>
      <w:r>
        <w:rPr>
          <w:rFonts w:ascii="Calibri" w:eastAsia="Calibri" w:hAnsi="Calibri" w:cs="Calibri"/>
          <w:b/>
          <w:i w:val="0"/>
          <w:color w:val="000000"/>
          <w:sz w:val="20"/>
          <w:u w:val="none"/>
        </w:rPr>
        <w:t>12.5.-</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por intereses.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0"/>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Durante el ejercicio terminado al 31 de diciembre de 2025 y 2024 no se han capitalizado intereses por no tener activos aptos para dicho efecto.</w:t>
      </w:r>
    </w:p>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1418"/>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libri" w:eastAsia="Calibri" w:hAnsi="Calibri" w:cs="Calibri"/>
          <w:b/>
          <w:i w:val="0"/>
          <w:color w:val="000000"/>
          <w:sz w:val="20"/>
          <w:u w:val="none"/>
        </w:rPr>
      </w:pPr>
      <w:bookmarkStart w:id="121" w:name="Section66"/>
      <w:bookmarkEnd w:id="121"/>
      <w:bookmarkStart w:id="122" w:name="b9dfbe7db9224fb693522ed9a0a6c872"/>
      <w:r>
        <w:rPr>
          <w:rFonts w:ascii="Calibri" w:eastAsia="Calibri" w:hAnsi="Calibri" w:cs="Calibri"/>
          <w:b/>
          <w:i w:val="0"/>
          <w:color w:val="000000"/>
          <w:sz w:val="20"/>
          <w:u w:val="none"/>
        </w:rPr>
        <w:t>13.-</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2"/>
    </w:p>
    <w:p>
      <w:pPr>
        <w:keepNext/>
        <w:keepLines/>
        <w:pageBreakBefore w:val="0"/>
        <w:widowControl w:val="0"/>
        <w:numPr>
          <w:ilvl w:val="0"/>
          <w:numId w:val="0"/>
        </w:numPr>
        <w:tabs>
          <w:tab w:val="left" w:pos="700"/>
        </w:tabs>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Calibri" w:eastAsia="Calibri" w:hAnsi="Calibri" w:cs="Calibri"/>
          <w:b w:val="0"/>
          <w:i w:val="0"/>
          <w:color w:val="000000"/>
          <w:sz w:val="20"/>
          <w:u w:val="none"/>
        </w:rPr>
      </w:pPr>
      <w:bookmarkStart w:id="123" w:name="Section67"/>
      <w:bookmarkEnd w:id="123"/>
      <w:bookmarkStart w:id="124" w:name="098cc072d2bb44e1b192283241a241d5"/>
      <w:r>
        <w:rPr>
          <w:rFonts w:ascii="Calibri" w:eastAsia="Calibri" w:hAnsi="Calibri" w:cs="Calibri"/>
          <w:b/>
          <w:i w:val="0"/>
          <w:color w:val="000000"/>
          <w:sz w:val="20"/>
          <w:u w:val="none"/>
        </w:rPr>
        <w:t>13.1.-</w:t>
      </w:r>
      <w:r>
        <w:rPr>
          <w:rFonts w:ascii="Calibri" w:eastAsia="Calibri" w:hAnsi="Calibri" w:cs="Calibri"/>
          <w:b/>
          <w:i w:val="0"/>
          <w:color w:val="000000"/>
          <w:sz w:val="20"/>
          <w:u w:val="none"/>
        </w:rPr>
        <w:tab/>
      </w:r>
      <w:r>
        <w:rPr>
          <w:rFonts w:ascii="Calibri" w:eastAsia="Calibri" w:hAnsi="Calibri" w:cs="Calibri"/>
          <w:b/>
          <w:i w:val="0"/>
          <w:color w:val="000000"/>
          <w:sz w:val="20"/>
          <w:u w:val="none"/>
        </w:rPr>
        <w:t>Pérdidas por deterioro del valor y reversión de las pérdidas por deterioro del valor.</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4"/>
    </w:p>
    <w:p>
      <w:pPr>
        <w:keepNext/>
        <w:keepLines/>
        <w:pageBreakBefore w:val="0"/>
        <w:widowControl w:val="0"/>
        <w:numPr>
          <w:ilvl w:val="0"/>
          <w:numId w:val="0"/>
        </w:numPr>
        <w:tabs>
          <w:tab w:val="left" w:pos="700"/>
        </w:tabs>
        <w:spacing w:before="0" w:after="0" w:line="240" w:lineRule="exact"/>
        <w:ind w:left="1440"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montos reconocidos en resultados por pérdidas por deterioro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y 31 de diciembre de 2024 se detallan a continuación:</w:t>
      </w:r>
    </w:p>
    <w:p>
      <w:pPr>
        <w:keepNext/>
        <w:keepLines/>
        <w:pageBreakBefore w:val="0"/>
        <w:widowControl w:val="0"/>
        <w:numPr>
          <w:ilvl w:val="0"/>
          <w:numId w:val="0"/>
        </w:numPr>
        <w:tabs>
          <w:tab w:val="left" w:pos="700"/>
        </w:tabs>
        <w:spacing w:before="0" w:after="0" w:line="288" w:lineRule="auto"/>
        <w:ind w:left="144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Pérdidas por deterioro del valor y reversión de las pérdidas por deterioro del valor</w:t>
            </w:r>
          </w:p>
        </w:tc>
        <w:tc>
          <w:tcPr>
            <w:tcW w:w="24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single" w:sz="4" w:space="0" w:color="FFFFFF"/>
            </w:tcBorders>
          </w:tcPr>
          <w:p>
            <w:pPr>
              <w:keepNext/>
              <w:pageBreakBefore w:val="0"/>
            </w:pPr>
          </w:p>
        </w:tc>
        <w:tc>
          <w:tcPr>
            <w:tcW w:w="24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20" w:type="dxa"/>
          <w:tblInd w:w="1440" w:type="dxa"/>
          <w:tblLayout w:type="fixed"/>
        </w:tblPrEx>
        <w:trPr>
          <w:cantSplit/>
          <w:trHeight w:hRule="auto" w:val="0"/>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 Activos financieros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Pérdidas por deterioro de valor reconocidas en el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0</w:t>
            </w:r>
          </w:p>
        </w:tc>
      </w:tr>
    </w:tbl>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exact" w:val="225"/>
        </w:trPr>
        <w:tc>
          <w:tcPr>
            <w:tcW w:w="612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Pérdidas por deterioro del valor y reversión de las pérdidas por deterioro del valor</w:t>
            </w:r>
          </w:p>
        </w:tc>
        <w:tc>
          <w:tcPr>
            <w:tcW w:w="240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20" w:type="dxa"/>
          <w:tblInd w:w="1440" w:type="dxa"/>
          <w:tblLayout w:type="fixed"/>
        </w:tblPrEx>
        <w:trPr>
          <w:cantSplit/>
          <w:trHeight w:hRule="exact" w:val="225"/>
        </w:trPr>
        <w:tc>
          <w:tcPr>
            <w:tcW w:w="6120" w:type="dxa"/>
            <w:vMerge/>
            <w:tcBorders>
              <w:top w:val="nil"/>
              <w:left w:val="single" w:sz="2" w:space="0" w:color="000000"/>
              <w:bottom w:val="nil"/>
              <w:right w:val="single" w:sz="4" w:space="0" w:color="FFFFFF"/>
            </w:tcBorders>
          </w:tcPr>
          <w:p>
            <w:pPr>
              <w:keepNext/>
              <w:pageBreakBefore w:val="0"/>
            </w:pPr>
          </w:p>
        </w:tc>
        <w:tc>
          <w:tcPr>
            <w:tcW w:w="240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20" w:type="dxa"/>
          <w:tblInd w:w="1440" w:type="dxa"/>
          <w:tblLayout w:type="fixed"/>
        </w:tblPrEx>
        <w:trPr>
          <w:cantSplit/>
          <w:trHeight w:hRule="exact" w:val="375"/>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financieros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20" w:type="dxa"/>
          <w:tblInd w:w="1440" w:type="dxa"/>
          <w:tblLayout w:type="fixed"/>
        </w:tblPrEx>
        <w:trPr>
          <w:cantSplit/>
          <w:trHeight w:hRule="exact" w:val="225"/>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exact" w:val="22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Pérdidas por deterioro de valor reconocidas en el resultado del periodo.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(21.616)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000000"/>
                <w:sz w:val="14"/>
                <w:u w:val="none"/>
              </w:rPr>
              <w:t>(21.616)</w:t>
            </w:r>
          </w:p>
        </w:tc>
      </w:tr>
    </w:tbl>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r>
        <w:rPr>
          <w:rFonts w:ascii="Calibri" w:eastAsia="Calibri" w:hAnsi="Calibri" w:cs="Calibri"/>
          <w:b w:val="0"/>
          <w:i w:val="0"/>
          <w:sz w:val="20"/>
        </w:rPr>
        <w:tab/>
      </w:r>
    </w:p>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val="0"/>
        <w:keepLines w:val="0"/>
        <w:pageBreakBefore w:val="0"/>
        <w:widowControl/>
        <w:numPr>
          <w:ilvl w:val="0"/>
          <w:numId w:val="0"/>
        </w:numPr>
        <w:spacing w:before="0" w:after="0" w:line="288" w:lineRule="auto"/>
        <w:ind w:left="0" w:right="0" w:firstLine="0"/>
        <w:jc w:val="both"/>
        <w:outlineLvl w:val="0"/>
        <w:rPr>
          <w:rFonts w:ascii="Calibri" w:eastAsia="Calibri" w:hAnsi="Calibri" w:cs="Calibri"/>
          <w:b/>
          <w:i w:val="0"/>
          <w:color w:val="000000"/>
          <w:sz w:val="20"/>
          <w:u w:val="none"/>
        </w:rPr>
      </w:pPr>
      <w:bookmarkStart w:id="125" w:name="Section68"/>
      <w:bookmarkEnd w:id="125"/>
      <w:bookmarkStart w:id="126" w:name="98010e77effd438bb0b22fa507f692c1"/>
      <w:r>
        <w:rPr>
          <w:rFonts w:ascii="Calibri" w:eastAsia="Calibri" w:hAnsi="Calibri" w:cs="Calibri"/>
          <w:b/>
          <w:i w:val="0"/>
          <w:color w:val="000000"/>
          <w:sz w:val="20"/>
          <w:u w:val="none"/>
        </w:rPr>
        <w:t>14.-</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6"/>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27" w:name="Section69"/>
      <w:bookmarkEnd w:id="127"/>
      <w:bookmarkStart w:id="128" w:name="4d2dca6051af438fbde2ac87af9f1842"/>
      <w:r>
        <w:rPr>
          <w:rFonts w:ascii="Calibri" w:eastAsia="Calibri" w:hAnsi="Calibri" w:cs="Calibri"/>
          <w:b/>
          <w:i w:val="0"/>
          <w:color w:val="000000"/>
          <w:sz w:val="20"/>
          <w:u w:val="none"/>
        </w:rPr>
        <w:t>14.1.-</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28"/>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226.534</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ingresos anticipados.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123.441</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obligaciones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155.854</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138.899</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contratos de leasing.</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30.309</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otros.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675.037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recuperación de los saldos de activos por impuestos diferidos, requieren de la obtención de utilidades tributarias suficientes en el futuro. La sociedad estima con proyecciones futuras de utilidades que estas cubrirán el recupero de estos activos.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29" w:name="Section70"/>
      <w:bookmarkEnd w:id="129"/>
      <w:bookmarkStart w:id="130" w:name="74565e3e1e434795a5d0e84bd4880815"/>
      <w:r>
        <w:rPr>
          <w:rFonts w:ascii="Calibri" w:eastAsia="Calibri" w:hAnsi="Calibri" w:cs="Calibri"/>
          <w:b/>
          <w:i w:val="0"/>
          <w:color w:val="000000"/>
          <w:sz w:val="20"/>
          <w:u w:val="none"/>
        </w:rPr>
        <w:t>14.2.-</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impuestos diferidos.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0"/>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23.160</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Relativos a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33.428</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56.588</w:t>
            </w:r>
          </w:p>
        </w:tc>
      </w:tr>
    </w:tbl>
    <w:p>
      <w:pPr>
        <w:keepNext w:val="0"/>
        <w:keepLines w:val="0"/>
        <w:pageBreakBefore w:val="0"/>
        <w:widowControl/>
        <w:numPr>
          <w:ilvl w:val="0"/>
          <w:numId w:val="0"/>
        </w:numPr>
        <w:spacing w:before="0" w:after="0" w:line="288" w:lineRule="auto"/>
        <w:ind w:left="0" w:right="0" w:firstLine="708"/>
        <w:jc w:val="both"/>
        <w:outlineLvl w:val="9"/>
        <w:rPr>
          <w:rFonts w:ascii="Calibri" w:eastAsia="Calibri" w:hAnsi="Calibri" w:cs="Calibri"/>
          <w:b/>
          <w:i w:val="0"/>
          <w:color w:val="000000"/>
          <w:sz w:val="20"/>
          <w:u w:val="none"/>
        </w:rPr>
      </w:pPr>
    </w:p>
    <w:p>
      <w:pPr>
        <w:keepNext w:val="0"/>
        <w:keepLines w:val="0"/>
        <w:pageBreakBefore w:val="0"/>
        <w:widowControl/>
        <w:numPr>
          <w:ilvl w:val="0"/>
          <w:numId w:val="0"/>
        </w:numPr>
        <w:spacing w:before="0" w:after="0" w:line="288" w:lineRule="auto"/>
        <w:ind w:left="0" w:right="0" w:firstLine="708"/>
        <w:jc w:val="both"/>
        <w:outlineLvl w:val="9"/>
        <w:rPr>
          <w:rFonts w:ascii="Calibri" w:eastAsia="Calibri" w:hAnsi="Calibri" w:cs="Calibri"/>
          <w:b/>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31" w:name="Section71"/>
      <w:bookmarkEnd w:id="131"/>
      <w:bookmarkStart w:id="132" w:name="f6344e25cca149f6a736fc606cecd0f2"/>
      <w:r>
        <w:rPr>
          <w:rFonts w:ascii="Calibri" w:eastAsia="Calibri" w:hAnsi="Calibri" w:cs="Calibri"/>
          <w:b/>
          <w:i w:val="0"/>
          <w:color w:val="000000"/>
          <w:sz w:val="20"/>
          <w:u w:val="none"/>
        </w:rPr>
        <w:t>14.3.-</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Movimientos de impuesto diferido del estado de situación financiera.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32"/>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es el movimiento de los activos por impuestos diferidos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activos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675.037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738.351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(169.470)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(49.692)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5.115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(13.622)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activos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(164.355)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(63.314)</w:t>
            </w:r>
          </w:p>
        </w:tc>
      </w:tr>
      <w:tr>
        <w:tblPrEx>
          <w:tblW w:w="8550" w:type="dxa"/>
          <w:tblInd w:w="1417" w:type="dxa"/>
          <w:tblLayout w:type="fixed"/>
        </w:tblPrEx>
        <w:trPr>
          <w:cantSplit/>
          <w:trHeight w:hRule="auto" w:val="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510.682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675.037</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Movimientos en pasivos por impuestos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Saldo inicial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56.588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73.649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reconocidos como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(56.588)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(17.061)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relacionado con componentes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 (disminuciones) por impuestos diferidos relacionado con cambios en las tasas fiscales o con la imposición de nuevos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Fusión por absorción, pasivos por impuestos diferidos.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pérdidas de control de subsidiaria.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Disminución por transferencias a pasivos incluidos en grupos de activos para su disposición clasificados como mantenidos para la venta, otras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combinaciones de negocios.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Incrementos (disminuciones) por diferencias de cambio netas.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División Social, pasivos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incrementos (decrementos), pasivos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pasivos por impuestos diferidos,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(56.588)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(17.061)</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56.588</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33" w:name="Section72"/>
      <w:bookmarkEnd w:id="133"/>
      <w:bookmarkStart w:id="134" w:name="f0628da255d14239ae218442f7a486ef"/>
      <w:r>
        <w:rPr>
          <w:rFonts w:ascii="Calibri" w:eastAsia="Calibri" w:hAnsi="Calibri" w:cs="Calibri"/>
          <w:b/>
          <w:i w:val="0"/>
          <w:color w:val="000000"/>
          <w:sz w:val="20"/>
          <w:u w:val="none"/>
        </w:rPr>
        <w:t>14.4.-</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Compensación de partidas.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3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impuestos diferidos activos y pasivos se compensan cuando existe derecho legalmente ejecutable de compensar los activos tributarios corrientes contra los pasivos tributarios corrientes y cuando los impuestos a la renta diferidos activos y pasivos están relacionados con el impuesto a la renta que grava la misma autoridad tributaria a la misma entidad gravada o a diferentes entidades gravadas por las que existe la intención de liquidar los saldos sobre bases netas. Los montos compensados son los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520"/>
        <w:gridCol w:w="1005"/>
        <w:gridCol w:w="1005"/>
        <w:gridCol w:w="1005"/>
        <w:gridCol w:w="1005"/>
        <w:gridCol w:w="1005"/>
        <w:gridCol w:w="1005"/>
      </w:tblGrid>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nil"/>
              <w:right w:val="single" w:sz="4" w:space="0" w:color="FFFFFF"/>
            </w:tcBorders>
            <w:tcMar>
              <w:top w:w="0" w:type="dxa"/>
              <w:left w:w="0" w:type="dxa"/>
              <w:bottom w:w="0" w:type="dxa"/>
              <w:right w:w="0" w:type="dxa"/>
            </w:tcMar>
            <w:vAlign w:val="bottom"/>
          </w:tcPr>
          <w:p>
            <w:pPr>
              <w:keepNext/>
              <w:pageBreakBefore w:val="0"/>
              <w:spacing w:before="0" w:after="0"/>
            </w:pP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2520"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Activos  (pasivos)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Valores compensados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Saldos netos al cierre</w:t>
            </w:r>
          </w:p>
        </w:tc>
      </w:tr>
      <w:tr>
        <w:tblPrEx>
          <w:tblW w:w="8550" w:type="dxa"/>
          <w:tblInd w:w="1417" w:type="dxa"/>
          <w:tblLayout w:type="fixed"/>
        </w:tblPrEx>
        <w:trPr>
          <w:cantSplit/>
          <w:trHeight w:hRule="auto" w:val="0"/>
        </w:trPr>
        <w:tc>
          <w:tcPr>
            <w:tcW w:w="252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Activos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675.037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(56.588)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618.449</w:t>
            </w: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Pasivos por impuestos diferidos.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(56.588)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56.588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25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618.449</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618.449</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val="0"/>
        <w:keepLines w:val="0"/>
        <w:pageBreakBefore w:val="0"/>
        <w:widowControl/>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35" w:name="Section73"/>
      <w:bookmarkEnd w:id="135"/>
      <w:bookmarkStart w:id="136" w:name="bd3a17e9042e4cfbb8b4ae37e3f495b2"/>
      <w:r>
        <w:rPr>
          <w:rFonts w:ascii="Calibri" w:eastAsia="Calibri" w:hAnsi="Calibri" w:cs="Calibri"/>
          <w:b/>
          <w:i w:val="0"/>
          <w:color w:val="000000"/>
          <w:sz w:val="20"/>
          <w:u w:val="none"/>
        </w:rPr>
        <w:t>15.-</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36"/>
    </w:p>
    <w:p>
      <w:pPr>
        <w:pStyle w:val="Normal-wk"/>
        <w:keepNext w:val="0"/>
        <w:keepLines/>
        <w:pageBreakBefore w:val="0"/>
        <w:widowControl w:val="0"/>
        <w:numPr>
          <w:ilvl w:val="0"/>
          <w:numId w:val="0"/>
        </w:numPr>
        <w:tabs>
          <w:tab w:val="left" w:pos="700"/>
        </w:tabs>
        <w:spacing w:before="0" w:after="0" w:line="288" w:lineRule="auto"/>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20" w:type="dxa"/>
          <w:tblLayout w:type="fixed"/>
        </w:tblPrEx>
        <w:trPr>
          <w:cantSplit/>
          <w:trHeight w:hRule="auto" w:val="0"/>
        </w:trPr>
        <w:tc>
          <w:tcPr>
            <w:tcW w:w="684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por pagar comerciales y otras cuentas por pagar</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40" w:type="dxa"/>
          <w:tblInd w:w="720"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40" w:type="dxa"/>
          <w:tblInd w:w="720"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de energía y otros eléctricos.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1.474.464</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Retenciones.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134.927</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Pasivos acumulados (o devengados) (Nota 15.1).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180.682</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Proveedores no energéticos.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3.908.676</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Acreedores varios.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1.421.885</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7.120.634</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 proveedores de importancia cuyos pasivos superen el 10% de este ítem.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val="0"/>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37" w:name="Section74"/>
      <w:bookmarkEnd w:id="137"/>
      <w:bookmarkStart w:id="138" w:name="6b366d66e89d48348f54f1ccc080c805"/>
      <w:r>
        <w:rPr>
          <w:rFonts w:ascii="Calibri" w:eastAsia="Calibri" w:hAnsi="Calibri" w:cs="Calibri"/>
          <w:b/>
          <w:i w:val="0"/>
          <w:color w:val="000000"/>
          <w:sz w:val="20"/>
          <w:u w:val="none"/>
        </w:rPr>
        <w:t>15.1.-</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acumulados (o devengados).</w:t>
      </w: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bookmarkEnd w:id="13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Pasivos acumulados (o devengados).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Vacaciones del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159.386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Bonificaciones de feriados.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21.296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sobre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180.682</w:t>
            </w:r>
          </w:p>
        </w:tc>
      </w:tr>
    </w:tbl>
    <w:p>
      <w:pPr>
        <w:keepNext/>
        <w:keepLines/>
        <w:pageBreakBefore w:val="0"/>
        <w:widowControl w:val="0"/>
        <w:numPr>
          <w:ilvl w:val="0"/>
          <w:numId w:val="0"/>
        </w:numPr>
        <w:tabs>
          <w:tab w:val="left" w:pos="700"/>
        </w:tabs>
        <w:spacing w:before="0" w:after="0" w:line="288" w:lineRule="auto"/>
        <w:ind w:left="720"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720"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1417" w:right="0" w:hanging="709"/>
        <w:jc w:val="both"/>
        <w:outlineLvl w:val="1"/>
        <w:rPr>
          <w:rFonts w:ascii="Calibri" w:eastAsia="Calibri" w:hAnsi="Calibri" w:cs="Calibri"/>
          <w:b/>
          <w:i w:val="0"/>
          <w:color w:val="000000"/>
          <w:sz w:val="20"/>
          <w:u w:val="none"/>
        </w:rPr>
      </w:pPr>
      <w:bookmarkStart w:id="139" w:name="Section75"/>
      <w:bookmarkEnd w:id="139"/>
      <w:bookmarkStart w:id="140" w:name="5fda04dd476043c68092b092c58a5b71"/>
      <w:r>
        <w:rPr>
          <w:rFonts w:ascii="Calibri" w:eastAsia="Calibri" w:hAnsi="Calibri" w:cs="Calibri"/>
          <w:b/>
          <w:i w:val="0"/>
          <w:color w:val="000000"/>
          <w:sz w:val="20"/>
          <w:u w:val="none"/>
        </w:rPr>
        <w:t>15.2.-</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cuentas comerciales y otras cuentas por pagar con pagos al día y con plazos vencidos.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40"/>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17" w:type="dxa"/>
          <w:tblLayout w:type="fixed"/>
        </w:tblPrEx>
        <w:trPr>
          <w:cantSplit/>
          <w:trHeight w:hRule="auto" w:val="0"/>
        </w:trPr>
        <w:tc>
          <w:tcPr>
            <w:tcW w:w="49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20" w:type="dxa"/>
          <w:tblInd w:w="1417"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20" w:type="dxa"/>
          <w:tblInd w:w="1417"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0</w:t>
            </w: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0</w:t>
            </w:r>
          </w:p>
        </w:tc>
      </w:tr>
      <w:tr>
        <w:tblPrEx>
          <w:tblW w:w="8520" w:type="dxa"/>
          <w:tblInd w:w="1417"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r>
    </w:tbl>
    <w:p>
      <w:pPr>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pPr>
    </w:p>
    <w:tbl>
      <w:tblPr>
        <w:tblW w:w="852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20"/>
        <w:gridCol w:w="1200"/>
        <w:gridCol w:w="1200"/>
        <w:gridCol w:w="1200"/>
      </w:tblGrid>
      <w:tr>
        <w:tblPrEx>
          <w:tblW w:w="8520" w:type="dxa"/>
          <w:tblInd w:w="1417" w:type="dxa"/>
          <w:tblLayout w:type="fixed"/>
        </w:tblPrEx>
        <w:trPr>
          <w:cantSplit/>
          <w:trHeight w:hRule="auto" w:val="0"/>
        </w:trPr>
        <w:tc>
          <w:tcPr>
            <w:tcW w:w="49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Cuentas comerciales con pagos al día (por vencer)</w:t>
            </w:r>
            <w:r>
              <w:br/>
            </w:r>
            <w:r>
              <w:rPr>
                <w:rFonts w:ascii="Calibri" w:eastAsia="Calibri" w:hAnsi="Calibri" w:cs="Calibri"/>
                <w:b/>
                <w:i w:val="0"/>
                <w:color w:val="FFFFFF"/>
                <w:sz w:val="16"/>
                <w:u w:val="none"/>
              </w:rPr>
              <w:t>Cuentas comerciales al día según plazo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y Servicios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8520" w:type="dxa"/>
          <w:tblInd w:w="1417" w:type="dxa"/>
          <w:tblLayout w:type="fixed"/>
        </w:tblPrEx>
        <w:trPr>
          <w:cantSplit/>
          <w:trHeight w:hRule="auto" w:val="0"/>
        </w:trPr>
        <w:tc>
          <w:tcPr>
            <w:tcW w:w="49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17" w:type="dxa"/>
          <w:tblLayout w:type="fixed"/>
        </w:tblPrEx>
        <w:trPr>
          <w:cantSplit/>
          <w:trHeight w:hRule="auto" w:val="0"/>
        </w:trPr>
        <w:tc>
          <w:tcPr>
            <w:tcW w:w="49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17" w:type="dxa"/>
          <w:tblLayout w:type="fixed"/>
        </w:tblPrEx>
        <w:trPr>
          <w:cantSplit/>
          <w:trHeight w:hRule="exact" w:val="6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Hasta 30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5.383.137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1.556.815</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6.939.952</w:t>
            </w: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6"/>
                <w:u w:val="none"/>
              </w:rPr>
              <w:t>Entre 31 y 60 días.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6"/>
                <w:u w:val="none"/>
              </w:rPr>
              <w:t>180.682</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6"/>
                <w:u w:val="none"/>
              </w:rPr>
              <w:t>180.682</w:t>
            </w:r>
          </w:p>
        </w:tc>
      </w:tr>
      <w:tr>
        <w:tblPrEx>
          <w:tblW w:w="8520" w:type="dxa"/>
          <w:tblInd w:w="1417" w:type="dxa"/>
          <w:tblLayout w:type="fixed"/>
        </w:tblPrEx>
        <w:trPr>
          <w:cantSplit/>
          <w:trHeight w:hRule="auto" w:val="0"/>
        </w:trPr>
        <w:tc>
          <w:tcPr>
            <w:tcW w:w="49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17" w:type="dxa"/>
          <w:tblLayout w:type="fixed"/>
        </w:tblPrEx>
        <w:trPr>
          <w:cantSplit/>
          <w:trHeight w:hRule="auto" w:val="0"/>
        </w:trPr>
        <w:tc>
          <w:tcPr>
            <w:tcW w:w="49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5.383.137</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1.737.497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7.120.634</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8" w:right="0" w:firstLine="7"/>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hay cuentas por pagar comerciales y otras cuentas por pagar con plazos vencidos.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libri" w:eastAsia="Calibri" w:hAnsi="Calibri" w:cs="Calibri"/>
          <w:b/>
          <w:i w:val="0"/>
          <w:color w:val="000000"/>
          <w:sz w:val="20"/>
          <w:u w:val="none"/>
        </w:rPr>
      </w:pPr>
      <w:bookmarkStart w:id="141" w:name="Section76"/>
      <w:bookmarkEnd w:id="141"/>
      <w:bookmarkStart w:id="142" w:name="dd36d34b9e784c089c02b764e3c96793"/>
      <w:r>
        <w:rPr>
          <w:rFonts w:ascii="Calibri" w:eastAsia="Calibri" w:hAnsi="Calibri" w:cs="Calibri"/>
          <w:b/>
          <w:i w:val="0"/>
          <w:color w:val="000000"/>
          <w:sz w:val="20"/>
          <w:u w:val="none"/>
        </w:rPr>
        <w:t>16.-</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2"/>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43" w:name="Section77"/>
      <w:bookmarkEnd w:id="143"/>
      <w:bookmarkStart w:id="144" w:name="c5420f1267cc469fb5be3d7984527acb"/>
      <w:r>
        <w:rPr>
          <w:rFonts w:ascii="Calibri" w:eastAsia="Calibri" w:hAnsi="Calibri" w:cs="Calibri"/>
          <w:b/>
          <w:i w:val="0"/>
          <w:color w:val="000000"/>
          <w:sz w:val="20"/>
          <w:u w:val="none"/>
        </w:rPr>
        <w:t>16.1.-</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 saldos.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4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Clase de provisiones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utilidades y bonos.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353.351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353.351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16.1.1.-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utilidades y bonos.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provisión para la participación de los empleados en las utilidades y de los bonos de desempeño se paga al mes siguiente de la aprobación de los estados financieros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16.1.2.- Otras provisiones.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Corresponden principalmente a provisiones provenientes de situaciones contingentes. Los montos constituidos cubren adecuadamente los riesgos existentes.</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45" w:name="Section78"/>
      <w:bookmarkEnd w:id="145"/>
      <w:bookmarkStart w:id="146" w:name="ec25645aa67e42a3a39d0e2d586deb03"/>
      <w:r>
        <w:rPr>
          <w:rFonts w:ascii="Calibri" w:eastAsia="Calibri" w:hAnsi="Calibri" w:cs="Calibri"/>
          <w:b/>
          <w:i w:val="0"/>
          <w:color w:val="000000"/>
          <w:sz w:val="20"/>
          <w:u w:val="none"/>
        </w:rPr>
        <w:t>16.2.-</w:t>
      </w:r>
      <w:r>
        <w:rPr>
          <w:rFonts w:ascii="Calibri" w:eastAsia="Calibri" w:hAnsi="Calibri" w:cs="Calibri"/>
          <w:b/>
          <w:i w:val="0"/>
          <w:color w:val="000000"/>
          <w:sz w:val="20"/>
          <w:u w:val="none"/>
        </w:rPr>
        <w:tab/>
      </w:r>
      <w:r>
        <w:rPr>
          <w:rFonts w:ascii="Calibri" w:eastAsia="Calibri" w:hAnsi="Calibri" w:cs="Calibri"/>
          <w:b/>
          <w:i w:val="0"/>
          <w:color w:val="000000"/>
          <w:sz w:val="20"/>
          <w:u w:val="none"/>
        </w:rPr>
        <w:t>Movimiento de las 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6"/>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nil"/>
            </w:tcBorders>
          </w:tcPr>
          <w:p>
            <w:pPr>
              <w:keepNext/>
              <w:pageBreakBefore w:val="0"/>
            </w:pPr>
          </w:p>
        </w:tc>
        <w:tc>
          <w:tcPr>
            <w:tcW w:w="12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353.351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353.351</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de provisiones existentes.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30 de junio de 2026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353.351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353.351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Saldos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1200"/>
        <w:gridCol w:w="1200"/>
        <w:gridCol w:w="1200"/>
      </w:tblGrid>
      <w:tr>
        <w:tblPrEx>
          <w:tblW w:w="8550" w:type="dxa"/>
          <w:tblInd w:w="1417" w:type="dxa"/>
          <w:tblLayout w:type="fixed"/>
        </w:tblPrEx>
        <w:trPr>
          <w:cantSplit/>
          <w:trHeight w:hRule="auto" w:val="0"/>
        </w:trPr>
        <w:tc>
          <w:tcPr>
            <w:tcW w:w="49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Conceptos</w:t>
            </w:r>
          </w:p>
        </w:tc>
        <w:tc>
          <w:tcPr>
            <w:tcW w:w="3600"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de provisiones</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Por part. en utilidades y bonos</w:t>
            </w:r>
          </w:p>
        </w:tc>
        <w:tc>
          <w:tcPr>
            <w:tcW w:w="1200"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Otras provisiones</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 al</w:t>
            </w:r>
          </w:p>
        </w:tc>
      </w:tr>
      <w:tr>
        <w:tblPrEx>
          <w:tblW w:w="8550" w:type="dxa"/>
          <w:tblInd w:w="1417" w:type="dxa"/>
          <w:tblLayout w:type="fixed"/>
        </w:tblPrEx>
        <w:trPr>
          <w:cantSplit/>
          <w:trHeight w:hRule="auto" w:val="0"/>
        </w:trPr>
        <w:tc>
          <w:tcPr>
            <w:tcW w:w="4950" w:type="dxa"/>
            <w:vMerge/>
            <w:tcBorders>
              <w:top w:val="nil"/>
              <w:left w:val="single" w:sz="2" w:space="0" w:color="000000"/>
              <w:bottom w:val="nil"/>
              <w:right w:val="nil"/>
            </w:tcBorders>
          </w:tcPr>
          <w:p>
            <w:pPr>
              <w:keepNext/>
              <w:pageBreakBefore w:val="0"/>
            </w:pPr>
          </w:p>
        </w:tc>
        <w:tc>
          <w:tcPr>
            <w:tcW w:w="1200" w:type="dxa"/>
            <w:vMerge/>
            <w:tcBorders>
              <w:top w:val="nil"/>
              <w:left w:val="single" w:sz="4" w:space="0" w:color="FFFFFF"/>
              <w:bottom w:val="nil"/>
              <w:right w:val="nil"/>
            </w:tcBorders>
          </w:tcPr>
          <w:p>
            <w:pPr>
              <w:keepNext/>
              <w:pageBreakBefore w:val="0"/>
            </w:pPr>
          </w:p>
        </w:tc>
        <w:tc>
          <w:tcPr>
            <w:tcW w:w="1200" w:type="dxa"/>
            <w:vMerge/>
            <w:tcBorders>
              <w:top w:val="nil"/>
              <w:left w:val="single" w:sz="4" w:space="0" w:color="FFFFFF"/>
              <w:bottom w:val="nil"/>
              <w:right w:val="nil"/>
            </w:tcBorders>
          </w:tcPr>
          <w:p>
            <w:pPr>
              <w:keepNext/>
              <w:pageBreakBefore w:val="0"/>
            </w:pP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50" w:type="dxa"/>
          <w:tblInd w:w="1417" w:type="dxa"/>
          <w:tblLayout w:type="fixed"/>
        </w:tblPrEx>
        <w:trPr>
          <w:cantSplit/>
          <w:trHeight w:hRule="auto" w:val="0"/>
        </w:trPr>
        <w:tc>
          <w:tcPr>
            <w:tcW w:w="49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298.536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61.523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360.059</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Aumento de provisiones existentes.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262.364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4"/>
                <w:u w:val="none"/>
              </w:rPr>
              <w:t>262.364</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3" w:after="20" w:line="240" w:lineRule="auto"/>
              <w:jc w:val="left"/>
            </w:pPr>
            <w:r>
              <w:rPr>
                <w:rFonts w:ascii="Calibri" w:eastAsia="Calibri" w:hAnsi="Calibri" w:cs="Calibri"/>
                <w:b w:val="0"/>
                <w:i w:val="0"/>
                <w:color w:val="000000"/>
                <w:sz w:val="14"/>
                <w:u w:val="none"/>
              </w:rPr>
              <w:t>Provisión utilizada.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(207.549)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val="0"/>
                <w:i w:val="0"/>
                <w:color w:val="000000"/>
                <w:sz w:val="14"/>
                <w:u w:val="none"/>
              </w:rPr>
              <w:t>(61.523)</w:t>
            </w: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20" w:line="240" w:lineRule="auto"/>
              <w:jc w:val="right"/>
            </w:pPr>
            <w:r>
              <w:rPr>
                <w:rFonts w:ascii="Calibri" w:eastAsia="Calibri" w:hAnsi="Calibri" w:cs="Calibri"/>
                <w:b/>
                <w:i w:val="0"/>
                <w:color w:val="FFFFFF"/>
                <w:sz w:val="14"/>
                <w:u w:val="none"/>
              </w:rPr>
              <w:t>(269.072)</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provisiones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54.815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(61.523)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(6.708)</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al 31 de diciembre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353.351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353.351</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47" w:name="Section79"/>
      <w:bookmarkEnd w:id="147"/>
      <w:bookmarkStart w:id="148" w:name="3e15f010edf04968a09a8ce7a5244399"/>
      <w:r>
        <w:rPr>
          <w:rFonts w:ascii="Calibri" w:eastAsia="Calibri" w:hAnsi="Calibri" w:cs="Calibri"/>
          <w:b/>
          <w:i w:val="0"/>
          <w:color w:val="000000"/>
          <w:sz w:val="20"/>
          <w:u w:val="none"/>
        </w:rPr>
        <w:t>17.-</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 POR BENEFICIOS A LOS EMPLEADOS.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48"/>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49" w:name="Section80"/>
      <w:bookmarkEnd w:id="149"/>
      <w:bookmarkStart w:id="150" w:name="8f5eb52080724ccd8fe910cb1d7daeb4"/>
      <w:r>
        <w:rPr>
          <w:rFonts w:ascii="Calibri" w:eastAsia="Calibri" w:hAnsi="Calibri" w:cs="Calibri"/>
          <w:b/>
          <w:i w:val="0"/>
          <w:color w:val="000000"/>
          <w:sz w:val="20"/>
          <w:u w:val="none"/>
        </w:rPr>
        <w:t>17.1.-</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del rubro.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0"/>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Provisión por beneficios a los empleados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 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indemnización años de servicio.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161.886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127.762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premio de antigüedad.</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13.260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12.848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Provisión beneficios post-jubilatorios.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14.503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23.643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189.649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164.253</w:t>
            </w:r>
          </w:p>
        </w:tc>
      </w:tr>
    </w:tbl>
    <w:p>
      <w:pPr>
        <w:keepNext w:val="0"/>
        <w:keepLines/>
        <w:pageBreakBefore w:val="0"/>
        <w:widowControl w:val="0"/>
        <w:numPr>
          <w:ilvl w:val="0"/>
          <w:numId w:val="0"/>
        </w:numPr>
        <w:spacing w:before="0" w:after="0" w:line="264"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9"/>
        <w:jc w:val="both"/>
        <w:outlineLvl w:val="1"/>
        <w:rPr>
          <w:rFonts w:ascii="Calibri" w:eastAsia="Calibri" w:hAnsi="Calibri" w:cs="Calibri"/>
          <w:b/>
          <w:i w:val="0"/>
          <w:color w:val="000000"/>
          <w:sz w:val="20"/>
          <w:u w:val="none"/>
        </w:rPr>
      </w:pPr>
      <w:bookmarkStart w:id="151" w:name="Section81"/>
      <w:bookmarkEnd w:id="151"/>
      <w:bookmarkStart w:id="152" w:name="249d1cb209184ac0b720eb028d7fe7d1"/>
      <w:r>
        <w:rPr>
          <w:rFonts w:ascii="Calibri" w:eastAsia="Calibri" w:hAnsi="Calibri" w:cs="Calibri"/>
          <w:b/>
          <w:i w:val="0"/>
          <w:color w:val="000000"/>
          <w:sz w:val="20"/>
          <w:u w:val="none"/>
        </w:rPr>
        <w:t>17.2.-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Detalle de las obligaciones post empleo y similares.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Valor presente de las obligaciones post empleo y similar</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exact" w:val="6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 xml:space="preserve">Valor presente obligación, saldo inicial </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127.762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225.297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12.848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11.641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23.643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40.958</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obligación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2.892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13.355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432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173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807</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por obligación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2.575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12.831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775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397</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1.826</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Ganancias pérdidas actuariales obligación planes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28.657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(30.504)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(9.710)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(19.948)</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Liquidaciones obligación plan de beneficios definidos y transferencia de obligaciones por traspaso de personal desde empresas relacionadas.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(93.217)</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cambios en provisiones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34.124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(97.535)</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412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1.207</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(9.140)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2"/>
                <w:u w:val="none"/>
              </w:rPr>
              <w:t>(17.315)</w:t>
            </w:r>
          </w:p>
        </w:tc>
      </w:tr>
      <w:tr>
        <w:tblPrEx>
          <w:tblW w:w="8550" w:type="dxa"/>
          <w:tblInd w:w="1417" w:type="dxa"/>
          <w:tblLayout w:type="fixed"/>
        </w:tblPrEx>
        <w:trPr>
          <w:cantSplit/>
          <w:trHeight w:hRule="auto" w:val="0"/>
        </w:trPr>
        <w:tc>
          <w:tcPr>
            <w:tcW w:w="37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161.886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127.762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13.260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12.848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14.503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23.643</w:t>
            </w:r>
          </w:p>
        </w:tc>
      </w:tr>
    </w:tbl>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53" w:name="Section82"/>
      <w:bookmarkEnd w:id="153"/>
      <w:bookmarkStart w:id="154" w:name="2e65e14a41024fdcad113ccb076c95a4"/>
      <w:r>
        <w:rPr>
          <w:rFonts w:ascii="Calibri" w:eastAsia="Calibri" w:hAnsi="Calibri" w:cs="Calibri"/>
          <w:b/>
          <w:i w:val="0"/>
          <w:color w:val="000000"/>
          <w:sz w:val="20"/>
          <w:u w:val="none"/>
        </w:rPr>
        <w:t>17.3.-</w:t>
      </w:r>
      <w:r>
        <w:rPr>
          <w:rFonts w:ascii="Calibri" w:eastAsia="Calibri" w:hAnsi="Calibri" w:cs="Calibri"/>
          <w:b/>
          <w:i w:val="0"/>
          <w:color w:val="000000"/>
          <w:sz w:val="20"/>
          <w:u w:val="none"/>
        </w:rPr>
        <w:tab/>
      </w:r>
      <w:r>
        <w:rPr>
          <w:rFonts w:ascii="Calibri" w:eastAsia="Calibri" w:hAnsi="Calibri" w:cs="Calibri"/>
          <w:b/>
          <w:i w:val="0"/>
          <w:color w:val="000000"/>
          <w:sz w:val="20"/>
          <w:u w:val="none"/>
        </w:rPr>
        <w:t>Balance de las obligaciones post empleo y similares.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80"/>
        <w:gridCol w:w="795"/>
        <w:gridCol w:w="795"/>
        <w:gridCol w:w="795"/>
        <w:gridCol w:w="795"/>
        <w:gridCol w:w="795"/>
        <w:gridCol w:w="795"/>
      </w:tblGrid>
      <w:tr>
        <w:tblPrEx>
          <w:tblW w:w="8550" w:type="dxa"/>
          <w:tblInd w:w="1417" w:type="dxa"/>
          <w:tblLayout w:type="fixed"/>
        </w:tblPrEx>
        <w:trPr>
          <w:cantSplit/>
          <w:trHeight w:hRule="auto" w:val="0"/>
        </w:trPr>
        <w:tc>
          <w:tcPr>
            <w:tcW w:w="378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Balance plan de beneficios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r>
      <w:tr>
        <w:tblPrEx>
          <w:tblW w:w="8550" w:type="dxa"/>
          <w:tblInd w:w="1417" w:type="dxa"/>
          <w:tblLayout w:type="fixed"/>
        </w:tblPrEx>
        <w:trPr>
          <w:cantSplit/>
          <w:trHeight w:hRule="auto" w:val="0"/>
        </w:trPr>
        <w:tc>
          <w:tcPr>
            <w:tcW w:w="3780"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31-12-2025</w:t>
            </w:r>
          </w:p>
        </w:tc>
      </w:tr>
      <w:tr>
        <w:tblPrEx>
          <w:tblW w:w="8550" w:type="dxa"/>
          <w:tblInd w:w="1417" w:type="dxa"/>
          <w:tblLayout w:type="fixed"/>
        </w:tblPrEx>
        <w:trPr>
          <w:cantSplit/>
          <w:trHeight w:hRule="auto" w:val="0"/>
        </w:trPr>
        <w:tc>
          <w:tcPr>
            <w:tcW w:w="3780"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Obligación presente sin fondos de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161.886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127.762</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13.260</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12.848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14.503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23.643</w:t>
            </w:r>
          </w:p>
        </w:tc>
      </w:tr>
      <w:tr>
        <w:tblPrEx>
          <w:tblW w:w="8550" w:type="dxa"/>
          <w:tblInd w:w="1417" w:type="dxa"/>
          <w:tblLayout w:type="fixed"/>
        </w:tblPrEx>
        <w:trPr>
          <w:cantSplit/>
          <w:trHeight w:hRule="auto" w:val="0"/>
        </w:trPr>
        <w:tc>
          <w:tcPr>
            <w:tcW w:w="37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161.886</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127.762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13.260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12.848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14.503</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23.643</w:t>
            </w:r>
          </w:p>
        </w:tc>
      </w:tr>
    </w:tbl>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55" w:name="Section83"/>
      <w:bookmarkEnd w:id="155"/>
      <w:bookmarkStart w:id="156" w:name="7309912e9cc84b1aad837bc24558bc39"/>
      <w:r>
        <w:rPr>
          <w:rFonts w:ascii="Calibri" w:eastAsia="Calibri" w:hAnsi="Calibri" w:cs="Calibri"/>
          <w:b/>
          <w:i w:val="0"/>
          <w:color w:val="000000"/>
          <w:sz w:val="20"/>
          <w:u w:val="none"/>
        </w:rPr>
        <w:t>17.4.-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reconocidos en el estado de resultados.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56"/>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295"/>
        <w:gridCol w:w="795"/>
        <w:gridCol w:w="795"/>
        <w:gridCol w:w="795"/>
        <w:gridCol w:w="795"/>
        <w:gridCol w:w="795"/>
        <w:gridCol w:w="795"/>
        <w:gridCol w:w="1485"/>
      </w:tblGrid>
      <w:tr>
        <w:tblPrEx>
          <w:tblW w:w="8550" w:type="dxa"/>
          <w:tblInd w:w="1417" w:type="dxa"/>
          <w:tblLayout w:type="fixed"/>
        </w:tblPrEx>
        <w:trPr>
          <w:cantSplit/>
          <w:trHeight w:hRule="auto" w:val="0"/>
        </w:trPr>
        <w:tc>
          <w:tcPr>
            <w:tcW w:w="22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Gastos reconocidos en el estado de resultados por función</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Indemnización por años de servicios</w:t>
            </w:r>
          </w:p>
        </w:tc>
        <w:tc>
          <w:tcPr>
            <w:tcW w:w="159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Premios por antigüedad</w:t>
            </w:r>
          </w:p>
        </w:tc>
        <w:tc>
          <w:tcPr>
            <w:tcW w:w="1590" w:type="dxa"/>
            <w:gridSpan w:val="2"/>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Beneficios post-jubilatorios</w:t>
            </w:r>
          </w:p>
        </w:tc>
        <w:tc>
          <w:tcPr>
            <w:tcW w:w="148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Línea del estado de resultados</w:t>
            </w:r>
          </w:p>
        </w:tc>
      </w:tr>
      <w:tr>
        <w:tblPrEx>
          <w:tblW w:w="8550" w:type="dxa"/>
          <w:tblInd w:w="1417" w:type="dxa"/>
          <w:tblLayout w:type="fixed"/>
        </w:tblPrEx>
        <w:trPr>
          <w:cantSplit/>
          <w:trHeight w:hRule="auto" w:val="0"/>
        </w:trPr>
        <w:tc>
          <w:tcPr>
            <w:tcW w:w="229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148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vMerge/>
            <w:tcBorders>
              <w:top w:val="nil"/>
              <w:left w:val="single" w:sz="2" w:space="0" w:color="000000"/>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1485" w:type="dxa"/>
            <w:vMerge/>
            <w:tcBorders>
              <w:top w:val="nil"/>
              <w:left w:val="single" w:sz="4" w:space="0" w:color="FFFFFF"/>
              <w:bottom w:val="nil"/>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vMerge/>
            <w:tcBorders>
              <w:top w:val="nil"/>
              <w:left w:val="single" w:sz="2" w:space="0" w:color="000000"/>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1485" w:type="dxa"/>
            <w:vMerge/>
            <w:tcBorders>
              <w:top w:val="nil"/>
              <w:left w:val="single" w:sz="4" w:space="0" w:color="FFFFFF"/>
              <w:bottom w:val="single" w:sz="2" w:space="0" w:color="000000"/>
              <w:right w:val="single" w:sz="2" w:space="0" w:color="000000"/>
            </w:tcBorders>
          </w:tcPr>
          <w:p>
            <w:pPr>
              <w:keepNext/>
              <w:pageBreakBefore w:val="0"/>
            </w:pP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del servicio corriente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2.893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3.089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179</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274</w:t>
            </w: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 de ventas - gastos de administración.</w:t>
            </w: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Costo por intereses plan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2.575</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3.201</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216</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193</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398</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593</w:t>
            </w:r>
          </w:p>
        </w:tc>
        <w:tc>
          <w:tcPr>
            <w:tcW w:w="14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Costos Financieros.</w:t>
            </w:r>
          </w:p>
        </w:tc>
      </w:tr>
      <w:tr>
        <w:tblPrEx>
          <w:tblW w:w="8550" w:type="dxa"/>
          <w:tblInd w:w="1417" w:type="dxa"/>
          <w:tblLayout w:type="fixed"/>
        </w:tblPrEx>
        <w:trPr>
          <w:cantSplit/>
          <w:trHeight w:hRule="auto" w:val="0"/>
        </w:trPr>
        <w:tc>
          <w:tcPr>
            <w:tcW w:w="22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FFFFFF"/>
                <w:sz w:val="12"/>
                <w:u w:val="none"/>
              </w:rPr>
              <w:t>Total</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5.468</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6.290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411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372</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571</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2"/>
                <w:u w:val="none"/>
              </w:rPr>
              <w:t>867</w:t>
            </w:r>
          </w:p>
        </w:tc>
        <w:tc>
          <w:tcPr>
            <w:tcW w:w="1485"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57" w:name="Section84"/>
      <w:bookmarkEnd w:id="157"/>
      <w:bookmarkStart w:id="158" w:name="710548ea4bd84132b5634e420646b83e"/>
      <w:r>
        <w:rPr>
          <w:rFonts w:ascii="Calibri" w:eastAsia="Calibri" w:hAnsi="Calibri" w:cs="Calibri"/>
          <w:b/>
          <w:i w:val="0"/>
          <w:color w:val="000000"/>
          <w:sz w:val="20"/>
          <w:u w:val="none"/>
        </w:rPr>
        <w:t>17.5.-</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Hipótesis actuariales.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5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hipótesis actuariales utilizadas al cierre de estos estados financieros han sido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562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240"/>
        <w:gridCol w:w="2385"/>
      </w:tblGrid>
      <w:tr>
        <w:tblPrEx>
          <w:tblW w:w="5625" w:type="dxa"/>
          <w:tblInd w:w="1440" w:type="dxa"/>
          <w:tblLayout w:type="fixed"/>
        </w:tblPrEx>
        <w:trPr>
          <w:cantSplit/>
          <w:trHeight w:hRule="exact" w:val="195"/>
        </w:trPr>
        <w:tc>
          <w:tcPr>
            <w:tcW w:w="5625" w:type="dxa"/>
            <w:gridSpan w:val="2"/>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r>
      <w:tr>
        <w:tblPrEx>
          <w:tblW w:w="5625" w:type="dxa"/>
          <w:tblInd w:w="1440" w:type="dxa"/>
          <w:tblLayout w:type="fixed"/>
        </w:tblPrEx>
        <w:trPr>
          <w:cantSplit/>
          <w:trHeight w:hRule="auto" w:val="0"/>
        </w:trPr>
        <w:tc>
          <w:tcPr>
            <w:tcW w:w="3240" w:type="dxa"/>
            <w:tcBorders>
              <w:top w:val="nil"/>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Tasa de descuento real utilizada.</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2,11 %</w:t>
            </w:r>
          </w:p>
        </w:tc>
      </w:tr>
      <w:tr>
        <w:tblPrEx>
          <w:tblW w:w="562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Aumento futuros de salarios.</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2,90 %</w:t>
            </w:r>
          </w:p>
        </w:tc>
      </w:tr>
      <w:tr>
        <w:tblPrEx>
          <w:tblW w:w="562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Tabla de mortalidad.</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RV-2020</w:t>
            </w:r>
          </w:p>
        </w:tc>
      </w:tr>
      <w:tr>
        <w:tblPrEx>
          <w:tblW w:w="5625" w:type="dxa"/>
          <w:tblInd w:w="1440" w:type="dxa"/>
          <w:tblLayout w:type="fixed"/>
        </w:tblPrEx>
        <w:trPr>
          <w:cantSplit/>
          <w:trHeight w:hRule="auto" w:val="0"/>
        </w:trPr>
        <w:tc>
          <w:tcPr>
            <w:tcW w:w="32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Tasa de rotación anual.</w:t>
            </w:r>
          </w:p>
        </w:tc>
        <w:tc>
          <w:tcPr>
            <w:tcW w:w="2385"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15"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1,65 %</w:t>
            </w:r>
          </w:p>
        </w:tc>
      </w:tr>
    </w:tbl>
    <w:p>
      <w:pPr>
        <w:keepNext w:val="0"/>
        <w:keepLines/>
        <w:pageBreakBefore w:val="0"/>
        <w:widowControl w:val="0"/>
        <w:numPr>
          <w:ilvl w:val="0"/>
          <w:numId w:val="0"/>
        </w:numPr>
        <w:tabs>
          <w:tab w:val="right" w:pos="7280"/>
          <w:tab w:val="right" w:pos="8540"/>
        </w:tabs>
        <w:spacing w:before="0" w:after="0" w:line="288" w:lineRule="auto"/>
        <w:ind w:left="851" w:right="0" w:firstLine="567"/>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supuestos respecto a la tasa futura de mortalidad se fijan sobre la base de asesoría actuarial de acuerdo con las estadísticas publicadas y con la experiencia en Chile.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cálculo del pasivo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contrató a Mercer (Argentina) S.A., para la determinación de las obligaciones por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la sensibilidad del valor del pasivo actuarial por beneficios definidos ante variaciones de un 1% en la tasa de descuento genera los siguientes efectos: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Sensibilización de la tasa de descuento</w:t>
            </w:r>
          </w:p>
        </w:tc>
        <w:tc>
          <w:tcPr>
            <w:tcW w:w="120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Disminución de 1%</w:t>
            </w:r>
            <w:r>
              <w:br/>
            </w:r>
            <w:r>
              <w:rPr>
                <w:rFonts w:ascii="Calibri" w:eastAsia="Calibri" w:hAnsi="Calibri" w:cs="Calibri"/>
                <w:b/>
                <w:i w:val="0"/>
                <w:color w:val="FFFFFF"/>
                <w:sz w:val="16"/>
                <w:u w:val="none"/>
              </w:rPr>
              <w:t>M$</w:t>
            </w:r>
          </w:p>
        </w:tc>
        <w:tc>
          <w:tcPr>
            <w:tcW w:w="120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Incremento de 1%</w:t>
            </w:r>
            <w:r>
              <w:br/>
            </w:r>
            <w:r>
              <w:rPr>
                <w:rFonts w:ascii="Calibri" w:eastAsia="Calibri" w:hAnsi="Calibri" w:cs="Calibri"/>
                <w:b/>
                <w:i w:val="0"/>
                <w:color w:val="FFFFFF"/>
                <w:sz w:val="16"/>
                <w:u w:val="none"/>
              </w:rPr>
              <w:t>M$</w:t>
            </w:r>
          </w:p>
        </w:tc>
      </w:tr>
      <w:tr>
        <w:tblPrEx>
          <w:tblW w:w="8520" w:type="dxa"/>
          <w:tblInd w:w="1440" w:type="dxa"/>
          <w:tblLayout w:type="fixed"/>
        </w:tblPrEx>
        <w:trPr>
          <w:cantSplit/>
          <w:trHeight w:hRule="auto" w:val="0"/>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Efecto en las obligaciones por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11.096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val="0"/>
                <w:i w:val="0"/>
                <w:color w:val="000000"/>
                <w:sz w:val="16"/>
                <w:u w:val="none"/>
              </w:rPr>
              <w:t>(9.679)</w:t>
            </w:r>
          </w:p>
        </w:tc>
      </w:tr>
    </w:tbl>
    <w:p>
      <w:pPr>
        <w:keepNext w:val="0"/>
        <w:keepLines/>
        <w:pageBreakBefore w:val="0"/>
        <w:widowControl w:val="0"/>
        <w:numPr>
          <w:ilvl w:val="0"/>
          <w:numId w:val="0"/>
        </w:numPr>
        <w:spacing w:before="0" w:after="0" w:line="264"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64" w:lineRule="auto"/>
        <w:ind w:left="141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59" w:name="Section85"/>
      <w:bookmarkEnd w:id="159"/>
      <w:bookmarkStart w:id="160" w:name="512197859ad649a4b5c0eb15e91b2b50"/>
      <w:r>
        <w:rPr>
          <w:rFonts w:ascii="Calibri" w:eastAsia="Calibri" w:hAnsi="Calibri" w:cs="Calibri"/>
          <w:b/>
          <w:i w:val="0"/>
          <w:color w:val="000000"/>
          <w:sz w:val="20"/>
          <w:u w:val="none"/>
        </w:rPr>
        <w:t>17.6.-</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 y plazo de los compromisos.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0"/>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El flujo previsto de prestaciones para los próximos años es como sigue: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exact" w:val="195"/>
        </w:trPr>
        <w:tc>
          <w:tcPr>
            <w:tcW w:w="37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r>
      <w:tr>
        <w:tblPrEx>
          <w:tblW w:w="8550" w:type="dxa"/>
          <w:tblInd w:w="1417" w:type="dxa"/>
          <w:tblLayout w:type="fixed"/>
        </w:tblPrEx>
        <w:trPr>
          <w:cantSplit/>
          <w:trHeight w:hRule="exact" w:val="195"/>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5.937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5.937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48.685</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3.349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52.034</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3.959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14.503</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18.462</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54.461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716</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55.177</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2.448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2.448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10.214</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3.232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13.446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36.182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5.963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42.145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161.886</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13.260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14.503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189.649</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50"/>
        <w:gridCol w:w="1200"/>
        <w:gridCol w:w="1200"/>
        <w:gridCol w:w="1200"/>
        <w:gridCol w:w="1200"/>
      </w:tblGrid>
      <w:tr>
        <w:tblPrEx>
          <w:tblW w:w="8550" w:type="dxa"/>
          <w:tblInd w:w="1417" w:type="dxa"/>
          <w:tblLayout w:type="fixed"/>
        </w:tblPrEx>
        <w:trPr>
          <w:cantSplit/>
          <w:trHeight w:hRule="auto" w:val="0"/>
        </w:trPr>
        <w:tc>
          <w:tcPr>
            <w:tcW w:w="3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ponderado de las obligaciones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Indemnización por años de servicios</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Premios por antigüedad</w:t>
            </w:r>
          </w:p>
        </w:tc>
        <w:tc>
          <w:tcPr>
            <w:tcW w:w="1200" w:type="dxa"/>
            <w:tcBorders>
              <w:top w:val="single" w:sz="2" w:space="0" w:color="000000"/>
              <w:left w:val="single" w:sz="4" w:space="0" w:color="FFFFFF"/>
              <w:bottom w:val="single" w:sz="4" w:space="0" w:color="FFFFFF"/>
              <w:right w:val="nil"/>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Beneficios post-jubilatorios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top"/>
          </w:tcPr>
          <w:p>
            <w:pPr>
              <w:keepNext/>
              <w:pageBreakBefore w:val="0"/>
              <w:spacing w:before="38" w:after="20" w:line="240" w:lineRule="auto"/>
              <w:jc w:val="center"/>
            </w:pPr>
            <w:r>
              <w:rPr>
                <w:rFonts w:ascii="Calibri" w:eastAsia="Calibri" w:hAnsi="Calibri" w:cs="Calibri"/>
                <w:b/>
                <w:i w:val="0"/>
                <w:color w:val="FFFFFF"/>
                <w:sz w:val="16"/>
                <w:u w:val="none"/>
              </w:rPr>
              <w:t>Total</w:t>
            </w:r>
          </w:p>
        </w:tc>
      </w:tr>
      <w:tr>
        <w:tblPrEx>
          <w:tblW w:w="8550" w:type="dxa"/>
          <w:tblInd w:w="1417" w:type="dxa"/>
          <w:tblLayout w:type="fixed"/>
        </w:tblPrEx>
        <w:trPr>
          <w:cantSplit/>
          <w:trHeight w:hRule="exact" w:val="195"/>
        </w:trPr>
        <w:tc>
          <w:tcPr>
            <w:tcW w:w="3750" w:type="dxa"/>
            <w:vMerge/>
            <w:tcBorders>
              <w:top w:val="nil"/>
              <w:left w:val="single" w:sz="2" w:space="0" w:color="000000"/>
              <w:bottom w:val="nil"/>
              <w:right w:val="nil"/>
            </w:tcBorders>
          </w:tcPr>
          <w:p>
            <w:pPr>
              <w:keepNext/>
              <w:pageBreakBefore w:val="0"/>
            </w:pP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exact" w:val="195"/>
        </w:trPr>
        <w:tc>
          <w:tcPr>
            <w:tcW w:w="37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37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195"/>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Años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1 Año.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(22.228)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(22.228)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2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5.458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3.307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8.765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3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45.877</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22.577</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68.455</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4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52.728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708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53.436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5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2.361</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2.361</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6 a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9.768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3.150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12.918</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Más de 10 Años.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33.798</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5.683</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1.065</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40.546</w:t>
            </w:r>
          </w:p>
        </w:tc>
      </w:tr>
      <w:tr>
        <w:tblPrEx>
          <w:tblW w:w="8550" w:type="dxa"/>
          <w:tblInd w:w="1417" w:type="dxa"/>
          <w:tblLayout w:type="fixed"/>
        </w:tblPrEx>
        <w:trPr>
          <w:cantSplit/>
          <w:trHeight w:hRule="auto" w:val="0"/>
        </w:trPr>
        <w:tc>
          <w:tcPr>
            <w:tcW w:w="3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127.762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12.848</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23.643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164.253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61" w:name="Section86"/>
      <w:bookmarkEnd w:id="161"/>
      <w:bookmarkStart w:id="162" w:name="3bf1c2e9bb0d4545b4f77a6a4428e0cf"/>
      <w:r>
        <w:rPr>
          <w:rFonts w:ascii="Calibri" w:eastAsia="Calibri" w:hAnsi="Calibri" w:cs="Calibri"/>
          <w:b/>
          <w:i w:val="0"/>
          <w:color w:val="000000"/>
          <w:sz w:val="20"/>
          <w:u w:val="none"/>
        </w:rPr>
        <w:t>18.-</w:t>
      </w:r>
      <w:r>
        <w:rPr>
          <w:rFonts w:ascii="Calibri" w:eastAsia="Calibri" w:hAnsi="Calibri" w:cs="Calibri"/>
          <w:b/>
          <w:i w:val="0"/>
          <w:color w:val="000000"/>
          <w:sz w:val="20"/>
          <w:u w:val="none"/>
        </w:rPr>
        <w:tab/>
      </w:r>
      <w:r>
        <w:rPr>
          <w:rFonts w:ascii="Calibri" w:eastAsia="Calibri" w:hAnsi="Calibri" w:cs="Calibri"/>
          <w:b/>
          <w:i w:val="0"/>
          <w:color w:val="000000"/>
          <w:sz w:val="20"/>
          <w:u w:val="none"/>
        </w:rPr>
        <w:t>OTROS PASIVOS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2"/>
    </w:p>
    <w:p>
      <w:pPr>
        <w:pStyle w:val="Normal-wk"/>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Otros pasivos no financieros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457.189</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457.189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9"/>
        <w:jc w:val="both"/>
        <w:outlineLvl w:val="1"/>
        <w:rPr>
          <w:rFonts w:ascii="Calibri" w:eastAsia="Calibri" w:hAnsi="Calibri" w:cs="Calibri"/>
          <w:b/>
          <w:i w:val="0"/>
          <w:color w:val="000000"/>
          <w:sz w:val="20"/>
          <w:u w:val="none"/>
        </w:rPr>
      </w:pPr>
      <w:bookmarkStart w:id="163" w:name="Section87"/>
      <w:bookmarkEnd w:id="163"/>
      <w:bookmarkStart w:id="164" w:name="01bf1f684bb540a7968e54fc3558ac55"/>
      <w:r>
        <w:rPr>
          <w:rFonts w:ascii="Calibri" w:eastAsia="Calibri" w:hAnsi="Calibri" w:cs="Calibri"/>
          <w:b/>
          <w:i w:val="0"/>
          <w:color w:val="000000"/>
          <w:sz w:val="20"/>
          <w:u w:val="none"/>
        </w:rPr>
        <w:t>18.1.-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4"/>
    </w:p>
    <w:p>
      <w:pPr>
        <w:pStyle w:val="Normal-wk"/>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Detalle de los ingresos diferidos</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Corrientes</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Ingresos diferidos por obras de terceros.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457.189</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457.189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movimiento de este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Movimiento del período ingresos diferidos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i w:val="0"/>
                <w:color w:val="FFFFFF"/>
                <w:sz w:val="16"/>
                <w:u w:val="none"/>
              </w:rPr>
              <w:t>Saldo inicial ingresos diferidos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457.189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i w:val="0"/>
                <w:color w:val="FFFFFF"/>
                <w:sz w:val="16"/>
                <w:u w:val="none"/>
              </w:rPr>
              <w:t>734.421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Adiciones.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(457.189)</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19.569.295</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6"/>
                <w:u w:val="none"/>
              </w:rPr>
              <w:t>Imputación a resultados.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6"/>
                <w:u w:val="none"/>
              </w:rPr>
              <w:t>(19.846.527)</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 xml:space="preserve">Total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6"/>
                <w:u w:val="none"/>
              </w:rPr>
              <w:t>457.189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65" w:name="Section88"/>
      <w:bookmarkEnd w:id="165"/>
      <w:bookmarkStart w:id="166" w:name="de3e6d9d179e4f2daf4cb4d856b7f12f"/>
      <w:r>
        <w:rPr>
          <w:rFonts w:ascii="Calibri" w:eastAsia="Calibri" w:hAnsi="Calibri" w:cs="Calibri"/>
          <w:b/>
          <w:i w:val="0"/>
          <w:color w:val="000000"/>
          <w:sz w:val="20"/>
          <w:u w:val="none"/>
        </w:rPr>
        <w:t>19.-</w:t>
      </w:r>
      <w:r>
        <w:rPr>
          <w:rFonts w:ascii="Calibri" w:eastAsia="Calibri" w:hAnsi="Calibri" w:cs="Calibri"/>
          <w:b/>
          <w:i w:val="0"/>
          <w:color w:val="000000"/>
          <w:sz w:val="20"/>
          <w:u w:val="none"/>
        </w:rPr>
        <w:tab/>
      </w:r>
      <w:r>
        <w:rPr>
          <w:rFonts w:ascii="Calibri" w:eastAsia="Calibri" w:hAnsi="Calibri" w:cs="Calibri"/>
          <w:b/>
          <w:i w:val="0"/>
          <w:color w:val="000000"/>
          <w:sz w:val="20"/>
          <w:u w:val="none"/>
        </w:rPr>
        <w:t>PASIVOS POR 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6"/>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67" w:name="Section89"/>
      <w:bookmarkEnd w:id="167"/>
      <w:bookmarkStart w:id="168" w:name="145d98656ff64be5be463709170779e4"/>
      <w:r>
        <w:rPr>
          <w:rFonts w:ascii="Calibri" w:eastAsia="Calibri" w:hAnsi="Calibri" w:cs="Calibri"/>
          <w:b/>
          <w:i w:val="0"/>
          <w:color w:val="000000"/>
          <w:sz w:val="20"/>
          <w:u w:val="none"/>
        </w:rPr>
        <w:t>19.1.-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arrendamientos.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68"/>
    </w:p>
    <w:p>
      <w:pPr>
        <w:pStyle w:val="Normal-wk"/>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las obligaciones por arrendamiento y sus plazos de vencimiento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90"/>
        <w:gridCol w:w="1005"/>
        <w:gridCol w:w="1005"/>
        <w:gridCol w:w="1005"/>
        <w:gridCol w:w="1005"/>
        <w:gridCol w:w="1005"/>
        <w:gridCol w:w="1005"/>
      </w:tblGrid>
      <w:tr>
        <w:tblPrEx>
          <w:tblW w:w="8520" w:type="dxa"/>
          <w:tblInd w:w="1440" w:type="dxa"/>
          <w:tblLayout w:type="fixed"/>
        </w:tblPrEx>
        <w:trPr>
          <w:cantSplit/>
          <w:trHeight w:hRule="auto" w:val="0"/>
        </w:trPr>
        <w:tc>
          <w:tcPr>
            <w:tcW w:w="249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Pagos mínimos a pagar por arrendamiento, obligaciones por arrendamientos</w:t>
            </w:r>
          </w:p>
        </w:tc>
        <w:tc>
          <w:tcPr>
            <w:tcW w:w="301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2490" w:type="dxa"/>
            <w:vMerge/>
            <w:tcBorders>
              <w:top w:val="nil"/>
              <w:left w:val="single" w:sz="2" w:space="0" w:color="000000"/>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Interés</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presente</w:t>
            </w:r>
          </w:p>
        </w:tc>
      </w:tr>
      <w:tr>
        <w:tblPrEx>
          <w:tblW w:w="8520" w:type="dxa"/>
          <w:tblInd w:w="1440" w:type="dxa"/>
          <w:tblLayout w:type="fixed"/>
        </w:tblPrEx>
        <w:trPr>
          <w:cantSplit/>
          <w:trHeight w:hRule="auto" w:val="0"/>
        </w:trPr>
        <w:tc>
          <w:tcPr>
            <w:tcW w:w="249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21.448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(2.850)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18.589</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90 días hasta 1 año.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64.349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(5.489)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58.860</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1 año hasta 2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35.749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(944)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34.805</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Más de 2 años hasta 3 años.</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121.546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(9.283)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112.254</w:t>
            </w:r>
          </w:p>
        </w:tc>
      </w:tr>
    </w:tbl>
    <w:p>
      <w:pPr>
        <w:keepNext w:val="0"/>
        <w:keepLines/>
        <w:pageBreakBefore w:val="0"/>
        <w:widowControl w:val="0"/>
        <w:numPr>
          <w:ilvl w:val="0"/>
          <w:numId w:val="0"/>
        </w:numPr>
        <w:spacing w:before="0" w:after="0" w:line="288" w:lineRule="auto"/>
        <w:ind w:left="1413" w:right="0" w:firstLine="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financieros por intereses devengados producto de estas obligaciones se revelan en ítem detallado en nota 23.</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4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Las tasas de interés aplicadas nominal anual para contrato por tipo de bien al </w:t>
      </w:r>
      <w:r>
        <w:rPr>
          <w:rFonts w:ascii="Calibri" w:eastAsia="Calibri" w:hAnsi="Calibri" w:cs="Calibri"/>
          <w:b w:val="0"/>
          <w:i w:val="0"/>
          <w:color w:val="000000"/>
          <w:sz w:val="20"/>
          <w:u w:val="none"/>
        </w:rPr>
        <w:t>30 de junio de 2026 y 2025</w:t>
      </w:r>
      <w:r>
        <w:rPr>
          <w:rFonts w:ascii="Calibri" w:eastAsia="Calibri" w:hAnsi="Calibri" w:cs="Calibri"/>
          <w:b w:val="0"/>
          <w:i w:val="0"/>
          <w:sz w:val="20"/>
        </w:rPr>
        <w:t xml:space="preserve"> son las siguientes: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10"/>
        <w:gridCol w:w="1005"/>
        <w:gridCol w:w="1005"/>
      </w:tblGrid>
      <w:tr>
        <w:tblPrEx>
          <w:tblW w:w="8520" w:type="dxa"/>
          <w:tblInd w:w="1440" w:type="dxa"/>
          <w:tblLayout w:type="fixed"/>
        </w:tblPrEx>
        <w:trPr>
          <w:cantSplit/>
          <w:trHeight w:hRule="auto" w:val="0"/>
        </w:trPr>
        <w:tc>
          <w:tcPr>
            <w:tcW w:w="651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Bienes sujeto a arrendamiento</w:t>
            </w:r>
          </w:p>
        </w:tc>
        <w:tc>
          <w:tcPr>
            <w:tcW w:w="201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Tasas de interés</w:t>
            </w:r>
          </w:p>
        </w:tc>
      </w:tr>
      <w:tr>
        <w:tblPrEx>
          <w:tblW w:w="8520" w:type="dxa"/>
          <w:tblInd w:w="1440" w:type="dxa"/>
          <w:tblLayout w:type="fixed"/>
        </w:tblPrEx>
        <w:trPr>
          <w:cantSplit/>
          <w:trHeight w:hRule="exact" w:val="255"/>
        </w:trPr>
        <w:tc>
          <w:tcPr>
            <w:tcW w:w="651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05"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8520" w:type="dxa"/>
          <w:tblInd w:w="1440" w:type="dxa"/>
          <w:tblLayout w:type="fixed"/>
        </w:tblPrEx>
        <w:trPr>
          <w:cantSplit/>
          <w:trHeight w:hRule="auto" w:val="0"/>
        </w:trPr>
        <w:tc>
          <w:tcPr>
            <w:tcW w:w="651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left"/>
            </w:pPr>
            <w:r>
              <w:rPr>
                <w:rFonts w:ascii="Calibri" w:eastAsia="Calibri" w:hAnsi="Calibri" w:cs="Calibri"/>
                <w:b w:val="0"/>
                <w:i w:val="0"/>
                <w:color w:val="000000"/>
                <w:sz w:val="16"/>
                <w:u w:val="none"/>
              </w:rPr>
              <w:t>Vehículos de motor, bajo arrendamiento.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bottom"/>
          </w:tcPr>
          <w:p>
            <w:pPr>
              <w:pageBreakBefore w:val="0"/>
              <w:tabs>
                <w:tab w:val="left" w:pos="1"/>
              </w:tabs>
              <w:spacing w:before="38" w:after="20" w:line="240" w:lineRule="auto"/>
              <w:jc w:val="right"/>
            </w:pPr>
            <w:r>
              <w:rPr>
                <w:rFonts w:ascii="Calibri" w:eastAsia="Calibri" w:hAnsi="Calibri" w:cs="Calibri"/>
                <w:b w:val="0"/>
                <w:i w:val="0"/>
                <w:color w:val="000000"/>
                <w:sz w:val="16"/>
                <w:u w:val="none"/>
              </w:rPr>
              <w:tab/>
              <w:t>7,71 %</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69" w:name="Section90"/>
      <w:bookmarkEnd w:id="169"/>
      <w:bookmarkStart w:id="170" w:name="6146baedb6e04c6cacacda212b25024e"/>
      <w:r>
        <w:rPr>
          <w:rFonts w:ascii="Calibri" w:eastAsia="Calibri" w:hAnsi="Calibri" w:cs="Calibri"/>
          <w:b/>
          <w:i w:val="0"/>
          <w:color w:val="000000"/>
          <w:sz w:val="20"/>
          <w:u w:val="none"/>
        </w:rPr>
        <w:t>19.2.-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Activos por derecho de uso.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bookmarkEnd w:id="170"/>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detalle de los bienes arrendados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490"/>
        <w:gridCol w:w="1005"/>
        <w:gridCol w:w="1005"/>
        <w:gridCol w:w="1005"/>
        <w:gridCol w:w="1005"/>
        <w:gridCol w:w="1005"/>
        <w:gridCol w:w="1005"/>
      </w:tblGrid>
      <w:tr>
        <w:tblPrEx>
          <w:tblW w:w="8520" w:type="dxa"/>
          <w:tblInd w:w="1440" w:type="dxa"/>
          <w:tblLayout w:type="fixed"/>
        </w:tblPrEx>
        <w:trPr>
          <w:cantSplit/>
          <w:trHeight w:hRule="auto" w:val="0"/>
        </w:trPr>
        <w:tc>
          <w:tcPr>
            <w:tcW w:w="249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3015" w:type="dxa"/>
            <w:gridSpan w:val="3"/>
            <w:tcBorders>
              <w:top w:val="single" w:sz="2" w:space="0" w:color="000000"/>
              <w:left w:val="single" w:sz="2" w:space="0" w:color="000000"/>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30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8520" w:type="dxa"/>
          <w:tblInd w:w="1440" w:type="dxa"/>
          <w:tblLayout w:type="fixed"/>
        </w:tblPrEx>
        <w:trPr>
          <w:cantSplit/>
          <w:trHeight w:hRule="auto" w:val="0"/>
        </w:trPr>
        <w:tc>
          <w:tcPr>
            <w:tcW w:w="2490" w:type="dxa"/>
            <w:vMerge w:val="restart"/>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Propiedades, planta y equipo en arrendamiento, neto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bruto</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Depreciación acumulada, amortización y deterioro de valor </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Valor Neto</w:t>
            </w:r>
          </w:p>
        </w:tc>
      </w:tr>
      <w:tr>
        <w:tblPrEx>
          <w:tblW w:w="8520" w:type="dxa"/>
          <w:tblInd w:w="1440" w:type="dxa"/>
          <w:tblLayout w:type="fixed"/>
        </w:tblPrEx>
        <w:trPr>
          <w:cantSplit/>
          <w:trHeight w:hRule="auto" w:val="0"/>
        </w:trPr>
        <w:tc>
          <w:tcPr>
            <w:tcW w:w="249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4"/>
                <w:u w:val="none"/>
              </w:rPr>
              <w:t>Vehículos de motor, bajo arrendamiento.</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251.968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(166.192)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85.776</w:t>
            </w:r>
          </w:p>
        </w:tc>
      </w:tr>
      <w:tr>
        <w:tblPrEx>
          <w:tblW w:w="8520" w:type="dxa"/>
          <w:tblInd w:w="1440" w:type="dxa"/>
          <w:tblLayout w:type="fixed"/>
        </w:tblPrEx>
        <w:trPr>
          <w:cantSplit/>
          <w:trHeight w:hRule="auto" w:val="0"/>
        </w:trPr>
        <w:tc>
          <w:tcPr>
            <w:tcW w:w="249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0</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251.968</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(166.192)</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85.776</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se deprecian en el plazo remanente de los contratos. La depreciación acumulada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alcanzó a (M$ </w:t>
      </w:r>
      <w:r>
        <w:rPr>
          <w:rFonts w:ascii="Calibri" w:eastAsia="Calibri" w:hAnsi="Calibri" w:cs="Calibri"/>
          <w:b w:val="0"/>
          <w:i w:val="0"/>
          <w:color w:val="000000"/>
          <w:sz w:val="20"/>
          <w:u w:val="none"/>
        </w:rPr>
        <w:t>0</w:t>
      </w:r>
      <w:r>
        <w:rPr>
          <w:rFonts w:ascii="Calibri" w:eastAsia="Calibri" w:hAnsi="Calibri" w:cs="Calibri"/>
          <w:b w:val="0"/>
          <w:i w:val="0"/>
          <w:sz w:val="20"/>
        </w:rPr>
        <w:t>) y (</w:t>
      </w:r>
      <w:r>
        <w:rPr>
          <w:rFonts w:ascii="Calibri" w:eastAsia="Calibri" w:hAnsi="Calibri" w:cs="Calibri"/>
          <w:b w:val="0"/>
          <w:i w:val="0"/>
          <w:color w:val="000000"/>
          <w:sz w:val="20"/>
          <w:u w:val="none"/>
        </w:rPr>
        <w:t xml:space="preserve">M$ </w:t>
      </w:r>
      <w:r>
        <w:rPr>
          <w:rFonts w:ascii="Calibri" w:eastAsia="Calibri" w:hAnsi="Calibri" w:cs="Calibri"/>
          <w:b w:val="0"/>
          <w:i w:val="0"/>
          <w:color w:val="000000"/>
          <w:sz w:val="20"/>
          <w:u w:val="none"/>
        </w:rPr>
        <w:t>166.192</w:t>
      </w:r>
      <w:r>
        <w:rPr>
          <w:rFonts w:ascii="Calibri" w:eastAsia="Calibri" w:hAnsi="Calibri" w:cs="Calibri"/>
          <w:b w:val="0"/>
          <w:i w:val="0"/>
          <w:sz w:val="20"/>
        </w:rPr>
        <w:t>)</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principales bienes arrendados corresponden a flota de vehículos ubicados en: Antofagasta, Copiapó, Iquique, Coquimbo, San Bernardo, Rancagua, Concepción, Maule Norte, Temuco.  Vehículos cuya flota asciende a 15 unidades utilizadas en la operación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w:t>
      </w:r>
      <w:r>
        <w:rPr>
          <w:rFonts w:ascii="Calibri" w:eastAsia="Calibri" w:hAnsi="Calibri" w:cs="Calibri"/>
          <w:b w:val="0"/>
          <w:i w:val="0"/>
          <w:color w:val="000000"/>
          <w:sz w:val="20"/>
          <w:highlight w:val="white"/>
          <w:u w:val="none"/>
        </w:rPr>
        <w:t xml:space="preserve"> continuación, se presentan </w:t>
      </w:r>
      <w:r>
        <w:rPr>
          <w:rFonts w:ascii="Calibri" w:eastAsia="Calibri" w:hAnsi="Calibri" w:cs="Calibri"/>
          <w:b w:val="0"/>
          <w:i w:val="0"/>
          <w:color w:val="000000"/>
          <w:sz w:val="20"/>
          <w:u w:val="none"/>
        </w:rPr>
        <w:t>los</w:t>
      </w:r>
      <w:r>
        <w:rPr>
          <w:rFonts w:ascii="Calibri" w:eastAsia="Calibri" w:hAnsi="Calibri" w:cs="Calibri"/>
          <w:b w:val="0"/>
          <w:i w:val="0"/>
          <w:color w:val="000000"/>
          <w:sz w:val="20"/>
          <w:highlight w:val="white"/>
          <w:u w:val="none"/>
        </w:rPr>
        <w:t xml:space="preserve"> movimientos por clase de activos originados 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año 2026</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Vehículos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85.776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85.776</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(16.083)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(16.083)</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30 de junio de 2026</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69.693</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69.693</w:t>
            </w:r>
          </w:p>
        </w:tc>
      </w:tr>
    </w:tbl>
    <w:p>
      <w:pPr>
        <w:keepNext w:val="0"/>
        <w:keepLines/>
        <w:pageBreakBefore w:val="0"/>
        <w:widowControl w:val="0"/>
        <w:numPr>
          <w:ilvl w:val="0"/>
          <w:numId w:val="0"/>
        </w:numPr>
        <w:spacing w:before="0" w:after="0" w:line="288" w:lineRule="auto"/>
        <w:ind w:left="0" w:right="0" w:firstLine="720"/>
        <w:jc w:val="both"/>
        <w:outlineLvl w:val="9"/>
        <w:rPr>
          <w:rFonts w:ascii="Calibri" w:eastAsia="Calibri" w:hAnsi="Calibri" w:cs="Calibri"/>
          <w:b w:val="0"/>
          <w:i w:val="0"/>
          <w:sz w:val="20"/>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40"/>
        <w:gridCol w:w="1005"/>
        <w:gridCol w:w="1005"/>
      </w:tblGrid>
      <w:tr>
        <w:tblPrEx>
          <w:tblW w:w="8550" w:type="dxa"/>
          <w:tblInd w:w="1417" w:type="dxa"/>
          <w:tblLayout w:type="fixed"/>
        </w:tblPrEx>
        <w:trPr>
          <w:cantSplit/>
          <w:trHeight w:hRule="auto" w:val="0"/>
        </w:trPr>
        <w:tc>
          <w:tcPr>
            <w:tcW w:w="65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Movimiento año 2025</w:t>
            </w:r>
          </w:p>
        </w:tc>
        <w:tc>
          <w:tcPr>
            <w:tcW w:w="1005"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Vehículos</w:t>
            </w:r>
          </w:p>
        </w:tc>
        <w:tc>
          <w:tcPr>
            <w:tcW w:w="1005"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Total</w:t>
            </w:r>
          </w:p>
        </w:tc>
      </w:tr>
      <w:tr>
        <w:tblPrEx>
          <w:tblW w:w="8550" w:type="dxa"/>
          <w:tblInd w:w="1417" w:type="dxa"/>
          <w:tblLayout w:type="fixed"/>
        </w:tblPrEx>
        <w:trPr>
          <w:cantSplit/>
          <w:trHeight w:hRule="auto" w:val="0"/>
        </w:trPr>
        <w:tc>
          <w:tcPr>
            <w:tcW w:w="6540" w:type="dxa"/>
            <w:vMerge/>
            <w:tcBorders>
              <w:top w:val="nil"/>
              <w:left w:val="single" w:sz="2" w:space="0" w:color="000000"/>
              <w:bottom w:val="single" w:sz="2" w:space="0" w:color="000000"/>
              <w:right w:val="nil"/>
            </w:tcBorders>
          </w:tcPr>
          <w:p>
            <w:pPr>
              <w:keepNext/>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exact" w:val="60"/>
        </w:trPr>
        <w:tc>
          <w:tcPr>
            <w:tcW w:w="65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Saldo inicial al 1 de enero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150.108</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150.108</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Depreciación.</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(64.332)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(64.332)</w:t>
            </w:r>
          </w:p>
        </w:tc>
      </w:tr>
      <w:tr>
        <w:tblPrEx>
          <w:tblW w:w="8550" w:type="dxa"/>
          <w:tblInd w:w="1417" w:type="dxa"/>
          <w:tblLayout w:type="fixed"/>
        </w:tblPrEx>
        <w:trPr>
          <w:cantSplit/>
          <w:trHeight w:hRule="auto" w:val="0"/>
        </w:trPr>
        <w:tc>
          <w:tcPr>
            <w:tcW w:w="65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Saldo final al 31 de diciembre de 2025</w:t>
            </w:r>
          </w:p>
        </w:tc>
        <w:tc>
          <w:tcPr>
            <w:tcW w:w="100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85.776</w:t>
            </w:r>
          </w:p>
        </w:tc>
        <w:tc>
          <w:tcPr>
            <w:tcW w:w="100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bottom"/>
          </w:tcPr>
          <w:p>
            <w:pPr>
              <w:pageBreakBefore w:val="0"/>
              <w:spacing w:before="38" w:after="20" w:line="240" w:lineRule="auto"/>
              <w:jc w:val="right"/>
            </w:pPr>
            <w:r>
              <w:rPr>
                <w:rFonts w:ascii="Calibri" w:eastAsia="Calibri" w:hAnsi="Calibri" w:cs="Calibri"/>
                <w:b/>
                <w:i w:val="0"/>
                <w:color w:val="FFFFFF"/>
                <w:sz w:val="14"/>
                <w:u w:val="none"/>
              </w:rPr>
              <w:t>85.776</w:t>
            </w:r>
          </w:p>
        </w:tc>
      </w:tr>
    </w:tbl>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71" w:name="Section91"/>
      <w:bookmarkEnd w:id="171"/>
      <w:bookmarkStart w:id="172" w:name="e30dea68a35d4d3b8a10efd73b2aab8a"/>
      <w:r>
        <w:rPr>
          <w:rFonts w:ascii="Calibri" w:eastAsia="Calibri" w:hAnsi="Calibri" w:cs="Calibri"/>
          <w:b/>
          <w:i w:val="0"/>
          <w:color w:val="000000"/>
          <w:sz w:val="20"/>
          <w:u w:val="none"/>
        </w:rPr>
        <w:t>20.-</w:t>
      </w:r>
      <w:r>
        <w:rPr>
          <w:rFonts w:ascii="Calibri" w:eastAsia="Calibri" w:hAnsi="Calibri" w:cs="Calibri"/>
          <w:b/>
          <w:i w:val="0"/>
          <w:color w:val="000000"/>
          <w:sz w:val="20"/>
          <w:u w:val="none"/>
        </w:rPr>
        <w:tab/>
      </w:r>
      <w:r>
        <w:rPr>
          <w:rFonts w:ascii="Calibri" w:eastAsia="Calibri" w:hAnsi="Calibri" w:cs="Calibri"/>
          <w:b/>
          <w:i w:val="0"/>
          <w:color w:val="000000"/>
          <w:sz w:val="20"/>
          <w:u w:val="none"/>
        </w:rPr>
        <w:t>PATRIMONIO NETO.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2"/>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73" w:name="Section92"/>
      <w:bookmarkEnd w:id="173"/>
      <w:bookmarkStart w:id="174" w:name="93e09509399b450b98502a6694be39a2"/>
      <w:r>
        <w:rPr>
          <w:rFonts w:ascii="Calibri" w:eastAsia="Calibri" w:hAnsi="Calibri" w:cs="Calibri"/>
          <w:b/>
          <w:i w:val="0"/>
          <w:color w:val="000000"/>
          <w:sz w:val="20"/>
          <w:u w:val="none"/>
        </w:rPr>
        <w:t>20.1.-</w:t>
      </w:r>
      <w:r>
        <w:rPr>
          <w:rFonts w:ascii="Calibri" w:eastAsia="Calibri" w:hAnsi="Calibri" w:cs="Calibri"/>
          <w:b/>
          <w:i w:val="0"/>
          <w:color w:val="000000"/>
          <w:sz w:val="20"/>
          <w:u w:val="none"/>
        </w:rPr>
        <w:tab/>
      </w:r>
      <w:r>
        <w:rPr>
          <w:rFonts w:ascii="Calibri" w:eastAsia="Calibri" w:hAnsi="Calibri" w:cs="Calibri"/>
          <w:b/>
          <w:i w:val="0"/>
          <w:color w:val="000000"/>
          <w:sz w:val="20"/>
          <w:u w:val="none"/>
        </w:rPr>
        <w:t>Gestión de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4"/>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objetivos de CGE Comercializadora SpA. al administrar el capital son el salvaguardar la capacidad de continuar como empresa en marcha con el propósito de generar retornos a sus accionistas, beneficios a otros grupos de interés y mantener una estructura de capital óptima para reducir el costo del capital.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75" w:name="Section93"/>
      <w:bookmarkEnd w:id="175"/>
      <w:bookmarkStart w:id="176" w:name="cfafbe394947421d8446579edd5d61b5"/>
      <w:r>
        <w:rPr>
          <w:rFonts w:ascii="Calibri" w:eastAsia="Calibri" w:hAnsi="Calibri" w:cs="Calibri"/>
          <w:b/>
          <w:i w:val="0"/>
          <w:color w:val="000000"/>
          <w:sz w:val="20"/>
          <w:u w:val="none"/>
        </w:rPr>
        <w:t>20.2.-</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suscrito y pagado.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6"/>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capital suscrito y pagado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asciende a M$</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77" w:name="Section94"/>
      <w:bookmarkEnd w:id="177"/>
      <w:bookmarkStart w:id="178" w:name="9795de826fd64448bee32ffa36d93018"/>
      <w:r>
        <w:rPr>
          <w:rFonts w:ascii="Calibri" w:eastAsia="Calibri" w:hAnsi="Calibri" w:cs="Calibri"/>
          <w:b/>
          <w:i w:val="0"/>
          <w:color w:val="000000"/>
          <w:sz w:val="20"/>
          <w:u w:val="none"/>
        </w:rPr>
        <w:t>20.3.-</w:t>
      </w:r>
      <w:r>
        <w:rPr>
          <w:rFonts w:ascii="Calibri" w:eastAsia="Calibri" w:hAnsi="Calibri" w:cs="Calibri"/>
          <w:b/>
          <w:i w:val="0"/>
          <w:color w:val="000000"/>
          <w:sz w:val="20"/>
          <w:u w:val="none"/>
        </w:rPr>
        <w:tab/>
      </w:r>
      <w:r>
        <w:rPr>
          <w:rFonts w:ascii="Calibri" w:eastAsia="Calibri" w:hAnsi="Calibri" w:cs="Calibri"/>
          <w:b/>
          <w:i w:val="0"/>
          <w:color w:val="000000"/>
          <w:sz w:val="20"/>
          <w:u w:val="none"/>
        </w:rPr>
        <w:t>Número de acciones suscritas y pagadas.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7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el capital de la Sociedad está representado por </w:t>
      </w:r>
      <w:r>
        <w:rPr>
          <w:rFonts w:ascii="Calibri" w:eastAsia="Calibri" w:hAnsi="Calibri" w:cs="Calibri"/>
          <w:b w:val="0"/>
          <w:i w:val="0"/>
          <w:color w:val="000000"/>
          <w:sz w:val="20"/>
          <w:u w:val="none"/>
        </w:rPr>
        <w:t>1.500.000</w:t>
      </w:r>
      <w:r>
        <w:rPr>
          <w:rFonts w:ascii="Calibri" w:eastAsia="Calibri" w:hAnsi="Calibri" w:cs="Calibri"/>
          <w:b w:val="0"/>
          <w:i w:val="0"/>
          <w:color w:val="000000"/>
          <w:sz w:val="20"/>
          <w:u w:val="none"/>
        </w:rPr>
        <w:t xml:space="preserve"> acciones sin valor nominal, de un voto por acción.</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79" w:name="Section95"/>
      <w:bookmarkEnd w:id="179"/>
      <w:bookmarkStart w:id="180" w:name="93ffaa06b0894c8fa061132af7058d21"/>
      <w:r>
        <w:rPr>
          <w:rFonts w:ascii="Calibri" w:eastAsia="Calibri" w:hAnsi="Calibri" w:cs="Calibri"/>
          <w:b/>
          <w:i w:val="0"/>
          <w:color w:val="000000"/>
          <w:sz w:val="20"/>
          <w:u w:val="none"/>
        </w:rPr>
        <w:t>20.4.-</w:t>
      </w:r>
      <w:r>
        <w:rPr>
          <w:rFonts w:ascii="Calibri" w:eastAsia="Calibri" w:hAnsi="Calibri" w:cs="Calibri"/>
          <w:b/>
          <w:i w:val="0"/>
          <w:color w:val="000000"/>
          <w:sz w:val="20"/>
          <w:u w:val="none"/>
        </w:rPr>
        <w:tab/>
      </w:r>
      <w:r>
        <w:rPr>
          <w:rFonts w:ascii="Calibri" w:eastAsia="Calibri" w:hAnsi="Calibri" w:cs="Calibri"/>
          <w:b/>
          <w:i w:val="0"/>
          <w:color w:val="000000"/>
          <w:sz w:val="20"/>
          <w:u w:val="none"/>
        </w:rPr>
        <w:t>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repartió un dividendo en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por un monto de </w:t>
      </w:r>
      <w:r>
        <w:rPr>
          <w:rFonts w:ascii="Calibri" w:eastAsia="Calibri" w:hAnsi="Calibri" w:cs="Calibri"/>
          <w:b w:val="0"/>
          <w:i w:val="0"/>
          <w:color w:val="000000"/>
          <w:sz w:val="20"/>
          <w:u w:val="none"/>
        </w:rPr>
        <w:t>M$ 4</w:t>
      </w:r>
      <w:r>
        <w:rPr>
          <w:rFonts w:ascii="Calibri" w:eastAsia="Calibri" w:hAnsi="Calibri" w:cs="Calibri"/>
          <w:b w:val="0"/>
          <w:i w:val="0"/>
          <w:color w:val="000000"/>
          <w:sz w:val="20"/>
          <w:highlight w:val="white"/>
          <w:u w:val="none"/>
        </w:rPr>
        <w:t>.194.000.</w:t>
      </w:r>
      <w:r>
        <w:rPr>
          <w:rFonts w:ascii="Calibri" w:eastAsia="Calibri" w:hAnsi="Calibri" w:cs="Calibri"/>
          <w:b w:val="0"/>
          <w:i w:val="0"/>
          <w:color w:val="000000"/>
          <w:sz w:val="20"/>
          <w:highlight w:val="white"/>
          <w:u w:val="none"/>
        </w:rPr>
        <w:t xml:space="preserve"> Este dividendo definitivo fue aprobado por la administración de CGE Comercializadora SpA. el cual se pago el día</w:t>
      </w:r>
      <w:r>
        <w:rPr>
          <w:rFonts w:ascii="Calibri" w:eastAsia="Calibri" w:hAnsi="Calibri" w:cs="Calibri"/>
          <w:b w:val="0"/>
          <w:i w:val="0"/>
          <w:color w:val="000000"/>
          <w:sz w:val="20"/>
          <w:highlight w:val="white"/>
          <w:u w:val="none"/>
        </w:rPr>
        <w:t xml:space="preserve"> 14 de mayo de 2025, </w:t>
      </w:r>
      <w:r>
        <w:rPr>
          <w:rFonts w:ascii="Calibri" w:eastAsia="Calibri" w:hAnsi="Calibri" w:cs="Calibri"/>
          <w:b w:val="0"/>
          <w:i w:val="0"/>
          <w:color w:val="000000"/>
          <w:sz w:val="20"/>
          <w:highlight w:val="white"/>
          <w:u w:val="none"/>
        </w:rPr>
        <w:t xml:space="preserve">de </w:t>
      </w:r>
      <w:r>
        <w:rPr>
          <w:rFonts w:ascii="Calibri" w:eastAsia="Calibri" w:hAnsi="Calibri" w:cs="Calibri"/>
          <w:b w:val="0"/>
          <w:i w:val="0"/>
          <w:color w:val="000000"/>
          <w:sz w:val="20"/>
          <w:highlight w:val="white"/>
          <w:u w:val="none"/>
        </w:rPr>
        <w:t>$2.796 p</w:t>
      </w:r>
      <w:r>
        <w:rPr>
          <w:rFonts w:ascii="Calibri" w:eastAsia="Calibri" w:hAnsi="Calibri" w:cs="Calibri"/>
          <w:b w:val="0"/>
          <w:i w:val="0"/>
          <w:color w:val="000000"/>
          <w:sz w:val="20"/>
          <w:u w:val="none"/>
        </w:rPr>
        <w:t>or acción. E</w:t>
      </w:r>
      <w:r>
        <w:rPr>
          <w:rFonts w:ascii="Calibri" w:eastAsia="Calibri" w:hAnsi="Calibri" w:cs="Calibri"/>
          <w:b w:val="0"/>
          <w:i w:val="0"/>
          <w:sz w:val="20"/>
        </w:rPr>
        <w:t>sta definición contó también con la aprobación del accionista CGE Transmisión S.A.</w:t>
      </w:r>
      <w:r>
        <w:rPr>
          <w:rFonts w:ascii="Calibri" w:eastAsia="Calibri" w:hAnsi="Calibri" w:cs="Calibri"/>
          <w:b w:val="0"/>
          <w:i w:val="0"/>
          <w:color w:val="000000"/>
          <w:sz w:val="20"/>
          <w:u w:val="none"/>
        </w:rPr>
        <w:t xml:space="preserv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red"/>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repartió un </w:t>
      </w:r>
      <w:r>
        <w:rPr>
          <w:rFonts w:ascii="Calibri" w:eastAsia="Calibri" w:hAnsi="Calibri" w:cs="Calibri"/>
          <w:b w:val="0"/>
          <w:i w:val="0"/>
          <w:sz w:val="20"/>
        </w:rPr>
        <w:t>dividendo</w:t>
      </w:r>
      <w:r>
        <w:rPr>
          <w:rFonts w:ascii="Calibri" w:eastAsia="Calibri" w:hAnsi="Calibri" w:cs="Calibri"/>
          <w:b w:val="0"/>
          <w:i w:val="0"/>
          <w:color w:val="000000"/>
          <w:sz w:val="20"/>
          <w:u w:val="none"/>
        </w:rPr>
        <w:t xml:space="preserve"> en el ejercicio terminado al 31 de diciembre de 2024 por un monto de M$ 1.756.</w:t>
      </w:r>
      <w:r>
        <w:rPr>
          <w:rFonts w:ascii="Calibri" w:eastAsia="Calibri" w:hAnsi="Calibri" w:cs="Calibri"/>
          <w:b w:val="0"/>
          <w:i w:val="0"/>
          <w:sz w:val="20"/>
        </w:rPr>
        <w:t>500</w:t>
      </w:r>
      <w:r>
        <w:rPr>
          <w:rFonts w:ascii="Calibri" w:eastAsia="Calibri" w:hAnsi="Calibri" w:cs="Calibri"/>
          <w:b w:val="0"/>
          <w:i w:val="0"/>
          <w:color w:val="000000"/>
          <w:sz w:val="20"/>
          <w:u w:val="none"/>
        </w:rPr>
        <w:t>. Este dividendo definitivo fue aprobado por la administración de CGE Comercializadora SpA. para el pago el día 14 de mayo de 2024, de $1.171 por acción. Esta definición contó también con la aprobación del accionista CGE Transmisión S.A.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0"/>
        <w:jc w:val="both"/>
        <w:outlineLvl w:val="9"/>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709" w:right="0" w:firstLine="0"/>
        <w:jc w:val="both"/>
        <w:outlineLvl w:val="1"/>
        <w:rPr>
          <w:rFonts w:ascii="Calibri" w:eastAsia="Calibri" w:hAnsi="Calibri" w:cs="Calibri"/>
          <w:b/>
          <w:i w:val="0"/>
          <w:color w:val="000000"/>
          <w:sz w:val="20"/>
          <w:u w:val="none"/>
        </w:rPr>
      </w:pPr>
      <w:bookmarkStart w:id="181" w:name="Section96"/>
      <w:bookmarkEnd w:id="181"/>
      <w:bookmarkStart w:id="182" w:name="098987956b8d4be49da40ace217f0144"/>
      <w:r>
        <w:rPr>
          <w:rFonts w:ascii="Calibri" w:eastAsia="Calibri" w:hAnsi="Calibri" w:cs="Calibri"/>
          <w:b/>
          <w:i w:val="0"/>
          <w:color w:val="000000"/>
          <w:sz w:val="20"/>
          <w:u w:val="none"/>
        </w:rPr>
        <w:t>20.5.-</w:t>
      </w:r>
      <w:r>
        <w:rPr>
          <w:rFonts w:ascii="Calibri" w:eastAsia="Calibri" w:hAnsi="Calibri" w:cs="Calibri"/>
          <w:b/>
          <w:i w:val="0"/>
          <w:color w:val="000000"/>
          <w:sz w:val="20"/>
          <w:u w:val="none"/>
        </w:rPr>
        <w:tab/>
      </w:r>
      <w:r>
        <w:rPr>
          <w:rFonts w:ascii="Calibri" w:eastAsia="Calibri" w:hAnsi="Calibri" w:cs="Calibri"/>
          <w:b/>
          <w:i w:val="0"/>
          <w:color w:val="000000"/>
          <w:sz w:val="20"/>
          <w:u w:val="none"/>
        </w:rPr>
        <w:t>Reservas.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ítem de otras reservas dentro del patrimonio, se incluyen los siguientes conceptos: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Reservas de ganancias y pérdidas por planes de beneficios definidos.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Corresponde a las variaciones de los valores actuariales de la provisión por beneficios definidos de empleados.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saldos acumulados por la aplicación de la NIC 19 se han reconocido en otros resultados integrales, producto de lo anterior el saldo de estas reservas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ascienden a M$ </w:t>
      </w:r>
      <w:r>
        <w:rPr>
          <w:rFonts w:ascii="Calibri" w:eastAsia="Calibri" w:hAnsi="Calibri" w:cs="Calibri"/>
          <w:b w:val="0"/>
          <w:i w:val="0"/>
          <w:color w:val="000000"/>
          <w:sz w:val="20"/>
          <w:u w:val="none"/>
        </w:rPr>
        <w:t>10.047</w:t>
      </w:r>
      <w:r>
        <w:rPr>
          <w:rFonts w:ascii="Calibri" w:eastAsia="Calibri" w:hAnsi="Calibri" w:cs="Calibri"/>
          <w:b w:val="0"/>
          <w:i w:val="0"/>
          <w:sz w:val="20"/>
        </w:rPr>
        <w:t xml:space="preserve"> y </w:t>
      </w:r>
      <w:r>
        <w:rPr>
          <w:rFonts w:ascii="Calibri" w:eastAsia="Calibri" w:hAnsi="Calibri" w:cs="Calibri"/>
          <w:b w:val="0"/>
          <w:i w:val="0"/>
          <w:color w:val="000000"/>
          <w:sz w:val="20"/>
          <w:u w:val="none"/>
        </w:rPr>
        <w:t xml:space="preserve">M$ </w:t>
      </w:r>
      <w:r>
        <w:rPr>
          <w:rFonts w:ascii="Calibri" w:eastAsia="Calibri" w:hAnsi="Calibri" w:cs="Calibri"/>
          <w:b w:val="0"/>
          <w:i w:val="0"/>
          <w:color w:val="000000"/>
          <w:sz w:val="20"/>
          <w:u w:val="none"/>
        </w:rPr>
        <w:t>10.047</w:t>
      </w:r>
      <w:r>
        <w:rPr>
          <w:rFonts w:ascii="Calibri" w:eastAsia="Calibri" w:hAnsi="Calibri" w:cs="Calibri"/>
          <w:b w:val="0"/>
          <w:i w:val="0"/>
          <w:color w:val="000000"/>
          <w:sz w:val="20"/>
          <w:u w:val="none"/>
        </w:rPr>
        <w:t xml:space="preserve">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ambos netos de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83" w:name="Section97"/>
      <w:bookmarkEnd w:id="183"/>
      <w:bookmarkStart w:id="184" w:name="9fa4702fcf554532b15126ed267e52bb"/>
      <w:r>
        <w:rPr>
          <w:rFonts w:ascii="Calibri" w:eastAsia="Calibri" w:hAnsi="Calibri" w:cs="Calibri"/>
          <w:b/>
          <w:i w:val="0"/>
          <w:color w:val="000000"/>
          <w:sz w:val="20"/>
          <w:u w:val="none"/>
        </w:rPr>
        <w:t>20.6.-</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Reconciliación del movimiento en reservas de los otros resultados integrales.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4"/>
    </w:p>
    <w:p>
      <w:pPr>
        <w:pStyle w:val="Normal-wk"/>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Movimientos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35"/>
        <w:gridCol w:w="795"/>
        <w:gridCol w:w="795"/>
        <w:gridCol w:w="795"/>
      </w:tblGrid>
      <w:tr>
        <w:tblPrEx>
          <w:tblW w:w="8520" w:type="dxa"/>
          <w:tblInd w:w="1440" w:type="dxa"/>
          <w:tblLayout w:type="fixed"/>
        </w:tblPrEx>
        <w:trPr>
          <w:cantSplit/>
          <w:trHeight w:hRule="auto" w:val="0"/>
          <w:tblHeader/>
        </w:trPr>
        <w:tc>
          <w:tcPr>
            <w:tcW w:w="613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3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20" w:type="dxa"/>
          <w:tblInd w:w="1440" w:type="dxa"/>
          <w:tblLayout w:type="fixed"/>
        </w:tblPrEx>
        <w:trPr>
          <w:cantSplit/>
          <w:trHeight w:hRule="auto" w:val="0"/>
          <w:tblHeader/>
        </w:trPr>
        <w:tc>
          <w:tcPr>
            <w:tcW w:w="613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20" w:type="dxa"/>
          <w:tblInd w:w="1440" w:type="dxa"/>
          <w:tblLayout w:type="fixed"/>
        </w:tblPrEx>
        <w:trPr>
          <w:cantSplit/>
          <w:trHeight w:hRule="auto" w:val="0"/>
          <w:tblHeader/>
        </w:trPr>
        <w:tc>
          <w:tcPr>
            <w:tcW w:w="61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blHeader/>
        </w:trPr>
        <w:tc>
          <w:tcPr>
            <w:tcW w:w="6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blHeader/>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20" w:type="dxa"/>
          <w:tblInd w:w="1440" w:type="dxa"/>
          <w:tblLayout w:type="fixed"/>
        </w:tblPrEx>
        <w:trPr>
          <w:cantSplit/>
          <w:trHeight w:hRule="exact" w:val="60"/>
          <w:tblHeader/>
        </w:trPr>
        <w:tc>
          <w:tcPr>
            <w:tcW w:w="6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7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r>
      <w:tr>
        <w:tblPrEx>
          <w:tblW w:w="8520" w:type="dxa"/>
          <w:tblInd w:w="1440" w:type="dxa"/>
          <w:tblLayout w:type="fixed"/>
        </w:tblPrEx>
        <w:trPr>
          <w:cantSplit/>
          <w:trHeight w:hRule="auto" w:val="0"/>
        </w:trPr>
        <w:tc>
          <w:tcPr>
            <w:tcW w:w="6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79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35"/>
        <w:gridCol w:w="795"/>
        <w:gridCol w:w="795"/>
        <w:gridCol w:w="795"/>
      </w:tblGrid>
      <w:tr>
        <w:tblPrEx>
          <w:tblW w:w="8520" w:type="dxa"/>
          <w:tblInd w:w="1440" w:type="dxa"/>
          <w:tblLayout w:type="fixed"/>
        </w:tblPrEx>
        <w:trPr>
          <w:cantSplit/>
          <w:trHeight w:hRule="auto" w:val="0"/>
          <w:tblHeader/>
        </w:trPr>
        <w:tc>
          <w:tcPr>
            <w:tcW w:w="6135" w:type="dxa"/>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Movimientos de otros resultados integrales al</w:t>
            </w:r>
          </w:p>
        </w:tc>
        <w:tc>
          <w:tcPr>
            <w:tcW w:w="238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Total</w:t>
            </w:r>
          </w:p>
        </w:tc>
      </w:tr>
      <w:tr>
        <w:tblPrEx>
          <w:tblW w:w="8520" w:type="dxa"/>
          <w:tblInd w:w="1440" w:type="dxa"/>
          <w:tblLayout w:type="fixed"/>
        </w:tblPrEx>
        <w:trPr>
          <w:cantSplit/>
          <w:trHeight w:hRule="auto" w:val="0"/>
          <w:tblHeader/>
        </w:trPr>
        <w:tc>
          <w:tcPr>
            <w:tcW w:w="6135" w:type="dxa"/>
            <w:tcBorders>
              <w:top w:val="nil"/>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bruto</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Efecto tributario</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 neto</w:t>
            </w:r>
          </w:p>
        </w:tc>
      </w:tr>
      <w:tr>
        <w:tblPrEx>
          <w:tblW w:w="8520" w:type="dxa"/>
          <w:tblInd w:w="1440" w:type="dxa"/>
          <w:tblLayout w:type="fixed"/>
        </w:tblPrEx>
        <w:trPr>
          <w:cantSplit/>
          <w:trHeight w:hRule="auto" w:val="0"/>
          <w:tblHeader/>
        </w:trPr>
        <w:tc>
          <w:tcPr>
            <w:tcW w:w="613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20" w:type="dxa"/>
          <w:tblInd w:w="1440" w:type="dxa"/>
          <w:tblLayout w:type="fixed"/>
        </w:tblPrEx>
        <w:trPr>
          <w:cantSplit/>
          <w:trHeight w:hRule="exact" w:val="60"/>
          <w:tblHeader/>
        </w:trPr>
        <w:tc>
          <w:tcPr>
            <w:tcW w:w="6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blHeader/>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(pérdida) después de impuestos</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606.303</w:t>
            </w:r>
          </w:p>
        </w:tc>
      </w:tr>
      <w:tr>
        <w:tblPrEx>
          <w:tblW w:w="8520" w:type="dxa"/>
          <w:tblInd w:w="1440" w:type="dxa"/>
          <w:tblLayout w:type="fixed"/>
        </w:tblPrEx>
        <w:trPr>
          <w:cantSplit/>
          <w:trHeight w:hRule="exact" w:val="60"/>
          <w:tblHeader/>
        </w:trPr>
        <w:tc>
          <w:tcPr>
            <w:tcW w:w="6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Reservas ganancias o pérdidas actuariales planes beneficios definidos</w:t>
            </w:r>
          </w:p>
        </w:tc>
        <w:tc>
          <w:tcPr>
            <w:tcW w:w="7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81.414</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(21.982)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59.432</w:t>
            </w:r>
          </w:p>
        </w:tc>
      </w:tr>
      <w:tr>
        <w:tblPrEx>
          <w:tblW w:w="8520" w:type="dxa"/>
          <w:tblInd w:w="1440" w:type="dxa"/>
          <w:tblLayout w:type="fixed"/>
        </w:tblPrEx>
        <w:trPr>
          <w:cantSplit/>
          <w:trHeight w:hRule="auto" w:val="0"/>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movimientos del período o ejercicio</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81.414</w:t>
            </w:r>
          </w:p>
        </w:tc>
        <w:tc>
          <w:tcPr>
            <w:tcW w:w="7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(21.982)</w:t>
            </w:r>
          </w:p>
        </w:tc>
        <w:tc>
          <w:tcPr>
            <w:tcW w:w="7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59.432</w:t>
            </w:r>
          </w:p>
        </w:tc>
      </w:tr>
      <w:tr>
        <w:tblPrEx>
          <w:tblW w:w="8520" w:type="dxa"/>
          <w:tblInd w:w="1440" w:type="dxa"/>
          <w:tblLayout w:type="fixed"/>
        </w:tblPrEx>
        <w:trPr>
          <w:cantSplit/>
          <w:trHeight w:hRule="auto" w:val="0"/>
        </w:trPr>
        <w:tc>
          <w:tcPr>
            <w:tcW w:w="613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7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25"/>
        </w:trPr>
        <w:tc>
          <w:tcPr>
            <w:tcW w:w="61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 resultado integral</w:t>
            </w:r>
          </w:p>
        </w:tc>
        <w:tc>
          <w:tcPr>
            <w:tcW w:w="795" w:type="dxa"/>
            <w:tcBorders>
              <w:top w:val="nil"/>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795"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665.735</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85" w:name="Section98"/>
      <w:bookmarkEnd w:id="185"/>
      <w:bookmarkStart w:id="186" w:name="ccf0dd0577084a59a348b07c83f89246"/>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DE ACTIVIDADES ORDINARIAS.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186"/>
    </w:p>
    <w:p>
      <w:pPr>
        <w:keepNext w:val="0"/>
        <w:keepLines/>
        <w:pageBreakBefore w:val="0"/>
        <w:widowControl w:val="0"/>
        <w:numPr>
          <w:ilvl w:val="0"/>
          <w:numId w:val="0"/>
        </w:numPr>
        <w:spacing w:before="0" w:after="0" w:line="288" w:lineRule="auto"/>
        <w:ind w:left="0" w:right="0" w:firstLine="0"/>
        <w:jc w:val="both"/>
        <w:outlineLvl w:val="9"/>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87" w:name="Section99"/>
      <w:bookmarkEnd w:id="187"/>
      <w:bookmarkStart w:id="188" w:name="898b0a7b8b504559b523c17d34cb94d5"/>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Ingresos ordinarios.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8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Ingresos de actividades ordinarias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exact" w:val="60"/>
        </w:trPr>
        <w:tc>
          <w:tcPr>
            <w:tcW w:w="61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Ventas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4.301.883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energía, peajes y transmisión.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4.301.883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Prestaciones de servicios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8.949.571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y recargos regulados.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39.582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Arriendo de equipos de medida.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1.065.856</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Servicios de construcción de obras e instalaciones eléctricas.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7.844.133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13.251.454</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tiene clientes con los cuales registre ventas que representen el 10% o más de sus ingresos ordinarios en los ejercicio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189" w:name="Section100"/>
      <w:bookmarkEnd w:id="189"/>
      <w:bookmarkStart w:id="190" w:name="63619cf3966e47c19d27c09de0fa28a4"/>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DE RESULTADOS RELEVANTES.</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bookmarkEnd w:id="190"/>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del estado de resultados por función para los ejercicios terminado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que se adjunta se descomponen como se indica en 22.1, 22.2 y 22.3.</w:t>
      </w:r>
    </w:p>
    <w:p>
      <w:pPr>
        <w:keepNext w:val="0"/>
        <w:keepLines/>
        <w:pageBreakBefore w:val="0"/>
        <w:widowControl w:val="0"/>
        <w:numPr>
          <w:ilvl w:val="0"/>
          <w:numId w:val="0"/>
        </w:numPr>
        <w:tabs>
          <w:tab w:val="left" w:pos="2260"/>
        </w:tabs>
        <w:spacing w:before="0" w:after="0" w:line="288" w:lineRule="auto"/>
        <w:ind w:left="0" w:right="0" w:firstLine="72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20" w:type="dxa"/>
          <w:tblLayout w:type="fixed"/>
        </w:tblPrEx>
        <w:trPr>
          <w:cantSplit/>
          <w:trHeight w:hRule="auto" w:val="0"/>
        </w:trPr>
        <w:tc>
          <w:tcPr>
            <w:tcW w:w="6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por naturaleza del 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20"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20"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10.311.616</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2.292.915</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21.616</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12.626.147</w:t>
            </w:r>
          </w:p>
        </w:tc>
      </w:tr>
    </w:tbl>
    <w:p>
      <w:pPr>
        <w:keepNext w:val="0"/>
        <w:keepLines/>
        <w:pageBreakBefore w:val="0"/>
        <w:widowControl w:val="0"/>
        <w:numPr>
          <w:ilvl w:val="0"/>
          <w:numId w:val="0"/>
        </w:numPr>
        <w:tabs>
          <w:tab w:val="left" w:pos="2260"/>
        </w:tabs>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2260"/>
        </w:tabs>
        <w:spacing w:before="0" w:after="0" w:line="288" w:lineRule="auto"/>
        <w:ind w:left="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val="0"/>
        <w:keepLines w:val="0"/>
        <w:pageBreakBefore w:val="0"/>
        <w:widowControl/>
        <w:numPr>
          <w:ilvl w:val="0"/>
          <w:numId w:val="0"/>
        </w:numPr>
        <w:spacing w:before="0" w:after="0" w:line="288" w:lineRule="auto"/>
        <w:ind w:left="0" w:right="0" w:firstLine="709"/>
        <w:jc w:val="both"/>
        <w:outlineLvl w:val="1"/>
        <w:rPr>
          <w:rFonts w:ascii="Calibri" w:eastAsia="Calibri" w:hAnsi="Calibri" w:cs="Calibri"/>
          <w:b/>
          <w:i w:val="0"/>
          <w:color w:val="000000"/>
          <w:sz w:val="20"/>
          <w:u w:val="none"/>
        </w:rPr>
      </w:pPr>
      <w:bookmarkStart w:id="191" w:name="Section101"/>
      <w:bookmarkEnd w:id="191"/>
      <w:bookmarkStart w:id="192" w:name="ef22e3b099c140a8bd66f716acc237d2"/>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por naturaleza.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2"/>
    </w:p>
    <w:tbl>
      <w:tblPr>
        <w:tblW w:w="85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1200"/>
        <w:gridCol w:w="1200"/>
      </w:tblGrid>
      <w:tr>
        <w:tblPrEx>
          <w:tblW w:w="8565" w:type="dxa"/>
          <w:tblInd w:w="1417" w:type="dxa"/>
          <w:tblLayout w:type="fixed"/>
        </w:tblPrEx>
        <w:trPr>
          <w:cantSplit/>
          <w:trHeight w:hRule="auto" w:val="0"/>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Apertura de gastos por naturaleza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65" w:type="dxa"/>
          <w:tblInd w:w="1417" w:type="dxa"/>
          <w:tblLayout w:type="fixed"/>
        </w:tblPrEx>
        <w:trPr>
          <w:cantSplit/>
          <w:trHeight w:hRule="auto" w:val="0"/>
        </w:trPr>
        <w:tc>
          <w:tcPr>
            <w:tcW w:w="616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65" w:type="dxa"/>
          <w:tblInd w:w="1417"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 de energía.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4.127.242</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personal.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1.222.473</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 xml:space="preserve">Gastos de operación y mantenimiento.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6.038.768</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1.035.999</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Provisión de incobrables.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21.616</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145.607</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34.442</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12.626.147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193" w:name="Section102"/>
      <w:bookmarkEnd w:id="193"/>
      <w:bookmarkStart w:id="194" w:name="c240b7a6d81b414fab3f942f228cba5c"/>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Gastos de personal.</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4"/>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Gastos de personal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Sueldos y salarios.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518.834</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1.083.903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a corto plazo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45.866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59.512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Beneficios por terminación.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90.630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79.058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655.330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1.222.473</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95" w:name="Section103"/>
      <w:bookmarkEnd w:id="195"/>
      <w:bookmarkStart w:id="196" w:name="d64811a6cfdf42ff9992268be553ef0d"/>
      <w:r>
        <w:rPr>
          <w:rFonts w:ascii="Calibri" w:eastAsia="Calibri" w:hAnsi="Calibri" w:cs="Calibri"/>
          <w:b/>
          <w:i w:val="0"/>
          <w:color w:val="000000"/>
          <w:sz w:val="20"/>
          <w:u w:val="none"/>
        </w:rPr>
        <w:t>22.3.-</w:t>
      </w:r>
      <w:r>
        <w:rPr>
          <w:rFonts w:ascii="Calibri" w:eastAsia="Calibri" w:hAnsi="Calibri" w:cs="Calibri"/>
          <w:b/>
          <w:i w:val="0"/>
          <w:color w:val="000000"/>
          <w:sz w:val="20"/>
          <w:u w:val="none"/>
        </w:rPr>
        <w:tab/>
      </w:r>
      <w:r>
        <w:rPr>
          <w:rFonts w:ascii="Calibri" w:eastAsia="Calibri" w:hAnsi="Calibri" w:cs="Calibri"/>
          <w:b/>
          <w:i w:val="0"/>
          <w:color w:val="000000"/>
          <w:sz w:val="20"/>
          <w:u w:val="none"/>
        </w:rPr>
        <w:t>Depreciación y amortización.</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6"/>
    </w:p>
    <w:tbl>
      <w:tblPr>
        <w:tblW w:w="85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1200"/>
        <w:gridCol w:w="1200"/>
      </w:tblGrid>
      <w:tr>
        <w:tblPrEx>
          <w:tblW w:w="8565" w:type="dxa"/>
          <w:tblInd w:w="1417" w:type="dxa"/>
          <w:tblLayout w:type="fixed"/>
        </w:tblPrEx>
        <w:trPr>
          <w:cantSplit/>
          <w:trHeight w:hRule="auto" w:val="0"/>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65" w:type="dxa"/>
          <w:tblInd w:w="1417" w:type="dxa"/>
          <w:tblLayout w:type="fixed"/>
        </w:tblPrEx>
        <w:trPr>
          <w:cantSplit/>
          <w:trHeight w:hRule="auto" w:val="0"/>
        </w:trPr>
        <w:tc>
          <w:tcPr>
            <w:tcW w:w="616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65" w:type="dxa"/>
          <w:tblInd w:w="1417"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65"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Depreciación y retiros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145.607</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depreciación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145.607</w:t>
            </w:r>
          </w:p>
        </w:tc>
      </w:tr>
      <w:tr>
        <w:tblPrEx>
          <w:tblW w:w="8565" w:type="dxa"/>
          <w:tblInd w:w="1417" w:type="dxa"/>
          <w:tblLayout w:type="fixed"/>
        </w:tblPrEx>
        <w:trPr>
          <w:cantSplit/>
          <w:trHeight w:hRule="auto" w:val="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Amortización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34.442</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amortización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34.442</w:t>
            </w:r>
          </w:p>
        </w:tc>
      </w:tr>
      <w:tr>
        <w:tblPrEx>
          <w:tblW w:w="8565" w:type="dxa"/>
          <w:tblInd w:w="1417" w:type="dxa"/>
          <w:tblLayout w:type="fixed"/>
        </w:tblPrEx>
        <w:trPr>
          <w:cantSplit/>
          <w:trHeight w:hRule="auto" w:val="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180.049</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197" w:name="Section104"/>
      <w:bookmarkEnd w:id="197"/>
      <w:bookmarkStart w:id="198" w:name="6cc7266ae9f343e993db656bbf786cec"/>
      <w:r>
        <w:rPr>
          <w:rFonts w:ascii="Calibri" w:eastAsia="Calibri" w:hAnsi="Calibri" w:cs="Calibri"/>
          <w:b/>
          <w:i w:val="0"/>
          <w:color w:val="000000"/>
          <w:sz w:val="20"/>
          <w:u w:val="none"/>
        </w:rPr>
        <w:t>22.4.-</w:t>
      </w:r>
      <w:r>
        <w:rPr>
          <w:rFonts w:ascii="Calibri" w:eastAsia="Calibri" w:hAnsi="Calibri" w:cs="Calibri"/>
          <w:b/>
          <w:i w:val="0"/>
          <w:color w:val="000000"/>
          <w:sz w:val="20"/>
          <w:u w:val="none"/>
        </w:rPr>
        <w:tab/>
      </w:r>
      <w:r>
        <w:rPr>
          <w:rFonts w:ascii="Calibri" w:eastAsia="Calibri" w:hAnsi="Calibri" w:cs="Calibri"/>
          <w:b/>
          <w:i w:val="0"/>
          <w:color w:val="000000"/>
          <w:sz w:val="20"/>
          <w:u w:val="none"/>
        </w:rPr>
        <w:t>Otras ganancias (pérdidas).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198"/>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Detalle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Castigos o retiros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Venta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Juicios o arbitrajes.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Indemnizaciones percibidas.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(pérdidas) ganancias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(772)</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1.388</w:t>
            </w:r>
          </w:p>
        </w:tc>
      </w:tr>
    </w:tbl>
    <w:p>
      <w:pPr>
        <w:keepNext/>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pPr>
    </w:p>
    <w:p>
      <w:pPr>
        <w:keepNext/>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 Al </w:t>
      </w:r>
      <w:r>
        <w:rPr>
          <w:rFonts w:ascii="Calibri" w:eastAsia="Calibri" w:hAnsi="Calibri" w:cs="Calibri"/>
          <w:b w:val="0"/>
          <w:i w:val="0"/>
          <w:color w:val="000000"/>
          <w:sz w:val="20"/>
          <w:u w:val="none"/>
        </w:rPr>
        <w:t>30 de junio de 2026</w:t>
      </w:r>
      <w:r>
        <w:rPr>
          <w:rFonts w:ascii="Calibri" w:eastAsia="Calibri" w:hAnsi="Calibri" w:cs="Calibri"/>
          <w:b w:val="0"/>
          <w:i w:val="0"/>
          <w:sz w:val="20"/>
        </w:rPr>
        <w:t xml:space="preserve"> el ítem Otras (pérdidas) ganancias está compuesto principalmente por la baja del activo fijo por $2.970 compensado por multas a contratistas por $2.160. Al 31 de diciembre de 2024 el rubro esta compuesto por desembolsos efectuados por expatriados chinos por M$ (117.681) y garantías pagadas por M$ (88.799).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199" w:name="Section105"/>
      <w:bookmarkEnd w:id="199"/>
      <w:bookmarkStart w:id="200" w:name="89111b8250104b508affd19b15abebd3"/>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RESULTADO FINANCIERO.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00"/>
    </w:p>
    <w:p>
      <w:pPr>
        <w:pStyle w:val="Normal-wk"/>
        <w:keepNext w:val="0"/>
        <w:keepLines/>
        <w:pageBreakBefore w:val="0"/>
        <w:widowControl w:val="0"/>
        <w:numPr>
          <w:ilvl w:val="0"/>
          <w:numId w:val="0"/>
        </w:numPr>
        <w:tabs>
          <w:tab w:val="left" w:pos="2260"/>
        </w:tabs>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ítems adjuntos de ingresos financieros, costos financieros, resultados por unidades de reajustes y ganancia (pérdida) de cambio en moneda extranjera del estado de resultados por función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detallan a continuación.</w:t>
      </w:r>
    </w:p>
    <w:p>
      <w:pPr>
        <w:keepNext w:val="0"/>
        <w:keepLines/>
        <w:pageBreakBefore w:val="0"/>
        <w:widowControl w:val="0"/>
        <w:numPr>
          <w:ilvl w:val="0"/>
          <w:numId w:val="0"/>
        </w:numPr>
        <w:tabs>
          <w:tab w:val="left" w:pos="2260"/>
        </w:tabs>
        <w:spacing w:before="0" w:after="0" w:line="288" w:lineRule="auto"/>
        <w:ind w:left="0" w:right="0" w:firstLine="0"/>
        <w:jc w:val="both"/>
        <w:outlineLvl w:val="9"/>
        <w:rPr>
          <w:rFonts w:ascii="Calibri" w:eastAsia="Calibri" w:hAnsi="Calibri" w:cs="Calibri"/>
          <w:b w:val="0"/>
          <w:i w:val="0"/>
          <w:color w:val="000000"/>
          <w:sz w:val="20"/>
          <w:u w:val="none"/>
        </w:rPr>
      </w:pPr>
    </w:p>
    <w:tbl>
      <w:tblPr>
        <w:tblW w:w="924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40"/>
        <w:gridCol w:w="1200"/>
        <w:gridCol w:w="1200"/>
      </w:tblGrid>
      <w:tr>
        <w:tblPrEx>
          <w:tblW w:w="9240" w:type="dxa"/>
          <w:tblInd w:w="720" w:type="dxa"/>
          <w:tblLayout w:type="fixed"/>
        </w:tblPrEx>
        <w:trPr>
          <w:cantSplit/>
          <w:trHeight w:hRule="auto" w:val="0"/>
        </w:trPr>
        <w:tc>
          <w:tcPr>
            <w:tcW w:w="684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financiero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40" w:type="dxa"/>
          <w:tblInd w:w="720" w:type="dxa"/>
          <w:tblLayout w:type="fixed"/>
        </w:tblPrEx>
        <w:trPr>
          <w:cantSplit/>
          <w:trHeight w:hRule="auto" w:val="0"/>
        </w:trPr>
        <w:tc>
          <w:tcPr>
            <w:tcW w:w="684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40" w:type="dxa"/>
          <w:tblInd w:w="720" w:type="dxa"/>
          <w:tblLayout w:type="fixed"/>
        </w:tblPrEx>
        <w:trPr>
          <w:cantSplit/>
          <w:trHeight w:hRule="auto" w:val="0"/>
        </w:trPr>
        <w:tc>
          <w:tcPr>
            <w:tcW w:w="684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40" w:type="dxa"/>
          <w:tblInd w:w="720" w:type="dxa"/>
          <w:tblLayout w:type="fixed"/>
        </w:tblPrEx>
        <w:trPr>
          <w:cantSplit/>
          <w:trHeight w:hRule="exact" w:val="6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Ingresos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comerciales.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49.690</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96.835</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ingresos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146.525</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Costos financieros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arrendamientos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(8.858)</w:t>
            </w:r>
          </w:p>
        </w:tc>
      </w:tr>
      <w:tr>
        <w:tblPrEx>
          <w:tblW w:w="9240" w:type="dxa"/>
          <w:tblInd w:w="720" w:type="dxa"/>
          <w:tblLayout w:type="fixed"/>
        </w:tblPrEx>
        <w:trPr>
          <w:cantSplit/>
          <w:trHeight w:hRule="exact" w:val="255"/>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Gastos por intereses tesorería centralizada.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gastos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(16.569)</w:t>
            </w: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costos financieros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(25.427)</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ganancias (pérdidas) de cambio en moneda extranjera (Nota 23.1)</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 xml:space="preserve">Total resultados por unidades de reajuste (Nota 23.2) </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(6.493)</w:t>
            </w:r>
          </w:p>
        </w:tc>
      </w:tr>
      <w:tr>
        <w:tblPrEx>
          <w:tblW w:w="9240" w:type="dxa"/>
          <w:tblInd w:w="720" w:type="dxa"/>
          <w:tblLayout w:type="fixed"/>
        </w:tblPrEx>
        <w:trPr>
          <w:cantSplit/>
          <w:trHeight w:hRule="auto" w:val="0"/>
        </w:trPr>
        <w:tc>
          <w:tcPr>
            <w:tcW w:w="68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40" w:type="dxa"/>
          <w:tblInd w:w="720" w:type="dxa"/>
          <w:tblLayout w:type="fixed"/>
        </w:tblPrEx>
        <w:trPr>
          <w:cantSplit/>
          <w:trHeight w:hRule="auto" w:val="0"/>
        </w:trPr>
        <w:tc>
          <w:tcPr>
            <w:tcW w:w="684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114.609</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 El ítem otros gastos de los costos financieros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está compuesto por costos de intereses de beneficios al personal por M$ 15.432, Intereses de boletas en garantía por M$ 12.448 y otros gastos financieros de M$ 1.694.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u w:val="none"/>
        </w:rPr>
        <w:t xml:space="preserve"> está compuesto por costos de intereses de beneficios al personal por M$ 19.847, Intereses de boletas en garantía por M$ 9.494 y otros gastos financieros de M$ 1.995.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9"/>
        <w:jc w:val="both"/>
        <w:outlineLvl w:val="1"/>
        <w:rPr>
          <w:rFonts w:ascii="Calibri" w:eastAsia="Calibri" w:hAnsi="Calibri" w:cs="Calibri"/>
          <w:b/>
          <w:i w:val="0"/>
          <w:color w:val="000000"/>
          <w:sz w:val="20"/>
          <w:u w:val="none"/>
        </w:rPr>
      </w:pPr>
      <w:bookmarkStart w:id="201" w:name="Section106"/>
      <w:bookmarkEnd w:id="201"/>
      <w:bookmarkStart w:id="202" w:name="7dea0ae9816d4bf080c4218460bef8b3"/>
      <w:r>
        <w:rPr>
          <w:rFonts w:ascii="Calibri" w:eastAsia="Calibri" w:hAnsi="Calibri" w:cs="Calibri"/>
          <w:b/>
          <w:i w:val="0"/>
          <w:color w:val="000000"/>
          <w:sz w:val="20"/>
          <w:u w:val="none"/>
        </w:rPr>
        <w:t>23.1.-</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ganancias (pérdidas) de cambio en moneda extranjera.</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2"/>
    </w:p>
    <w:tbl>
      <w:tblPr>
        <w:tblW w:w="85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1200"/>
        <w:gridCol w:w="1200"/>
      </w:tblGrid>
      <w:tr>
        <w:tblPrEx>
          <w:tblW w:w="8565" w:type="dxa"/>
          <w:tblInd w:w="1417" w:type="dxa"/>
          <w:tblLayout w:type="fixed"/>
        </w:tblPrEx>
        <w:trPr>
          <w:cantSplit/>
          <w:trHeight w:hRule="auto" w:val="0"/>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de cambio en moneda extranjera.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65" w:type="dxa"/>
          <w:tblInd w:w="1417" w:type="dxa"/>
          <w:tblLayout w:type="fixed"/>
        </w:tblPrEx>
        <w:trPr>
          <w:cantSplit/>
          <w:trHeight w:hRule="auto" w:val="0"/>
        </w:trPr>
        <w:tc>
          <w:tcPr>
            <w:tcW w:w="616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65" w:type="dxa"/>
          <w:tblInd w:w="1417"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65"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Diferencias de cambio por pasivos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diferencias de cambio por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w:t>
            </w:r>
          </w:p>
        </w:tc>
      </w:tr>
      <w:tr>
        <w:tblPrEx>
          <w:tblW w:w="8565" w:type="dxa"/>
          <w:tblInd w:w="1417" w:type="dxa"/>
          <w:tblLayout w:type="fixed"/>
        </w:tblPrEx>
        <w:trPr>
          <w:cantSplit/>
          <w:trHeight w:hRule="auto" w:val="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diferencia de cambios neta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w:t>
            </w:r>
          </w:p>
        </w:tc>
      </w:tr>
    </w:tbl>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9"/>
        <w:jc w:val="both"/>
        <w:outlineLvl w:val="1"/>
        <w:rPr>
          <w:rFonts w:ascii="Calibri" w:eastAsia="Calibri" w:hAnsi="Calibri" w:cs="Calibri"/>
          <w:b/>
          <w:i w:val="0"/>
          <w:color w:val="000000"/>
          <w:sz w:val="20"/>
          <w:u w:val="none"/>
        </w:rPr>
      </w:pPr>
      <w:bookmarkStart w:id="203" w:name="Section107"/>
      <w:bookmarkEnd w:id="203"/>
      <w:bookmarkStart w:id="204" w:name="0ae262307ff4493dafcaaf8119870b13"/>
      <w:r>
        <w:rPr>
          <w:rFonts w:ascii="Calibri" w:eastAsia="Calibri" w:hAnsi="Calibri" w:cs="Calibri"/>
          <w:b/>
          <w:i w:val="0"/>
          <w:color w:val="000000"/>
          <w:sz w:val="20"/>
          <w:u w:val="none"/>
        </w:rPr>
        <w:t>23.2.-</w:t>
      </w:r>
      <w:r>
        <w:rPr>
          <w:rFonts w:ascii="Calibri" w:eastAsia="Calibri" w:hAnsi="Calibri" w:cs="Calibri"/>
          <w:b/>
          <w:i w:val="0"/>
          <w:color w:val="000000"/>
          <w:sz w:val="20"/>
          <w:u w:val="none"/>
        </w:rPr>
        <w:tab/>
      </w:r>
      <w:r>
        <w:rPr>
          <w:rFonts w:ascii="Calibri" w:eastAsia="Calibri" w:hAnsi="Calibri" w:cs="Calibri"/>
          <w:b/>
          <w:i w:val="0"/>
          <w:color w:val="000000"/>
          <w:sz w:val="20"/>
          <w:u w:val="none"/>
        </w:rPr>
        <w:t>Composición unidades de reajuste.</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04"/>
    </w:p>
    <w:tbl>
      <w:tblPr>
        <w:tblW w:w="85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1200"/>
        <w:gridCol w:w="1200"/>
      </w:tblGrid>
      <w:tr>
        <w:tblPrEx>
          <w:tblW w:w="8565" w:type="dxa"/>
          <w:tblInd w:w="1417" w:type="dxa"/>
          <w:tblLayout w:type="fixed"/>
        </w:tblPrEx>
        <w:trPr>
          <w:cantSplit/>
          <w:trHeight w:hRule="auto" w:val="0"/>
        </w:trPr>
        <w:tc>
          <w:tcPr>
            <w:tcW w:w="616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Resultado por unidades de reajuste</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65" w:type="dxa"/>
          <w:tblInd w:w="1417" w:type="dxa"/>
          <w:tblLayout w:type="fixed"/>
        </w:tblPrEx>
        <w:trPr>
          <w:cantSplit/>
          <w:trHeight w:hRule="auto" w:val="0"/>
        </w:trPr>
        <w:tc>
          <w:tcPr>
            <w:tcW w:w="616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65" w:type="dxa"/>
          <w:tblInd w:w="1417" w:type="dxa"/>
          <w:tblLayout w:type="fixed"/>
        </w:tblPrEx>
        <w:trPr>
          <w:cantSplit/>
          <w:trHeight w:hRule="auto" w:val="0"/>
        </w:trPr>
        <w:tc>
          <w:tcPr>
            <w:tcW w:w="616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65"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Unidades de reajuste por activos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296</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unidades de reajuste por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20.556</w:t>
            </w:r>
          </w:p>
        </w:tc>
      </w:tr>
      <w:tr>
        <w:tblPrEx>
          <w:tblW w:w="8565" w:type="dxa"/>
          <w:tblInd w:w="1417" w:type="dxa"/>
          <w:tblLayout w:type="fixed"/>
        </w:tblPrEx>
        <w:trPr>
          <w:cantSplit/>
          <w:trHeight w:hRule="auto" w:val="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Unidades de reajuste por pasivos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(3.591)</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(23.458)</w:t>
            </w: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unidades de reajuste por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(27.049)</w:t>
            </w:r>
          </w:p>
        </w:tc>
      </w:tr>
      <w:tr>
        <w:tblPrEx>
          <w:tblW w:w="8565" w:type="dxa"/>
          <w:tblInd w:w="1417" w:type="dxa"/>
          <w:tblLayout w:type="fixed"/>
        </w:tblPrEx>
        <w:trPr>
          <w:cantSplit/>
          <w:trHeight w:hRule="auto" w:val="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auto" w:val="0"/>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unidades de reajuste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(6.493)</w:t>
            </w:r>
          </w:p>
        </w:tc>
      </w:tr>
    </w:tbl>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1418"/>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205" w:name="Section108"/>
      <w:bookmarkEnd w:id="205"/>
      <w:bookmarkStart w:id="206" w:name="37d9abe565674f49aa1330e23160087b"/>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GASTO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6"/>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se procedió a calcular y contabilizar el impuesto a la renta con una tasa del 27%, en base a lo dispuesto por la Ley N° 20.780, publicada en el Diario Oficial con fecha 29 de septiembre de 2014. La sociedad se encuentra incorporada al sistema de tributación parcialmente integrado.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207" w:name="Section109"/>
      <w:bookmarkEnd w:id="207"/>
      <w:bookmarkStart w:id="208" w:name="816879b53b8740358a59ce337d540ec8"/>
      <w:r>
        <w:rPr>
          <w:rFonts w:ascii="Calibri" w:eastAsia="Calibri" w:hAnsi="Calibri" w:cs="Calibri"/>
          <w:b/>
          <w:i w:val="0"/>
          <w:color w:val="000000"/>
          <w:sz w:val="20"/>
          <w:u w:val="none"/>
        </w:rPr>
        <w:t>24.1.-</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resultados por impuestos a las ganancias.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Durante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se originó un </w:t>
      </w:r>
      <w:r>
        <w:rPr>
          <w:rFonts w:ascii="Calibri" w:eastAsia="Calibri" w:hAnsi="Calibri" w:cs="Calibri"/>
          <w:b w:val="0"/>
          <w:i w:val="0"/>
          <w:color w:val="000000"/>
          <w:sz w:val="20"/>
          <w:u w:val="none"/>
        </w:rPr>
        <w:t>cargo</w:t>
      </w:r>
      <w:r>
        <w:rPr>
          <w:rFonts w:ascii="Calibri" w:eastAsia="Calibri" w:hAnsi="Calibri" w:cs="Calibri"/>
          <w:b w:val="0"/>
          <w:i w:val="0"/>
          <w:color w:val="000000"/>
          <w:sz w:val="20"/>
          <w:u w:val="none"/>
        </w:rPr>
        <w:t xml:space="preserve"> a resultados por impuesto a las ganancias ascendente a M$ </w:t>
      </w:r>
      <w:r>
        <w:rPr>
          <w:rFonts w:ascii="Calibri" w:eastAsia="Calibri" w:hAnsi="Calibri" w:cs="Calibri"/>
          <w:b w:val="0"/>
          <w:i w:val="0"/>
          <w:color w:val="000000"/>
          <w:sz w:val="20"/>
          <w:u w:val="none"/>
        </w:rPr>
        <w:t>0</w:t>
      </w:r>
      <w:r>
        <w:rPr>
          <w:rFonts w:ascii="Calibri" w:eastAsia="Calibri" w:hAnsi="Calibri" w:cs="Calibri"/>
          <w:b w:val="0"/>
          <w:i w:val="0"/>
          <w:color w:val="000000"/>
          <w:sz w:val="20"/>
          <w:u w:val="none"/>
        </w:rPr>
        <w:t xml:space="preserve"> y un </w:t>
      </w:r>
      <w:r>
        <w:rPr>
          <w:rFonts w:ascii="Calibri" w:eastAsia="Calibri" w:hAnsi="Calibri" w:cs="Calibri"/>
          <w:b w:val="0"/>
          <w:i w:val="0"/>
          <w:color w:val="000000"/>
          <w:sz w:val="20"/>
          <w:u w:val="none"/>
        </w:rPr>
        <w:t>cargo</w:t>
      </w:r>
      <w:r>
        <w:rPr>
          <w:rFonts w:ascii="Calibri" w:eastAsia="Calibri" w:hAnsi="Calibri" w:cs="Calibri"/>
          <w:b w:val="0"/>
          <w:i w:val="0"/>
          <w:color w:val="000000"/>
          <w:sz w:val="20"/>
          <w:u w:val="none"/>
        </w:rPr>
        <w:t xml:space="preserve"> de M$ </w:t>
      </w:r>
      <w:r>
        <w:rPr>
          <w:rFonts w:ascii="Calibri" w:eastAsia="Calibri" w:hAnsi="Calibri" w:cs="Calibri"/>
          <w:b w:val="0"/>
          <w:i w:val="0"/>
          <w:color w:val="000000"/>
          <w:sz w:val="20"/>
          <w:u w:val="none"/>
        </w:rPr>
        <w:t>135.001</w:t>
      </w:r>
      <w:r>
        <w:rPr>
          <w:rFonts w:ascii="Calibri" w:eastAsia="Calibri" w:hAnsi="Calibri" w:cs="Calibri"/>
          <w:b w:val="0"/>
          <w:i w:val="0"/>
          <w:color w:val="000000"/>
          <w:sz w:val="20"/>
          <w:u w:val="none"/>
        </w:rPr>
        <w:t xml:space="preserve"> 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20"/>
        <w:gridCol w:w="1200"/>
        <w:gridCol w:w="1200"/>
      </w:tblGrid>
      <w:tr>
        <w:tblPrEx>
          <w:tblW w:w="8520" w:type="dxa"/>
          <w:tblInd w:w="1440" w:type="dxa"/>
          <w:tblLayout w:type="fixed"/>
        </w:tblPrEx>
        <w:trPr>
          <w:cantSplit/>
          <w:trHeight w:hRule="exact" w:val="255"/>
        </w:trPr>
        <w:tc>
          <w:tcPr>
            <w:tcW w:w="612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(Gasto) ingreso por impuesto a las ganancias por partes corriente y diferida</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20" w:type="dxa"/>
          <w:tblInd w:w="1440" w:type="dxa"/>
          <w:tblLayout w:type="fixed"/>
        </w:tblPrEx>
        <w:trPr>
          <w:cantSplit/>
          <w:trHeight w:hRule="exact" w:val="255"/>
        </w:trPr>
        <w:tc>
          <w:tcPr>
            <w:tcW w:w="612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20" w:type="dxa"/>
          <w:tblInd w:w="1440" w:type="dxa"/>
          <w:tblLayout w:type="fixed"/>
        </w:tblPrEx>
        <w:trPr>
          <w:cantSplit/>
          <w:trHeight w:hRule="exact" w:val="195"/>
        </w:trPr>
        <w:tc>
          <w:tcPr>
            <w:tcW w:w="612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corrientes a las ganancias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(68.306)</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Ajustes al impuesto corriente de períodos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(1.872)</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por impuestos corrientes a las ganancias,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(70.178)</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diferidos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20" w:type="dxa"/>
          <w:tblInd w:w="1440" w:type="dxa"/>
          <w:tblLayout w:type="fixed"/>
        </w:tblPrEx>
        <w:trPr>
          <w:cantSplit/>
          <w:trHeight w:hRule="exact" w:val="40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ingreso por impuestos diferidos relacionado con el nacimiento y reversión de diferencias temporarias.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(64.978)</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Ajustes por impuestos diferidos de periodos anteriores.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(gasto) ingreso por impuestos diferidos , neto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(64.823)</w:t>
            </w:r>
          </w:p>
        </w:tc>
      </w:tr>
      <w:tr>
        <w:tblPrEx>
          <w:tblW w:w="8520" w:type="dxa"/>
          <w:tblInd w:w="1440" w:type="dxa"/>
          <w:tblLayout w:type="fixed"/>
        </w:tblPrEx>
        <w:trPr>
          <w:cantSplit/>
          <w:trHeight w:hRule="exact" w:val="60"/>
        </w:trPr>
        <w:tc>
          <w:tcPr>
            <w:tcW w:w="612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cargo</w:t>
            </w:r>
          </w:p>
        </w:tc>
        <w:tc>
          <w:tcPr>
            <w:tcW w:w="1200" w:type="dxa"/>
            <w:tcBorders>
              <w:top w:val="single" w:sz="2" w:space="0" w:color="000000"/>
              <w:left w:val="nil"/>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cargo</w:t>
            </w:r>
          </w:p>
        </w:tc>
      </w:tr>
      <w:tr>
        <w:tblPrEx>
          <w:tblW w:w="8520" w:type="dxa"/>
          <w:tblInd w:w="1440" w:type="dxa"/>
          <w:tblLayout w:type="fixed"/>
        </w:tblPrEx>
        <w:trPr>
          <w:cantSplit/>
          <w:trHeight w:hRule="exact" w:val="255"/>
        </w:trPr>
        <w:tc>
          <w:tcPr>
            <w:tcW w:w="612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(Gasto) ingreso por impuesto a las ganancias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(135.001)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1418" w:right="0" w:hanging="710"/>
        <w:jc w:val="both"/>
        <w:outlineLvl w:val="1"/>
        <w:rPr>
          <w:rFonts w:ascii="Calibri" w:eastAsia="Calibri" w:hAnsi="Calibri" w:cs="Calibri"/>
          <w:b/>
          <w:i w:val="0"/>
          <w:color w:val="000000"/>
          <w:sz w:val="20"/>
          <w:u w:val="none"/>
        </w:rPr>
      </w:pPr>
      <w:bookmarkStart w:id="209" w:name="Section110"/>
      <w:bookmarkEnd w:id="209"/>
      <w:bookmarkStart w:id="210" w:name="374818fd65cc4062a697511f7988c27d"/>
      <w:r>
        <w:rPr>
          <w:rFonts w:ascii="Calibri" w:eastAsia="Calibri" w:hAnsi="Calibri" w:cs="Calibri"/>
          <w:b/>
          <w:i w:val="0"/>
          <w:color w:val="000000"/>
          <w:sz w:val="20"/>
          <w:u w:val="none"/>
        </w:rPr>
        <w:t>24.2.-</w:t>
      </w:r>
      <w:r>
        <w:rPr>
          <w:rFonts w:ascii="Calibri" w:eastAsia="Calibri" w:hAnsi="Calibri" w:cs="Calibri"/>
          <w:b/>
          <w:i w:val="0"/>
          <w:color w:val="000000"/>
          <w:sz w:val="20"/>
          <w:u w:val="none"/>
        </w:rPr>
        <w:tab/>
      </w:r>
      <w:r>
        <w:rPr>
          <w:rFonts w:ascii="Calibri" w:eastAsia="Calibri" w:hAnsi="Calibri" w:cs="Calibri"/>
          <w:b/>
          <w:i w:val="0"/>
          <w:color w:val="000000"/>
          <w:sz w:val="20"/>
          <w:u w:val="none"/>
        </w:rPr>
        <w:t>Conciliación entre el resultado por impuestos a las ganancias contabilizado y la tasa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siguiente cuadro muestra la conciliación entre el impuesto a las ganancias contabilizado y el que resultaría de aplicar la tasa efectiva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950"/>
        <w:gridCol w:w="900"/>
        <w:gridCol w:w="900"/>
        <w:gridCol w:w="900"/>
        <w:gridCol w:w="900"/>
      </w:tblGrid>
      <w:tr>
        <w:tblPrEx>
          <w:tblW w:w="8550" w:type="dxa"/>
          <w:tblInd w:w="1417" w:type="dxa"/>
          <w:tblLayout w:type="fixed"/>
        </w:tblPrEx>
        <w:trPr>
          <w:cantSplit/>
          <w:trHeight w:hRule="exact" w:val="195"/>
        </w:trPr>
        <w:tc>
          <w:tcPr>
            <w:tcW w:w="49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Conciliación del gasto por impuestos utilizando la tasa legal con el gasto por impuestos utilizando la tasa efectiva</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8550" w:type="dxa"/>
          <w:tblInd w:w="1417" w:type="dxa"/>
          <w:tblLayout w:type="fixed"/>
        </w:tblPrEx>
        <w:trPr>
          <w:cantSplit/>
          <w:trHeight w:hRule="exact" w:val="195"/>
        </w:trPr>
        <w:tc>
          <w:tcPr>
            <w:tcW w:w="49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8550" w:type="dxa"/>
          <w:tblInd w:w="1417" w:type="dxa"/>
          <w:tblLayout w:type="fixed"/>
        </w:tblPrEx>
        <w:trPr>
          <w:cantSplit/>
          <w:trHeight w:hRule="exact" w:val="195"/>
        </w:trPr>
        <w:tc>
          <w:tcPr>
            <w:tcW w:w="49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w:t>
            </w: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Ganancia contable</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741.304</w:t>
            </w:r>
          </w:p>
        </w:tc>
        <w:tc>
          <w:tcPr>
            <w:tcW w:w="9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exact" w:val="6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de (gasto) ingreso por impuestos a la tasa impositiva aplicable</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tabs>
                <w:tab w:val="left" w:pos="1"/>
                <w:tab w:val="left" w:pos="216"/>
              </w:tabs>
              <w:spacing w:before="0" w:after="0" w:line="240" w:lineRule="auto"/>
              <w:jc w:val="right"/>
            </w:pPr>
            <w:r>
              <w:rPr>
                <w:rFonts w:ascii="Calibri" w:eastAsia="Calibri" w:hAnsi="Calibri" w:cs="Calibri"/>
                <w:b/>
                <w:i w:val="0"/>
                <w:color w:val="FFFFFF"/>
                <w:sz w:val="12"/>
                <w:u w:val="none"/>
              </w:rPr>
              <w:tab/>
              <w:t>27,0</w:t>
              <w:tab/>
              <w:t>%</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(200.152)</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53"/>
              </w:tabs>
              <w:spacing w:before="0" w:after="0" w:line="240" w:lineRule="auto"/>
              <w:jc w:val="right"/>
            </w:pPr>
            <w:r>
              <w:rPr>
                <w:rFonts w:ascii="Calibri" w:eastAsia="Calibri" w:hAnsi="Calibri" w:cs="Calibri"/>
                <w:b/>
                <w:i w:val="0"/>
                <w:color w:val="FFFFFF"/>
                <w:sz w:val="12"/>
                <w:u w:val="none"/>
              </w:rPr>
              <w:tab/>
              <w:t>27,0</w:t>
              <w:tab/>
              <w:t>%</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Efecto fiscal de gastos no deducibles para la determinación de la ganancia (pérdida) tributable.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66.868</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29"/>
              </w:tabs>
              <w:spacing w:before="0" w:after="0" w:line="240" w:lineRule="auto"/>
              <w:jc w:val="right"/>
            </w:pPr>
            <w:r>
              <w:rPr>
                <w:rFonts w:ascii="Calibri" w:eastAsia="Calibri" w:hAnsi="Calibri" w:cs="Calibri"/>
                <w:b w:val="0"/>
                <w:i w:val="0"/>
                <w:color w:val="000000"/>
                <w:sz w:val="12"/>
                <w:u w:val="none"/>
              </w:rPr>
              <w:tab/>
              <w:t>(9,0)</w:t>
              <w:tab/>
              <w:t>%</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2"/>
                <w:u w:val="none"/>
              </w:rPr>
              <w:t>Otros efectos fiscales por conciliación entre la ganancia contable y gasto por impuestos (ingreso).</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#DIV/0!</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(1.717)</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193"/>
              </w:tabs>
              <w:spacing w:before="0" w:after="0" w:line="240" w:lineRule="auto"/>
              <w:jc w:val="right"/>
            </w:pPr>
            <w:r>
              <w:rPr>
                <w:rFonts w:ascii="Calibri" w:eastAsia="Calibri" w:hAnsi="Calibri" w:cs="Calibri"/>
                <w:b w:val="0"/>
                <w:i w:val="0"/>
                <w:color w:val="000000"/>
                <w:sz w:val="12"/>
                <w:u w:val="none"/>
              </w:rPr>
              <w:tab/>
              <w:t>0,2</w:t>
              <w:tab/>
              <w:t>%</w:t>
            </w: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2"/>
                <w:u w:val="none"/>
              </w:rPr>
              <w:t>Total ajustes al gasto por impuestos utilizando la tasa legal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#DIV/0!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2"/>
                <w:u w:val="none"/>
              </w:rPr>
              <w:t>65.151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keepNext/>
              <w:pageBreakBefore w:val="0"/>
              <w:tabs>
                <w:tab w:val="left" w:pos="1"/>
                <w:tab w:val="left" w:pos="230"/>
              </w:tabs>
              <w:spacing w:before="0" w:after="0" w:line="240" w:lineRule="auto"/>
              <w:jc w:val="right"/>
            </w:pPr>
            <w:r>
              <w:rPr>
                <w:rFonts w:ascii="Calibri" w:eastAsia="Calibri" w:hAnsi="Calibri" w:cs="Calibri"/>
                <w:b/>
                <w:i w:val="0"/>
                <w:color w:val="FFFFFF"/>
                <w:sz w:val="12"/>
                <w:u w:val="none"/>
              </w:rPr>
              <w:tab/>
              <w:t>(8,8)</w:t>
              <w:tab/>
              <w:t>%</w:t>
            </w:r>
          </w:p>
        </w:tc>
      </w:tr>
      <w:tr>
        <w:tblPrEx>
          <w:tblW w:w="8550" w:type="dxa"/>
          <w:tblInd w:w="1417" w:type="dxa"/>
          <w:tblLayout w:type="fixed"/>
        </w:tblPrEx>
        <w:trPr>
          <w:cantSplit/>
          <w:trHeight w:hRule="auto" w:val="0"/>
        </w:trPr>
        <w:tc>
          <w:tcPr>
            <w:tcW w:w="495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9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50" w:type="dxa"/>
          <w:tblInd w:w="1417" w:type="dxa"/>
          <w:tblLayout w:type="fixed"/>
        </w:tblPrEx>
        <w:trPr>
          <w:cantSplit/>
          <w:trHeight w:hRule="auto" w:val="0"/>
        </w:trPr>
        <w:tc>
          <w:tcPr>
            <w:tcW w:w="49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 xml:space="preserve"> (Gasto) ingreso por impuestos a las ganancias, operaciones continuadas </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15" w:type="dxa"/>
            </w:tcMar>
            <w:vAlign w:val="center"/>
          </w:tcPr>
          <w:p>
            <w:pPr>
              <w:pageBreakBefore w:val="0"/>
              <w:spacing w:before="0" w:after="0" w:line="240" w:lineRule="auto"/>
              <w:jc w:val="right"/>
            </w:pPr>
            <w:r>
              <w:rPr>
                <w:rFonts w:ascii="Calibri" w:eastAsia="Calibri" w:hAnsi="Calibri" w:cs="Calibri"/>
                <w:b/>
                <w:i w:val="0"/>
                <w:color w:val="FFFFFF"/>
                <w:sz w:val="12"/>
                <w:u w:val="none"/>
              </w:rPr>
              <w:t>#DIV/0!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(135.001)</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253"/>
              </w:tabs>
              <w:spacing w:before="0" w:after="0" w:line="240" w:lineRule="auto"/>
              <w:jc w:val="right"/>
            </w:pPr>
            <w:r>
              <w:rPr>
                <w:rFonts w:ascii="Calibri" w:eastAsia="Calibri" w:hAnsi="Calibri" w:cs="Calibri"/>
                <w:b/>
                <w:i w:val="0"/>
                <w:color w:val="FFFFFF"/>
                <w:sz w:val="12"/>
                <w:u w:val="none"/>
              </w:rPr>
              <w:tab/>
              <w:t>18,2</w:t>
              <w:tab/>
              <w:t>%</w:t>
            </w:r>
          </w:p>
        </w:tc>
      </w:tr>
    </w:tbl>
    <w:p>
      <w:pPr>
        <w:keepNext w:val="0"/>
        <w:keepLines/>
        <w:pageBreakBefore w:val="0"/>
        <w:widowControl w:val="0"/>
        <w:numPr>
          <w:ilvl w:val="0"/>
          <w:numId w:val="0"/>
        </w:numPr>
        <w:spacing w:before="0" w:after="0" w:line="288" w:lineRule="auto"/>
        <w:ind w:left="720" w:right="0" w:firstLine="72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detalle del efecto fiscal de gastos no deducibles para la determinación de la ganancia (pérdida) tributable es el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50"/>
        <w:gridCol w:w="900"/>
        <w:gridCol w:w="900"/>
      </w:tblGrid>
      <w:tr>
        <w:tblPrEx>
          <w:tblW w:w="8550" w:type="dxa"/>
          <w:tblInd w:w="1417" w:type="dxa"/>
          <w:tblLayout w:type="fixed"/>
        </w:tblPrEx>
        <w:trPr>
          <w:cantSplit/>
          <w:trHeight w:hRule="auto" w:val="0"/>
        </w:trPr>
        <w:tc>
          <w:tcPr>
            <w:tcW w:w="675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Detalle Efecto fiscal de gastos no deducibles para la determinación de la ganancia (pérdida) tributable.</w:t>
            </w:r>
          </w:p>
        </w:tc>
        <w:tc>
          <w:tcPr>
            <w:tcW w:w="9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9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7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7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Correcciones monetarias (Capital propio tributario - Inversiones).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4"/>
                <w:u w:val="none"/>
              </w:rPr>
              <w:t>4.081</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4"/>
                <w:u w:val="none"/>
              </w:rPr>
              <w:t>35.995</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Multas fiscales.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4"/>
                <w:u w:val="none"/>
              </w:rPr>
              <w:t>0</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4"/>
                <w:u w:val="none"/>
              </w:rPr>
              <w:t>16.143</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23" w:after="20" w:line="240" w:lineRule="auto"/>
              <w:jc w:val="left"/>
            </w:pPr>
            <w:r>
              <w:rPr>
                <w:rFonts w:ascii="Calibri" w:eastAsia="Calibri" w:hAnsi="Calibri" w:cs="Calibri"/>
                <w:b w:val="0"/>
                <w:i w:val="0"/>
                <w:color w:val="000000"/>
                <w:sz w:val="16"/>
                <w:u w:val="none"/>
              </w:rPr>
              <w:t>Otras diferencias permanentes.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4"/>
                <w:u w:val="none"/>
              </w:rPr>
              <w:t>(13.805)</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23" w:after="20" w:line="240" w:lineRule="auto"/>
              <w:jc w:val="right"/>
            </w:pPr>
            <w:r>
              <w:rPr>
                <w:rFonts w:ascii="Calibri" w:eastAsia="Calibri" w:hAnsi="Calibri" w:cs="Calibri"/>
                <w:b w:val="0"/>
                <w:i w:val="0"/>
                <w:color w:val="000000"/>
                <w:sz w:val="14"/>
                <w:u w:val="none"/>
              </w:rPr>
              <w:t>(7.353)</w:t>
            </w:r>
          </w:p>
        </w:tc>
      </w:tr>
      <w:tr>
        <w:tblPrEx>
          <w:tblW w:w="8550" w:type="dxa"/>
          <w:tblInd w:w="1417" w:type="dxa"/>
          <w:tblLayout w:type="fixed"/>
        </w:tblPrEx>
        <w:trPr>
          <w:cantSplit/>
          <w:trHeight w:hRule="auto" w:val="0"/>
        </w:trPr>
        <w:tc>
          <w:tcPr>
            <w:tcW w:w="67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(9.724)</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44.785</w:t>
            </w:r>
          </w:p>
        </w:tc>
      </w:tr>
    </w:tbl>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211" w:name="Section111"/>
      <w:bookmarkEnd w:id="211"/>
      <w:bookmarkStart w:id="212" w:name="19538ead642445cf9ce02da913c4043e"/>
      <w:r>
        <w:rPr>
          <w:rFonts w:ascii="Calibri" w:eastAsia="Calibri" w:hAnsi="Calibri" w:cs="Calibri"/>
          <w:b/>
          <w:i w:val="0"/>
          <w:color w:val="000000"/>
          <w:sz w:val="20"/>
          <w:u w:val="none"/>
        </w:rPr>
        <w:t>24.3.-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Efecto en los resultados integrales por impuestos a las ganancias.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1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150"/>
        <w:gridCol w:w="900"/>
        <w:gridCol w:w="900"/>
        <w:gridCol w:w="900"/>
        <w:gridCol w:w="900"/>
        <w:gridCol w:w="900"/>
        <w:gridCol w:w="900"/>
      </w:tblGrid>
      <w:tr>
        <w:tblPrEx>
          <w:tblW w:w="8550" w:type="dxa"/>
          <w:tblInd w:w="1417" w:type="dxa"/>
          <w:tblLayout w:type="fixed"/>
        </w:tblPrEx>
        <w:trPr>
          <w:cantSplit/>
          <w:trHeight w:hRule="auto" w:val="0"/>
        </w:trPr>
        <w:tc>
          <w:tcPr>
            <w:tcW w:w="3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Importes antes de impuestos</w:t>
            </w:r>
          </w:p>
        </w:tc>
        <w:tc>
          <w:tcPr>
            <w:tcW w:w="2700" w:type="dxa"/>
            <w:gridSpan w:val="3"/>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01-01-2026</w:t>
            </w:r>
          </w:p>
        </w:tc>
        <w:tc>
          <w:tcPr>
            <w:tcW w:w="2700" w:type="dxa"/>
            <w:gridSpan w:val="3"/>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01-01-2025</w:t>
            </w:r>
          </w:p>
        </w:tc>
      </w:tr>
      <w:tr>
        <w:tblPrEx>
          <w:tblW w:w="8550" w:type="dxa"/>
          <w:tblInd w:w="1417" w:type="dxa"/>
          <w:tblLayout w:type="fixed"/>
        </w:tblPrEx>
        <w:trPr>
          <w:cantSplit/>
          <w:trHeight w:hRule="auto" w:val="0"/>
        </w:trPr>
        <w:tc>
          <w:tcPr>
            <w:tcW w:w="3150" w:type="dxa"/>
            <w:vMerge/>
            <w:tcBorders>
              <w:top w:val="nil"/>
              <w:left w:val="single" w:sz="2" w:space="0" w:color="000000"/>
              <w:bottom w:val="nil"/>
              <w:right w:val="single" w:sz="4" w:space="0" w:color="FFFFFF"/>
            </w:tcBorders>
          </w:tcPr>
          <w:p>
            <w:pPr>
              <w:keepNext/>
              <w:pageBreakBefore w:val="0"/>
            </w:pPr>
          </w:p>
        </w:tc>
        <w:tc>
          <w:tcPr>
            <w:tcW w:w="2700" w:type="dxa"/>
            <w:gridSpan w:val="3"/>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30-06-2026</w:t>
            </w:r>
          </w:p>
        </w:tc>
        <w:tc>
          <w:tcPr>
            <w:tcW w:w="2700" w:type="dxa"/>
            <w:gridSpan w:val="3"/>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30-06-2025</w:t>
            </w:r>
          </w:p>
        </w:tc>
      </w:tr>
      <w:tr>
        <w:tblPrEx>
          <w:tblW w:w="8550" w:type="dxa"/>
          <w:tblInd w:w="1417" w:type="dxa"/>
          <w:tblLayout w:type="fixed"/>
        </w:tblPrEx>
        <w:trPr>
          <w:cantSplit/>
          <w:trHeight w:hRule="auto" w:val="0"/>
        </w:trPr>
        <w:tc>
          <w:tcPr>
            <w:tcW w:w="3150" w:type="dxa"/>
            <w:vMerge/>
            <w:tcBorders>
              <w:top w:val="nil"/>
              <w:left w:val="single" w:sz="2" w:space="0" w:color="000000"/>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antes de impuestos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Gasto (ingreso) por impuesto a las ganancias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después de impuestos</w:t>
            </w:r>
          </w:p>
        </w:tc>
        <w:tc>
          <w:tcPr>
            <w:tcW w:w="900" w:type="dxa"/>
            <w:tcBorders>
              <w:top w:val="nil"/>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antes de impuestos</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Gasto (ingreso) por impuesto a las ganancias</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top"/>
          </w:tcPr>
          <w:p>
            <w:pPr>
              <w:keepNext/>
              <w:pageBreakBefore w:val="0"/>
              <w:spacing w:before="33" w:after="20" w:line="240" w:lineRule="auto"/>
              <w:jc w:val="center"/>
            </w:pPr>
            <w:r>
              <w:rPr>
                <w:rFonts w:ascii="Calibri" w:eastAsia="Calibri" w:hAnsi="Calibri" w:cs="Calibri"/>
                <w:b/>
                <w:i w:val="0"/>
                <w:color w:val="FFFFFF"/>
                <w:sz w:val="12"/>
                <w:u w:val="none"/>
              </w:rPr>
              <w:t>Importe después de impuestos</w:t>
            </w:r>
          </w:p>
        </w:tc>
      </w:tr>
      <w:tr>
        <w:tblPrEx>
          <w:tblW w:w="8550" w:type="dxa"/>
          <w:tblInd w:w="1417" w:type="dxa"/>
          <w:tblLayout w:type="fixed"/>
        </w:tblPrEx>
        <w:trPr>
          <w:cantSplit/>
          <w:trHeight w:hRule="auto" w:val="0"/>
        </w:trPr>
        <w:tc>
          <w:tcPr>
            <w:tcW w:w="3150" w:type="dxa"/>
            <w:vMerge/>
            <w:tcBorders>
              <w:top w:val="nil"/>
              <w:left w:val="single" w:sz="2" w:space="0" w:color="000000"/>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2"/>
                <w:u w:val="none"/>
              </w:rPr>
              <w:t>M$</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left"/>
            </w:pPr>
            <w:r>
              <w:rPr>
                <w:rFonts w:ascii="Calibri" w:eastAsia="Calibri" w:hAnsi="Calibri" w:cs="Calibri"/>
                <w:b w:val="0"/>
                <w:i w:val="0"/>
                <w:color w:val="000000"/>
                <w:sz w:val="12"/>
                <w:u w:val="none"/>
              </w:rPr>
              <w:t>Ganancias (pérdidas) por nuevas mediciones de planes de beneficios definidos.</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81.414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(21.982)</w:t>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23.836</w:t>
            </w:r>
          </w:p>
        </w:tc>
      </w:tr>
      <w:tr>
        <w:tblPrEx>
          <w:tblW w:w="8550" w:type="dxa"/>
          <w:tblInd w:w="1417" w:type="dxa"/>
          <w:tblLayout w:type="fixed"/>
        </w:tblPrEx>
        <w:trPr>
          <w:cantSplit/>
          <w:trHeight w:hRule="auto" w:val="0"/>
        </w:trPr>
        <w:tc>
          <w:tcPr>
            <w:tcW w:w="3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2"/>
                <w:u w:val="none"/>
              </w:rPr>
              <w:t>Total</w:t>
            </w:r>
          </w:p>
        </w:tc>
        <w:tc>
          <w:tcPr>
            <w:tcW w:w="9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0</w:t>
            </w:r>
          </w:p>
        </w:tc>
        <w:tc>
          <w:tcPr>
            <w:tcW w:w="9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nil"/>
              <w:bottom w:val="nil"/>
              <w:right w:val="nil"/>
            </w:tcBorders>
            <w:tcMar>
              <w:top w:w="0" w:type="dxa"/>
              <w:left w:w="0" w:type="dxa"/>
              <w:bottom w:w="0" w:type="dxa"/>
              <w:right w:w="0" w:type="dxa"/>
            </w:tcMar>
            <w:vAlign w:val="bottom"/>
          </w:tcPr>
          <w:p>
            <w:pPr>
              <w:pageBreakBefore w:val="0"/>
              <w:spacing w:before="0" w:after="0"/>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2"/>
                <w:u w:val="none"/>
              </w:rPr>
              <w:t>(21.982)</w:t>
            </w:r>
          </w:p>
        </w:tc>
        <w:tc>
          <w:tcPr>
            <w:tcW w:w="900" w:type="dxa"/>
            <w:tcBorders>
              <w:top w:val="single" w:sz="2" w:space="0" w:color="000000"/>
              <w:left w:val="single" w:sz="2" w:space="0" w:color="000000"/>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213" w:name="Section112"/>
      <w:bookmarkEnd w:id="213"/>
      <w:bookmarkStart w:id="214" w:name="fb2501c1e0fa499997a5998ed36cbcaf"/>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GANANCIAS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14"/>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utilidad por acción básica se calcula dividiendo la utilidad atribuible a los accionistas de CGE Comercializadora SpA. entre el promedio ponderado de las acciones comunes en circulación en el año, excluyendo de existir, las acciones comunes adquiridas por la Sociedad y mantenidas como acciones de tesorería.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255" w:type="dxa"/>
        <w:tblInd w:w="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855"/>
        <w:gridCol w:w="1200"/>
        <w:gridCol w:w="1200"/>
      </w:tblGrid>
      <w:tr>
        <w:tblPrEx>
          <w:tblW w:w="9255" w:type="dxa"/>
          <w:tblInd w:w="709" w:type="dxa"/>
          <w:tblLayout w:type="fixed"/>
        </w:tblPrEx>
        <w:trPr>
          <w:cantSplit/>
          <w:trHeight w:hRule="auto" w:val="0"/>
        </w:trPr>
        <w:tc>
          <w:tcPr>
            <w:tcW w:w="685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255" w:type="dxa"/>
          <w:tblInd w:w="709" w:type="dxa"/>
          <w:tblLayout w:type="fixed"/>
        </w:tblPrEx>
        <w:trPr>
          <w:cantSplit/>
          <w:trHeight w:hRule="auto" w:val="0"/>
        </w:trPr>
        <w:tc>
          <w:tcPr>
            <w:tcW w:w="685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255" w:type="dxa"/>
          <w:tblInd w:w="709" w:type="dxa"/>
          <w:tblLayout w:type="fixed"/>
        </w:tblPrEx>
        <w:trPr>
          <w:cantSplit/>
          <w:trHeight w:hRule="auto" w:val="0"/>
        </w:trPr>
        <w:tc>
          <w:tcPr>
            <w:tcW w:w="685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255" w:type="dxa"/>
          <w:tblInd w:w="709" w:type="dxa"/>
          <w:tblLayout w:type="fixed"/>
        </w:tblPrEx>
        <w:trPr>
          <w:cantSplit/>
          <w:trHeight w:hRule="exact" w:val="60"/>
        </w:trPr>
        <w:tc>
          <w:tcPr>
            <w:tcW w:w="68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606.303</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y diluidas en operaciones continuadas ($).</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404,20</w:t>
            </w:r>
          </w:p>
        </w:tc>
      </w:tr>
      <w:tr>
        <w:tblPrEx>
          <w:tblW w:w="9255" w:type="dxa"/>
          <w:tblInd w:w="709" w:type="dxa"/>
          <w:tblLayout w:type="fixed"/>
        </w:tblPrEx>
        <w:trPr>
          <w:cantSplit/>
          <w:trHeight w:hRule="auto" w:val="0"/>
        </w:trPr>
        <w:tc>
          <w:tcPr>
            <w:tcW w:w="68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Cantidad de acciones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1.500.000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1.500.000</w:t>
            </w:r>
          </w:p>
        </w:tc>
      </w:tr>
    </w:tbl>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existen transacciones o conceptos que generen efecto dilutivo.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215" w:name="Section113"/>
      <w:bookmarkEnd w:id="215"/>
      <w:bookmarkStart w:id="216" w:name="8de89191769f45619ea749624aa99dfe"/>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POR SEGMENTO.</w:t>
      </w:r>
    </w:p>
    <w:p>
      <w:pPr>
        <w:keepNext/>
        <w:keepLines w:val="0"/>
        <w:pageBreakBefore w:val="0"/>
        <w:widowControl/>
        <w:numPr>
          <w:ilvl w:val="0"/>
          <w:numId w:val="0"/>
        </w:numPr>
        <w:tabs>
          <w:tab w:val="left" w:pos="700"/>
        </w:tabs>
        <w:spacing w:before="0" w:after="0" w:line="288" w:lineRule="auto"/>
        <w:ind w:left="0" w:right="0" w:firstLine="708"/>
        <w:jc w:val="both"/>
        <w:outlineLvl w:val="9"/>
        <w:rPr>
          <w:rFonts w:ascii="Calibri" w:eastAsia="Calibri" w:hAnsi="Calibri" w:cs="Calibri"/>
          <w:b/>
          <w:i w:val="0"/>
          <w:color w:val="000000"/>
          <w:sz w:val="20"/>
          <w:u w:val="none"/>
        </w:rPr>
      </w:pPr>
      <w:bookmarkEnd w:id="216"/>
    </w:p>
    <w:p>
      <w:pPr>
        <w:keepNext/>
        <w:keepLines w:val="0"/>
        <w:pageBreakBefore w:val="0"/>
        <w:widowControl/>
        <w:numPr>
          <w:ilvl w:val="0"/>
          <w:numId w:val="0"/>
        </w:numPr>
        <w:tabs>
          <w:tab w:val="left" w:pos="700"/>
        </w:tabs>
        <w:spacing w:before="0" w:after="0" w:line="288" w:lineRule="auto"/>
        <w:ind w:left="0" w:right="0" w:firstLine="708"/>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217" w:name="Section114"/>
      <w:bookmarkEnd w:id="217"/>
      <w:bookmarkStart w:id="218" w:name="6fb0e52680bf49dcadc1d0ec11148514"/>
      <w:r>
        <w:rPr>
          <w:rFonts w:ascii="Calibri" w:eastAsia="Calibri" w:hAnsi="Calibri" w:cs="Calibri"/>
          <w:b/>
          <w:i w:val="0"/>
          <w:color w:val="000000"/>
          <w:sz w:val="20"/>
          <w:u w:val="none"/>
        </w:rPr>
        <w:t>26.1.-</w:t>
      </w:r>
      <w:r>
        <w:rPr>
          <w:rFonts w:ascii="Calibri" w:eastAsia="Calibri" w:hAnsi="Calibri" w:cs="Calibri"/>
          <w:b/>
          <w:i w:val="0"/>
          <w:color w:val="000000"/>
          <w:sz w:val="20"/>
          <w:u w:val="none"/>
        </w:rPr>
        <w:tab/>
      </w:r>
      <w:r>
        <w:rPr>
          <w:rFonts w:ascii="Calibri" w:eastAsia="Calibri" w:hAnsi="Calibri" w:cs="Calibri"/>
          <w:b/>
          <w:i w:val="0"/>
          <w:color w:val="000000"/>
          <w:sz w:val="20"/>
          <w:u w:val="none"/>
        </w:rPr>
        <w:t>Criterios de segmentación.</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218"/>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gerencia ha determinado los segmentos operativos sobre la base de los informes revisados por el comité ejecutivo estratégico.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comité considera el negocio desde una perspectiva asociada al tipo de servicio o producto vendido (Comercialización de energía eléctrica).</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indicadores utilizados por el comité ejecutivo para la medición de desempeño y asignación de recursos a cada segmento están vinculados con el margen de cada actividad y su EBITDA (Donde Ebitda se determina como (+) Ganancias (pérdidas) de actividades operacionales (+) Depreciación y retiros (+) Amortización).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información por segmentos que se entrega al comité ejecutivo estratégico de los segmentos reportables a nivel de estado de resultados por función y el estado de flujo de efectivo, es la siguiente:</w:t>
      </w:r>
    </w:p>
    <w:p>
      <w:pPr>
        <w:keepNext w:val="0"/>
        <w:keepLines w:val="0"/>
        <w:pageBreakBefore w:val="0"/>
        <w:widowControl/>
        <w:numPr>
          <w:ilvl w:val="0"/>
          <w:numId w:val="0"/>
        </w:numPr>
        <w:spacing w:before="0" w:after="0" w:line="288" w:lineRule="auto"/>
        <w:ind w:left="1416" w:right="0" w:firstLine="0"/>
        <w:jc w:val="both"/>
        <w:outlineLvl w:val="9"/>
        <w:rPr>
          <w:rFonts w:ascii="Arial" w:eastAsia="Arial" w:hAnsi="Arial" w:cs="Arial"/>
          <w:b w:val="0"/>
          <w:i w:val="0"/>
          <w:color w:val="000000"/>
          <w:sz w:val="20"/>
          <w:u w:val="none"/>
        </w:rPr>
      </w:pPr>
    </w:p>
    <w:p>
      <w:pPr>
        <w:keepNext w:val="0"/>
        <w:keepLines w:val="0"/>
        <w:pageBreakBefore w:val="0"/>
        <w:widowControl/>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20"/>
        <w:jc w:val="both"/>
        <w:outlineLvl w:val="1"/>
        <w:rPr>
          <w:rFonts w:ascii="Calibri" w:eastAsia="Calibri" w:hAnsi="Calibri" w:cs="Calibri"/>
          <w:b/>
          <w:i w:val="0"/>
          <w:color w:val="000000"/>
          <w:sz w:val="20"/>
          <w:highlight w:val="yellow"/>
          <w:u w:val="none"/>
        </w:rPr>
      </w:pPr>
      <w:bookmarkStart w:id="219" w:name="Section115"/>
      <w:bookmarkEnd w:id="219"/>
      <w:bookmarkStart w:id="220" w:name="8f40e9fbe9f04df9be1ea0430202146d"/>
      <w:r>
        <w:rPr>
          <w:rFonts w:ascii="Calibri" w:eastAsia="Calibri" w:hAnsi="Calibri" w:cs="Calibri"/>
          <w:b/>
          <w:i w:val="0"/>
          <w:color w:val="000000"/>
          <w:sz w:val="20"/>
          <w:u w:val="none"/>
        </w:rPr>
        <w:t>26.2.-</w:t>
      </w:r>
      <w:r>
        <w:rPr>
          <w:rFonts w:ascii="Calibri" w:eastAsia="Calibri" w:hAnsi="Calibri" w:cs="Calibri"/>
          <w:b/>
          <w:i w:val="0"/>
          <w:color w:val="000000"/>
          <w:sz w:val="20"/>
          <w:u w:val="none"/>
        </w:rPr>
        <w:tab/>
      </w:r>
      <w:r>
        <w:rPr>
          <w:rFonts w:ascii="Calibri" w:eastAsia="Calibri" w:hAnsi="Calibri" w:cs="Calibri"/>
          <w:b/>
          <w:i w:val="0"/>
          <w:color w:val="000000"/>
          <w:sz w:val="20"/>
          <w:u w:val="none"/>
        </w:rPr>
        <w:t>Cuadros de resultados por segmentos.</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20"/>
    </w:p>
    <w:tbl>
      <w:tblPr>
        <w:tblW w:w="8565"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65"/>
        <w:gridCol w:w="1200"/>
        <w:gridCol w:w="1200"/>
      </w:tblGrid>
      <w:tr>
        <w:tblPrEx>
          <w:tblW w:w="8565" w:type="dxa"/>
          <w:tblInd w:w="1417" w:type="dxa"/>
          <w:tblLayout w:type="fixed"/>
        </w:tblPrEx>
        <w:trPr>
          <w:cantSplit/>
          <w:trHeight w:hRule="exact" w:val="225"/>
          <w:tblHeader/>
        </w:trPr>
        <w:tc>
          <w:tcPr>
            <w:tcW w:w="61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Eléctrico Chile</w:t>
            </w:r>
          </w:p>
        </w:tc>
      </w:tr>
      <w:tr>
        <w:tblPrEx>
          <w:tblW w:w="8565" w:type="dxa"/>
          <w:tblInd w:w="1417" w:type="dxa"/>
          <w:tblLayout w:type="fixed"/>
        </w:tblPrEx>
        <w:trPr>
          <w:cantSplit/>
          <w:trHeight w:hRule="exact" w:val="225"/>
          <w:tblHeader/>
        </w:trPr>
        <w:tc>
          <w:tcPr>
            <w:tcW w:w="616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8565" w:type="dxa"/>
          <w:tblInd w:w="1417" w:type="dxa"/>
          <w:tblLayout w:type="fixed"/>
        </w:tblPrEx>
        <w:trPr>
          <w:cantSplit/>
          <w:trHeight w:hRule="exact" w:val="225"/>
          <w:tblHeader/>
        </w:trPr>
        <w:tc>
          <w:tcPr>
            <w:tcW w:w="6165"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8565" w:type="dxa"/>
          <w:tblInd w:w="1417" w:type="dxa"/>
          <w:tblLayout w:type="fixed"/>
        </w:tblPrEx>
        <w:trPr>
          <w:cantSplit/>
          <w:trHeight w:hRule="exact" w:val="225"/>
          <w:tblHeader/>
        </w:trPr>
        <w:tc>
          <w:tcPr>
            <w:tcW w:w="616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8565" w:type="dxa"/>
          <w:tblInd w:w="1417" w:type="dxa"/>
          <w:tblLayout w:type="fixed"/>
        </w:tblPrEx>
        <w:trPr>
          <w:cantSplit/>
          <w:trHeight w:hRule="exact" w:val="225"/>
          <w:tblHeader/>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13.251.454</w:t>
            </w:r>
          </w:p>
        </w:tc>
      </w:tr>
      <w:tr>
        <w:tblPrEx>
          <w:tblW w:w="8565" w:type="dxa"/>
          <w:tblInd w:w="1417" w:type="dxa"/>
          <w:tblLayout w:type="fixed"/>
        </w:tblPrEx>
        <w:trPr>
          <w:cantSplit/>
          <w:trHeight w:hRule="exact" w:val="225"/>
          <w:tblHeader/>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(10.311.616)</w:t>
            </w:r>
          </w:p>
        </w:tc>
      </w:tr>
      <w:tr>
        <w:tblPrEx>
          <w:tblW w:w="8565" w:type="dxa"/>
          <w:tblInd w:w="1417" w:type="dxa"/>
          <w:tblLayout w:type="fixed"/>
        </w:tblPrEx>
        <w:trPr>
          <w:cantSplit/>
          <w:trHeight w:hRule="exact" w:val="225"/>
          <w:tblHeader/>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2.939.838</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(1.038.554)</w:t>
            </w:r>
          </w:p>
        </w:tc>
      </w:tr>
      <w:tr>
        <w:tblPrEx>
          <w:tblW w:w="8565" w:type="dxa"/>
          <w:tblInd w:w="1417" w:type="dxa"/>
          <w:tblLayout w:type="fixed"/>
        </w:tblPrEx>
        <w:trPr>
          <w:cantSplit/>
          <w:trHeight w:hRule="exact" w:val="40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3.847</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388</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1.905.519</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77.918</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(9.503)</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(14.947)</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1.958.991</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(135.001)</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1.823.990</w:t>
            </w:r>
          </w:p>
        </w:tc>
      </w:tr>
      <w:tr>
        <w:tblPrEx>
          <w:tblW w:w="8565"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exact" w:val="31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exact" w:val="60"/>
        </w:trPr>
        <w:tc>
          <w:tcPr>
            <w:tcW w:w="61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Depreciación y retiros.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145.607</w:t>
            </w:r>
          </w:p>
        </w:tc>
      </w:tr>
      <w:tr>
        <w:tblPrEx>
          <w:tblW w:w="8565" w:type="dxa"/>
          <w:tblInd w:w="1417" w:type="dxa"/>
          <w:tblLayout w:type="fixed"/>
        </w:tblPrEx>
        <w:trPr>
          <w:cantSplit/>
          <w:trHeight w:hRule="exact" w:val="25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Amortización.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34.442</w:t>
            </w:r>
          </w:p>
        </w:tc>
      </w:tr>
      <w:tr>
        <w:tblPrEx>
          <w:tblW w:w="8565" w:type="dxa"/>
          <w:tblInd w:w="1417" w:type="dxa"/>
          <w:tblLayout w:type="fixed"/>
        </w:tblPrEx>
        <w:trPr>
          <w:cantSplit/>
          <w:trHeight w:hRule="exact" w:val="225"/>
        </w:trPr>
        <w:tc>
          <w:tcPr>
            <w:tcW w:w="61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EBITDA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2.085.568</w:t>
            </w:r>
          </w:p>
        </w:tc>
      </w:tr>
    </w:tbl>
    <w:p>
      <w:pPr>
        <w:keepNext w:val="0"/>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0" w:right="0" w:firstLine="720"/>
        <w:jc w:val="both"/>
        <w:outlineLvl w:val="9"/>
        <w:rPr>
          <w:rFonts w:ascii="Calibri" w:eastAsia="Calibri" w:hAnsi="Calibri" w:cs="Calibri"/>
          <w:b w:val="0"/>
          <w:i w:val="0"/>
          <w:sz w:val="20"/>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Calibri" w:eastAsia="Calibri" w:hAnsi="Calibri" w:cs="Calibri"/>
          <w:b/>
          <w:i w:val="0"/>
          <w:color w:val="000000"/>
          <w:sz w:val="20"/>
          <w:u w:val="none"/>
        </w:rPr>
      </w:pPr>
      <w:bookmarkStart w:id="221" w:name="Section116"/>
      <w:bookmarkEnd w:id="221"/>
      <w:bookmarkStart w:id="222" w:name="37f84e864dc44bc0a60384ffedb9d37e"/>
      <w:r>
        <w:rPr>
          <w:rFonts w:ascii="Calibri" w:eastAsia="Calibri" w:hAnsi="Calibri" w:cs="Calibri"/>
          <w:b/>
          <w:i w:val="0"/>
          <w:color w:val="000000"/>
          <w:sz w:val="20"/>
          <w:u w:val="none"/>
        </w:rPr>
        <w:t>26.3.-</w:t>
      </w:r>
      <w:r>
        <w:rPr>
          <w:rFonts w:ascii="Calibri" w:eastAsia="Calibri" w:hAnsi="Calibri" w:cs="Calibri"/>
          <w:b/>
          <w:i w:val="0"/>
          <w:color w:val="000000"/>
          <w:sz w:val="20"/>
          <w:u w:val="none"/>
        </w:rPr>
        <w:tab/>
      </w:r>
      <w:r>
        <w:rPr>
          <w:rFonts w:ascii="Calibri" w:eastAsia="Calibri" w:hAnsi="Calibri" w:cs="Calibri"/>
          <w:b/>
          <w:i w:val="0"/>
          <w:color w:val="000000"/>
          <w:sz w:val="20"/>
          <w:u w:val="none"/>
        </w:rPr>
        <w:t>Flujos de efectivo por segmento por método directo.</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bookmarkEnd w:id="222"/>
    </w:p>
    <w:tbl>
      <w:tblPr>
        <w:tblW w:w="85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150"/>
        <w:gridCol w:w="1200"/>
        <w:gridCol w:w="1200"/>
      </w:tblGrid>
      <w:tr>
        <w:tblPrEx>
          <w:tblW w:w="8550" w:type="dxa"/>
          <w:tblInd w:w="1417" w:type="dxa"/>
          <w:tblLayout w:type="fixed"/>
        </w:tblPrEx>
        <w:trPr>
          <w:cantSplit/>
          <w:trHeight w:hRule="auto" w:val="0"/>
        </w:trPr>
        <w:tc>
          <w:tcPr>
            <w:tcW w:w="6150"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ESTADO DE FLUJO DE EFECTIVO POR MÉTODO DIRECTO</w:t>
            </w:r>
          </w:p>
        </w:tc>
        <w:tc>
          <w:tcPr>
            <w:tcW w:w="24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Eléctrico Chile</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01-01-2026</w:t>
            </w: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01-01-2025</w:t>
            </w:r>
          </w:p>
        </w:tc>
      </w:tr>
      <w:tr>
        <w:tblPrEx>
          <w:tblW w:w="8550" w:type="dxa"/>
          <w:tblInd w:w="1417" w:type="dxa"/>
          <w:tblLayout w:type="fixed"/>
        </w:tblPrEx>
        <w:trPr>
          <w:cantSplit/>
          <w:trHeight w:hRule="auto" w:val="0"/>
        </w:trPr>
        <w:tc>
          <w:tcPr>
            <w:tcW w:w="615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30-06-2025</w:t>
            </w:r>
          </w:p>
        </w:tc>
      </w:tr>
      <w:tr>
        <w:tblPrEx>
          <w:tblW w:w="8550" w:type="dxa"/>
          <w:tblInd w:w="1417" w:type="dxa"/>
          <w:tblLayout w:type="fixed"/>
        </w:tblPrEx>
        <w:trPr>
          <w:cantSplit/>
          <w:trHeight w:hRule="auto" w:val="0"/>
        </w:trPr>
        <w:tc>
          <w:tcPr>
            <w:tcW w:w="615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886.868</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3.250.000</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Flujos de efectivo netos procedentes de (utilizados en) actividades de financiación.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(4.244.001)</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Incremento (disminución) neto de efectivo y equivalentes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(107.133)</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Efectivo y equivalentes al efectivo al principio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987.884</w:t>
            </w:r>
          </w:p>
        </w:tc>
      </w:tr>
      <w:tr>
        <w:tblPrEx>
          <w:tblW w:w="8550" w:type="dxa"/>
          <w:tblInd w:w="1417" w:type="dxa"/>
          <w:tblLayout w:type="fixed"/>
        </w:tblPrEx>
        <w:trPr>
          <w:cantSplit/>
          <w:trHeight w:hRule="auto" w:val="0"/>
        </w:trPr>
        <w:tc>
          <w:tcPr>
            <w:tcW w:w="615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Efectivo y equivalentes al efectivo al final del período o ejercicio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880.751</w:t>
            </w:r>
          </w:p>
        </w:tc>
      </w:tr>
    </w:tbl>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223" w:name="Section117"/>
      <w:bookmarkEnd w:id="223"/>
      <w:bookmarkStart w:id="224" w:name="b1a9664d32ba4802b36aaff49ab6d6cb"/>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CONTINGENCIAS, JUICIOS Y OTROS.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4"/>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225" w:name="Section118"/>
      <w:bookmarkEnd w:id="225"/>
      <w:bookmarkStart w:id="226" w:name="b27305af7c6c4e068c4635f85ef7cc6f"/>
      <w:r>
        <w:rPr>
          <w:rFonts w:ascii="Calibri" w:eastAsia="Calibri" w:hAnsi="Calibri" w:cs="Calibri"/>
          <w:b/>
          <w:i w:val="0"/>
          <w:color w:val="000000"/>
          <w:sz w:val="20"/>
          <w:u w:val="none"/>
        </w:rPr>
        <w:t>27.1.-</w:t>
      </w:r>
      <w:r>
        <w:rPr>
          <w:rFonts w:ascii="Calibri" w:eastAsia="Calibri" w:hAnsi="Calibri" w:cs="Calibri"/>
          <w:b/>
          <w:i w:val="0"/>
          <w:color w:val="000000"/>
          <w:sz w:val="20"/>
          <w:u w:val="none"/>
        </w:rPr>
        <w:tab/>
      </w:r>
      <w:r>
        <w:rPr>
          <w:rFonts w:ascii="Calibri" w:eastAsia="Calibri" w:hAnsi="Calibri" w:cs="Calibri"/>
          <w:b/>
          <w:i w:val="0"/>
          <w:color w:val="000000"/>
          <w:sz w:val="20"/>
          <w:u w:val="none"/>
        </w:rPr>
        <w:t>Juicios y otras acciones legales.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6"/>
    </w:p>
    <w:p>
      <w:pPr>
        <w:pStyle w:val="Normal-wk"/>
        <w:keepNext w:val="0"/>
        <w:keepLines/>
        <w:pageBreakBefore w:val="0"/>
        <w:widowControl w:val="0"/>
        <w:numPr>
          <w:ilvl w:val="0"/>
          <w:numId w:val="0"/>
        </w:numPr>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hay juicios y otras acciones legales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9"/>
        <w:jc w:val="both"/>
        <w:outlineLvl w:val="1"/>
        <w:rPr>
          <w:rFonts w:ascii="Calibri" w:eastAsia="Calibri" w:hAnsi="Calibri" w:cs="Calibri"/>
          <w:b/>
          <w:i w:val="0"/>
          <w:color w:val="000000"/>
          <w:sz w:val="20"/>
          <w:u w:val="none"/>
        </w:rPr>
      </w:pPr>
      <w:bookmarkStart w:id="227" w:name="Section119"/>
      <w:bookmarkEnd w:id="227"/>
      <w:bookmarkStart w:id="228" w:name="dcc5f860cd04473b8bc1d156b2ceee5e"/>
      <w:r>
        <w:rPr>
          <w:rFonts w:ascii="Calibri" w:eastAsia="Calibri" w:hAnsi="Calibri" w:cs="Calibri"/>
          <w:b/>
          <w:i w:val="0"/>
          <w:color w:val="000000"/>
          <w:sz w:val="20"/>
          <w:u w:val="none"/>
        </w:rPr>
        <w:t>27.2.-</w:t>
      </w:r>
      <w:r>
        <w:rPr>
          <w:rFonts w:ascii="Calibri" w:eastAsia="Calibri" w:hAnsi="Calibri" w:cs="Calibri"/>
          <w:b/>
          <w:i w:val="0"/>
          <w:color w:val="000000"/>
          <w:sz w:val="20"/>
          <w:u w:val="none"/>
        </w:rPr>
        <w:tab/>
      </w:r>
      <w:r>
        <w:rPr>
          <w:rFonts w:ascii="Calibri" w:eastAsia="Calibri" w:hAnsi="Calibri" w:cs="Calibri"/>
          <w:b/>
          <w:i w:val="0"/>
          <w:color w:val="000000"/>
          <w:sz w:val="20"/>
          <w:u w:val="none"/>
        </w:rPr>
        <w:t>Sanciones administrativas.</w:t>
      </w:r>
    </w:p>
    <w:p>
      <w:pPr>
        <w:keepNext w:val="0"/>
        <w:keepLines/>
        <w:pageBreakBefore w:val="0"/>
        <w:widowControl w:val="0"/>
        <w:numPr>
          <w:ilvl w:val="0"/>
          <w:numId w:val="0"/>
        </w:numPr>
        <w:spacing w:before="0" w:after="0" w:line="288" w:lineRule="auto"/>
        <w:ind w:left="2269" w:right="0" w:hanging="851"/>
        <w:jc w:val="both"/>
        <w:outlineLvl w:val="9"/>
        <w:rPr>
          <w:rFonts w:ascii="Calibri" w:eastAsia="Calibri" w:hAnsi="Calibri" w:cs="Calibri"/>
          <w:b w:val="0"/>
          <w:i w:val="0"/>
          <w:color w:val="000000"/>
          <w:sz w:val="20"/>
          <w:u w:val="none"/>
        </w:rPr>
      </w:pPr>
      <w:bookmarkEnd w:id="228"/>
    </w:p>
    <w:p>
      <w:pPr>
        <w:pStyle w:val="Normal-wk"/>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y Ejecutivos no han sido sancionados por autoridades administrativas durante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Calibri" w:eastAsia="Calibri" w:hAnsi="Calibri" w:cs="Calibri"/>
          <w:b/>
          <w:i w:val="0"/>
          <w:color w:val="000000"/>
          <w:sz w:val="20"/>
          <w:u w:val="none"/>
        </w:rPr>
      </w:pPr>
      <w:bookmarkStart w:id="229" w:name="Section120"/>
      <w:bookmarkEnd w:id="229"/>
      <w:bookmarkStart w:id="230" w:name="2228d6f4e1c34896b82ca2ad9bba910d"/>
      <w:r>
        <w:rPr>
          <w:rFonts w:ascii="Calibri" w:eastAsia="Calibri" w:hAnsi="Calibri" w:cs="Calibri"/>
          <w:b/>
          <w:i w:val="0"/>
          <w:color w:val="000000"/>
          <w:sz w:val="20"/>
          <w:u w:val="none"/>
        </w:rPr>
        <w:t>27.3.-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Restricciones.</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bookmarkEnd w:id="230"/>
    </w:p>
    <w:p>
      <w:pPr>
        <w:pStyle w:val="Normal-wk"/>
        <w:keepNext w:val="0"/>
        <w:keepLines/>
        <w:pageBreakBefore w:val="0"/>
        <w:widowControl w:val="0"/>
        <w:numPr>
          <w:ilvl w:val="0"/>
          <w:numId w:val="0"/>
        </w:numPr>
        <w:spacing w:before="0" w:after="0" w:line="288" w:lineRule="auto"/>
        <w:ind w:left="1410" w:right="0" w:firstLine="4"/>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cierre de los estados financieros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la Sociedad no ha convenido restricciones financieras.</w:t>
      </w:r>
    </w:p>
    <w:p>
      <w:pPr>
        <w:keepNext w:val="0"/>
        <w:keepLines/>
        <w:pageBreakBefore w:val="0"/>
        <w:widowControl w:val="0"/>
        <w:numPr>
          <w:ilvl w:val="0"/>
          <w:numId w:val="0"/>
        </w:numPr>
        <w:spacing w:before="0" w:after="0" w:line="288" w:lineRule="auto"/>
        <w:ind w:left="1410" w:right="0" w:firstLine="4"/>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0" w:right="0" w:firstLine="4"/>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i w:val="0"/>
          <w:color w:val="000000"/>
          <w:sz w:val="20"/>
          <w:u w:val="none"/>
        </w:rPr>
      </w:pPr>
      <w:bookmarkStart w:id="231" w:name="Section121"/>
      <w:bookmarkEnd w:id="231"/>
      <w:bookmarkStart w:id="232" w:name="4d0dfefcc64b4a3c889738b90573ab2b"/>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2"/>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distribución de personal de CGE Comercializadora SpA.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814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tblGrid>
      <w:tr>
        <w:tblPrEx>
          <w:tblW w:w="8145" w:type="dxa"/>
          <w:tblInd w:w="720"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Sociedad</w:t>
            </w:r>
          </w:p>
        </w:tc>
        <w:tc>
          <w:tcPr>
            <w:tcW w:w="328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8145" w:type="dxa"/>
          <w:tblInd w:w="720"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95" w:type="dxa"/>
            <w:vMerge/>
            <w:tcBorders>
              <w:top w:val="nil"/>
              <w:left w:val="single" w:sz="4" w:space="0" w:color="FFFFFF"/>
              <w:bottom w:val="nil"/>
              <w:right w:val="single" w:sz="2" w:space="0" w:color="000000"/>
            </w:tcBorders>
          </w:tcPr>
          <w:p>
            <w:pPr>
              <w:keepNext/>
              <w:pageBreakBefore w:val="0"/>
            </w:pPr>
          </w:p>
        </w:tc>
      </w:tr>
      <w:tr>
        <w:tblPrEx>
          <w:tblW w:w="8145" w:type="dxa"/>
          <w:tblInd w:w="720"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2" w:space="0" w:color="000000"/>
            </w:tcBorders>
          </w:tcPr>
          <w:p>
            <w:pPr>
              <w:keepNext/>
              <w:pageBreakBefore w:val="0"/>
            </w:pPr>
          </w:p>
        </w:tc>
      </w:tr>
      <w:tr>
        <w:tblPrEx>
          <w:tblW w:w="8145" w:type="dxa"/>
          <w:tblInd w:w="720"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145"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CGE Comercializadora SpA.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37</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w:t>
            </w:r>
          </w:p>
        </w:tc>
      </w:tr>
      <w:tr>
        <w:tblPrEx>
          <w:tblW w:w="8145" w:type="dxa"/>
          <w:tblInd w:w="720" w:type="dxa"/>
          <w:tblLayout w:type="fixed"/>
        </w:tblPrEx>
        <w:trPr>
          <w:cantSplit/>
          <w:trHeight w:hRule="auto" w:val="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145"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37</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tbl>
      <w:tblPr>
        <w:tblW w:w="814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3765"/>
        <w:gridCol w:w="1095"/>
        <w:gridCol w:w="1095"/>
        <w:gridCol w:w="1095"/>
        <w:gridCol w:w="1095"/>
      </w:tblGrid>
      <w:tr>
        <w:tblPrEx>
          <w:tblW w:w="8145" w:type="dxa"/>
          <w:tblInd w:w="720" w:type="dxa"/>
          <w:tblLayout w:type="fixed"/>
        </w:tblPrEx>
        <w:trPr>
          <w:cantSplit/>
          <w:trHeight w:hRule="auto" w:val="0"/>
        </w:trPr>
        <w:tc>
          <w:tcPr>
            <w:tcW w:w="376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Sociedad</w:t>
            </w:r>
          </w:p>
        </w:tc>
        <w:tc>
          <w:tcPr>
            <w:tcW w:w="3285" w:type="dxa"/>
            <w:gridSpan w:val="3"/>
            <w:tcBorders>
              <w:top w:val="single" w:sz="2" w:space="0" w:color="000000"/>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c>
          <w:tcPr>
            <w:tcW w:w="1095" w:type="dxa"/>
            <w:vMerge w:val="restart"/>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Promedio del ejercicio</w:t>
            </w:r>
          </w:p>
        </w:tc>
      </w:tr>
      <w:tr>
        <w:tblPrEx>
          <w:tblW w:w="8145" w:type="dxa"/>
          <w:tblInd w:w="720" w:type="dxa"/>
          <w:tblLayout w:type="fixed"/>
        </w:tblPrEx>
        <w:trPr>
          <w:cantSplit/>
          <w:trHeight w:hRule="auto" w:val="0"/>
        </w:trPr>
        <w:tc>
          <w:tcPr>
            <w:tcW w:w="3765" w:type="dxa"/>
            <w:vMerge/>
            <w:tcBorders>
              <w:top w:val="nil"/>
              <w:left w:val="single" w:sz="2" w:space="0" w:color="000000"/>
              <w:bottom w:val="nil"/>
              <w:right w:val="single" w:sz="4" w:space="0" w:color="FFFFFF"/>
            </w:tcBorders>
          </w:tcPr>
          <w:p>
            <w:pPr>
              <w:keepNext/>
              <w:pageBreakBefore w:val="0"/>
            </w:pPr>
          </w:p>
        </w:tc>
        <w:tc>
          <w:tcPr>
            <w:tcW w:w="1095" w:type="dxa"/>
            <w:vMerge w:val="restart"/>
            <w:tcBorders>
              <w:top w:val="nil"/>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Gerentes y ejecutivos principales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Profesionales y técnicos</w:t>
            </w:r>
          </w:p>
        </w:tc>
        <w:tc>
          <w:tcPr>
            <w:tcW w:w="1095" w:type="dxa"/>
            <w:vMerge w:val="restart"/>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1095" w:type="dxa"/>
            <w:vMerge/>
            <w:tcBorders>
              <w:top w:val="nil"/>
              <w:left w:val="single" w:sz="4" w:space="0" w:color="FFFFFF"/>
              <w:bottom w:val="nil"/>
              <w:right w:val="single" w:sz="2" w:space="0" w:color="000000"/>
            </w:tcBorders>
          </w:tcPr>
          <w:p>
            <w:pPr>
              <w:keepNext/>
              <w:pageBreakBefore w:val="0"/>
            </w:pPr>
          </w:p>
        </w:tc>
      </w:tr>
      <w:tr>
        <w:tblPrEx>
          <w:tblW w:w="8145" w:type="dxa"/>
          <w:tblInd w:w="720" w:type="dxa"/>
          <w:tblLayout w:type="fixed"/>
        </w:tblPrEx>
        <w:trPr>
          <w:cantSplit/>
          <w:trHeight w:hRule="auto" w:val="0"/>
        </w:trPr>
        <w:tc>
          <w:tcPr>
            <w:tcW w:w="3765" w:type="dxa"/>
            <w:vMerge/>
            <w:tcBorders>
              <w:top w:val="nil"/>
              <w:left w:val="single" w:sz="2" w:space="0" w:color="000000"/>
              <w:bottom w:val="single" w:sz="2" w:space="0" w:color="000000"/>
              <w:right w:val="single" w:sz="4" w:space="0" w:color="FFFFFF"/>
            </w:tcBorders>
          </w:tcPr>
          <w:p>
            <w:pPr>
              <w:keepNext/>
              <w:pageBreakBefore w:val="0"/>
            </w:pPr>
          </w:p>
        </w:tc>
        <w:tc>
          <w:tcPr>
            <w:tcW w:w="1095" w:type="dxa"/>
            <w:vMerge/>
            <w:tcBorders>
              <w:top w:val="nil"/>
              <w:left w:val="nil"/>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nil"/>
            </w:tcBorders>
          </w:tcPr>
          <w:p>
            <w:pPr>
              <w:keepNext/>
              <w:pageBreakBefore w:val="0"/>
            </w:pPr>
          </w:p>
        </w:tc>
        <w:tc>
          <w:tcPr>
            <w:tcW w:w="1095" w:type="dxa"/>
            <w:vMerge/>
            <w:tcBorders>
              <w:top w:val="nil"/>
              <w:left w:val="single" w:sz="4" w:space="0" w:color="FFFFFF"/>
              <w:bottom w:val="single" w:sz="2" w:space="0" w:color="000000"/>
              <w:right w:val="single" w:sz="2" w:space="0" w:color="000000"/>
            </w:tcBorders>
          </w:tcPr>
          <w:p>
            <w:pPr>
              <w:keepNext/>
              <w:pageBreakBefore w:val="0"/>
            </w:pPr>
          </w:p>
        </w:tc>
      </w:tr>
      <w:tr>
        <w:tblPrEx>
          <w:tblW w:w="8145" w:type="dxa"/>
          <w:tblInd w:w="720" w:type="dxa"/>
          <w:tblLayout w:type="fixed"/>
        </w:tblPrEx>
        <w:trPr>
          <w:cantSplit/>
          <w:trHeight w:hRule="exact" w:val="6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145"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CGE Comercializadora SpA.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FFFFFF"/>
                <w:sz w:val="16"/>
                <w:u w:val="none"/>
              </w:rPr>
              <w:t>38</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w:t>
            </w:r>
          </w:p>
        </w:tc>
      </w:tr>
      <w:tr>
        <w:tblPrEx>
          <w:tblW w:w="8145" w:type="dxa"/>
          <w:tblInd w:w="720" w:type="dxa"/>
          <w:tblLayout w:type="fixed"/>
        </w:tblPrEx>
        <w:trPr>
          <w:cantSplit/>
          <w:trHeight w:hRule="auto" w:val="0"/>
        </w:trPr>
        <w:tc>
          <w:tcPr>
            <w:tcW w:w="37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8145" w:type="dxa"/>
          <w:tblInd w:w="720" w:type="dxa"/>
          <w:tblLayout w:type="fixed"/>
        </w:tblPrEx>
        <w:trPr>
          <w:cantSplit/>
          <w:trHeight w:hRule="auto" w:val="0"/>
        </w:trPr>
        <w:tc>
          <w:tcPr>
            <w:tcW w:w="37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38</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i w:val="0"/>
          <w:color w:val="000000"/>
          <w:sz w:val="20"/>
          <w:u w:val="none"/>
        </w:rPr>
      </w:pPr>
      <w:bookmarkStart w:id="233" w:name="Section122"/>
      <w:bookmarkEnd w:id="233"/>
      <w:bookmarkStart w:id="234" w:name="45bf910d08804719b731dc3722d20e88"/>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HECHOS POSTERIORES.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34"/>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Entre el </w:t>
      </w:r>
      <w:r>
        <w:rPr>
          <w:rFonts w:ascii="Calibri" w:eastAsia="Calibri" w:hAnsi="Calibri" w:cs="Calibri"/>
          <w:b w:val="0"/>
          <w:i w:val="0"/>
          <w:color w:val="000000"/>
          <w:sz w:val="20"/>
          <w:u w:val="none"/>
        </w:rPr>
        <w:t>30 de junio de 2026</w:t>
      </w:r>
      <w:r>
        <w:rPr>
          <w:rFonts w:ascii="Calibri" w:eastAsia="Calibri" w:hAnsi="Calibri" w:cs="Calibri"/>
          <w:b w:val="0"/>
          <w:i w:val="0"/>
          <w:sz w:val="20"/>
        </w:rPr>
        <w:t>,</w:t>
      </w:r>
      <w:r>
        <w:rPr>
          <w:rFonts w:ascii="Calibri" w:eastAsia="Calibri" w:hAnsi="Calibri" w:cs="Calibri"/>
          <w:b w:val="0"/>
          <w:i w:val="0"/>
          <w:color w:val="000000"/>
          <w:sz w:val="20"/>
          <w:u w:val="none"/>
        </w:rPr>
        <w:t xml:space="preserve"> fecha de cierre de los estados financieros, y su fecha de presentación, no han ocurrido hechos significativos de carácter financiero-contable que pudieran afectar el patrimonio de la Sociedad o</w:t>
      </w:r>
    </w:p>
    <w:p>
      <w:pPr>
        <w:pStyle w:val="Normal-wk"/>
        <w:keepNext w:val="0"/>
        <w:keepLines/>
        <w:pageBreakBefore w:val="0"/>
        <w:widowControl w:val="0"/>
        <w:numPr>
          <w:ilvl w:val="0"/>
          <w:numId w:val="0"/>
        </w:numPr>
        <w:spacing w:before="0" w:after="0" w:line="240" w:lineRule="exact"/>
        <w:ind w:left="705"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interpretación de éstos.</w:t>
      </w:r>
    </w:p>
    <w:sectPr>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9340"/>
      </w:tabs>
      <w:spacing w:before="0" w:after="0" w:line="288" w:lineRule="auto"/>
      <w:ind w:left="0" w:right="0" w:firstLine="0"/>
      <w:jc w:val="both"/>
      <w:outlineLvl w:val="9"/>
      <w:rPr>
        <w:rFonts w:ascii="Calibri" w:eastAsia="Calibri" w:hAnsi="Calibri" w:cs="Calibri"/>
        <w:b w:val="0"/>
        <w:i w:val="0"/>
        <w:color w:val="000000"/>
        <w:sz w:val="20"/>
        <w:u w:val="none"/>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9340"/>
      </w:tabs>
      <w:spacing w:before="0" w:after="0" w:line="288" w:lineRule="auto"/>
      <w:ind w:left="0" w:right="0" w:firstLine="0"/>
      <w:jc w:val="both"/>
      <w:outlineLvl w:val="9"/>
      <w:rPr>
        <w:rFonts w:ascii="Calibri" w:eastAsia="Calibri" w:hAnsi="Calibri" w:cs="Calibri"/>
        <w:b w:val="0"/>
        <w:i w:val="0"/>
        <w:color w:val="000000"/>
        <w:sz w:val="20"/>
        <w:u w:val="none"/>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498.9pt;height:1.98pt">
          <v:imagedata r:id="rId1" o:title=""/>
          <o:lock v:ext="edit" aspectratio="t"/>
        </v:shape>
      </w:pict>
    </w:r>
  </w:p>
  <w:p>
    <w:pPr>
      <w:pStyle w:val="Estndar"/>
      <w:keepNext w:val="0"/>
      <w:keepLines w:val="0"/>
      <w:pageBreakBefore w:val="0"/>
      <w:widowControl/>
      <w:numPr>
        <w:ilvl w:val="0"/>
        <w:numId w:val="0"/>
      </w:numPr>
      <w:tabs>
        <w:tab w:val="right" w:pos="940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Las notas adjuntas forman parte integral de estos estados financieros.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right" w:pos="13600"/>
      </w:tabs>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Estndar"/>
      <w:keepNext w:val="0"/>
      <w:keepLines w:val="0"/>
      <w:pageBreakBefore w:val="0"/>
      <w:widowControl/>
      <w:numPr>
        <w:ilvl w:val="0"/>
        <w:numId w:val="0"/>
      </w:numPr>
      <w:tabs>
        <w:tab w:val="right" w:pos="940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Las notas adjuntas forman parte integral de estos estados financieros.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0"/>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11</w:t>
    </w:r>
    <w:r>
      <w:rPr>
        <w:rFonts w:ascii="Calibri" w:eastAsia="Calibri" w:hAnsi="Calibri" w:cs="Calibri"/>
        <w:b w:val="0"/>
        <w:i w:val="0"/>
        <w:sz w:val="20"/>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0"/>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12</w:t>
    </w:r>
    <w:r>
      <w:rPr>
        <w:rFonts w:ascii="Calibri" w:eastAsia="Calibri" w:hAnsi="Calibri" w:cs="Calibri"/>
        <w:b w:val="0"/>
        <w:i w:val="0"/>
        <w:sz w:val="20"/>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18</w:t>
    </w:r>
    <w:r>
      <w:rPr>
        <w:rFonts w:ascii="Calibri" w:eastAsia="Calibri" w:hAnsi="Calibri" w:cs="Calibri"/>
        <w:b w:val="0"/>
        <w:i w:val="0"/>
        <w:sz w:val="20"/>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19</w:t>
    </w:r>
    <w:r>
      <w:rPr>
        <w:rFonts w:ascii="Calibri" w:eastAsia="Calibri" w:hAnsi="Calibri" w:cs="Calibri"/>
        <w:b w:val="0"/>
        <w:i w:val="0"/>
        <w:sz w:val="20"/>
      </w:rP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21</w:t>
    </w:r>
    <w:r>
      <w:rPr>
        <w:rFonts w:ascii="Calibri" w:eastAsia="Calibri" w:hAnsi="Calibri" w:cs="Calibri"/>
        <w:b w:val="0"/>
        <w:i w:val="0"/>
        <w:sz w:val="20"/>
      </w:rP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8"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9"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23</w:t>
    </w:r>
    <w:r>
      <w:rPr>
        <w:rFonts w:ascii="Calibri" w:eastAsia="Calibri" w:hAnsi="Calibri" w:cs="Calibri"/>
        <w:b w:val="0"/>
        <w:i w:val="0"/>
        <w:sz w:val="20"/>
      </w:rP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0"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0"/>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1"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24</w:t>
    </w:r>
    <w:r>
      <w:rPr>
        <w:rFonts w:ascii="Calibri" w:eastAsia="Calibri" w:hAnsi="Calibri" w:cs="Calibri"/>
        <w:b w:val="0"/>
        <w:i w:val="0"/>
        <w:sz w:val="20"/>
      </w:rP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2"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fldChar w:fldCharType="end"/>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3"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25</w:t>
    </w:r>
    <w:r>
      <w:rPr>
        <w:rFonts w:ascii="Calibri" w:eastAsia="Calibri" w:hAnsi="Calibri" w:cs="Calibri"/>
        <w:b w:val="0"/>
        <w:i w:val="0"/>
        <w:sz w:val="20"/>
      </w:rPr>
      <w:fldChar w:fldCharType="end"/>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0"/>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4"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fldChar w:fldCharType="end"/>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5"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fldChar w:fldCharType="end"/>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6"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26</w:t>
    </w:r>
    <w:r>
      <w:rPr>
        <w:rFonts w:ascii="Calibri" w:eastAsia="Calibri" w:hAnsi="Calibri" w:cs="Calibri"/>
        <w:b w:val="0"/>
        <w:i w:val="0"/>
        <w:sz w:val="20"/>
      </w:rPr>
      <w:fldChar w:fldCharType="end"/>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left" w:pos="700"/>
        <w:tab w:val="right" w:pos="13600"/>
      </w:tabs>
      <w:spacing w:before="0" w:after="0" w:line="288" w:lineRule="auto"/>
      <w:ind w:left="0" w:right="0" w:firstLine="0"/>
      <w:jc w:val="right"/>
      <w:outlineLvl w:val="1"/>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7"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fldChar w:fldCharType="end"/>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8" type="#_x0000_t75" style="width:677.48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0" w:lineRule="exact"/>
      <w:ind w:left="11520" w:right="0" w:firstLine="72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Página</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27</w:t>
    </w:r>
    <w:r>
      <w:rPr>
        <w:rFonts w:ascii="Calibri" w:eastAsia="Calibri" w:hAnsi="Calibri" w:cs="Calibri"/>
        <w:b w:val="0"/>
        <w:i w:val="0"/>
        <w:sz w:val="20"/>
      </w:rPr>
      <w:fldChar w:fldCharType="end"/>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69"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29</w:t>
    </w:r>
    <w:r>
      <w:rPr>
        <w:rFonts w:ascii="Calibri" w:eastAsia="Calibri" w:hAnsi="Calibri" w:cs="Calibri"/>
        <w:b w:val="0"/>
        <w:i w:val="0"/>
        <w:sz w:val="20"/>
      </w:rPr>
      <w:fldChar w:fldCharType="end"/>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0"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30</w:t>
    </w:r>
    <w:r>
      <w:rPr>
        <w:rFonts w:ascii="Calibri" w:eastAsia="Calibri" w:hAnsi="Calibri" w:cs="Calibri"/>
        <w:b w:val="0"/>
        <w:i w:val="0"/>
        <w:sz w:val="20"/>
      </w:rPr>
      <w:fldChar w:fldCharType="end"/>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right" w:pos="13600"/>
      </w:tabs>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1" type="#_x0000_t75" style="width:498.9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79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32</w:t>
    </w:r>
    <w:r>
      <w:rPr>
        <w:rFonts w:ascii="Calibri" w:eastAsia="Calibri" w:hAnsi="Calibri" w:cs="Calibri"/>
        <w:b w:val="0"/>
        <w:i w:val="0"/>
        <w:sz w:val="20"/>
      </w:rPr>
      <w:fldChar w:fldCharType="end"/>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2" type="#_x0000_t75" style="width:677.48pt;height:1.98pt">
          <v:imagedata r:id="rId1" o:title=""/>
          <o:lock v:ext="edit" aspectratio="t"/>
        </v:shape>
      </w:pict>
    </w:r>
    <w:r>
      <w:rPr>
        <w:rFonts w:ascii="Calibri" w:eastAsia="Calibri" w:hAnsi="Calibri" w:cs="Calibri"/>
        <w:b/>
        <w:i w:val="0"/>
        <w:color w:val="548DD4"/>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35</w:t>
    </w:r>
    <w:r>
      <w:rPr>
        <w:rFonts w:ascii="Calibri" w:eastAsia="Calibri" w:hAnsi="Calibri" w:cs="Calibri"/>
        <w:b w:val="0"/>
        <w:i w:val="0"/>
        <w:color w:val="000000"/>
        <w:sz w:val="20"/>
        <w:u w:val="none"/>
      </w:rPr>
      <w:fldChar w:fldCharType="end"/>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3" type="#_x0000_t75" style="width:498.9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0" w:lineRule="exact"/>
      <w:ind w:left="7920" w:right="0" w:firstLine="720"/>
      <w:jc w:val="both"/>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39</w:t>
    </w:r>
    <w:r>
      <w:rPr>
        <w:rFonts w:ascii="Calibri" w:eastAsia="Calibri" w:hAnsi="Calibri" w:cs="Calibri"/>
        <w:b w:val="0"/>
        <w:i w:val="0"/>
        <w:sz w:val="20"/>
      </w:rPr>
      <w:fldChar w:fldCharType="end"/>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74"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56</w:t>
    </w:r>
    <w:r>
      <w:rPr>
        <w:rFonts w:ascii="Calibri" w:eastAsia="Calibri" w:hAnsi="Calibri" w:cs="Calibri"/>
        <w:b w:val="0"/>
        <w:i w:val="0"/>
        <w:sz w:val="20"/>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center" w:pos="4240"/>
        <w:tab w:val="right" w:pos="8500"/>
      </w:tabs>
      <w:spacing w:before="0" w:after="0" w:line="288" w:lineRule="auto"/>
      <w:ind w:left="0" w:right="-377" w:firstLine="0"/>
      <w:jc w:val="right"/>
      <w:outlineLvl w:val="9"/>
      <w:rPr>
        <w:rFonts w:ascii="Calibri" w:eastAsia="Calibri" w:hAnsi="Calibri" w:cs="Calibri"/>
        <w:b w:val="0"/>
        <w:i w:val="0"/>
        <w:color w:val="000000"/>
        <w:sz w:val="20"/>
        <w:u w:val="none"/>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377"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53.07pt;height:79.37pt">
          <v:imagedata r:id="rId1" o:title=""/>
          <o:lock v:ext="edit" aspectratio="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center"/>
      <w:outlineLvl w:val="9"/>
      <w:rPr>
        <w:rFonts w:ascii="Calibri" w:eastAsia="Calibri" w:hAnsi="Calibri" w:cs="Calibri"/>
        <w:b w:val="0"/>
        <w:i w:val="0"/>
        <w:color w:val="000000"/>
        <w:sz w:val="20"/>
        <w:u w:val="none"/>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1417" w:right="0" w:hanging="709"/>
      <w:jc w:val="both"/>
      <w:outlineLvl w:val="9"/>
      <w:rPr>
        <w:rFonts w:ascii="Calibri" w:eastAsia="Calibri" w:hAnsi="Calibri" w:cs="Calibri"/>
        <w:b w:val="0"/>
        <w:i w:val="0"/>
        <w:color w:val="000000"/>
        <w:sz w:val="20"/>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1417" w:right="0" w:hanging="709"/>
      <w:jc w:val="both"/>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both"/>
      <w:outlineLvl w:val="9"/>
      <w:rPr>
        <w:rFonts w:ascii="Calibri" w:eastAsia="Calibri" w:hAnsi="Calibri" w:cs="Calibri"/>
        <w:b w:val="0"/>
        <w:i w:val="0"/>
        <w:color w:val="000000"/>
        <w:sz w:val="20"/>
        <w:u w:val="none"/>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2580"/>
        <w:tab w:val="center" w:pos="4240"/>
        <w:tab w:val="left" w:pos="5880"/>
        <w:tab w:val="center" w:pos="6720"/>
        <w:tab w:val="right" w:pos="8500"/>
        <w:tab w:val="right" w:pos="8820"/>
        <w:tab w:val="left" w:pos="10840"/>
      </w:tabs>
      <w:spacing w:before="0" w:after="240" w:line="288" w:lineRule="auto"/>
      <w:ind w:left="1417" w:right="0" w:firstLine="0"/>
      <w:jc w:val="center"/>
      <w:outlineLvl w:val="9"/>
      <w:rPr>
        <w:rFonts w:ascii="Calibri" w:eastAsia="Calibri" w:hAnsi="Calibri" w:cs="Calibri"/>
        <w:b w:val="0"/>
        <w:i w:val="0"/>
        <w:color w:val="000000"/>
        <w:sz w:val="20"/>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720"/>
        </w:tabs>
        <w:ind w:left="720" w:hanging="360"/>
      </w:pPr>
      <w:rPr>
        <w:rFonts w:ascii="Calibri" w:eastAsia="Calibri" w:hAnsi="Calibri" w:cs="Calibri"/>
        <w:b/>
        <w:i w:val="0"/>
        <w:strike w:val="0"/>
        <w:color w:val="000000"/>
        <w:sz w:val="22"/>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hybridMultilevel"/>
    <w:tmpl w:val="0000000E"/>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multilevel"/>
    <w:tmpl w:val="00000003"/>
    <w:lvl w:ilvl="0">
      <w:start w:val="1"/>
      <w:numFmt w:val="lowerRoman"/>
      <w:lvlText w:val="%1)"/>
      <w:lvlJc w:val="left"/>
      <w:pPr>
        <w:tabs>
          <w:tab w:val="num" w:pos="2835"/>
        </w:tabs>
        <w:ind w:left="720" w:hanging="360"/>
      </w:pPr>
      <w:rPr>
        <w:rFonts w:ascii="Calibri" w:eastAsia="Calibri" w:hAnsi="Calibri" w:cs="Calibri"/>
        <w:b w:val="0"/>
        <w:i w:val="0"/>
        <w:strike w:val="0"/>
        <w:sz w:val="20"/>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5">
    <w:nsid w:val="00000010"/>
    <w:multiLevelType w:val="hybridMultilevel"/>
    <w:tmpl w:val="00000010"/>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0" w:after="0" w:line="288" w:lineRule="auto"/>
      <w:ind w:left="0" w:firstLine="0"/>
      <w:jc w:val="left"/>
    </w:pPr>
    <w:rPr>
      <w:rFonts w:ascii="Calibri" w:eastAsia="Calibri" w:hAnsi="Calibri" w:cs="Calibri"/>
      <w:b/>
      <w:i w:val="0"/>
      <w:color w:val="000000"/>
      <w:spacing w:val="0"/>
      <w:sz w:val="20"/>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88" w:lineRule="auto"/>
      <w:ind w:left="0" w:firstLine="0"/>
      <w:jc w:val="both"/>
    </w:pPr>
    <w:rPr>
      <w:rFonts w:ascii="Calibri" w:eastAsia="Calibri" w:hAnsi="Calibri" w:cs="Calibri"/>
      <w:b/>
      <w:i w:val="0"/>
      <w:color w:val="000000"/>
      <w:spacing w:val="0"/>
      <w:sz w:val="20"/>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footer" Target="footer4.xml"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footer" Target="footer7.xml" /><Relationship Id="rId18" Type="http://schemas.openxmlformats.org/officeDocument/2006/relationships/footer" Target="footer8.xml"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footer" Target="footer14.xml" /><Relationship Id="rId26" Type="http://schemas.openxmlformats.org/officeDocument/2006/relationships/footer" Target="footer15.xml" /><Relationship Id="rId27" Type="http://schemas.openxmlformats.org/officeDocument/2006/relationships/footer" Target="footer16.xml" /><Relationship Id="rId28" Type="http://schemas.openxmlformats.org/officeDocument/2006/relationships/footer" Target="footer17.xml" /><Relationship Id="rId29" Type="http://schemas.openxmlformats.org/officeDocument/2006/relationships/footer" Target="footer18.xml" /><Relationship Id="rId3" Type="http://schemas.openxmlformats.org/officeDocument/2006/relationships/fontTable" Target="fontTable.xml" /><Relationship Id="rId30" Type="http://schemas.openxmlformats.org/officeDocument/2006/relationships/footer" Target="footer19.xml" /><Relationship Id="rId31" Type="http://schemas.openxmlformats.org/officeDocument/2006/relationships/footer" Target="footer20.xml" /><Relationship Id="rId32" Type="http://schemas.openxmlformats.org/officeDocument/2006/relationships/header" Target="header8.xml" /><Relationship Id="rId33" Type="http://schemas.openxmlformats.org/officeDocument/2006/relationships/footer" Target="footer21.xml" /><Relationship Id="rId34" Type="http://schemas.openxmlformats.org/officeDocument/2006/relationships/header" Target="header9.xml" /><Relationship Id="rId35" Type="http://schemas.openxmlformats.org/officeDocument/2006/relationships/footer" Target="footer22.xml" /><Relationship Id="rId36" Type="http://schemas.openxmlformats.org/officeDocument/2006/relationships/header" Target="header10.xml" /><Relationship Id="rId37" Type="http://schemas.openxmlformats.org/officeDocument/2006/relationships/footer" Target="footer23.xml" /><Relationship Id="rId38" Type="http://schemas.openxmlformats.org/officeDocument/2006/relationships/header" Target="header11.xml" /><Relationship Id="rId39" Type="http://schemas.openxmlformats.org/officeDocument/2006/relationships/footer" Target="footer24.xml" /><Relationship Id="rId4" Type="http://schemas.openxmlformats.org/officeDocument/2006/relationships/header" Target="header1.xml" /><Relationship Id="rId40" Type="http://schemas.openxmlformats.org/officeDocument/2006/relationships/header" Target="header12.xml" /><Relationship Id="rId41" Type="http://schemas.openxmlformats.org/officeDocument/2006/relationships/footer" Target="footer25.xml" /><Relationship Id="rId42" Type="http://schemas.openxmlformats.org/officeDocument/2006/relationships/header" Target="header13.xml" /><Relationship Id="rId43" Type="http://schemas.openxmlformats.org/officeDocument/2006/relationships/footer" Target="footer26.xml" /><Relationship Id="rId44" Type="http://schemas.openxmlformats.org/officeDocument/2006/relationships/footer" Target="footer27.xml" /><Relationship Id="rId45" Type="http://schemas.openxmlformats.org/officeDocument/2006/relationships/theme" Target="theme/theme1.xml" /><Relationship Id="rId46" Type="http://schemas.openxmlformats.org/officeDocument/2006/relationships/numbering" Target="numbering.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2.png" /><Relationship Id="rId9" Type="http://schemas.openxmlformats.org/officeDocument/2006/relationships/header" Target="header3.xml" /></Relationships>
</file>

<file path=word/_rels/footer3.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footer10.xml.rels><?xml version="1.0" encoding="utf-8" standalone="yes"?><Relationships xmlns="http://schemas.openxmlformats.org/package/2006/relationships"><Relationship Id="rId1" Type="http://schemas.openxmlformats.org/officeDocument/2006/relationships/image" Target="media/image2.png" /></Relationships>
</file>

<file path=word/_rels/footer11.xml.rels><?xml version="1.0" encoding="utf-8" standalone="yes"?><Relationships xmlns="http://schemas.openxmlformats.org/package/2006/relationships"><Relationship Id="rId1" Type="http://schemas.openxmlformats.org/officeDocument/2006/relationships/image" Target="media/image2.png" /></Relationships>
</file>

<file path=word/_rels/footer12.xml.rels><?xml version="1.0" encoding="utf-8" standalone="yes"?><Relationships xmlns="http://schemas.openxmlformats.org/package/2006/relationships"><Relationship Id="rId1" Type="http://schemas.openxmlformats.org/officeDocument/2006/relationships/image" Target="media/image2.png" /></Relationships>
</file>

<file path=word/_rels/footer13.xml.rels><?xml version="1.0" encoding="utf-8" standalone="yes"?><Relationships xmlns="http://schemas.openxmlformats.org/package/2006/relationships"><Relationship Id="rId1" Type="http://schemas.openxmlformats.org/officeDocument/2006/relationships/image" Target="media/image2.png" /></Relationships>
</file>

<file path=word/_rels/footer14.xml.rels><?xml version="1.0" encoding="utf-8" standalone="yes"?><Relationships xmlns="http://schemas.openxmlformats.org/package/2006/relationships"><Relationship Id="rId1" Type="http://schemas.openxmlformats.org/officeDocument/2006/relationships/image" Target="media/image2.png" /></Relationships>
</file>

<file path=word/_rels/footer15.xml.rels><?xml version="1.0" encoding="utf-8" standalone="yes"?><Relationships xmlns="http://schemas.openxmlformats.org/package/2006/relationships"><Relationship Id="rId1" Type="http://schemas.openxmlformats.org/officeDocument/2006/relationships/image" Target="media/image2.png" /></Relationships>
</file>

<file path=word/_rels/footer16.xml.rels><?xml version="1.0" encoding="utf-8" standalone="yes"?><Relationships xmlns="http://schemas.openxmlformats.org/package/2006/relationships"><Relationship Id="rId1" Type="http://schemas.openxmlformats.org/officeDocument/2006/relationships/image" Target="media/image2.png" /></Relationships>
</file>

<file path=word/_rels/footer17.xml.rels><?xml version="1.0" encoding="utf-8" standalone="yes"?><Relationships xmlns="http://schemas.openxmlformats.org/package/2006/relationships"><Relationship Id="rId1" Type="http://schemas.openxmlformats.org/officeDocument/2006/relationships/image" Target="media/image2.png" /></Relationships>
</file>

<file path=word/_rels/footer18.xml.rels><?xml version="1.0" encoding="utf-8" standalone="yes"?><Relationships xmlns="http://schemas.openxmlformats.org/package/2006/relationships"><Relationship Id="rId1" Type="http://schemas.openxmlformats.org/officeDocument/2006/relationships/image" Target="media/image2.png" /></Relationships>
</file>

<file path=word/_rels/footer19.xml.rels><?xml version="1.0" encoding="utf-8" standalone="yes"?><Relationships xmlns="http://schemas.openxmlformats.org/package/2006/relationships"><Relationship Id="rId1" Type="http://schemas.openxmlformats.org/officeDocument/2006/relationships/image" Target="media/image2.png" /></Relationships>
</file>

<file path=word/_rels/footer20.xml.rels><?xml version="1.0" encoding="utf-8" standalone="yes"?><Relationships xmlns="http://schemas.openxmlformats.org/package/2006/relationships"><Relationship Id="rId1" Type="http://schemas.openxmlformats.org/officeDocument/2006/relationships/image" Target="media/image2.png" /></Relationships>
</file>

<file path=word/_rels/footer21.xml.rels><?xml version="1.0" encoding="utf-8" standalone="yes"?><Relationships xmlns="http://schemas.openxmlformats.org/package/2006/relationships"><Relationship Id="rId1" Type="http://schemas.openxmlformats.org/officeDocument/2006/relationships/image" Target="media/image2.png" /></Relationships>
</file>

<file path=word/_rels/footer22.xml.rels><?xml version="1.0" encoding="utf-8" standalone="yes"?><Relationships xmlns="http://schemas.openxmlformats.org/package/2006/relationships"><Relationship Id="rId1" Type="http://schemas.openxmlformats.org/officeDocument/2006/relationships/image" Target="media/image2.png" /></Relationships>
</file>

<file path=word/_rels/footer23.xml.rels><?xml version="1.0" encoding="utf-8" standalone="yes"?><Relationships xmlns="http://schemas.openxmlformats.org/package/2006/relationships"><Relationship Id="rId1" Type="http://schemas.openxmlformats.org/officeDocument/2006/relationships/image" Target="media/image2.png" /></Relationships>
</file>

<file path=word/_rels/footer24.xml.rels><?xml version="1.0" encoding="utf-8" standalone="yes"?><Relationships xmlns="http://schemas.openxmlformats.org/package/2006/relationships"><Relationship Id="rId1" Type="http://schemas.openxmlformats.org/officeDocument/2006/relationships/image" Target="media/image2.png" /></Relationships>
</file>

<file path=word/_rels/footer25.xml.rels><?xml version="1.0" encoding="utf-8" standalone="yes"?><Relationships xmlns="http://schemas.openxmlformats.org/package/2006/relationships"><Relationship Id="rId1" Type="http://schemas.openxmlformats.org/officeDocument/2006/relationships/image" Target="media/image2.png" /></Relationships>
</file>

<file path=word/_rels/footer26.xml.rels><?xml version="1.0" encoding="utf-8" standalone="yes"?><Relationships xmlns="http://schemas.openxmlformats.org/package/2006/relationships"><Relationship Id="rId1" Type="http://schemas.openxmlformats.org/officeDocument/2006/relationships/image" Target="media/image2.png" /></Relationships>
</file>

<file path=word/_rels/footer27.xml.rels><?xml version="1.0" encoding="utf-8" standalone="yes"?><Relationships xmlns="http://schemas.openxmlformats.org/package/2006/relationships"><Relationship Id="rId1"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58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E215 (ESP) - EE.FF 06-2026 - CGE Comercializadora SpA.</dc:title>
  <cp:revision>1</cp:revision>
</cp:coreProperties>
</file>