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bookmarkStart w:id="0" w:name="Section1"/>
      <w:bookmarkEnd w:id="0"/>
    </w:p>
    <w:p w:rsidR="00A77B3E">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i w:val="0"/>
          <w:color w:val="000000"/>
          <w:sz w:val="28"/>
          <w:u w:val="none"/>
        </w:rPr>
        <w:t>CONTENIDO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8"/>
          <w:u w:val="none"/>
        </w:rPr>
        <w:tab/>
      </w:r>
    </w:p>
    <w:p>
      <w:pPr>
        <w:pStyle w:val="ListParagraph-wk"/>
        <w:keepNext w:val="0"/>
        <w:keepLines/>
        <w:pageBreakBefore w:val="0"/>
        <w:widowControl w:val="0"/>
        <w:numPr>
          <w:ilvl w:val="0"/>
          <w:numId w:val="13"/>
        </w:numPr>
        <w:spacing w:before="0" w:after="0" w:line="288" w:lineRule="auto"/>
        <w:ind w:left="720" w:right="0" w:hanging="360"/>
        <w:jc w:val="left"/>
        <w:outlineLvl w:val="9"/>
        <w:rPr>
          <w:rFonts w:ascii="Calibri" w:eastAsia="Calibri" w:hAnsi="Calibri" w:cs="Calibri"/>
          <w:b/>
          <w:i w:val="0"/>
          <w:color w:val="000000"/>
          <w:sz w:val="22"/>
          <w:u w:val="none"/>
        </w:rPr>
      </w:pPr>
      <w:r>
        <w:rPr>
          <w:rFonts w:ascii="Calibri" w:eastAsia="Calibri" w:hAnsi="Calibri" w:cs="Calibri"/>
          <w:b/>
          <w:i w:val="0"/>
          <w:color w:val="000000"/>
          <w:sz w:val="22"/>
          <w:u w:val="none"/>
        </w:rPr>
        <w:t>ESTADOS FINANCIEROS INTERMEDIOS.</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pStyle w:val="Normal-wk"/>
        <w:keepNext w:val="0"/>
        <w:keepLines/>
        <w:pageBreakBefore w:val="0"/>
        <w:widowControl w:val="0"/>
        <w:numPr>
          <w:ilvl w:val="0"/>
          <w:numId w:val="0"/>
        </w:numPr>
        <w:spacing w:before="0" w:after="0" w:line="264" w:lineRule="exact"/>
        <w:ind w:left="709" w:right="0" w:firstLine="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2"/>
          <w:u w:val="none"/>
        </w:rPr>
        <w:t>ESTADO INTERMEDIO DE SITUACIÓN FINANCIERA CLASIFICADO.</w:t>
      </w:r>
    </w:p>
    <w:p w:rsidR="00A77B3E">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2"/>
          <w:u w:val="none"/>
        </w:rPr>
        <w:t>Activos.</w:t>
      </w:r>
    </w:p>
    <w:p w:rsidR="00A77B3E">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2"/>
          <w:u w:val="none"/>
        </w:rPr>
        <w:t>Patrimonio y pasivos.</w:t>
      </w:r>
    </w:p>
    <w:p w:rsidR="00A77B3E">
      <w:pPr>
        <w:pStyle w:val="Normal-wk"/>
        <w:keepNext w:val="0"/>
        <w:keepLines/>
        <w:pageBreakBefore w:val="0"/>
        <w:widowControl w:val="0"/>
        <w:numPr>
          <w:ilvl w:val="0"/>
          <w:numId w:val="0"/>
        </w:numPr>
        <w:spacing w:before="0" w:after="0" w:line="264" w:lineRule="exact"/>
        <w:ind w:left="709" w:right="0" w:firstLine="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2"/>
          <w:u w:val="none"/>
        </w:rPr>
        <w:t>ESTADO INTERMEDIO DE RESULTADOS POR FUNCIÓN.</w:t>
      </w:r>
    </w:p>
    <w:p w:rsidR="00A77B3E">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2"/>
          <w:u w:val="none"/>
        </w:rPr>
        <w:t>ESTADO INTERMEDIO DE RESULTADO INTEGRAL.</w:t>
      </w:r>
    </w:p>
    <w:p w:rsidR="00A77B3E">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2"/>
          <w:u w:val="none"/>
        </w:rPr>
        <w:t>ESTADO INTERMEDIO DE CAMBIOS EN EL PATRIMONIO NETO.</w:t>
      </w:r>
    </w:p>
    <w:p w:rsidR="00A77B3E">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2"/>
          <w:u w:val="none"/>
        </w:rPr>
        <w:t>ESTADO INTERMEDIO DE FLUJO DE EFECTIVO DIRECTO.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ListParagraph-wk"/>
        <w:keepNext w:val="0"/>
        <w:keepLines/>
        <w:pageBreakBefore w:val="0"/>
        <w:widowControl w:val="0"/>
        <w:numPr>
          <w:ilvl w:val="0"/>
          <w:numId w:val="13"/>
        </w:numPr>
        <w:spacing w:before="0" w:after="0" w:line="288" w:lineRule="auto"/>
        <w:ind w:left="720" w:right="0" w:hanging="360"/>
        <w:jc w:val="left"/>
        <w:outlineLvl w:val="9"/>
        <w:rPr>
          <w:rFonts w:ascii="Calibri" w:eastAsia="Calibri" w:hAnsi="Calibri" w:cs="Calibri"/>
          <w:b/>
          <w:i w:val="0"/>
          <w:color w:val="000000"/>
          <w:sz w:val="22"/>
          <w:u w:val="none"/>
        </w:rPr>
      </w:pPr>
      <w:r>
        <w:rPr>
          <w:rFonts w:ascii="Calibri" w:eastAsia="Calibri" w:hAnsi="Calibri" w:cs="Calibri"/>
          <w:b/>
          <w:i w:val="0"/>
          <w:color w:val="000000"/>
          <w:sz w:val="22"/>
          <w:u w:val="none"/>
        </w:rPr>
        <w:t>NOTAS A LOS ESTADOS FINANCIEROS INTERMEDIOS.</w:t>
      </w:r>
    </w:p>
    <w:p w:rsidR="00A77B3E">
      <w:pPr>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4"/>
          <w:u w:val="none"/>
        </w:rPr>
      </w:pPr>
    </w:p>
    <w:p w:rsidR="00A77B3E">
      <w:pPr>
        <w:pStyle w:val="Normal-wk"/>
        <w:keepNext w:val="0"/>
        <w:keepLines/>
        <w:pageBreakBefore w:val="0"/>
        <w:widowControl w:val="0"/>
        <w:numPr>
          <w:ilvl w:val="0"/>
          <w:numId w:val="0"/>
        </w:numPr>
        <w:tabs>
          <w:tab w:val="left" w:pos="700"/>
        </w:tabs>
        <w:spacing w:before="0" w:after="0" w:line="288" w:lineRule="auto"/>
        <w:ind w:left="108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4"/>
          <w:u w:val="none"/>
        </w:rPr>
        <w:tab/>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rsidR="00A77B3E">
      <w:pPr>
        <w:pStyle w:val="Normal-wk"/>
        <w:keepNext w:val="0"/>
        <w:keepLines/>
        <w:pageBreakBefore w:val="0"/>
        <w:widowControl w:val="0"/>
        <w:numPr>
          <w:ilvl w:val="0"/>
          <w:numId w:val="0"/>
        </w:numPr>
        <w:tabs>
          <w:tab w:val="left" w:pos="700"/>
        </w:tabs>
        <w:spacing w:before="0" w:after="0" w:line="240" w:lineRule="exact"/>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 estadounidense.</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sectPr>
          <w:headerReference w:type="default" r:id="rId4"/>
          <w:footerReference w:type="default" r:id="rId5"/>
          <w:headerReference w:type="first" r:id="rId6"/>
          <w:footerReference w:type="first" r:id="rId7"/>
          <w:type w:val="continuous"/>
          <w:pgSz w:w="12240" w:h="15840"/>
          <w:pgMar w:top="1134" w:right="1134" w:bottom="1412" w:left="1134" w:header="0" w:footer="0" w:gutter="0"/>
          <w:cols w:space="708"/>
          <w:titlePg/>
          <w:docGrid w:linePitch="360"/>
        </w:sect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bookmarkStart w:id="1" w:name="Section2"/>
      <w:bookmarkEnd w:id="1"/>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1340"/>
        </w:tabs>
        <w:spacing w:before="0" w:after="0" w:line="288" w:lineRule="auto"/>
        <w:ind w:left="0" w:right="0" w:firstLine="0"/>
        <w:jc w:val="center"/>
        <w:outlineLvl w:val="0"/>
        <w:rPr>
          <w:rFonts w:ascii="Calibri" w:eastAsia="Calibri" w:hAnsi="Calibri" w:cs="Calibri"/>
          <w:b w:val="0"/>
          <w:i w:val="0"/>
          <w:color w:val="000000"/>
          <w:sz w:val="30"/>
          <w:u w:val="none"/>
        </w:rPr>
      </w:pPr>
      <w:r>
        <w:rPr>
          <w:rFonts w:ascii="Calibri" w:eastAsia="Calibri" w:hAnsi="Calibri" w:cs="Calibri"/>
          <w:b/>
          <w:i w:val="0"/>
          <w:color w:val="000000"/>
          <w:sz w:val="30"/>
          <w:u w:val="none"/>
        </w:rPr>
        <w:t>CGE SERVICIOS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30"/>
          <w:u w:val="none"/>
        </w:rPr>
      </w:pPr>
      <w:r>
        <w:rPr>
          <w:rFonts w:ascii="Calibri" w:eastAsia="Calibri" w:hAnsi="Calibri" w:cs="Calibri"/>
          <w:b/>
          <w:i w:val="0"/>
          <w:color w:val="000000"/>
          <w:sz w:val="30"/>
          <w:u w:val="none"/>
        </w:rPr>
        <w:t>ESTADOS FINANCIEROS INTERMEDIOS</w:t>
      </w:r>
    </w:p>
    <w:p>
      <w:pPr>
        <w:pStyle w:val="Normal-wk"/>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(Expresado en miles de pesos chilenos)</w:t>
      </w:r>
    </w:p>
    <w:p>
      <w:pPr>
        <w:pStyle w:val="Normal-wk"/>
        <w:keepNext w:val="0"/>
        <w:keepLines/>
        <w:pageBreakBefore w:val="0"/>
        <w:widowControl w:val="0"/>
        <w:numPr>
          <w:ilvl w:val="0"/>
          <w:numId w:val="0"/>
        </w:numPr>
        <w:tabs>
          <w:tab w:val="left" w:pos="1340"/>
        </w:tabs>
        <w:spacing w:before="0" w:after="0" w:line="288" w:lineRule="exact"/>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Correspondientes a los períodos terminados al</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30 de junio de 2026 y 2025</w:t>
      </w:r>
    </w:p>
    <w:p>
      <w:pPr>
        <w:keepNext w:val="0"/>
        <w:keepLines/>
        <w:pageBreakBefore w:val="0"/>
        <w:widowControl w:val="0"/>
        <w:numPr>
          <w:ilvl w:val="0"/>
          <w:numId w:val="0"/>
        </w:numPr>
        <w:tabs>
          <w:tab w:val="left" w:pos="1340"/>
        </w:tabs>
        <w:spacing w:before="0" w:after="0" w:line="288" w:lineRule="auto"/>
        <w:ind w:left="0" w:right="0" w:firstLine="0"/>
        <w:jc w:val="center"/>
        <w:outlineLvl w:val="9"/>
        <w:sectPr>
          <w:headerReference w:type="default" r:id="rId8"/>
          <w:footerReference w:type="default" r:id="rId9"/>
          <w:headerReference w:type="first" r:id="rId10"/>
          <w:footerReference w:type="first" r:id="rId11"/>
          <w:pgSz w:w="12240" w:h="15840"/>
          <w:pgMar w:top="1134" w:right="1134" w:bottom="1134" w:left="1134" w:header="414" w:footer="0"/>
          <w:cols w:space="708"/>
          <w:titlePg/>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2" w:name="Section3"/>
      <w:bookmarkEnd w:id="2"/>
      <w:r>
        <w:rPr>
          <w:rFonts w:ascii="Calibri" w:eastAsia="Calibri" w:hAnsi="Calibri" w:cs="Calibri"/>
          <w:b/>
          <w:i w:val="0"/>
          <w:color w:val="000000"/>
          <w:sz w:val="20"/>
          <w:u w:val="none"/>
        </w:rPr>
        <w:t>CGE SERVICIOS S.A.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w:t>
      </w:r>
      <w:r>
        <w:rPr>
          <w:rFonts w:ascii="Calibri" w:eastAsia="Calibri" w:hAnsi="Calibri" w:cs="Calibri"/>
          <w:b/>
          <w:i w:val="0"/>
          <w:color w:val="000000"/>
          <w:sz w:val="20"/>
          <w:u w:val="none"/>
        </w:rPr>
        <w:t xml:space="preserve"> (no auditado) y </w:t>
      </w:r>
      <w:r>
        <w:rPr>
          <w:rFonts w:ascii="Calibri" w:eastAsia="Calibri" w:hAnsi="Calibri" w:cs="Calibri"/>
          <w:b/>
          <w:i w:val="0"/>
          <w:color w:val="000000"/>
          <w:sz w:val="20"/>
          <w:u w:val="none"/>
        </w:rPr>
        <w:t>31 de diciembre de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480"/>
        <w:gridCol w:w="480"/>
        <w:gridCol w:w="1500"/>
        <w:gridCol w:w="1500"/>
      </w:tblGrid>
      <w:tr>
        <w:tblPrEx>
          <w:tblW w:w="9960" w:type="dxa"/>
          <w:tblInd w:w="0" w:type="dxa"/>
          <w:tblLayout w:type="fixed"/>
        </w:tblPrEx>
        <w:trPr>
          <w:cantSplit/>
          <w:trHeight w:hRule="exact" w:val="240"/>
        </w:trPr>
        <w:tc>
          <w:tcPr>
            <w:tcW w:w="64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5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5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64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5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5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6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1.183</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338.110</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8.367.603</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55.211</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5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8.762.107</w:t>
            </w:r>
          </w:p>
        </w:tc>
      </w:tr>
      <w:tr>
        <w:tblPrEx>
          <w:tblW w:w="9960" w:type="dxa"/>
          <w:tblInd w:w="0" w:type="dxa"/>
          <w:tblLayout w:type="fixed"/>
        </w:tblPrEx>
        <w:trPr>
          <w:cantSplit/>
          <w:trHeight w:hRule="exact" w:val="60"/>
        </w:trPr>
        <w:tc>
          <w:tcPr>
            <w:tcW w:w="6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8.810</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Inversiones contabilizadas utilizando el método de la participación.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131.611</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25.057</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derecho de uso.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666.268</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5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831.746</w:t>
            </w:r>
          </w:p>
        </w:tc>
      </w:tr>
      <w:tr>
        <w:tblPrEx>
          <w:tblW w:w="9960" w:type="dxa"/>
          <w:tblInd w:w="0" w:type="dxa"/>
          <w:tblLayout w:type="fixed"/>
        </w:tblPrEx>
        <w:trPr>
          <w:cantSplit/>
          <w:trHeight w:hRule="exact" w:val="60"/>
        </w:trPr>
        <w:tc>
          <w:tcPr>
            <w:tcW w:w="6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5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9.593.853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SERVICIOS S.A.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w:t>
      </w:r>
      <w:r>
        <w:rPr>
          <w:rFonts w:ascii="Calibri" w:eastAsia="Calibri" w:hAnsi="Calibri" w:cs="Calibri"/>
          <w:b/>
          <w:i w:val="0"/>
          <w:color w:val="000000"/>
          <w:sz w:val="20"/>
          <w:u w:val="none"/>
        </w:rPr>
        <w:t xml:space="preserve"> (no auditado) y </w:t>
      </w:r>
      <w:r>
        <w:rPr>
          <w:rFonts w:ascii="Calibri" w:eastAsia="Calibri" w:hAnsi="Calibri" w:cs="Calibri"/>
          <w:b/>
          <w:i w:val="0"/>
          <w:color w:val="000000"/>
          <w:sz w:val="20"/>
          <w:u w:val="none"/>
        </w:rPr>
        <w:t>31 de diciembre de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6"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480"/>
        <w:gridCol w:w="480"/>
        <w:gridCol w:w="1500"/>
        <w:gridCol w:w="1500"/>
      </w:tblGrid>
      <w:tr>
        <w:tblPrEx>
          <w:tblW w:w="9960" w:type="dxa"/>
          <w:tblInd w:w="0" w:type="dxa"/>
          <w:tblLayout w:type="fixed"/>
        </w:tblPrEx>
        <w:trPr>
          <w:cantSplit/>
          <w:trHeight w:hRule="exact" w:val="240"/>
        </w:trPr>
        <w:tc>
          <w:tcPr>
            <w:tcW w:w="64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5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5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64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5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5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6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471.563</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14</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5.182.158</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70.614</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 a corto plazo.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15</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3.728.979</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5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9.453.314</w:t>
            </w:r>
          </w:p>
        </w:tc>
      </w:tr>
      <w:tr>
        <w:tblPrEx>
          <w:tblW w:w="9960" w:type="dxa"/>
          <w:tblInd w:w="0" w:type="dxa"/>
          <w:tblLayout w:type="fixed"/>
        </w:tblPrEx>
        <w:trPr>
          <w:cantSplit/>
          <w:trHeight w:hRule="exact" w:val="60"/>
        </w:trPr>
        <w:tc>
          <w:tcPr>
            <w:tcW w:w="6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395.528</w:t>
            </w:r>
          </w:p>
        </w:tc>
      </w:tr>
      <w:tr>
        <w:tblPrEx>
          <w:tblW w:w="9960" w:type="dxa"/>
          <w:tblInd w:w="0" w:type="dxa"/>
          <w:tblLayout w:type="fixed"/>
        </w:tblPrEx>
        <w:trPr>
          <w:cantSplit/>
          <w:trHeight w:hRule="auto" w:val="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14</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11.265</w:t>
            </w:r>
          </w:p>
        </w:tc>
      </w:tr>
      <w:tr>
        <w:tblPrEx>
          <w:tblW w:w="9960" w:type="dxa"/>
          <w:tblInd w:w="0" w:type="dxa"/>
          <w:tblLayout w:type="fixed"/>
        </w:tblPrEx>
        <w:trPr>
          <w:cantSplit/>
          <w:trHeight w:hRule="auto" w:val="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 por impuestos diferidos.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13</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140.508</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16</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1.504.313</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5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2.051.614</w:t>
            </w:r>
          </w:p>
        </w:tc>
      </w:tr>
      <w:tr>
        <w:tblPrEx>
          <w:tblW w:w="9960" w:type="dxa"/>
          <w:tblInd w:w="0" w:type="dxa"/>
          <w:tblLayout w:type="fixed"/>
        </w:tblPrEx>
        <w:trPr>
          <w:cantSplit/>
          <w:trHeight w:hRule="exact" w:val="60"/>
        </w:trPr>
        <w:tc>
          <w:tcPr>
            <w:tcW w:w="6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5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11.504.928</w:t>
            </w:r>
          </w:p>
        </w:tc>
      </w:tr>
      <w:tr>
        <w:tblPrEx>
          <w:tblW w:w="9960" w:type="dxa"/>
          <w:tblInd w:w="0" w:type="dxa"/>
          <w:tblLayout w:type="fixed"/>
        </w:tblPrEx>
        <w:trPr>
          <w:cantSplit/>
          <w:trHeight w:hRule="exact" w:val="60"/>
        </w:trPr>
        <w:tc>
          <w:tcPr>
            <w:tcW w:w="6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18</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2.000.000</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18</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(4.318.817)</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18</w:t>
            </w: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407.742</w:t>
            </w: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5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(1.911.075)</w:t>
            </w:r>
          </w:p>
        </w:tc>
      </w:tr>
      <w:tr>
        <w:tblPrEx>
          <w:tblW w:w="9960" w:type="dxa"/>
          <w:tblInd w:w="0" w:type="dxa"/>
          <w:tblLayout w:type="fixed"/>
        </w:tblPrEx>
        <w:trPr>
          <w:cantSplit/>
          <w:trHeight w:hRule="exact" w:val="60"/>
        </w:trPr>
        <w:tc>
          <w:tcPr>
            <w:tcW w:w="6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6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5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5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9.593.853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SERVICIOS S.A.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RESULTADOS POR FUNCIÓN</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color w:val="000000"/>
          <w:sz w:val="20"/>
          <w:highlight w:val="white"/>
          <w:u w:val="none"/>
        </w:rPr>
      </w:pPr>
      <w:r>
        <w:rPr>
          <w:rFonts w:ascii="Calibri" w:eastAsia="Calibri" w:hAnsi="Calibri" w:cs="Calibri"/>
          <w:b/>
          <w:i w:val="0"/>
          <w:color w:val="000000"/>
          <w:sz w:val="20"/>
          <w:highlight w:val="white"/>
          <w:u w:val="none"/>
        </w:rPr>
        <w:t>Por los periodos de</w:t>
      </w:r>
      <w:r>
        <w:rPr>
          <w:rFonts w:ascii="Calibri" w:eastAsia="Calibri" w:hAnsi="Calibri" w:cs="Calibri"/>
          <w:b/>
          <w:i w:val="0"/>
          <w:color w:val="000000"/>
          <w:sz w:val="20"/>
          <w:highlight w:val="white"/>
          <w:u w:val="none"/>
        </w:rPr>
        <w:t xml:space="preserve"> seis</w:t>
      </w:r>
      <w:r>
        <w:rPr>
          <w:rFonts w:ascii="Calibri" w:eastAsia="Calibri" w:hAnsi="Calibri" w:cs="Calibri"/>
          <w:b/>
          <w:i w:val="0"/>
          <w:color w:val="000000"/>
          <w:sz w:val="20"/>
          <w:highlight w:val="white"/>
          <w:u w:val="none"/>
        </w:rPr>
        <w:t xml:space="preserve"> </w:t>
      </w:r>
      <w:r>
        <w:rPr>
          <w:rFonts w:ascii="Calibri" w:eastAsia="Calibri" w:hAnsi="Calibri" w:cs="Calibri"/>
          <w:b/>
          <w:i w:val="0"/>
          <w:color w:val="000000"/>
          <w:sz w:val="20"/>
          <w:highlight w:val="white"/>
          <w:u w:val="none"/>
        </w:rPr>
        <w:t>y</w:t>
      </w:r>
      <w:r>
        <w:rPr>
          <w:rFonts w:ascii="Calibri" w:eastAsia="Calibri" w:hAnsi="Calibri" w:cs="Calibri"/>
          <w:b/>
          <w:i w:val="0"/>
          <w:color w:val="000000"/>
          <w:sz w:val="20"/>
          <w:highlight w:val="white"/>
          <w:u w:val="none"/>
        </w:rPr>
        <w:t xml:space="preserve"> tres meses terminados al </w:t>
      </w:r>
      <w:r>
        <w:rPr>
          <w:rFonts w:ascii="Calibri" w:eastAsia="Calibri" w:hAnsi="Calibri" w:cs="Calibri"/>
          <w:b/>
          <w:i w:val="0"/>
          <w:color w:val="000000"/>
          <w:sz w:val="20"/>
          <w:highlight w:val="white"/>
          <w:u w:val="none"/>
        </w:rPr>
        <w:t>30 de junio de 2026 y 2025</w:t>
      </w:r>
      <w:r>
        <w:rPr>
          <w:rFonts w:ascii="Calibri" w:eastAsia="Calibri" w:hAnsi="Calibri" w:cs="Calibri"/>
          <w:b/>
          <w:i w:val="0"/>
          <w:color w:val="000000"/>
          <w:sz w:val="20"/>
          <w:highlight w:val="white"/>
          <w:u w:val="none"/>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 id="_x0000_i1027"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80"/>
        <w:gridCol w:w="480"/>
        <w:gridCol w:w="1200"/>
        <w:gridCol w:w="1200"/>
        <w:gridCol w:w="1200"/>
        <w:gridCol w:w="1200"/>
      </w:tblGrid>
      <w:tr>
        <w:tblPrEx>
          <w:tblW w:w="9960" w:type="dxa"/>
          <w:tblInd w:w="0" w:type="dxa"/>
          <w:tblLayout w:type="fixed"/>
        </w:tblPrEx>
        <w:trPr>
          <w:cantSplit/>
          <w:trHeight w:hRule="exact" w:val="255"/>
        </w:trPr>
        <w:tc>
          <w:tcPr>
            <w:tcW w:w="46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4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960" w:type="dxa"/>
          <w:tblInd w:w="0" w:type="dxa"/>
          <w:tblLayout w:type="fixed"/>
        </w:tblPrEx>
        <w:trPr>
          <w:cantSplit/>
          <w:trHeight w:hRule="exact" w:val="255"/>
        </w:trPr>
        <w:tc>
          <w:tcPr>
            <w:tcW w:w="4680" w:type="dxa"/>
            <w:vMerge/>
            <w:tcBorders>
              <w:top w:val="nil"/>
              <w:left w:val="single" w:sz="2" w:space="0" w:color="000000"/>
              <w:bottom w:val="nil"/>
              <w:right w:val="nil"/>
            </w:tcBorders>
          </w:tcPr>
          <w:p>
            <w:pPr>
              <w:keepNext/>
              <w:pageBreakBefore w:val="0"/>
            </w:pPr>
          </w:p>
        </w:tc>
        <w:tc>
          <w:tcPr>
            <w:tcW w:w="4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exact" w:val="255"/>
        </w:trPr>
        <w:tc>
          <w:tcPr>
            <w:tcW w:w="4680" w:type="dxa"/>
            <w:vMerge/>
            <w:tcBorders>
              <w:top w:val="nil"/>
              <w:left w:val="single" w:sz="2" w:space="0" w:color="000000"/>
              <w:bottom w:val="single" w:sz="2" w:space="0" w:color="000000"/>
              <w:right w:val="nil"/>
            </w:tcBorders>
          </w:tcPr>
          <w:p>
            <w:pPr>
              <w:keepNext/>
              <w:pageBreakBefore w:val="0"/>
            </w:pPr>
          </w:p>
        </w:tc>
        <w:tc>
          <w:tcPr>
            <w:tcW w:w="4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18.472.388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(9.439.605)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9.298.135</w:t>
            </w: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(4.149.226)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2.159.444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(2.150.655)</w:t>
            </w: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14.323.162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(7.280.161)</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7.147.480</w:t>
            </w: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(12.308.235)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6.442.142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(5.738.129)</w:t>
            </w: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3.009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4.513</w:t>
            </w: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2.017.936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(838.197)</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1.413.864</w:t>
            </w: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73.431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(42.917)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16.926</w:t>
            </w: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(139.570)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42.502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(70.483)</w:t>
            </w:r>
          </w:p>
        </w:tc>
      </w:tr>
      <w:tr>
        <w:tblPrEx>
          <w:tblW w:w="9960" w:type="dxa"/>
          <w:tblInd w:w="0" w:type="dxa"/>
          <w:tblLayout w:type="fixed"/>
        </w:tblPrEx>
        <w:trPr>
          <w:cantSplit/>
          <w:trHeight w:hRule="exact" w:val="40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en ganancia (pérdida) de asociadas y negocios conjuntos que se contabilicen utilizando el método de la participación.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(6.323)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9.665</w:t>
            </w: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(31.124)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4.455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(13.182)</w:t>
            </w:r>
          </w:p>
        </w:tc>
      </w:tr>
      <w:tr>
        <w:tblPrEx>
          <w:tblW w:w="9960" w:type="dxa"/>
          <w:tblInd w:w="0" w:type="dxa"/>
          <w:tblLayout w:type="fixed"/>
        </w:tblPrEx>
        <w:trPr>
          <w:cantSplit/>
          <w:trHeight w:hRule="exact" w:val="255"/>
        </w:trPr>
        <w:tc>
          <w:tcPr>
            <w:tcW w:w="468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1.936.901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(840.479)</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1.356.790</w:t>
            </w: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830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(1.725)</w:t>
            </w: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1.934.877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(839.649)</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1.355.065</w:t>
            </w:r>
          </w:p>
        </w:tc>
      </w:tr>
      <w:tr>
        <w:tblPrEx>
          <w:tblW w:w="9960" w:type="dxa"/>
          <w:tblInd w:w="0" w:type="dxa"/>
          <w:tblLayout w:type="fixed"/>
        </w:tblPrEx>
        <w:trPr>
          <w:cantSplit/>
          <w:trHeight w:hRule="exact" w:val="60"/>
        </w:trPr>
        <w:tc>
          <w:tcPr>
            <w:tcW w:w="46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por acción</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46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8" w:space="0" w:color="FFFFFF"/>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8" w:space="0" w:color="FFFFFF"/>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000000"/>
                <w:sz w:val="16"/>
                <w:u w:val="none"/>
              </w:rPr>
              <w:t>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13,86</w:t>
            </w:r>
          </w:p>
        </w:tc>
        <w:tc>
          <w:tcPr>
            <w:tcW w:w="1200" w:type="dxa"/>
            <w:tcBorders>
              <w:top w:val="single" w:sz="8" w:space="0" w:color="FFFFFF"/>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(6,01)</w:t>
            </w:r>
          </w:p>
        </w:tc>
        <w:tc>
          <w:tcPr>
            <w:tcW w:w="1200" w:type="dxa"/>
            <w:tcBorders>
              <w:top w:val="single" w:sz="8" w:space="0" w:color="FFFFFF"/>
              <w:left w:val="single" w:sz="8" w:space="0" w:color="FFFFFF"/>
              <w:bottom w:val="single" w:sz="2" w:space="0" w:color="000000"/>
              <w:right w:val="single" w:sz="8" w:space="0" w:color="FFFFFF"/>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9,71</w:t>
            </w:r>
          </w:p>
        </w:tc>
      </w:tr>
    </w:tbl>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SERVICIOS S.A.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RESULTADO INTEGRAL</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 xml:space="preserve">seis y </w:t>
      </w:r>
      <w:r>
        <w:rPr>
          <w:rFonts w:ascii="Calibri" w:eastAsia="Calibri" w:hAnsi="Calibri" w:cs="Calibri"/>
          <w:b/>
          <w:i w:val="0"/>
          <w:color w:val="000000"/>
          <w:sz w:val="20"/>
          <w:u w:val="none"/>
        </w:rPr>
        <w:t>tres meses terminados al</w:t>
      </w:r>
      <w:r>
        <w:rPr>
          <w:rFonts w:ascii="Calibri" w:eastAsia="Calibri" w:hAnsi="Calibri" w:cs="Calibri"/>
          <w:b/>
          <w:i w:val="0"/>
          <w:color w:val="000000"/>
          <w:sz w:val="20"/>
          <w:u w:val="none"/>
        </w:rPr>
        <w:t xml:space="preserve">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 id="_x0000_i1028"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710"/>
        <w:gridCol w:w="510"/>
        <w:gridCol w:w="1185"/>
        <w:gridCol w:w="1185"/>
        <w:gridCol w:w="1185"/>
        <w:gridCol w:w="1185"/>
      </w:tblGrid>
      <w:tr>
        <w:tblPrEx>
          <w:tblW w:w="9960" w:type="dxa"/>
          <w:tblInd w:w="0" w:type="dxa"/>
          <w:tblLayout w:type="fixed"/>
        </w:tblPrEx>
        <w:trPr>
          <w:cantSplit/>
          <w:trHeight w:hRule="auto" w:val="0"/>
          <w:tblHeader/>
        </w:trPr>
        <w:tc>
          <w:tcPr>
            <w:tcW w:w="471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DEL RESULTADO INTEGRAL</w:t>
            </w:r>
          </w:p>
        </w:tc>
        <w:tc>
          <w:tcPr>
            <w:tcW w:w="51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1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1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18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18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960" w:type="dxa"/>
          <w:tblInd w:w="0" w:type="dxa"/>
          <w:tblLayout w:type="fixed"/>
        </w:tblPrEx>
        <w:trPr>
          <w:cantSplit/>
          <w:trHeight w:hRule="auto" w:val="0"/>
          <w:tblHeader/>
        </w:trPr>
        <w:tc>
          <w:tcPr>
            <w:tcW w:w="4710" w:type="dxa"/>
            <w:vMerge/>
            <w:tcBorders>
              <w:top w:val="nil"/>
              <w:left w:val="single" w:sz="2" w:space="0" w:color="000000"/>
              <w:bottom w:val="nil"/>
              <w:right w:val="nil"/>
            </w:tcBorders>
          </w:tcPr>
          <w:p>
            <w:pPr>
              <w:keepNext/>
              <w:pageBreakBefore w:val="0"/>
            </w:pPr>
          </w:p>
        </w:tc>
        <w:tc>
          <w:tcPr>
            <w:tcW w:w="51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1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1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18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18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4710" w:type="dxa"/>
            <w:vMerge/>
            <w:tcBorders>
              <w:top w:val="nil"/>
              <w:left w:val="single" w:sz="2" w:space="0" w:color="000000"/>
              <w:bottom w:val="single" w:sz="2" w:space="0" w:color="000000"/>
              <w:right w:val="nil"/>
            </w:tcBorders>
          </w:tcPr>
          <w:p>
            <w:pPr>
              <w:keepNext/>
              <w:pageBreakBefore w:val="0"/>
            </w:pPr>
          </w:p>
        </w:tc>
        <w:tc>
          <w:tcPr>
            <w:tcW w:w="51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1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1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18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18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blHeader/>
        </w:trPr>
        <w:tc>
          <w:tcPr>
            <w:tcW w:w="47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1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blHeader/>
        </w:trPr>
        <w:tc>
          <w:tcPr>
            <w:tcW w:w="47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51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1.934.877</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(839.649)</w:t>
            </w:r>
          </w:p>
        </w:tc>
        <w:tc>
          <w:tcPr>
            <w:tcW w:w="118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1.355.065</w:t>
            </w:r>
          </w:p>
        </w:tc>
      </w:tr>
      <w:tr>
        <w:tblPrEx>
          <w:tblW w:w="9960" w:type="dxa"/>
          <w:tblInd w:w="0" w:type="dxa"/>
          <w:tblLayout w:type="fixed"/>
        </w:tblPrEx>
        <w:trPr>
          <w:cantSplit/>
          <w:trHeight w:hRule="exact" w:val="60"/>
          <w:tblHeader/>
        </w:trPr>
        <w:tc>
          <w:tcPr>
            <w:tcW w:w="47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1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no se reclasificarán al resultado del período, antes de impuestos.</w:t>
            </w:r>
          </w:p>
        </w:tc>
        <w:tc>
          <w:tcPr>
            <w:tcW w:w="51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 antes de impuestos, ganancias (pérdidas) por nuevas mediciones de planes de beneficios definidos.</w:t>
            </w:r>
          </w:p>
        </w:tc>
        <w:tc>
          <w:tcPr>
            <w:tcW w:w="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18.7</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(558.551)</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466.243</w:t>
            </w:r>
          </w:p>
        </w:tc>
        <w:tc>
          <w:tcPr>
            <w:tcW w:w="11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-541.348</w:t>
            </w:r>
          </w:p>
        </w:tc>
        <w:tc>
          <w:tcPr>
            <w:tcW w:w="11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188.844</w:t>
            </w:r>
          </w:p>
        </w:tc>
      </w:tr>
      <w:tr>
        <w:tblPrEx>
          <w:tblW w:w="9960" w:type="dxa"/>
          <w:tblInd w:w="0" w:type="dxa"/>
          <w:tblLayout w:type="fixed"/>
        </w:tblPrEx>
        <w:trPr>
          <w:cantSplit/>
          <w:trHeight w:hRule="auto" w:val="0"/>
        </w:trPr>
        <w:tc>
          <w:tcPr>
            <w:tcW w:w="47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 que no se reclasificará al resultado del periodo, antes de impuestos.</w:t>
            </w:r>
          </w:p>
        </w:tc>
        <w:tc>
          <w:tcPr>
            <w:tcW w:w="51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(558.551)</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466.243</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(541.348)</w:t>
            </w:r>
          </w:p>
        </w:tc>
        <w:tc>
          <w:tcPr>
            <w:tcW w:w="118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188.844</w:t>
            </w:r>
          </w:p>
        </w:tc>
      </w:tr>
      <w:tr>
        <w:tblPrEx>
          <w:tblW w:w="9960" w:type="dxa"/>
          <w:tblInd w:w="0" w:type="dxa"/>
          <w:tblLayout w:type="fixed"/>
        </w:tblPrEx>
        <w:trPr>
          <w:cantSplit/>
          <w:trHeight w:hRule="auto" w:val="0"/>
        </w:trPr>
        <w:tc>
          <w:tcPr>
            <w:tcW w:w="47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1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componentes de otro resultado integral, antes de impuestos.</w:t>
            </w:r>
          </w:p>
        </w:tc>
        <w:tc>
          <w:tcPr>
            <w:tcW w:w="51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(558.551)</w:t>
            </w:r>
          </w:p>
        </w:tc>
        <w:tc>
          <w:tcPr>
            <w:tcW w:w="118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466.243</w:t>
            </w:r>
          </w:p>
        </w:tc>
        <w:tc>
          <w:tcPr>
            <w:tcW w:w="118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(541.348)</w:t>
            </w:r>
          </w:p>
        </w:tc>
        <w:tc>
          <w:tcPr>
            <w:tcW w:w="118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188.844</w:t>
            </w:r>
          </w:p>
        </w:tc>
      </w:tr>
      <w:tr>
        <w:tblPrEx>
          <w:tblW w:w="9960" w:type="dxa"/>
          <w:tblInd w:w="0" w:type="dxa"/>
          <w:tblLayout w:type="fixed"/>
        </w:tblPrEx>
        <w:trPr>
          <w:cantSplit/>
          <w:trHeight w:hRule="auto" w:val="0"/>
        </w:trPr>
        <w:tc>
          <w:tcPr>
            <w:tcW w:w="47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1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no se reclasificará al resultado del periodo.</w:t>
            </w:r>
          </w:p>
        </w:tc>
        <w:tc>
          <w:tcPr>
            <w:tcW w:w="51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405"/>
        </w:trPr>
        <w:tc>
          <w:tcPr>
            <w:tcW w:w="47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 a nuevas mediciones de planes de beneficios definidos de otro resultado integral.</w:t>
            </w:r>
          </w:p>
        </w:tc>
        <w:tc>
          <w:tcPr>
            <w:tcW w:w="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18.7</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150.809</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(125.886)</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146.164</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(50.988)</w:t>
            </w:r>
          </w:p>
        </w:tc>
      </w:tr>
      <w:tr>
        <w:tblPrEx>
          <w:tblW w:w="9960" w:type="dxa"/>
          <w:tblInd w:w="0" w:type="dxa"/>
          <w:tblLayout w:type="fixed"/>
        </w:tblPrEx>
        <w:trPr>
          <w:cantSplit/>
          <w:trHeight w:hRule="auto" w:val="0"/>
        </w:trPr>
        <w:tc>
          <w:tcPr>
            <w:tcW w:w="47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acumulados relativos a componentes de otro resultado integral que no se reclasificarán al resultado del periodo.</w:t>
            </w:r>
          </w:p>
        </w:tc>
        <w:tc>
          <w:tcPr>
            <w:tcW w:w="51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150.809</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(125.886)</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146.164</w:t>
            </w:r>
          </w:p>
        </w:tc>
        <w:tc>
          <w:tcPr>
            <w:tcW w:w="118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(50.988)</w:t>
            </w:r>
          </w:p>
        </w:tc>
      </w:tr>
      <w:tr>
        <w:tblPrEx>
          <w:tblW w:w="9960" w:type="dxa"/>
          <w:tblInd w:w="0" w:type="dxa"/>
          <w:tblLayout w:type="fixed"/>
        </w:tblPrEx>
        <w:trPr>
          <w:cantSplit/>
          <w:trHeight w:hRule="exact" w:val="60"/>
        </w:trPr>
        <w:tc>
          <w:tcPr>
            <w:tcW w:w="47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1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w:t>
            </w:r>
          </w:p>
        </w:tc>
        <w:tc>
          <w:tcPr>
            <w:tcW w:w="51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(407.742)</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340.357</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(395.184)</w:t>
            </w:r>
          </w:p>
        </w:tc>
        <w:tc>
          <w:tcPr>
            <w:tcW w:w="118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137.856</w:t>
            </w:r>
          </w:p>
        </w:tc>
      </w:tr>
      <w:tr>
        <w:tblPrEx>
          <w:tblW w:w="9960" w:type="dxa"/>
          <w:tblInd w:w="0" w:type="dxa"/>
          <w:tblLayout w:type="fixed"/>
        </w:tblPrEx>
        <w:trPr>
          <w:cantSplit/>
          <w:trHeight w:hRule="exact" w:val="60"/>
        </w:trPr>
        <w:tc>
          <w:tcPr>
            <w:tcW w:w="47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1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Resultado integral total.</w:t>
            </w:r>
          </w:p>
        </w:tc>
        <w:tc>
          <w:tcPr>
            <w:tcW w:w="51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(407.742)</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2.275.234</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(1.234.833)</w:t>
            </w:r>
          </w:p>
        </w:tc>
        <w:tc>
          <w:tcPr>
            <w:tcW w:w="118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1.492.921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13"/>
          <w:footerReference w:type="default" r:id="rId14"/>
          <w:pgSz w:w="12240" w:h="15840"/>
          <w:pgMar w:top="1134" w:right="1134" w:bottom="1134" w:left="1134" w:header="0" w:footer="425"/>
          <w:pgNumType w:start="1"/>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CGE SERVICIOS S.A.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CAMBIOS EN EL PATRIMONIO NETO</w:t>
      </w:r>
    </w:p>
    <w:p>
      <w:pPr>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sz w:val="20"/>
        </w:rPr>
        <w:t xml:space="preserve">Por los períodos de </w:t>
      </w:r>
      <w:r>
        <w:rPr>
          <w:rFonts w:ascii="Calibri" w:eastAsia="Calibri" w:hAnsi="Calibri" w:cs="Calibri"/>
          <w:b/>
          <w:i w:val="0"/>
          <w:sz w:val="20"/>
        </w:rPr>
        <w:t>seis</w:t>
      </w:r>
      <w:r>
        <w:rPr>
          <w:rFonts w:ascii="Calibri" w:eastAsia="Calibri" w:hAnsi="Calibri" w:cs="Calibri"/>
          <w:b/>
          <w:i w:val="0"/>
          <w:sz w:val="20"/>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 id="_x0000_i1029" type="#_x0000_t75" style="width:685.99pt;height:3.8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6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045"/>
        <w:gridCol w:w="1275"/>
        <w:gridCol w:w="1275"/>
        <w:gridCol w:w="1275"/>
        <w:gridCol w:w="1275"/>
        <w:gridCol w:w="1275"/>
        <w:gridCol w:w="1275"/>
      </w:tblGrid>
      <w:tr>
        <w:tblPrEx>
          <w:tblW w:w="13695" w:type="dxa"/>
          <w:tblInd w:w="0" w:type="dxa"/>
          <w:tblLayout w:type="fixed"/>
        </w:tblPrEx>
        <w:trPr>
          <w:cantSplit/>
          <w:trHeight w:hRule="exact" w:val="225"/>
        </w:trPr>
        <w:tc>
          <w:tcPr>
            <w:tcW w:w="60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Estado de cambios en el patrimonio </w:t>
            </w:r>
          </w:p>
        </w:tc>
        <w:tc>
          <w:tcPr>
            <w:tcW w:w="127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Capital emitido</w:t>
            </w:r>
          </w:p>
        </w:tc>
        <w:tc>
          <w:tcPr>
            <w:tcW w:w="38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Reservas</w:t>
            </w:r>
          </w:p>
        </w:tc>
        <w:tc>
          <w:tcPr>
            <w:tcW w:w="127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acumuladas</w:t>
            </w:r>
          </w:p>
        </w:tc>
        <w:tc>
          <w:tcPr>
            <w:tcW w:w="127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w:t>
            </w:r>
          </w:p>
        </w:tc>
      </w:tr>
      <w:tr>
        <w:tblPrEx>
          <w:tblW w:w="13695" w:type="dxa"/>
          <w:tblInd w:w="0" w:type="dxa"/>
          <w:tblLayout w:type="fixed"/>
        </w:tblPrEx>
        <w:trPr>
          <w:cantSplit/>
          <w:trHeight w:hRule="auto" w:val="0"/>
        </w:trPr>
        <w:tc>
          <w:tcPr>
            <w:tcW w:w="6045" w:type="dxa"/>
            <w:vMerge/>
            <w:tcBorders>
              <w:top w:val="nil"/>
              <w:left w:val="single" w:sz="2" w:space="0" w:color="000000"/>
              <w:bottom w:val="nil"/>
              <w:right w:val="single" w:sz="4" w:space="0" w:color="FFFFFF"/>
            </w:tcBorders>
          </w:tcPr>
          <w:p>
            <w:pPr>
              <w:keepNext/>
              <w:pageBreakBefore w:val="0"/>
            </w:pPr>
          </w:p>
        </w:tc>
        <w:tc>
          <w:tcPr>
            <w:tcW w:w="1275" w:type="dxa"/>
            <w:vMerge/>
            <w:tcBorders>
              <w:top w:val="nil"/>
              <w:left w:val="nil"/>
              <w:bottom w:val="nil"/>
              <w:right w:val="nil"/>
            </w:tcBorders>
          </w:tcPr>
          <w:p>
            <w:pPr>
              <w:keepNext/>
              <w:pageBreakBefore w:val="0"/>
            </w:pPr>
          </w:p>
        </w:tc>
        <w:tc>
          <w:tcPr>
            <w:tcW w:w="12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 de ganancias o pérdidas actuariales en planes de beneficios definidos</w:t>
            </w:r>
          </w:p>
        </w:tc>
        <w:tc>
          <w:tcPr>
            <w:tcW w:w="12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reservas varias</w:t>
            </w:r>
          </w:p>
        </w:tc>
        <w:tc>
          <w:tcPr>
            <w:tcW w:w="127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reservas</w:t>
            </w:r>
          </w:p>
        </w:tc>
        <w:tc>
          <w:tcPr>
            <w:tcW w:w="1275" w:type="dxa"/>
            <w:vMerge/>
            <w:tcBorders>
              <w:top w:val="nil"/>
              <w:left w:val="nil"/>
              <w:bottom w:val="nil"/>
              <w:right w:val="nil"/>
            </w:tcBorders>
          </w:tcPr>
          <w:p>
            <w:pPr>
              <w:keepNext/>
              <w:pageBreakBefore w:val="0"/>
            </w:pPr>
          </w:p>
        </w:tc>
        <w:tc>
          <w:tcPr>
            <w:tcW w:w="12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total</w:t>
            </w:r>
          </w:p>
        </w:tc>
      </w:tr>
      <w:tr>
        <w:tblPrEx>
          <w:tblW w:w="13695" w:type="dxa"/>
          <w:tblInd w:w="0" w:type="dxa"/>
          <w:tblLayout w:type="fixed"/>
        </w:tblPrEx>
        <w:trPr>
          <w:cantSplit/>
          <w:trHeight w:hRule="exact" w:val="225"/>
        </w:trPr>
        <w:tc>
          <w:tcPr>
            <w:tcW w:w="6045" w:type="dxa"/>
            <w:vMerge/>
            <w:tcBorders>
              <w:top w:val="nil"/>
              <w:left w:val="single" w:sz="2" w:space="0" w:color="000000"/>
              <w:bottom w:val="single" w:sz="2" w:space="0" w:color="000000"/>
              <w:right w:val="nil"/>
            </w:tcBorders>
          </w:tcPr>
          <w:p>
            <w:pPr>
              <w:keepNext/>
              <w:pageBreakBefore w:val="0"/>
            </w:pP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3695" w:type="dxa"/>
          <w:tblInd w:w="0" w:type="dxa"/>
          <w:tblLayout w:type="fixed"/>
        </w:tblPrEx>
        <w:trPr>
          <w:cantSplit/>
          <w:trHeight w:hRule="exact" w:val="6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al comienzo del período al 1 de enero de 2026</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2.000.000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437.335</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(29.593)</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407.742</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(4.318.817)</w:t>
            </w:r>
          </w:p>
        </w:tc>
        <w:tc>
          <w:tcPr>
            <w:tcW w:w="12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(1.911.075)</w:t>
            </w:r>
          </w:p>
        </w:tc>
      </w:tr>
      <w:tr>
        <w:tblPrEx>
          <w:tblW w:w="13695" w:type="dxa"/>
          <w:tblInd w:w="0" w:type="dxa"/>
          <w:tblLayout w:type="fixed"/>
        </w:tblPrEx>
        <w:trPr>
          <w:cantSplit/>
          <w:trHeight w:hRule="exact" w:val="6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patrimonio</w:t>
            </w:r>
          </w:p>
        </w:tc>
        <w:tc>
          <w:tcPr>
            <w:tcW w:w="127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w:t>
            </w:r>
          </w:p>
        </w:tc>
        <w:tc>
          <w:tcPr>
            <w:tcW w:w="127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exact" w:val="255"/>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Ganancia (pérdida).</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Otro resultado integral.</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(407.742)</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(407.742)</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(407.742)</w:t>
            </w:r>
          </w:p>
        </w:tc>
      </w:tr>
      <w:tr>
        <w:tblPrEx>
          <w:tblW w:w="13695" w:type="dxa"/>
          <w:tblInd w:w="0" w:type="dxa"/>
          <w:tblLayout w:type="fixed"/>
        </w:tblPrEx>
        <w:trPr>
          <w:cantSplit/>
          <w:trHeight w:hRule="exact" w:val="6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(407.742)</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(407.742)</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(407.742)</w:t>
            </w:r>
          </w:p>
        </w:tc>
      </w:tr>
      <w:tr>
        <w:tblPrEx>
          <w:tblW w:w="13695" w:type="dxa"/>
          <w:tblInd w:w="0" w:type="dxa"/>
          <w:tblLayout w:type="fixed"/>
        </w:tblPrEx>
        <w:trPr>
          <w:cantSplit/>
          <w:trHeight w:hRule="exact" w:val="6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el patrimonio</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(407.742)</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(407.742)</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(407.742)</w:t>
            </w:r>
          </w:p>
        </w:tc>
      </w:tr>
      <w:tr>
        <w:tblPrEx>
          <w:tblW w:w="13695" w:type="dxa"/>
          <w:tblInd w:w="0" w:type="dxa"/>
          <w:tblLayout w:type="fixed"/>
        </w:tblPrEx>
        <w:trPr>
          <w:cantSplit/>
          <w:trHeight w:hRule="exact" w:val="6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Patrimonio al final del período al 30 de junio de 2026</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2.000.000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29.593</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(29.593)</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(4.318.817)</w:t>
            </w:r>
          </w:p>
        </w:tc>
        <w:tc>
          <w:tcPr>
            <w:tcW w:w="12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(2.318.817)</w:t>
            </w:r>
          </w:p>
        </w:tc>
      </w:tr>
    </w:tbl>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SERVICIOS S.A.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INTERMEDIO DE CAMBIOS EN EL PATRIMONIO NETO</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seis</w:t>
      </w:r>
      <w:r>
        <w:rPr>
          <w:rFonts w:ascii="Calibri" w:eastAsia="Calibri" w:hAnsi="Calibri" w:cs="Calibri"/>
          <w:b/>
          <w:i w:val="0"/>
          <w:color w:val="000000"/>
          <w:sz w:val="20"/>
          <w:u w:val="none"/>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 id="_x0000_i1030" type="#_x0000_t75" style="width:685.99pt;height:2.85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136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045"/>
        <w:gridCol w:w="1275"/>
        <w:gridCol w:w="1275"/>
        <w:gridCol w:w="1275"/>
        <w:gridCol w:w="1275"/>
        <w:gridCol w:w="1275"/>
        <w:gridCol w:w="1275"/>
      </w:tblGrid>
      <w:tr>
        <w:tblPrEx>
          <w:tblW w:w="13695" w:type="dxa"/>
          <w:tblInd w:w="0" w:type="dxa"/>
          <w:tblLayout w:type="fixed"/>
        </w:tblPrEx>
        <w:trPr>
          <w:cantSplit/>
          <w:trHeight w:hRule="auto" w:val="0"/>
        </w:trPr>
        <w:tc>
          <w:tcPr>
            <w:tcW w:w="60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cambios en el patrimonio</w:t>
            </w:r>
          </w:p>
        </w:tc>
        <w:tc>
          <w:tcPr>
            <w:tcW w:w="127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Capital emitido</w:t>
            </w:r>
          </w:p>
        </w:tc>
        <w:tc>
          <w:tcPr>
            <w:tcW w:w="382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Reservas</w:t>
            </w:r>
          </w:p>
        </w:tc>
        <w:tc>
          <w:tcPr>
            <w:tcW w:w="12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acumuladas</w:t>
            </w:r>
          </w:p>
        </w:tc>
        <w:tc>
          <w:tcPr>
            <w:tcW w:w="127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w:t>
            </w:r>
          </w:p>
        </w:tc>
      </w:tr>
      <w:tr>
        <w:tblPrEx>
          <w:tblW w:w="13695" w:type="dxa"/>
          <w:tblInd w:w="0" w:type="dxa"/>
          <w:tblLayout w:type="fixed"/>
        </w:tblPrEx>
        <w:trPr>
          <w:cantSplit/>
          <w:trHeight w:hRule="auto" w:val="0"/>
        </w:trPr>
        <w:tc>
          <w:tcPr>
            <w:tcW w:w="6045" w:type="dxa"/>
            <w:vMerge/>
            <w:tcBorders>
              <w:top w:val="nil"/>
              <w:left w:val="single" w:sz="2" w:space="0" w:color="000000"/>
              <w:bottom w:val="nil"/>
              <w:right w:val="single" w:sz="4" w:space="0" w:color="FFFFFF"/>
            </w:tcBorders>
          </w:tcPr>
          <w:p>
            <w:pPr>
              <w:keepNext/>
              <w:pageBreakBefore w:val="0"/>
            </w:pPr>
          </w:p>
        </w:tc>
        <w:tc>
          <w:tcPr>
            <w:tcW w:w="1275" w:type="dxa"/>
            <w:vMerge/>
            <w:tcBorders>
              <w:top w:val="nil"/>
              <w:left w:val="nil"/>
              <w:bottom w:val="nil"/>
              <w:right w:val="nil"/>
            </w:tcBorders>
          </w:tcPr>
          <w:p>
            <w:pPr>
              <w:keepNext/>
              <w:pageBreakBefore w:val="0"/>
            </w:pPr>
          </w:p>
        </w:tc>
        <w:tc>
          <w:tcPr>
            <w:tcW w:w="12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 de ganancias o pérdidas actuariales en planes de beneficios definidos</w:t>
            </w:r>
          </w:p>
        </w:tc>
        <w:tc>
          <w:tcPr>
            <w:tcW w:w="12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reservas varias</w:t>
            </w:r>
          </w:p>
        </w:tc>
        <w:tc>
          <w:tcPr>
            <w:tcW w:w="12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reservas</w:t>
            </w:r>
          </w:p>
        </w:tc>
        <w:tc>
          <w:tcPr>
            <w:tcW w:w="1275" w:type="dxa"/>
            <w:vMerge/>
            <w:tcBorders>
              <w:top w:val="nil"/>
              <w:left w:val="single" w:sz="4" w:space="0" w:color="FFFFFF"/>
              <w:bottom w:val="nil"/>
              <w:right w:val="nil"/>
            </w:tcBorders>
          </w:tcPr>
          <w:p>
            <w:pPr>
              <w:keepNext/>
              <w:pageBreakBefore w:val="0"/>
            </w:pPr>
          </w:p>
        </w:tc>
        <w:tc>
          <w:tcPr>
            <w:tcW w:w="12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total</w:t>
            </w:r>
          </w:p>
        </w:tc>
      </w:tr>
      <w:tr>
        <w:tblPrEx>
          <w:tblW w:w="13695" w:type="dxa"/>
          <w:tblInd w:w="0" w:type="dxa"/>
          <w:tblLayout w:type="fixed"/>
        </w:tblPrEx>
        <w:trPr>
          <w:cantSplit/>
          <w:trHeight w:hRule="auto" w:val="0"/>
        </w:trPr>
        <w:tc>
          <w:tcPr>
            <w:tcW w:w="6045" w:type="dxa"/>
            <w:vMerge/>
            <w:tcBorders>
              <w:top w:val="nil"/>
              <w:left w:val="single" w:sz="2" w:space="0" w:color="000000"/>
              <w:bottom w:val="single" w:sz="2" w:space="0" w:color="000000"/>
              <w:right w:val="nil"/>
            </w:tcBorders>
          </w:tcPr>
          <w:p>
            <w:pPr>
              <w:keepNext/>
              <w:pageBreakBefore w:val="0"/>
            </w:pP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3695" w:type="dxa"/>
          <w:tblInd w:w="0" w:type="dxa"/>
          <w:tblLayout w:type="fixed"/>
        </w:tblPrEx>
        <w:trPr>
          <w:cantSplit/>
          <w:trHeight w:hRule="exact" w:val="6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al comienzo del período al 1 de enero de 2025</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2.000.000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131.264</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(29.593)</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101.671</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(8.047.567)</w:t>
            </w:r>
          </w:p>
        </w:tc>
        <w:tc>
          <w:tcPr>
            <w:tcW w:w="12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(5.945.896)</w:t>
            </w:r>
          </w:p>
        </w:tc>
      </w:tr>
      <w:tr>
        <w:tblPrEx>
          <w:tblW w:w="13695" w:type="dxa"/>
          <w:tblInd w:w="0" w:type="dxa"/>
          <w:tblLayout w:type="fixed"/>
        </w:tblPrEx>
        <w:trPr>
          <w:cantSplit/>
          <w:trHeight w:hRule="exact" w:val="6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patrimonio</w:t>
            </w:r>
          </w:p>
        </w:tc>
        <w:tc>
          <w:tcPr>
            <w:tcW w:w="127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w:t>
            </w:r>
          </w:p>
        </w:tc>
        <w:tc>
          <w:tcPr>
            <w:tcW w:w="127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exact" w:val="255"/>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1.934.877</w:t>
            </w:r>
          </w:p>
        </w:tc>
        <w:tc>
          <w:tcPr>
            <w:tcW w:w="127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1.934.877</w:t>
            </w: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340.357</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340.357</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7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340.357</w:t>
            </w:r>
          </w:p>
        </w:tc>
      </w:tr>
      <w:tr>
        <w:tblPrEx>
          <w:tblW w:w="13695" w:type="dxa"/>
          <w:tblInd w:w="0" w:type="dxa"/>
          <w:tblLayout w:type="fixed"/>
        </w:tblPrEx>
        <w:trPr>
          <w:cantSplit/>
          <w:trHeight w:hRule="exact" w:val="6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340.357</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340.357</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1.934.877</w:t>
            </w:r>
          </w:p>
        </w:tc>
        <w:tc>
          <w:tcPr>
            <w:tcW w:w="12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2.275.234</w:t>
            </w:r>
          </w:p>
        </w:tc>
      </w:tr>
      <w:tr>
        <w:tblPrEx>
          <w:tblW w:w="13695" w:type="dxa"/>
          <w:tblInd w:w="0" w:type="dxa"/>
          <w:tblLayout w:type="fixed"/>
        </w:tblPrEx>
        <w:trPr>
          <w:cantSplit/>
          <w:trHeight w:hRule="exact" w:val="6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el patrimonio</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340.357</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340.357</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1.934.877</w:t>
            </w:r>
          </w:p>
        </w:tc>
        <w:tc>
          <w:tcPr>
            <w:tcW w:w="12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2.275.234</w:t>
            </w:r>
          </w:p>
        </w:tc>
      </w:tr>
      <w:tr>
        <w:tblPrEx>
          <w:tblW w:w="13695" w:type="dxa"/>
          <w:tblInd w:w="0" w:type="dxa"/>
          <w:tblLayout w:type="fixed"/>
        </w:tblPrEx>
        <w:trPr>
          <w:cantSplit/>
          <w:trHeight w:hRule="exact" w:val="60"/>
        </w:trPr>
        <w:tc>
          <w:tcPr>
            <w:tcW w:w="6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695" w:type="dxa"/>
          <w:tblInd w:w="0" w:type="dxa"/>
          <w:tblLayout w:type="fixed"/>
        </w:tblPrEx>
        <w:trPr>
          <w:cantSplit/>
          <w:trHeight w:hRule="auto" w:val="0"/>
        </w:trPr>
        <w:tc>
          <w:tcPr>
            <w:tcW w:w="6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Patrimonio al final del período al 30 de junio de 2025</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2.000.000</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471.621</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(29.593)</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442.028</w:t>
            </w:r>
          </w:p>
        </w:tc>
        <w:tc>
          <w:tcPr>
            <w:tcW w:w="12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(6.112.690)</w:t>
            </w:r>
          </w:p>
        </w:tc>
        <w:tc>
          <w:tcPr>
            <w:tcW w:w="12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(3.670.662)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15"/>
          <w:footerReference w:type="default" r:id="rId16"/>
          <w:pgSz w:w="15840" w:h="12240" w:orient="landscape"/>
          <w:pgMar w:top="1134" w:right="992" w:bottom="1282"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4" w:name="Section5"/>
      <w:bookmarkEnd w:id="4"/>
      <w:r>
        <w:rPr>
          <w:rFonts w:ascii="Calibri" w:eastAsia="Calibri" w:hAnsi="Calibri" w:cs="Calibri"/>
          <w:b/>
          <w:i w:val="0"/>
          <w:color w:val="000000"/>
          <w:sz w:val="20"/>
          <w:u w:val="none"/>
        </w:rPr>
        <w:t>CGE SERVICIOS S.A.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ESTADO </w:t>
      </w:r>
      <w:r>
        <w:rPr>
          <w:rFonts w:ascii="Calibri" w:eastAsia="Calibri" w:hAnsi="Calibri" w:cs="Calibri"/>
          <w:b/>
          <w:i w:val="0"/>
          <w:color w:val="000000"/>
          <w:sz w:val="20"/>
          <w:u w:val="none"/>
        </w:rPr>
        <w:tab/>
      </w:r>
      <w:r>
        <w:rPr>
          <w:rFonts w:ascii="Calibri" w:eastAsia="Calibri" w:hAnsi="Calibri" w:cs="Calibri"/>
          <w:b/>
          <w:i w:val="0"/>
          <w:color w:val="000000"/>
          <w:sz w:val="20"/>
          <w:u w:val="none"/>
        </w:rPr>
        <w:t>INTERMEDIO DE FLUJO DE EFECTIVO DIRECTO</w:t>
      </w:r>
    </w:p>
    <w:p>
      <w:pPr>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sz w:val="20"/>
        </w:rPr>
        <w:t xml:space="preserve">Por los períodos de </w:t>
      </w:r>
      <w:r>
        <w:rPr>
          <w:rFonts w:ascii="Calibri" w:eastAsia="Calibri" w:hAnsi="Calibri" w:cs="Calibri"/>
          <w:b/>
          <w:i w:val="0"/>
          <w:sz w:val="20"/>
        </w:rPr>
        <w:t>seis</w:t>
      </w:r>
      <w:r>
        <w:rPr>
          <w:rFonts w:ascii="Calibri" w:eastAsia="Calibri" w:hAnsi="Calibri" w:cs="Calibri"/>
          <w:b/>
          <w:i w:val="0"/>
          <w:sz w:val="20"/>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 id="_x0000_i1031"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35"/>
        <w:gridCol w:w="525"/>
        <w:gridCol w:w="1200"/>
        <w:gridCol w:w="1200"/>
      </w:tblGrid>
      <w:tr>
        <w:tblPrEx>
          <w:tblW w:w="9960" w:type="dxa"/>
          <w:tblInd w:w="0" w:type="dxa"/>
          <w:tblLayout w:type="fixed"/>
        </w:tblPrEx>
        <w:trPr>
          <w:cantSplit/>
          <w:trHeight w:hRule="auto" w:val="0"/>
          <w:tblHeader/>
        </w:trPr>
        <w:tc>
          <w:tcPr>
            <w:tcW w:w="70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5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35" w:type="dxa"/>
            <w:vMerge/>
            <w:tcBorders>
              <w:top w:val="nil"/>
              <w:left w:val="single" w:sz="2" w:space="0" w:color="000000"/>
              <w:bottom w:val="nil"/>
              <w:right w:val="nil"/>
            </w:tcBorders>
          </w:tcPr>
          <w:p>
            <w:pPr>
              <w:keepNext/>
              <w:pageBreakBefore w:val="0"/>
            </w:pPr>
          </w:p>
        </w:tc>
        <w:tc>
          <w:tcPr>
            <w:tcW w:w="52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35" w:type="dxa"/>
            <w:vMerge/>
            <w:tcBorders>
              <w:top w:val="nil"/>
              <w:left w:val="single" w:sz="2" w:space="0" w:color="000000"/>
              <w:bottom w:val="single" w:sz="2" w:space="0" w:color="000000"/>
              <w:right w:val="nil"/>
            </w:tcBorders>
          </w:tcPr>
          <w:p>
            <w:pPr>
              <w:keepNext/>
              <w:pageBreakBefore w:val="0"/>
            </w:pPr>
          </w:p>
        </w:tc>
        <w:tc>
          <w:tcPr>
            <w:tcW w:w="5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blHeader/>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blHeader/>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52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blHeader/>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21.227.484</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pagos</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(5.012.167)</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(16.752.056)</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(2.820.777)</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 recibidos.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17.682</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pagados.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58.644</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52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(3.281.190)</w:t>
            </w:r>
          </w:p>
        </w:tc>
      </w:tr>
      <w:tr>
        <w:tblPrEx>
          <w:tblW w:w="9960" w:type="dxa"/>
          <w:tblInd w:w="0" w:type="dxa"/>
          <w:tblLayout w:type="fixed"/>
        </w:tblPrEx>
        <w:trPr>
          <w:cantSplit/>
          <w:trHeight w:hRule="auto" w:val="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a entidades relacionadas.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(24.039.873)</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a entidades relacionadas.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27.618.886</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73.431</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52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3.652.444</w:t>
            </w:r>
          </w:p>
        </w:tc>
      </w:tr>
      <w:tr>
        <w:tblPrEx>
          <w:tblW w:w="9960" w:type="dxa"/>
          <w:tblInd w:w="0" w:type="dxa"/>
          <w:tblLayout w:type="fixed"/>
        </w:tblPrEx>
        <w:trPr>
          <w:cantSplit/>
          <w:trHeight w:hRule="auto" w:val="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pasivos por arrendamientos.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(370.389)</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52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(371.643)</w:t>
            </w:r>
          </w:p>
        </w:tc>
      </w:tr>
      <w:tr>
        <w:tblPrEx>
          <w:tblW w:w="9960" w:type="dxa"/>
          <w:tblInd w:w="0" w:type="dxa"/>
          <w:tblLayout w:type="fixed"/>
        </w:tblPrEx>
        <w:trPr>
          <w:cantSplit/>
          <w:trHeight w:hRule="auto" w:val="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52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(389)</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52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827</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438</w:t>
            </w:r>
          </w:p>
        </w:tc>
      </w:tr>
    </w:tbl>
    <w:p>
      <w:pPr>
        <w:keepNext w:val="0"/>
        <w:keepLines/>
        <w:pageBreakBefore w:val="0"/>
        <w:widowControl w:val="0"/>
        <w:numPr>
          <w:ilvl w:val="0"/>
          <w:numId w:val="0"/>
        </w:numPr>
        <w:spacing w:before="0" w:after="0" w:line="288" w:lineRule="auto"/>
        <w:ind w:left="709" w:right="0" w:hanging="709"/>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7"/>
          <w:footerReference w:type="default" r:id="rId18"/>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5" w:name="Section6"/>
      <w:bookmarkEnd w:id="5"/>
      <w:r>
        <w:rPr>
          <w:rFonts w:ascii="Calibri" w:eastAsia="Calibri" w:hAnsi="Calibri" w:cs="Calibri"/>
          <w:b/>
          <w:i w:val="0"/>
          <w:color w:val="000000"/>
          <w:sz w:val="20"/>
          <w:u w:val="none"/>
        </w:rPr>
        <w:t>CGE SERVICIOS S.A.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ÍNDICE A LAS NOTAS DE LOS ESTADOS FINANCIEROS INTERMEDIOS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 id="_x0000_i1032"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9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cda62c9f4f84235a0fa3c8cfc9a6884"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cda62c9f4f84235a0fa3c8cfc9a6884"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b7f0b9fae6d44df9a8cf98b9e364671" w:history="1">
              <w:r>
                <w:rPr>
                  <w:rFonts w:ascii="Calibri" w:eastAsia="Calibri" w:hAnsi="Calibri" w:cs="Calibri"/>
                  <w:b w:val="0"/>
                  <w:i w:val="0"/>
                  <w:color w:val="000000"/>
                  <w:sz w:val="20"/>
                  <w:u w:val="none"/>
                  <w:shd w:val="clear" w:color="auto" w:fill="auto"/>
                </w:rPr>
                <w:t>2.-</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b7f0b9fae6d44df9a8cf98b9e364671"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12a8762457e4a05b3b0b11610645a42" w:history="1">
              <w:r>
                <w:rPr>
                  <w:rFonts w:ascii="Calibri" w:eastAsia="Calibri" w:hAnsi="Calibri" w:cs="Calibri"/>
                  <w:b w:val="0"/>
                  <w:i w:val="0"/>
                  <w:color w:val="000000"/>
                  <w:sz w:val="20"/>
                  <w:u w:val="none"/>
                  <w:shd w:val="clear" w:color="auto" w:fill="auto"/>
                </w:rPr>
                <w:t>2.1.-</w:t>
                <w:tab/>
                <w:t xml:space="preserve">Bases de preparación de los estados financieros intermedios.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12a8762457e4a05b3b0b11610645a42"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915461d3ca241d2a542bfcab77d6d38" w:history="1">
              <w:r>
                <w:rPr>
                  <w:rFonts w:ascii="Calibri" w:eastAsia="Calibri" w:hAnsi="Calibri" w:cs="Calibri"/>
                  <w:b w:val="0"/>
                  <w:i w:val="0"/>
                  <w:color w:val="000000"/>
                  <w:sz w:val="20"/>
                  <w:u w:val="none"/>
                  <w:shd w:val="clear" w:color="auto" w:fill="auto"/>
                </w:rPr>
                <w:t>2.2.-</w:t>
                <w:tab/>
                <w:t>Nuevos estándares, interpretaciones y enmiendas adoptadas por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915461d3ca241d2a542bfcab77d6d38"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be2241e0322432f908047fbe5a4a078" w:history="1">
              <w:r>
                <w:rPr>
                  <w:rFonts w:ascii="Calibri" w:eastAsia="Calibri" w:hAnsi="Calibri" w:cs="Calibri"/>
                  <w:b w:val="0"/>
                  <w:i w:val="0"/>
                  <w:color w:val="000000"/>
                  <w:sz w:val="20"/>
                  <w:u w:val="none"/>
                  <w:shd w:val="clear" w:color="auto" w:fill="auto"/>
                </w:rPr>
                <w:t>2.3.-</w:t>
                <w:tab/>
                <w:t>Nuevas estándares, interpretaciones y enmiendas emitidas, no vigentes para el ejercicio 2026,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be2241e0322432f908047fbe5a4a078" w:history="1">
              <w:r>
                <w:rPr>
                  <w:rFonts w:ascii="Calibri" w:eastAsia="Calibri" w:hAnsi="Calibri" w:cs="Calibri"/>
                  <w:b w:val="0"/>
                  <w:i w:val="0"/>
                  <w:color w:val="000000"/>
                  <w:sz w:val="20"/>
                  <w:u w:val="none"/>
                  <w:shd w:val="clear" w:color="auto" w:fill="auto"/>
                </w:rPr>
                <w:t>13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d4237b9164b4f3c80e13d229bd3fa1d" w:history="1">
              <w:r>
                <w:rPr>
                  <w:rFonts w:ascii="Calibri" w:eastAsia="Calibri" w:hAnsi="Calibri" w:cs="Calibri"/>
                  <w:b w:val="0"/>
                  <w:i w:val="0"/>
                  <w:color w:val="000000"/>
                  <w:sz w:val="20"/>
                  <w:u w:val="none"/>
                  <w:shd w:val="clear" w:color="auto" w:fill="auto"/>
                </w:rPr>
                <w:t>2.4.-</w:t>
                <w:tab/>
                <w:t>Asociadas o coligadas.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d4237b9164b4f3c80e13d229bd3fa1d"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1cfcb377d364a0da7d4e76e055fff04" w:history="1">
              <w:r>
                <w:rPr>
                  <w:rFonts w:ascii="Calibri" w:eastAsia="Calibri" w:hAnsi="Calibri" w:cs="Calibri"/>
                  <w:b w:val="0"/>
                  <w:i w:val="0"/>
                  <w:color w:val="000000"/>
                  <w:sz w:val="20"/>
                  <w:u w:val="none"/>
                  <w:shd w:val="clear" w:color="auto" w:fill="auto"/>
                </w:rPr>
                <w:t>2.5.-</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1cfcb377d364a0da7d4e76e055fff04"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1b8169110734e56a712c61a741bae41" w:history="1">
              <w:r>
                <w:rPr>
                  <w:rFonts w:ascii="Calibri" w:eastAsia="Calibri" w:hAnsi="Calibri" w:cs="Calibri"/>
                  <w:b w:val="0"/>
                  <w:i w:val="0"/>
                  <w:color w:val="000000"/>
                  <w:sz w:val="20"/>
                  <w:u w:val="none"/>
                  <w:shd w:val="clear" w:color="auto" w:fill="auto"/>
                </w:rPr>
                <w:t>2.6.-</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1b8169110734e56a712c61a741bae41"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f0e6832d36c48c58242e8259875989b" w:history="1">
              <w:r>
                <w:rPr>
                  <w:rFonts w:ascii="Calibri" w:eastAsia="Calibri" w:hAnsi="Calibri" w:cs="Calibri"/>
                  <w:b w:val="0"/>
                  <w:i w:val="0"/>
                  <w:color w:val="000000"/>
                  <w:sz w:val="20"/>
                  <w:u w:val="none"/>
                  <w:shd w:val="clear" w:color="auto" w:fill="auto"/>
                </w:rPr>
                <w:t>2.7.-</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f0e6832d36c48c58242e8259875989b"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4569c7371a14e0eae9abde18c3a3c96" w:history="1">
              <w:r>
                <w:rPr>
                  <w:rFonts w:ascii="Calibri" w:eastAsia="Calibri" w:hAnsi="Calibri" w:cs="Calibri"/>
                  <w:b w:val="0"/>
                  <w:i w:val="0"/>
                  <w:color w:val="000000"/>
                  <w:sz w:val="20"/>
                  <w:u w:val="none"/>
                  <w:shd w:val="clear" w:color="auto" w:fill="auto"/>
                </w:rPr>
                <w:t>2.8.-</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4569c7371a14e0eae9abde18c3a3c96"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ead19ee414a4c278cd80e702d96cbc9" w:history="1">
              <w:r>
                <w:rPr>
                  <w:rFonts w:ascii="Calibri" w:eastAsia="Calibri" w:hAnsi="Calibri" w:cs="Calibri"/>
                  <w:b w:val="0"/>
                  <w:i w:val="0"/>
                  <w:color w:val="000000"/>
                  <w:sz w:val="20"/>
                  <w:u w:val="none"/>
                  <w:shd w:val="clear" w:color="auto" w:fill="auto"/>
                </w:rPr>
                <w:t>2.9.-</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ead19ee414a4c278cd80e702d96cbc9"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5837e4d52294119a8870989c75dd7ac" w:history="1">
              <w:r>
                <w:rPr>
                  <w:rFonts w:ascii="Calibri" w:eastAsia="Calibri" w:hAnsi="Calibri" w:cs="Calibri"/>
                  <w:b w:val="0"/>
                  <w:i w:val="0"/>
                  <w:color w:val="000000"/>
                  <w:sz w:val="20"/>
                  <w:u w:val="none"/>
                  <w:shd w:val="clear" w:color="auto" w:fill="auto"/>
                </w:rPr>
                <w:t>2.10.-</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5837e4d52294119a8870989c75dd7ac"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d9d9e171c51449aa09e327313798b9c" w:history="1">
              <w:r>
                <w:rPr>
                  <w:rFonts w:ascii="Calibri" w:eastAsia="Calibri" w:hAnsi="Calibri" w:cs="Calibri"/>
                  <w:b w:val="0"/>
                  <w:i w:val="0"/>
                  <w:color w:val="000000"/>
                  <w:sz w:val="20"/>
                  <w:u w:val="none"/>
                  <w:shd w:val="clear" w:color="auto" w:fill="auto"/>
                </w:rPr>
                <w:t>2.11.-</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d9d9e171c51449aa09e327313798b9c"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d7c7d03abb04706986dffc8724e22eb" w:history="1">
              <w:r>
                <w:rPr>
                  <w:rFonts w:ascii="Calibri" w:eastAsia="Calibri" w:hAnsi="Calibri" w:cs="Calibri"/>
                  <w:b w:val="0"/>
                  <w:i w:val="0"/>
                  <w:color w:val="000000"/>
                  <w:sz w:val="20"/>
                  <w:u w:val="none"/>
                  <w:shd w:val="clear" w:color="auto" w:fill="auto"/>
                </w:rPr>
                <w:t>2.12.-</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d7c7d03abb04706986dffc8724e22eb"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efd271bea5b4c148b0ab0ec2dedb6f7" w:history="1">
              <w:r>
                <w:rPr>
                  <w:rFonts w:ascii="Calibri" w:eastAsia="Calibri" w:hAnsi="Calibri" w:cs="Calibri"/>
                  <w:b w:val="0"/>
                  <w:i w:val="0"/>
                  <w:color w:val="000000"/>
                  <w:sz w:val="20"/>
                  <w:u w:val="none"/>
                  <w:shd w:val="clear" w:color="auto" w:fill="auto"/>
                </w:rPr>
                <w:t>2.13.-</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efd271bea5b4c148b0ab0ec2dedb6f7"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b9969a29bbc4a6c9e2192f9fb927a95" w:history="1">
              <w:r>
                <w:rPr>
                  <w:rFonts w:ascii="Calibri" w:eastAsia="Calibri" w:hAnsi="Calibri" w:cs="Calibri"/>
                  <w:b w:val="0"/>
                  <w:i w:val="0"/>
                  <w:color w:val="000000"/>
                  <w:sz w:val="20"/>
                  <w:u w:val="none"/>
                  <w:shd w:val="clear" w:color="auto" w:fill="auto"/>
                </w:rPr>
                <w:t>2.14.-</w:t>
                <w:tab/>
                <w:t>Préstamos y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b9969a29bbc4a6c9e2192f9fb927a95"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8e98ea8f66143008d5f1ddf176a2c1d" w:history="1">
              <w:r>
                <w:rPr>
                  <w:rFonts w:ascii="Calibri" w:eastAsia="Calibri" w:hAnsi="Calibri" w:cs="Calibri"/>
                  <w:b w:val="0"/>
                  <w:i w:val="0"/>
                  <w:color w:val="000000"/>
                  <w:sz w:val="20"/>
                  <w:u w:val="none"/>
                  <w:shd w:val="clear" w:color="auto" w:fill="auto"/>
                </w:rPr>
                <w:t>2.15.-</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8e98ea8f66143008d5f1ddf176a2c1d"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5659d49463a4485b7edf0054288cb61" w:history="1">
              <w:r>
                <w:rPr>
                  <w:rFonts w:ascii="Calibri" w:eastAsia="Calibri" w:hAnsi="Calibri" w:cs="Calibri"/>
                  <w:b w:val="0"/>
                  <w:i w:val="0"/>
                  <w:color w:val="000000"/>
                  <w:sz w:val="20"/>
                  <w:u w:val="none"/>
                  <w:shd w:val="clear" w:color="auto" w:fill="auto"/>
                </w:rPr>
                <w:t>2.16.-</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5659d49463a4485b7edf0054288cb61" w:history="1">
              <w:r>
                <w:rPr>
                  <w:rFonts w:ascii="Calibri" w:eastAsia="Calibri" w:hAnsi="Calibri" w:cs="Calibri"/>
                  <w:b w:val="0"/>
                  <w:i w:val="0"/>
                  <w:color w:val="000000"/>
                  <w:sz w:val="20"/>
                  <w:u w:val="none"/>
                  <w:shd w:val="clear" w:color="auto" w:fill="auto"/>
                </w:rPr>
                <w:t>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8ebe9697dcb4f18b1341ddcbcd483bb" w:history="1">
              <w:r>
                <w:rPr>
                  <w:rFonts w:ascii="Calibri" w:eastAsia="Calibri" w:hAnsi="Calibri" w:cs="Calibri"/>
                  <w:b w:val="0"/>
                  <w:i w:val="0"/>
                  <w:color w:val="000000"/>
                  <w:sz w:val="20"/>
                  <w:u w:val="none"/>
                  <w:shd w:val="clear" w:color="auto" w:fill="auto"/>
                </w:rPr>
                <w:t>2.17.-</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8ebe9697dcb4f18b1341ddcbcd483bb"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4444e7b66fe4d67a77e21e144474892" w:history="1">
              <w:r>
                <w:rPr>
                  <w:rFonts w:ascii="Calibri" w:eastAsia="Calibri" w:hAnsi="Calibri" w:cs="Calibri"/>
                  <w:b w:val="0"/>
                  <w:i w:val="0"/>
                  <w:color w:val="000000"/>
                  <w:sz w:val="20"/>
                  <w:u w:val="none"/>
                  <w:shd w:val="clear" w:color="auto" w:fill="auto"/>
                </w:rPr>
                <w:t>2.18.-</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4444e7b66fe4d67a77e21e144474892"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dab965291cc4a2cba1932edd9252796" w:history="1">
              <w:r>
                <w:rPr>
                  <w:rFonts w:ascii="Calibri" w:eastAsia="Calibri" w:hAnsi="Calibri" w:cs="Calibri"/>
                  <w:b w:val="0"/>
                  <w:i w:val="0"/>
                  <w:color w:val="000000"/>
                  <w:sz w:val="20"/>
                  <w:u w:val="none"/>
                  <w:shd w:val="clear" w:color="auto" w:fill="auto"/>
                </w:rPr>
                <w:t>2.19.-</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dab965291cc4a2cba1932edd9252796"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b1a54c20b344f3fb5f51f14d60ac045" w:history="1">
              <w:r>
                <w:rPr>
                  <w:rFonts w:ascii="Calibri" w:eastAsia="Calibri" w:hAnsi="Calibri" w:cs="Calibri"/>
                  <w:b w:val="0"/>
                  <w:i w:val="0"/>
                  <w:color w:val="000000"/>
                  <w:sz w:val="20"/>
                  <w:u w:val="none"/>
                  <w:shd w:val="clear" w:color="auto" w:fill="auto"/>
                </w:rPr>
                <w:t>2.20.-</w:t>
                <w:tab/>
                <w:t>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b1a54c20b344f3fb5f51f14d60ac045"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f1505c2a3ce4ab9957322771de3abe1" w:history="1">
              <w:r>
                <w:rPr>
                  <w:rFonts w:ascii="Calibri" w:eastAsia="Calibri" w:hAnsi="Calibri" w:cs="Calibri"/>
                  <w:b w:val="0"/>
                  <w:i w:val="0"/>
                  <w:color w:val="000000"/>
                  <w:sz w:val="20"/>
                  <w:u w:val="none"/>
                  <w:shd w:val="clear" w:color="auto" w:fill="auto"/>
                </w:rPr>
                <w:t>2.21.-</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f1505c2a3ce4ab9957322771de3abe1"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c9fbeb555374c508d879f1a94ad8dfb" w:history="1">
              <w:r>
                <w:rPr>
                  <w:rFonts w:ascii="Calibri" w:eastAsia="Calibri" w:hAnsi="Calibri" w:cs="Calibri"/>
                  <w:b w:val="0"/>
                  <w:i w:val="0"/>
                  <w:color w:val="000000"/>
                  <w:sz w:val="20"/>
                  <w:u w:val="none"/>
                  <w:shd w:val="clear" w:color="auto" w:fill="auto"/>
                </w:rPr>
                <w:t>2.22.-</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c9fbeb555374c508d879f1a94ad8dfb"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da275a6cee94a2c8c06ac189b4c7883" w:history="1">
              <w:r>
                <w:rPr>
                  <w:rFonts w:ascii="Calibri" w:eastAsia="Calibri" w:hAnsi="Calibri" w:cs="Calibri"/>
                  <w:b w:val="0"/>
                  <w:i w:val="0"/>
                  <w:color w:val="000000"/>
                  <w:sz w:val="20"/>
                  <w:u w:val="none"/>
                  <w:shd w:val="clear" w:color="auto" w:fill="auto"/>
                </w:rPr>
                <w:t>2.23.-</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da275a6cee94a2c8c06ac189b4c7883"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22d66d01b234231b6bedf22b780b9a2" w:history="1">
              <w:r>
                <w:rPr>
                  <w:rFonts w:ascii="Calibri" w:eastAsia="Calibri" w:hAnsi="Calibri" w:cs="Calibri"/>
                  <w:b w:val="0"/>
                  <w:i w:val="0"/>
                  <w:color w:val="000000"/>
                  <w:sz w:val="20"/>
                  <w:u w:val="none"/>
                  <w:shd w:val="clear" w:color="auto" w:fill="auto"/>
                </w:rPr>
                <w:t>3.-</w:t>
                <w:tab/>
                <w:t>ESTIMACIONES Y JUICIOS O CRITERIOS CRÍTICOS DE LA ADMINISTRACIÓN.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22d66d01b234231b6bedf22b780b9a2"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d2374eb522248bb9ab0245fc53e0129" w:history="1">
              <w:r>
                <w:rPr>
                  <w:rFonts w:ascii="Calibri" w:eastAsia="Calibri" w:hAnsi="Calibri" w:cs="Calibri"/>
                  <w:b w:val="0"/>
                  <w:i w:val="0"/>
                  <w:color w:val="000000"/>
                  <w:sz w:val="20"/>
                  <w:u w:val="none"/>
                  <w:shd w:val="clear" w:color="auto" w:fill="auto"/>
                </w:rPr>
                <w:t>3.1.-</w:t>
                <w:tab/>
                <w:t>Beneficios por Indemnizaciones por cese pactadas (PIAS) y premios por antigüedad.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d2374eb522248bb9ab0245fc53e0129"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0ac88f93b854e4e9ea532838ce45a8f" w:history="1">
              <w:r>
                <w:rPr>
                  <w:rFonts w:ascii="Calibri" w:eastAsia="Calibri" w:hAnsi="Calibri" w:cs="Calibri"/>
                  <w:b w:val="0"/>
                  <w:i w:val="0"/>
                  <w:color w:val="000000"/>
                  <w:sz w:val="20"/>
                  <w:u w:val="none"/>
                  <w:shd w:val="clear" w:color="auto" w:fill="auto"/>
                </w:rPr>
                <w:t>4.-</w:t>
                <w:tab/>
                <w:t>POLÍTICA DE GESTIÓN DE RIESGOS.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0ac88f93b854e4e9ea532838ce45a8f"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e2ebb4db5af4dc49898cb5e02a378eb" w:history="1">
              <w:r>
                <w:rPr>
                  <w:rFonts w:ascii="Calibri" w:eastAsia="Calibri" w:hAnsi="Calibri" w:cs="Calibri"/>
                  <w:b w:val="0"/>
                  <w:i w:val="0"/>
                  <w:color w:val="000000"/>
                  <w:sz w:val="20"/>
                  <w:u w:val="none"/>
                  <w:shd w:val="clear" w:color="auto" w:fill="auto"/>
                </w:rPr>
                <w:t>4.1.-</w:t>
                <w:tab/>
                <w:t xml:space="preserve">Riesgo financiero.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e2ebb4db5af4dc49898cb5e02a378eb"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d9e0972527c469792a6ce6190e75c83" w:history="1">
              <w:r>
                <w:rPr>
                  <w:rFonts w:ascii="Calibri" w:eastAsia="Calibri" w:hAnsi="Calibri" w:cs="Calibri"/>
                  <w:b w:val="0"/>
                  <w:i w:val="0"/>
                  <w:color w:val="000000"/>
                  <w:sz w:val="20"/>
                  <w:u w:val="none"/>
                  <w:shd w:val="clear" w:color="auto" w:fill="auto"/>
                </w:rPr>
                <w:t>5.-</w:t>
                <w:tab/>
                <w:t>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d9e0972527c469792a6ce6190e75c83"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090ae5e0a454778977bc6f15ad60bff" w:history="1">
              <w:r>
                <w:rPr>
                  <w:rFonts w:ascii="Calibri" w:eastAsia="Calibri" w:hAnsi="Calibri" w:cs="Calibri"/>
                  <w:b w:val="0"/>
                  <w:i w:val="0"/>
                  <w:color w:val="000000"/>
                  <w:sz w:val="20"/>
                  <w:u w:val="none"/>
                  <w:shd w:val="clear" w:color="auto" w:fill="auto"/>
                </w:rPr>
                <w:t>5.1.-</w:t>
                <w:tab/>
                <w:t>Categorías de 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090ae5e0a454778977bc6f15ad60bff"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2ad809dc61a4369963dd8d13ba55ff3" w:history="1">
              <w:r>
                <w:rPr>
                  <w:rFonts w:ascii="Calibri" w:eastAsia="Calibri" w:hAnsi="Calibri" w:cs="Calibri"/>
                  <w:b w:val="0"/>
                  <w:i w:val="0"/>
                  <w:color w:val="000000"/>
                  <w:sz w:val="20"/>
                  <w:u w:val="none"/>
                  <w:shd w:val="clear" w:color="auto" w:fill="auto"/>
                </w:rPr>
                <w:t>6.-</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2ad809dc61a4369963dd8d13ba55ff3"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580c336c37b40859458b6125aaa21e2" w:history="1">
              <w:r>
                <w:rPr>
                  <w:rFonts w:ascii="Calibri" w:eastAsia="Calibri" w:hAnsi="Calibri" w:cs="Calibri"/>
                  <w:b w:val="0"/>
                  <w:i w:val="0"/>
                  <w:color w:val="000000"/>
                  <w:sz w:val="20"/>
                  <w:u w:val="none"/>
                  <w:shd w:val="clear" w:color="auto" w:fill="auto"/>
                </w:rPr>
                <w:t>6.1.-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580c336c37b40859458b6125aaa21e2"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9e2a293c0cc4e4996ef6e28c00fd96c" w:history="1">
              <w:r>
                <w:rPr>
                  <w:rFonts w:ascii="Calibri" w:eastAsia="Calibri" w:hAnsi="Calibri" w:cs="Calibri"/>
                  <w:b w:val="0"/>
                  <w:i w:val="0"/>
                  <w:color w:val="000000"/>
                  <w:sz w:val="20"/>
                  <w:u w:val="none"/>
                  <w:shd w:val="clear" w:color="auto" w:fill="auto"/>
                </w:rPr>
                <w:t>6.2.-</w:t>
                <w:tab/>
                <w:t>Detalles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9e2a293c0cc4e4996ef6e28c00fd96c"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58886acd5d944b59869566f14d9d79c" w:history="1">
              <w:r>
                <w:rPr>
                  <w:rFonts w:ascii="Calibri" w:eastAsia="Calibri" w:hAnsi="Calibri" w:cs="Calibri"/>
                  <w:b w:val="0"/>
                  <w:i w:val="0"/>
                  <w:color w:val="000000"/>
                  <w:sz w:val="20"/>
                  <w:u w:val="none"/>
                  <w:shd w:val="clear" w:color="auto" w:fill="auto"/>
                </w:rPr>
                <w:t>6.3.-</w:t>
                <w:tab/>
                <w:t>Conciliación de los pasivos que surgen de las actividades de financiamiento.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58886acd5d944b59869566f14d9d79c"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4375278150f457dbdea98d413934bb9" w:history="1">
              <w:r>
                <w:rPr>
                  <w:rFonts w:ascii="Calibri" w:eastAsia="Calibri" w:hAnsi="Calibri" w:cs="Calibri"/>
                  <w:b w:val="0"/>
                  <w:i w:val="0"/>
                  <w:color w:val="000000"/>
                  <w:sz w:val="20"/>
                  <w:u w:val="none"/>
                  <w:shd w:val="clear" w:color="auto" w:fill="auto"/>
                </w:rPr>
                <w:t>7.-</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4375278150f457dbdea98d413934bb9"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f9388026af14aaab5e3cd20270a4b53" w:history="1">
              <w:r>
                <w:rPr>
                  <w:rFonts w:ascii="Calibri" w:eastAsia="Calibri" w:hAnsi="Calibri" w:cs="Calibri"/>
                  <w:b w:val="0"/>
                  <w:i w:val="0"/>
                  <w:color w:val="000000"/>
                  <w:sz w:val="20"/>
                  <w:u w:val="none"/>
                  <w:shd w:val="clear" w:color="auto" w:fill="auto"/>
                </w:rPr>
                <w:t>7.1.-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f9388026af14aaab5e3cd20270a4b53"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53913d69a0440a0a0109d0ec30f7a75" w:history="1">
              <w:r>
                <w:rPr>
                  <w:rFonts w:ascii="Calibri" w:eastAsia="Calibri" w:hAnsi="Calibri" w:cs="Calibri"/>
                  <w:b w:val="0"/>
                  <w:i w:val="0"/>
                  <w:color w:val="000000"/>
                  <w:sz w:val="20"/>
                  <w:u w:val="none"/>
                  <w:shd w:val="clear" w:color="auto" w:fill="auto"/>
                </w:rPr>
                <w:t>7.2.-</w:t>
                <w:tab/>
                <w:t>Estratificación de la cartera.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53913d69a0440a0a0109d0ec30f7a75"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a672e5e5fcd4917913a9e21a08ef811" w:history="1">
              <w:r>
                <w:rPr>
                  <w:rFonts w:ascii="Calibri" w:eastAsia="Calibri" w:hAnsi="Calibri" w:cs="Calibri"/>
                  <w:b w:val="0"/>
                  <w:i w:val="0"/>
                  <w:color w:val="000000"/>
                  <w:sz w:val="20"/>
                  <w:u w:val="none"/>
                  <w:shd w:val="clear" w:color="auto" w:fill="auto"/>
                </w:rPr>
                <w:t>7.3.-</w:t>
                <w:tab/>
                <w:t>Cartera protestada y en cobranza judicial.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a672e5e5fcd4917913a9e21a08ef811"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70185e0fee94f6a82b579ea908c5f80" w:history="1">
              <w:r>
                <w:rPr>
                  <w:rFonts w:ascii="Calibri" w:eastAsia="Calibri" w:hAnsi="Calibri" w:cs="Calibri"/>
                  <w:b w:val="0"/>
                  <w:i w:val="0"/>
                  <w:color w:val="000000"/>
                  <w:sz w:val="20"/>
                  <w:u w:val="none"/>
                  <w:shd w:val="clear" w:color="auto" w:fill="auto"/>
                </w:rPr>
                <w:t xml:space="preserve">7.4.- </w:t>
                <w:tab/>
                <w:t>Número y monto de operaciones.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70185e0fee94f6a82b579ea908c5f80"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2c5a29e7c32417dac1a03482d17cc77" w:history="1">
              <w:r>
                <w:rPr>
                  <w:rFonts w:ascii="Calibri" w:eastAsia="Calibri" w:hAnsi="Calibri" w:cs="Calibri"/>
                  <w:b w:val="0"/>
                  <w:i w:val="0"/>
                  <w:color w:val="000000"/>
                  <w:sz w:val="20"/>
                  <w:u w:val="none"/>
                  <w:shd w:val="clear" w:color="auto" w:fill="auto"/>
                </w:rPr>
                <w:t>8.-</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2c5a29e7c32417dac1a03482d17cc77"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b7b40faca604bc3b94e4ffb06d37d22" w:history="1">
              <w:r>
                <w:rPr>
                  <w:rFonts w:ascii="Calibri" w:eastAsia="Calibri" w:hAnsi="Calibri" w:cs="Calibri"/>
                  <w:b w:val="0"/>
                  <w:i w:val="0"/>
                  <w:color w:val="000000"/>
                  <w:sz w:val="20"/>
                  <w:u w:val="none"/>
                  <w:shd w:val="clear" w:color="auto" w:fill="auto"/>
                </w:rPr>
                <w:t>8.1.-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b7b40faca604bc3b94e4ffb06d37d22"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31c52a1713d4760911c20b10f2894d1" w:history="1">
              <w:r>
                <w:rPr>
                  <w:rFonts w:ascii="Calibri" w:eastAsia="Calibri" w:hAnsi="Calibri" w:cs="Calibri"/>
                  <w:b w:val="0"/>
                  <w:i w:val="0"/>
                  <w:color w:val="000000"/>
                  <w:sz w:val="20"/>
                  <w:u w:val="none"/>
                  <w:shd w:val="clear" w:color="auto" w:fill="auto"/>
                </w:rPr>
                <w:t>8.2.-</w:t>
                <w:tab/>
                <w:t>Directorio y gerencia de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31c52a1713d4760911c20b10f2894d1"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0b307166103450f8a8193b1d63a987b" w:history="1">
              <w:r>
                <w:rPr>
                  <w:rFonts w:ascii="Calibri" w:eastAsia="Calibri" w:hAnsi="Calibri" w:cs="Calibri"/>
                  <w:b w:val="0"/>
                  <w:i w:val="0"/>
                  <w:color w:val="000000"/>
                  <w:sz w:val="20"/>
                  <w:u w:val="none"/>
                  <w:shd w:val="clear" w:color="auto" w:fill="auto"/>
                </w:rPr>
                <w:t>9.-</w:t>
                <w:tab/>
                <w:t>ACTIVOS, PASIVOS POR IMPUESTOS.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0b307166103450f8a8193b1d63a987b"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beb3f73306643069dc022c59784fb73" w:history="1">
              <w:r>
                <w:rPr>
                  <w:rFonts w:ascii="Calibri" w:eastAsia="Calibri" w:hAnsi="Calibri" w:cs="Calibri"/>
                  <w:b w:val="0"/>
                  <w:i w:val="0"/>
                  <w:color w:val="000000"/>
                  <w:sz w:val="20"/>
                  <w:u w:val="none"/>
                  <w:shd w:val="clear" w:color="auto" w:fill="auto"/>
                </w:rPr>
                <w:t>10.-</w:t>
                <w:tab/>
                <w:t>OTROS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beb3f73306643069dc022c59784fb73"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0c3bb4eade049a4a9011589bc0fdc41" w:history="1">
              <w:r>
                <w:rPr>
                  <w:rFonts w:ascii="Calibri" w:eastAsia="Calibri" w:hAnsi="Calibri" w:cs="Calibri"/>
                  <w:b w:val="0"/>
                  <w:i w:val="0"/>
                  <w:color w:val="000000"/>
                  <w:sz w:val="20"/>
                  <w:u w:val="none"/>
                  <w:shd w:val="clear" w:color="auto" w:fill="auto"/>
                </w:rPr>
                <w:t>11.-</w:t>
                <w:tab/>
                <w:t>INVERSIONES CONTABILIZADAS UTILIZANDO EL MÉTODO DE LA PARTICIPACIÓN.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0c3bb4eade049a4a9011589bc0fdc41"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2eb3fcb4a4e45e9adeafd1c2922e18f" w:history="1">
              <w:r>
                <w:rPr>
                  <w:rFonts w:ascii="Calibri" w:eastAsia="Calibri" w:hAnsi="Calibri" w:cs="Calibri"/>
                  <w:b w:val="0"/>
                  <w:i w:val="0"/>
                  <w:color w:val="000000"/>
                  <w:sz w:val="20"/>
                  <w:u w:val="none"/>
                  <w:shd w:val="clear" w:color="auto" w:fill="auto"/>
                </w:rPr>
                <w:t>11.1.-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2eb3fcb4a4e45e9adeafd1c2922e18f"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6dc531ad963486fab020a32994607eb" w:history="1">
              <w:r>
                <w:rPr>
                  <w:rFonts w:ascii="Calibri" w:eastAsia="Calibri" w:hAnsi="Calibri" w:cs="Calibri"/>
                  <w:b w:val="0"/>
                  <w:i w:val="0"/>
                  <w:color w:val="000000"/>
                  <w:sz w:val="20"/>
                  <w:u w:val="none"/>
                  <w:shd w:val="clear" w:color="auto" w:fill="auto"/>
                </w:rPr>
                <w:t>12.-</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6dc531ad963486fab020a32994607eb"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a9687e95a4846ebaf070d7a2fc3b2b7" w:history="1">
              <w:r>
                <w:rPr>
                  <w:rFonts w:ascii="Calibri" w:eastAsia="Calibri" w:hAnsi="Calibri" w:cs="Calibri"/>
                  <w:b w:val="0"/>
                  <w:i w:val="0"/>
                  <w:color w:val="000000"/>
                  <w:sz w:val="20"/>
                  <w:u w:val="none"/>
                  <w:shd w:val="clear" w:color="auto" w:fill="auto"/>
                </w:rPr>
                <w:t>12.1.-</w:t>
                <w:tab/>
                <w:t>Vidas útiles.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a9687e95a4846ebaf070d7a2fc3b2b7"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e2e61f4943e4fa3a4e33df1cfba1b2a" w:history="1">
              <w:r>
                <w:rPr>
                  <w:rFonts w:ascii="Calibri" w:eastAsia="Calibri" w:hAnsi="Calibri" w:cs="Calibri"/>
                  <w:b w:val="0"/>
                  <w:i w:val="0"/>
                  <w:color w:val="000000"/>
                  <w:sz w:val="20"/>
                  <w:u w:val="none"/>
                  <w:shd w:val="clear" w:color="auto" w:fill="auto"/>
                </w:rPr>
                <w:t>12.2.-</w:t>
                <w:tab/>
                <w:t>Detalle de los rubros.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e2e61f4943e4fa3a4e33df1cfba1b2a"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c10e391646448caaebefcb247f8a95e" w:history="1">
              <w:r>
                <w:rPr>
                  <w:rFonts w:ascii="Calibri" w:eastAsia="Calibri" w:hAnsi="Calibri" w:cs="Calibri"/>
                  <w:b w:val="0"/>
                  <w:i w:val="0"/>
                  <w:color w:val="000000"/>
                  <w:sz w:val="20"/>
                  <w:u w:val="none"/>
                  <w:shd w:val="clear" w:color="auto" w:fill="auto"/>
                </w:rPr>
                <w:t>12.3.-</w:t>
                <w:tab/>
                <w:t>Reconciliación de cambios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c10e391646448caaebefcb247f8a95e"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4d232d7b0a94a87855754ed5f846324" w:history="1">
              <w:r>
                <w:rPr>
                  <w:rFonts w:ascii="Calibri" w:eastAsia="Calibri" w:hAnsi="Calibri" w:cs="Calibri"/>
                  <w:b w:val="0"/>
                  <w:i w:val="0"/>
                  <w:color w:val="000000"/>
                  <w:sz w:val="20"/>
                  <w:u w:val="none"/>
                  <w:shd w:val="clear" w:color="auto" w:fill="auto"/>
                </w:rPr>
                <w:t>13.-</w:t>
                <w:tab/>
                <w:t>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4d232d7b0a94a87855754ed5f846324"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867d41d3b1c4b2b9db74e75739e3a97" w:history="1">
              <w:r>
                <w:rPr>
                  <w:rFonts w:ascii="Calibri" w:eastAsia="Calibri" w:hAnsi="Calibri" w:cs="Calibri"/>
                  <w:b w:val="0"/>
                  <w:i w:val="0"/>
                  <w:color w:val="000000"/>
                  <w:sz w:val="20"/>
                  <w:u w:val="none"/>
                  <w:shd w:val="clear" w:color="auto" w:fill="auto"/>
                </w:rPr>
                <w:t>13.1.-</w:t>
                <w:tab/>
                <w:t>Pasivos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867d41d3b1c4b2b9db74e75739e3a97"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139dd6b8aff47e9966f52f20928eaf4" w:history="1">
              <w:r>
                <w:rPr>
                  <w:rFonts w:ascii="Calibri" w:eastAsia="Calibri" w:hAnsi="Calibri" w:cs="Calibri"/>
                  <w:b w:val="0"/>
                  <w:i w:val="0"/>
                  <w:color w:val="000000"/>
                  <w:sz w:val="20"/>
                  <w:u w:val="none"/>
                  <w:shd w:val="clear" w:color="auto" w:fill="auto"/>
                </w:rPr>
                <w:t>13.2.-</w:t>
                <w:tab/>
                <w:t>Movimientos de impuesto diferido del estado de situación financiera.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139dd6b8aff47e9966f52f20928eaf4"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c2d263edf04478b987e057fce4061d6" w:history="1">
              <w:r>
                <w:rPr>
                  <w:rFonts w:ascii="Calibri" w:eastAsia="Calibri" w:hAnsi="Calibri" w:cs="Calibri"/>
                  <w:b w:val="0"/>
                  <w:i w:val="0"/>
                  <w:color w:val="000000"/>
                  <w:sz w:val="20"/>
                  <w:u w:val="none"/>
                  <w:shd w:val="clear" w:color="auto" w:fill="auto"/>
                </w:rPr>
                <w:t>14.-</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c2d263edf04478b987e057fce4061d6" w:history="1">
              <w:r>
                <w:rPr>
                  <w:rFonts w:ascii="Calibri" w:eastAsia="Calibri" w:hAnsi="Calibri" w:cs="Calibri"/>
                  <w:b w:val="0"/>
                  <w:i w:val="0"/>
                  <w:color w:val="000000"/>
                  <w:sz w:val="20"/>
                  <w:u w:val="none"/>
                  <w:shd w:val="clear" w:color="auto" w:fill="auto"/>
                </w:rPr>
                <w:t>38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8a5eff328ee402ea9a6d1ca9fd35165" w:history="1">
              <w:r>
                <w:rPr>
                  <w:rFonts w:ascii="Calibri" w:eastAsia="Calibri" w:hAnsi="Calibri" w:cs="Calibri"/>
                  <w:b w:val="0"/>
                  <w:i w:val="0"/>
                  <w:color w:val="000000"/>
                  <w:sz w:val="20"/>
                  <w:u w:val="none"/>
                  <w:shd w:val="clear" w:color="auto" w:fill="auto"/>
                </w:rPr>
                <w:t>14.1.-</w:t>
                <w:tab/>
                <w:t>Pasivos acumulados (o devengados).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8a5eff328ee402ea9a6d1ca9fd35165" w:history="1">
              <w:r>
                <w:rPr>
                  <w:rFonts w:ascii="Calibri" w:eastAsia="Calibri" w:hAnsi="Calibri" w:cs="Calibri"/>
                  <w:b w:val="0"/>
                  <w:i w:val="0"/>
                  <w:color w:val="000000"/>
                  <w:sz w:val="20"/>
                  <w:u w:val="none"/>
                  <w:shd w:val="clear" w:color="auto" w:fill="auto"/>
                </w:rPr>
                <w:t>38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2891b7d26f8439e90abd07d07880471" w:history="1">
              <w:r>
                <w:rPr>
                  <w:rFonts w:ascii="Calibri" w:eastAsia="Calibri" w:hAnsi="Calibri" w:cs="Calibri"/>
                  <w:b w:val="0"/>
                  <w:i w:val="0"/>
                  <w:color w:val="000000"/>
                  <w:sz w:val="20"/>
                  <w:u w:val="none"/>
                  <w:shd w:val="clear" w:color="auto" w:fill="auto"/>
                </w:rPr>
                <w:t>14.2.-</w:t>
                <w:tab/>
                <w:t>Información cuentas comerciales y otras cuentas por pagar con pagos al día y con plazos vencidos.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2891b7d26f8439e90abd07d07880471" w:history="1">
              <w:r>
                <w:rPr>
                  <w:rFonts w:ascii="Calibri" w:eastAsia="Calibri" w:hAnsi="Calibri" w:cs="Calibri"/>
                  <w:b w:val="0"/>
                  <w:i w:val="0"/>
                  <w:color w:val="000000"/>
                  <w:sz w:val="20"/>
                  <w:u w:val="none"/>
                  <w:shd w:val="clear" w:color="auto" w:fill="auto"/>
                </w:rPr>
                <w:t>38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1939547a86944acaa045ad35baddacd" w:history="1">
              <w:r>
                <w:rPr>
                  <w:rFonts w:ascii="Calibri" w:eastAsia="Calibri" w:hAnsi="Calibri" w:cs="Calibri"/>
                  <w:b w:val="0"/>
                  <w:i w:val="0"/>
                  <w:color w:val="000000"/>
                  <w:sz w:val="20"/>
                  <w:u w:val="none"/>
                  <w:shd w:val="clear" w:color="auto" w:fill="auto"/>
                </w:rPr>
                <w:t>15.-</w:t>
                <w:tab/>
                <w:t>OTRAS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1939547a86944acaa045ad35baddacd"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f9baef7669b443d95ae18b3c457338d" w:history="1">
              <w:r>
                <w:rPr>
                  <w:rFonts w:ascii="Calibri" w:eastAsia="Calibri" w:hAnsi="Calibri" w:cs="Calibri"/>
                  <w:b w:val="0"/>
                  <w:i w:val="0"/>
                  <w:color w:val="000000"/>
                  <w:sz w:val="20"/>
                  <w:u w:val="none"/>
                  <w:shd w:val="clear" w:color="auto" w:fill="auto"/>
                </w:rPr>
                <w:t>15.1.-</w:t>
                <w:tab/>
                <w:t>Provisiones – saldos.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f9baef7669b443d95ae18b3c457338d"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fff1cb7819b4eb9a76823ce068a6cfc" w:history="1">
              <w:r>
                <w:rPr>
                  <w:rFonts w:ascii="Calibri" w:eastAsia="Calibri" w:hAnsi="Calibri" w:cs="Calibri"/>
                  <w:b w:val="0"/>
                  <w:i w:val="0"/>
                  <w:color w:val="000000"/>
                  <w:sz w:val="20"/>
                  <w:u w:val="none"/>
                  <w:shd w:val="clear" w:color="auto" w:fill="auto"/>
                </w:rPr>
                <w:t>16.-</w:t>
                <w:tab/>
                <w:t>PROVISIONES POR BENEFICIOS A LOS EMPLEADOS.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fff1cb7819b4eb9a76823ce068a6cfc"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247bda990234ca9aebe2c3f2ce98dd2" w:history="1">
              <w:r>
                <w:rPr>
                  <w:rFonts w:ascii="Calibri" w:eastAsia="Calibri" w:hAnsi="Calibri" w:cs="Calibri"/>
                  <w:b w:val="0"/>
                  <w:i w:val="0"/>
                  <w:color w:val="000000"/>
                  <w:sz w:val="20"/>
                  <w:u w:val="none"/>
                  <w:shd w:val="clear" w:color="auto" w:fill="auto"/>
                </w:rPr>
                <w:t>16.1.-</w:t>
                <w:tab/>
                <w:t>Detalle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247bda990234ca9aebe2c3f2ce98dd2"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fbba9b02039447f9741740c3d4d130d" w:history="1">
              <w:r>
                <w:rPr>
                  <w:rFonts w:ascii="Calibri" w:eastAsia="Calibri" w:hAnsi="Calibri" w:cs="Calibri"/>
                  <w:b w:val="0"/>
                  <w:i w:val="0"/>
                  <w:color w:val="000000"/>
                  <w:sz w:val="20"/>
                  <w:u w:val="none"/>
                  <w:shd w:val="clear" w:color="auto" w:fill="auto"/>
                </w:rPr>
                <w:t>16.2.-</w:t>
                <w:tab/>
                <w:t>Detalle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fbba9b02039447f9741740c3d4d130d"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f6b436443594cf6a3b8dda85d948e8b" w:history="1">
              <w:r>
                <w:rPr>
                  <w:rFonts w:ascii="Calibri" w:eastAsia="Calibri" w:hAnsi="Calibri" w:cs="Calibri"/>
                  <w:b w:val="0"/>
                  <w:i w:val="0"/>
                  <w:color w:val="000000"/>
                  <w:sz w:val="20"/>
                  <w:u w:val="none"/>
                  <w:shd w:val="clear" w:color="auto" w:fill="auto"/>
                </w:rPr>
                <w:t>16.3.-</w:t>
                <w:tab/>
                <w:t>Balance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f6b436443594cf6a3b8dda85d948e8b"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78b276a0b664df48f80932a597c83f4" w:history="1">
              <w:r>
                <w:rPr>
                  <w:rFonts w:ascii="Calibri" w:eastAsia="Calibri" w:hAnsi="Calibri" w:cs="Calibri"/>
                  <w:b w:val="0"/>
                  <w:i w:val="0"/>
                  <w:color w:val="000000"/>
                  <w:sz w:val="20"/>
                  <w:u w:val="none"/>
                  <w:shd w:val="clear" w:color="auto" w:fill="auto"/>
                </w:rPr>
                <w:t>16.4.-</w:t>
                <w:tab/>
                <w:t>Gastos reconocidos en el estado de resultados.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78b276a0b664df48f80932a597c83f4"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7423c5640804542a230e204cd4abc9d" w:history="1">
              <w:r>
                <w:rPr>
                  <w:rFonts w:ascii="Calibri" w:eastAsia="Calibri" w:hAnsi="Calibri" w:cs="Calibri"/>
                  <w:b w:val="0"/>
                  <w:i w:val="0"/>
                  <w:color w:val="000000"/>
                  <w:sz w:val="20"/>
                  <w:u w:val="none"/>
                  <w:shd w:val="clear" w:color="auto" w:fill="auto"/>
                </w:rPr>
                <w:t>16.5.-</w:t>
                <w:tab/>
                <w:t>Hipótesis actuariales.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7423c5640804542a230e204cd4abc9d"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391e089811b4eb69ce7165595b334dc" w:history="1">
              <w:r>
                <w:rPr>
                  <w:rFonts w:ascii="Calibri" w:eastAsia="Calibri" w:hAnsi="Calibri" w:cs="Calibri"/>
                  <w:b w:val="0"/>
                  <w:i w:val="0"/>
                  <w:color w:val="000000"/>
                  <w:sz w:val="20"/>
                  <w:u w:val="none"/>
                  <w:shd w:val="clear" w:color="auto" w:fill="auto"/>
                </w:rPr>
                <w:t>16.6.-</w:t>
                <w:tab/>
                <w:t>Flujo y plazo de los compromisos.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391e089811b4eb69ce7165595b334dc"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a2b496837774f3f8e5b0395af3eac96" w:history="1">
              <w:r>
                <w:rPr>
                  <w:rFonts w:ascii="Calibri" w:eastAsia="Calibri" w:hAnsi="Calibri" w:cs="Calibri"/>
                  <w:b w:val="0"/>
                  <w:i w:val="0"/>
                  <w:color w:val="000000"/>
                  <w:sz w:val="20"/>
                  <w:u w:val="none"/>
                  <w:shd w:val="clear" w:color="auto" w:fill="auto"/>
                </w:rPr>
                <w:t>17.-</w:t>
                <w:tab/>
                <w:t>PASIVOS POR 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a2b496837774f3f8e5b0395af3eac96"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4541c60986d4dee8e6d4a5f77b3d06b" w:history="1">
              <w:r>
                <w:rPr>
                  <w:rFonts w:ascii="Calibri" w:eastAsia="Calibri" w:hAnsi="Calibri" w:cs="Calibri"/>
                  <w:b w:val="0"/>
                  <w:i w:val="0"/>
                  <w:color w:val="000000"/>
                  <w:sz w:val="20"/>
                  <w:u w:val="none"/>
                  <w:shd w:val="clear" w:color="auto" w:fill="auto"/>
                </w:rPr>
                <w:t>17.1.-</w:t>
                <w:tab/>
                <w:t xml:space="preserve">Obligaciones por arrendamientos.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4541c60986d4dee8e6d4a5f77b3d06b"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39c13315b7c4eed9d591f294d46e67b" w:history="1">
              <w:r>
                <w:rPr>
                  <w:rFonts w:ascii="Calibri" w:eastAsia="Calibri" w:hAnsi="Calibri" w:cs="Calibri"/>
                  <w:b w:val="0"/>
                  <w:i w:val="0"/>
                  <w:color w:val="000000"/>
                  <w:sz w:val="20"/>
                  <w:u w:val="none"/>
                  <w:shd w:val="clear" w:color="auto" w:fill="auto"/>
                </w:rPr>
                <w:t>17.2.-</w:t>
                <w:tab/>
                <w:t xml:space="preserve">Activos por derecho de uso.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39c13315b7c4eed9d591f294d46e67b"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4e16a4293e44ca38010ebd450876365" w:history="1">
              <w:r>
                <w:rPr>
                  <w:rFonts w:ascii="Calibri" w:eastAsia="Calibri" w:hAnsi="Calibri" w:cs="Calibri"/>
                  <w:b w:val="0"/>
                  <w:i w:val="0"/>
                  <w:color w:val="000000"/>
                  <w:sz w:val="20"/>
                  <w:u w:val="none"/>
                  <w:shd w:val="clear" w:color="auto" w:fill="auto"/>
                </w:rPr>
                <w:t>18.-</w:t>
                <w:tab/>
                <w:t>PATRIMONIO NETO.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4e16a4293e44ca38010ebd450876365"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e6e9b0e08604c488629d5b4aaa18855" w:history="1">
              <w:r>
                <w:rPr>
                  <w:rFonts w:ascii="Calibri" w:eastAsia="Calibri" w:hAnsi="Calibri" w:cs="Calibri"/>
                  <w:b w:val="0"/>
                  <w:i w:val="0"/>
                  <w:color w:val="000000"/>
                  <w:sz w:val="20"/>
                  <w:u w:val="none"/>
                  <w:shd w:val="clear" w:color="auto" w:fill="auto"/>
                </w:rPr>
                <w:t>18.1.-</w:t>
                <w:tab/>
                <w:t>Gestión de capital.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e6e9b0e08604c488629d5b4aaa18855"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2e41a9774f44e2b90d6446629c0edb6" w:history="1">
              <w:r>
                <w:rPr>
                  <w:rFonts w:ascii="Calibri" w:eastAsia="Calibri" w:hAnsi="Calibri" w:cs="Calibri"/>
                  <w:b w:val="0"/>
                  <w:i w:val="0"/>
                  <w:color w:val="000000"/>
                  <w:sz w:val="20"/>
                  <w:u w:val="none"/>
                  <w:shd w:val="clear" w:color="auto" w:fill="auto"/>
                </w:rPr>
                <w:t>18.2.-</w:t>
                <w:tab/>
                <w:t>Capital suscrito y pagado.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2e41a9774f44e2b90d6446629c0edb6"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e4f021c257b4b90962579cd5010370c" w:history="1">
              <w:r>
                <w:rPr>
                  <w:rFonts w:ascii="Calibri" w:eastAsia="Calibri" w:hAnsi="Calibri" w:cs="Calibri"/>
                  <w:b w:val="0"/>
                  <w:i w:val="0"/>
                  <w:color w:val="000000"/>
                  <w:sz w:val="20"/>
                  <w:u w:val="none"/>
                  <w:shd w:val="clear" w:color="auto" w:fill="auto"/>
                </w:rPr>
                <w:t>18.3.-</w:t>
                <w:tab/>
                <w:t>Número de acciones suscritas y pagadas.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e4f021c257b4b90962579cd5010370c"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68e982861e24c93bec2bb36648886b1" w:history="1">
              <w:r>
                <w:rPr>
                  <w:rFonts w:ascii="Calibri" w:eastAsia="Calibri" w:hAnsi="Calibri" w:cs="Calibri"/>
                  <w:b w:val="0"/>
                  <w:i w:val="0"/>
                  <w:color w:val="000000"/>
                  <w:sz w:val="20"/>
                  <w:u w:val="none"/>
                  <w:shd w:val="clear" w:color="auto" w:fill="auto"/>
                </w:rPr>
                <w:t>18.4.-</w:t>
                <w:tab/>
                <w:t>Política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68e982861e24c93bec2bb36648886b1"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6a76414a2124556bc16352c76f671ff" w:history="1">
              <w:r>
                <w:rPr>
                  <w:rFonts w:ascii="Calibri" w:eastAsia="Calibri" w:hAnsi="Calibri" w:cs="Calibri"/>
                  <w:b w:val="0"/>
                  <w:i w:val="0"/>
                  <w:color w:val="000000"/>
                  <w:sz w:val="20"/>
                  <w:u w:val="none"/>
                  <w:shd w:val="clear" w:color="auto" w:fill="auto"/>
                </w:rPr>
                <w:t>18.5.-</w:t>
                <w:tab/>
                <w:t>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6a76414a2124556bc16352c76f671ff" w:history="1">
              <w:r>
                <w:rPr>
                  <w:rFonts w:ascii="Calibri" w:eastAsia="Calibri" w:hAnsi="Calibri" w:cs="Calibri"/>
                  <w:b w:val="0"/>
                  <w:i w:val="0"/>
                  <w:color w:val="000000"/>
                  <w:sz w:val="20"/>
                  <w:u w:val="none"/>
                  <w:shd w:val="clear" w:color="auto" w:fill="auto"/>
                </w:rPr>
                <w:t>43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b6c0604ec954482875a89d886f4f763" w:history="1">
              <w:r>
                <w:rPr>
                  <w:rFonts w:ascii="Calibri" w:eastAsia="Calibri" w:hAnsi="Calibri" w:cs="Calibri"/>
                  <w:b w:val="0"/>
                  <w:i w:val="0"/>
                  <w:color w:val="000000"/>
                  <w:sz w:val="20"/>
                  <w:u w:val="none"/>
                  <w:shd w:val="clear" w:color="auto" w:fill="auto"/>
                </w:rPr>
                <w:t>18.6.-</w:t>
                <w:tab/>
                <w:t>Reservas.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b6c0604ec954482875a89d886f4f763" w:history="1">
              <w:r>
                <w:rPr>
                  <w:rFonts w:ascii="Calibri" w:eastAsia="Calibri" w:hAnsi="Calibri" w:cs="Calibri"/>
                  <w:b w:val="0"/>
                  <w:i w:val="0"/>
                  <w:color w:val="000000"/>
                  <w:sz w:val="20"/>
                  <w:u w:val="none"/>
                  <w:shd w:val="clear" w:color="auto" w:fill="auto"/>
                </w:rPr>
                <w:t>44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c1f66ee6e9541628a4f864c7235aad1" w:history="1">
              <w:r>
                <w:rPr>
                  <w:rFonts w:ascii="Calibri" w:eastAsia="Calibri" w:hAnsi="Calibri" w:cs="Calibri"/>
                  <w:b w:val="0"/>
                  <w:i w:val="0"/>
                  <w:color w:val="000000"/>
                  <w:sz w:val="20"/>
                  <w:u w:val="none"/>
                  <w:shd w:val="clear" w:color="auto" w:fill="auto"/>
                </w:rPr>
                <w:t>18.7.-</w:t>
                <w:tab/>
                <w:t>Reconciliación del movimiento en reservas de los otros resultados integrales.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c1f66ee6e9541628a4f864c7235aad1" w:history="1">
              <w:r>
                <w:rPr>
                  <w:rFonts w:ascii="Calibri" w:eastAsia="Calibri" w:hAnsi="Calibri" w:cs="Calibri"/>
                  <w:b w:val="0"/>
                  <w:i w:val="0"/>
                  <w:color w:val="000000"/>
                  <w:sz w:val="20"/>
                  <w:u w:val="none"/>
                  <w:shd w:val="clear" w:color="auto" w:fill="auto"/>
                </w:rPr>
                <w:t>44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425411fd35a4808a1226c5c57b37b18" w:history="1">
              <w:r>
                <w:rPr>
                  <w:rFonts w:ascii="Calibri" w:eastAsia="Calibri" w:hAnsi="Calibri" w:cs="Calibri"/>
                  <w:b w:val="0"/>
                  <w:i w:val="0"/>
                  <w:color w:val="000000"/>
                  <w:sz w:val="20"/>
                  <w:u w:val="none"/>
                  <w:shd w:val="clear" w:color="auto" w:fill="auto"/>
                </w:rPr>
                <w:t>19.-</w:t>
                <w:tab/>
                <w:t>INGRESOS DE ACTIVIDADES ORDINARIAS.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425411fd35a4808a1226c5c57b37b18"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d5cfcae99e44e07b3b98d6ad0d4db2c" w:history="1">
              <w:r>
                <w:rPr>
                  <w:rFonts w:ascii="Calibri" w:eastAsia="Calibri" w:hAnsi="Calibri" w:cs="Calibri"/>
                  <w:b w:val="0"/>
                  <w:i w:val="0"/>
                  <w:color w:val="000000"/>
                  <w:sz w:val="20"/>
                  <w:u w:val="none"/>
                  <w:shd w:val="clear" w:color="auto" w:fill="auto"/>
                </w:rPr>
                <w:t>19.1.-</w:t>
                <w:tab/>
                <w:t>Ingresos ordinarios.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d5cfcae99e44e07b3b98d6ad0d4db2c"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006448aca0640d39c9cf45356637693" w:history="1">
              <w:r>
                <w:rPr>
                  <w:rFonts w:ascii="Calibri" w:eastAsia="Calibri" w:hAnsi="Calibri" w:cs="Calibri"/>
                  <w:b w:val="0"/>
                  <w:i w:val="0"/>
                  <w:color w:val="000000"/>
                  <w:sz w:val="20"/>
                  <w:u w:val="none"/>
                  <w:shd w:val="clear" w:color="auto" w:fill="auto"/>
                </w:rPr>
                <w:t>20.-</w:t>
                <w:tab/>
                <w:t>COMPOSICIÓN DE RESULTADOS RELEVANTES.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006448aca0640d39c9cf45356637693"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6b2670cc22f4ca69eca06efbaed1a95" w:history="1">
              <w:r>
                <w:rPr>
                  <w:rFonts w:ascii="Calibri" w:eastAsia="Calibri" w:hAnsi="Calibri" w:cs="Calibri"/>
                  <w:b w:val="0"/>
                  <w:i w:val="0"/>
                  <w:color w:val="000000"/>
                  <w:sz w:val="20"/>
                  <w:u w:val="none"/>
                  <w:shd w:val="clear" w:color="auto" w:fill="auto"/>
                </w:rPr>
                <w:t>20.1.-</w:t>
                <w:tab/>
                <w:t>Gastos por naturaleza.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6b2670cc22f4ca69eca06efbaed1a95"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2c8cb8a3d33401586fc4f81cc0f1207" w:history="1">
              <w:r>
                <w:rPr>
                  <w:rFonts w:ascii="Calibri" w:eastAsia="Calibri" w:hAnsi="Calibri" w:cs="Calibri"/>
                  <w:b w:val="0"/>
                  <w:i w:val="0"/>
                  <w:color w:val="000000"/>
                  <w:sz w:val="20"/>
                  <w:u w:val="none"/>
                  <w:shd w:val="clear" w:color="auto" w:fill="auto"/>
                </w:rPr>
                <w:t>20.2.-</w:t>
                <w:tab/>
                <w:t>Gastos de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2c8cb8a3d33401586fc4f81cc0f1207"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76fbf09373a43618af73b5f72303b5a" w:history="1">
              <w:r>
                <w:rPr>
                  <w:rFonts w:ascii="Calibri" w:eastAsia="Calibri" w:hAnsi="Calibri" w:cs="Calibri"/>
                  <w:b w:val="0"/>
                  <w:i w:val="0"/>
                  <w:color w:val="000000"/>
                  <w:sz w:val="20"/>
                  <w:u w:val="none"/>
                  <w:shd w:val="clear" w:color="auto" w:fill="auto"/>
                </w:rPr>
                <w:t>20.3.-</w:t>
                <w:tab/>
                <w:t>Depreciación y amortización.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76fbf09373a43618af73b5f72303b5a"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67acd95d2a443348a7a4f85b2b89948" w:history="1">
              <w:r>
                <w:rPr>
                  <w:rFonts w:ascii="Calibri" w:eastAsia="Calibri" w:hAnsi="Calibri" w:cs="Calibri"/>
                  <w:b w:val="0"/>
                  <w:i w:val="0"/>
                  <w:color w:val="000000"/>
                  <w:sz w:val="20"/>
                  <w:u w:val="none"/>
                  <w:shd w:val="clear" w:color="auto" w:fill="auto"/>
                </w:rPr>
                <w:t>20.4.-</w:t>
                <w:tab/>
                <w:t>Otras ganancias (pérdidas).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67acd95d2a443348a7a4f85b2b89948"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5a05ac6c3204727a49fbfcac8a89c4a" w:history="1">
              <w:r>
                <w:rPr>
                  <w:rFonts w:ascii="Calibri" w:eastAsia="Calibri" w:hAnsi="Calibri" w:cs="Calibri"/>
                  <w:b w:val="0"/>
                  <w:i w:val="0"/>
                  <w:color w:val="000000"/>
                  <w:sz w:val="20"/>
                  <w:u w:val="none"/>
                  <w:shd w:val="clear" w:color="auto" w:fill="auto"/>
                </w:rPr>
                <w:t>21.-</w:t>
                <w:tab/>
                <w:t>RESULTADO FINANCIERO.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5a05ac6c3204727a49fbfcac8a89c4a"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e050a3a4b0d4a7bbd2b7d0341647d90" w:history="1">
              <w:r>
                <w:rPr>
                  <w:rFonts w:ascii="Calibri" w:eastAsia="Calibri" w:hAnsi="Calibri" w:cs="Calibri"/>
                  <w:b w:val="0"/>
                  <w:i w:val="0"/>
                  <w:color w:val="000000"/>
                  <w:sz w:val="20"/>
                  <w:u w:val="none"/>
                  <w:shd w:val="clear" w:color="auto" w:fill="auto"/>
                </w:rPr>
                <w:t>21.1.-</w:t>
                <w:tab/>
                <w:t xml:space="preserve">Composición ganancias (pérdidas) de cambio en moneda extranjera.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e050a3a4b0d4a7bbd2b7d0341647d90"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d93b4bb14794657b07320e7801b121d" w:history="1">
              <w:r>
                <w:rPr>
                  <w:rFonts w:ascii="Calibri" w:eastAsia="Calibri" w:hAnsi="Calibri" w:cs="Calibri"/>
                  <w:b w:val="0"/>
                  <w:i w:val="0"/>
                  <w:color w:val="000000"/>
                  <w:sz w:val="20"/>
                  <w:u w:val="none"/>
                  <w:shd w:val="clear" w:color="auto" w:fill="auto"/>
                </w:rPr>
                <w:t>21.2.-</w:t>
                <w:tab/>
                <w:t xml:space="preserve">Composición unidades de reajuste.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d93b4bb14794657b07320e7801b121d"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3868732cb2f4751b5eae2b7858aff4d" w:history="1">
              <w:r>
                <w:rPr>
                  <w:rFonts w:ascii="Calibri" w:eastAsia="Calibri" w:hAnsi="Calibri" w:cs="Calibri"/>
                  <w:b w:val="0"/>
                  <w:i w:val="0"/>
                  <w:color w:val="000000"/>
                  <w:sz w:val="20"/>
                  <w:u w:val="none"/>
                  <w:shd w:val="clear" w:color="auto" w:fill="auto"/>
                </w:rPr>
                <w:t>22.-</w:t>
                <w:tab/>
                <w:t>GASTO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3868732cb2f4751b5eae2b7858aff4d"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72f2c3d37f049a9a7e5c155fe40950e" w:history="1">
              <w:r>
                <w:rPr>
                  <w:rFonts w:ascii="Calibri" w:eastAsia="Calibri" w:hAnsi="Calibri" w:cs="Calibri"/>
                  <w:b w:val="0"/>
                  <w:i w:val="0"/>
                  <w:color w:val="000000"/>
                  <w:sz w:val="20"/>
                  <w:u w:val="none"/>
                  <w:shd w:val="clear" w:color="auto" w:fill="auto"/>
                </w:rPr>
                <w:t>22.1.-</w:t>
                <w:tab/>
                <w:t>Efecto en resultados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72f2c3d37f049a9a7e5c155fe40950e"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2be77bd80334d72b25aadc918abe559" w:history="1">
              <w:r>
                <w:rPr>
                  <w:rFonts w:ascii="Calibri" w:eastAsia="Calibri" w:hAnsi="Calibri" w:cs="Calibri"/>
                  <w:b w:val="0"/>
                  <w:i w:val="0"/>
                  <w:color w:val="000000"/>
                  <w:sz w:val="20"/>
                  <w:u w:val="none"/>
                  <w:shd w:val="clear" w:color="auto" w:fill="auto"/>
                </w:rPr>
                <w:t>22.2.-</w:t>
                <w:tab/>
                <w:t>Conciliación entre el resultado por impuestos a las ganancias contabilizado y la tasa efectiva.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2be77bd80334d72b25aadc918abe559"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e27b011461d480b820713bca63d48c5" w:history="1">
              <w:r>
                <w:rPr>
                  <w:rFonts w:ascii="Calibri" w:eastAsia="Calibri" w:hAnsi="Calibri" w:cs="Calibri"/>
                  <w:b w:val="0"/>
                  <w:i w:val="0"/>
                  <w:color w:val="000000"/>
                  <w:sz w:val="20"/>
                  <w:u w:val="none"/>
                  <w:shd w:val="clear" w:color="auto" w:fill="auto"/>
                </w:rPr>
                <w:t>22.3.-</w:t>
                <w:tab/>
                <w:t>Efecto en los resultados integrales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e27b011461d480b820713bca63d48c5"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6f92c37a926478cad5e2ef8bc15db91" w:history="1">
              <w:r>
                <w:rPr>
                  <w:rFonts w:ascii="Calibri" w:eastAsia="Calibri" w:hAnsi="Calibri" w:cs="Calibri"/>
                  <w:b w:val="0"/>
                  <w:i w:val="0"/>
                  <w:color w:val="000000"/>
                  <w:sz w:val="20"/>
                  <w:u w:val="none"/>
                  <w:shd w:val="clear" w:color="auto" w:fill="auto"/>
                </w:rPr>
                <w:t>23.-</w:t>
                <w:tab/>
                <w:t>GANANCIAS POR ACCIÓN.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6f92c37a926478cad5e2ef8bc15db91"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5c21560da46469398ff5cbc68a85b8f" w:history="1">
              <w:r>
                <w:rPr>
                  <w:rFonts w:ascii="Calibri" w:eastAsia="Calibri" w:hAnsi="Calibri" w:cs="Calibri"/>
                  <w:b w:val="0"/>
                  <w:i w:val="0"/>
                  <w:color w:val="000000"/>
                  <w:sz w:val="20"/>
                  <w:u w:val="none"/>
                  <w:shd w:val="clear" w:color="auto" w:fill="auto"/>
                </w:rPr>
                <w:t>24.-</w:t>
                <w:tab/>
                <w:t>INFORMACIÓN POR SEGMENTO.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5c21560da46469398ff5cbc68a85b8f"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f6c0acba18349cb9bf1e0da62d8bd30" w:history="1">
              <w:r>
                <w:rPr>
                  <w:rFonts w:ascii="Calibri" w:eastAsia="Calibri" w:hAnsi="Calibri" w:cs="Calibri"/>
                  <w:b w:val="0"/>
                  <w:i w:val="0"/>
                  <w:color w:val="000000"/>
                  <w:sz w:val="20"/>
                  <w:u w:val="none"/>
                  <w:shd w:val="clear" w:color="auto" w:fill="auto"/>
                </w:rPr>
                <w:t>24.1.-</w:t>
                <w:tab/>
                <w:t>Criterios de segmentación.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f6c0acba18349cb9bf1e0da62d8bd30"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96f64cd832a4dc98fbeeb2efe15c04e" w:history="1">
              <w:r>
                <w:rPr>
                  <w:rFonts w:ascii="Calibri" w:eastAsia="Calibri" w:hAnsi="Calibri" w:cs="Calibri"/>
                  <w:b w:val="0"/>
                  <w:i w:val="0"/>
                  <w:color w:val="000000"/>
                  <w:sz w:val="20"/>
                  <w:u w:val="none"/>
                  <w:shd w:val="clear" w:color="auto" w:fill="auto"/>
                </w:rPr>
                <w:t>24.2.-</w:t>
                <w:tab/>
                <w:t>Cuadros de resultados por segmentos.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96f64cd832a4dc98fbeeb2efe15c04e"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da4d5bc6e4a4f088a5a2049ada2eed0" w:history="1">
              <w:r>
                <w:rPr>
                  <w:rFonts w:ascii="Calibri" w:eastAsia="Calibri" w:hAnsi="Calibri" w:cs="Calibri"/>
                  <w:b w:val="0"/>
                  <w:i w:val="0"/>
                  <w:color w:val="000000"/>
                  <w:sz w:val="20"/>
                  <w:u w:val="none"/>
                  <w:shd w:val="clear" w:color="auto" w:fill="auto"/>
                </w:rPr>
                <w:t>24.3.-</w:t>
                <w:tab/>
                <w:t>Flujos de efectivo por segmento por método directo.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da4d5bc6e4a4f088a5a2049ada2eed0"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56dde07375244feabebb500b1b9e3bd" w:history="1">
              <w:r>
                <w:rPr>
                  <w:rFonts w:ascii="Calibri" w:eastAsia="Calibri" w:hAnsi="Calibri" w:cs="Calibri"/>
                  <w:b w:val="0"/>
                  <w:i w:val="0"/>
                  <w:color w:val="000000"/>
                  <w:sz w:val="20"/>
                  <w:u w:val="none"/>
                  <w:shd w:val="clear" w:color="auto" w:fill="auto"/>
                </w:rPr>
                <w:t>25.-</w:t>
                <w:tab/>
                <w:t>CONTINGENCIAS, JUICIOS Y OTROS.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56dde07375244feabebb500b1b9e3bd"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5e6f4b5fdb94db7a44cc9cd7fc4c63b" w:history="1">
              <w:r>
                <w:rPr>
                  <w:rFonts w:ascii="Calibri" w:eastAsia="Calibri" w:hAnsi="Calibri" w:cs="Calibri"/>
                  <w:b w:val="0"/>
                  <w:i w:val="0"/>
                  <w:color w:val="000000"/>
                  <w:sz w:val="20"/>
                  <w:u w:val="none"/>
                  <w:shd w:val="clear" w:color="auto" w:fill="auto"/>
                </w:rPr>
                <w:t>25.1.-</w:t>
                <w:tab/>
                <w:t>Juicios y otras acciones legales.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5e6f4b5fdb94db7a44cc9cd7fc4c63b"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2f60080f97c444eb6c4ee8edee7b49a" w:history="1">
              <w:r>
                <w:rPr>
                  <w:rFonts w:ascii="Calibri" w:eastAsia="Calibri" w:hAnsi="Calibri" w:cs="Calibri"/>
                  <w:b w:val="0"/>
                  <w:i w:val="0"/>
                  <w:color w:val="000000"/>
                  <w:sz w:val="20"/>
                  <w:u w:val="none"/>
                  <w:shd w:val="clear" w:color="auto" w:fill="auto"/>
                </w:rPr>
                <w:t>25.2.-</w:t>
                <w:tab/>
                <w:t>Sanciones administrativas.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2f60080f97c444eb6c4ee8edee7b49a" w:history="1">
              <w:r>
                <w:rPr>
                  <w:rFonts w:ascii="Calibri" w:eastAsia="Calibri" w:hAnsi="Calibri" w:cs="Calibri"/>
                  <w:b w:val="0"/>
                  <w:i w:val="0"/>
                  <w:color w:val="000000"/>
                  <w:sz w:val="20"/>
                  <w:u w:val="none"/>
                  <w:shd w:val="clear" w:color="auto" w:fill="auto"/>
                </w:rPr>
                <w:t>50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d1d426a4912438db10e4aaaf08babf1" w:history="1">
              <w:r>
                <w:rPr>
                  <w:rFonts w:ascii="Calibri" w:eastAsia="Calibri" w:hAnsi="Calibri" w:cs="Calibri"/>
                  <w:b w:val="0"/>
                  <w:i w:val="0"/>
                  <w:color w:val="000000"/>
                  <w:sz w:val="20"/>
                  <w:u w:val="none"/>
                  <w:shd w:val="clear" w:color="auto" w:fill="auto"/>
                </w:rPr>
                <w:t>26.-</w:t>
                <w:tab/>
                <w:t xml:space="preserve">GARANTÍAS COMPROMETIDAS CON TERCEROS, OTROS ACTIVOS Y PASIVOS CONTINGENTES Y OTROS COMPROMISOS.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d1d426a4912438db10e4aaaf08babf1" w:history="1">
              <w:r>
                <w:rPr>
                  <w:rFonts w:ascii="Calibri" w:eastAsia="Calibri" w:hAnsi="Calibri" w:cs="Calibri"/>
                  <w:b w:val="0"/>
                  <w:i w:val="0"/>
                  <w:color w:val="000000"/>
                  <w:sz w:val="20"/>
                  <w:u w:val="none"/>
                  <w:shd w:val="clear" w:color="auto" w:fill="auto"/>
                </w:rPr>
                <w:t>50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7bb4db9d0a94d8b96729611ec084caa" w:history="1">
              <w:r>
                <w:rPr>
                  <w:rFonts w:ascii="Calibri" w:eastAsia="Calibri" w:hAnsi="Calibri" w:cs="Calibri"/>
                  <w:b w:val="0"/>
                  <w:i w:val="0"/>
                  <w:color w:val="000000"/>
                  <w:sz w:val="20"/>
                  <w:u w:val="none"/>
                  <w:shd w:val="clear" w:color="auto" w:fill="auto"/>
                </w:rPr>
                <w:t>27.-</w:t>
                <w:tab/>
                <w:t>DISTRIBUCIÓN DEL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7bb4db9d0a94d8b96729611ec084caa" w:history="1">
              <w:r>
                <w:rPr>
                  <w:rFonts w:ascii="Calibri" w:eastAsia="Calibri" w:hAnsi="Calibri" w:cs="Calibri"/>
                  <w:b w:val="0"/>
                  <w:i w:val="0"/>
                  <w:color w:val="000000"/>
                  <w:sz w:val="20"/>
                  <w:u w:val="none"/>
                  <w:shd w:val="clear" w:color="auto" w:fill="auto"/>
                </w:rPr>
                <w:t>50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6a45a9a2f4e4b248bcfe4abb6255037" w:history="1">
              <w:r>
                <w:rPr>
                  <w:rFonts w:ascii="Calibri" w:eastAsia="Calibri" w:hAnsi="Calibri" w:cs="Calibri"/>
                  <w:b w:val="0"/>
                  <w:i w:val="0"/>
                  <w:color w:val="000000"/>
                  <w:sz w:val="20"/>
                  <w:u w:val="none"/>
                  <w:shd w:val="clear" w:color="auto" w:fill="auto"/>
                </w:rPr>
                <w:t>28.-</w:t>
                <w:tab/>
                <w:t>HECHOS POSTERIORES.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6a45a9a2f4e4b248bcfe4abb6255037" w:history="1">
              <w:r>
                <w:rPr>
                  <w:rFonts w:ascii="Calibri" w:eastAsia="Calibri" w:hAnsi="Calibri" w:cs="Calibri"/>
                  <w:b w:val="0"/>
                  <w:i w:val="0"/>
                  <w:color w:val="000000"/>
                  <w:sz w:val="20"/>
                  <w:u w:val="none"/>
                  <w:shd w:val="clear" w:color="auto" w:fill="auto"/>
                </w:rPr>
                <w:t>50</w:t>
              </w:r>
            </w:hyperlink>
          </w:p>
        </w:tc>
      </w:tr>
    </w:tbl>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SERVICIOS S.A.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NOTAS A LOS ESTADOS FINANCIEROS INTERMEDIOS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 id="_x0000_i1033"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9"/>
          <w:footerReference w:type="default" r:id="rId20"/>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6" w:name="Section7"/>
      <w:bookmarkEnd w:id="6"/>
      <w:bookmarkStart w:id="7" w:name="7cda62c9f4f84235a0fa3c8cfc9a6884"/>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bookmarkEnd w:id="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Servicios S.A. Rut 76.412.700-5, es una sociedad anónima cerrada, tiene su domicilio social en Avda. Presidente Riesco N° 5561 piso 17 en la comuna de Las Condes de la ciudad de Santiago, en la República de Chile.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tiene por objeto la prestación de servicios de gestión de empresas, de consultoría en todos los ámbitos y especialidades, de ejecución de negocios, actividades y servicios por cuenta ajena, a través de la prestación de servicios administrativos de procesamiento de contabilidad, de análisis contable, de cumplimiento tributario y de operativa fiscal, de control y pago a proveedores, de facturación y cobranza, de gestión y procesamiento de nómina y remuneraciones, de auditoría y compliance, de administración de registros de accionistas, de call center, de tecnologías de la información y comunicaciones, y servicios generales de oficinas, transporte y viajes, pudiendo para tales efectos, actuar en representación de terceros ante toda clase de servicios, organismos y autoridades fiscales, sectoriales, municipales, aduaneras y cambiarias. En el cumplimiento de su objeto social, la Sociedad podrá formar o tomar interés en toda clase de sociedades y corporaciones. Las actividades de la Sociedad que conforman su objeto social podrán desarrollarse en el país o en el extranjero.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Servicios S.A. es integrante del Grupo State Grid Corporation of China. El accionista propietario del 99,99% de las acciones de CGE Servicios S.A. es State Grid Chile Electricity SpA., cuya matriz final es State Grid Corporation of China.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emisión de estos estados financieros intermedios correspondientes al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ha sido aprobada en Sesión de Directorio de</w:t>
      </w:r>
      <w:r>
        <w:rPr>
          <w:rFonts w:ascii="Calibri" w:eastAsia="Calibri" w:hAnsi="Calibri" w:cs="Calibri"/>
          <w:b w:val="0"/>
          <w:i w:val="0"/>
          <w:color w:val="000000"/>
          <w:sz w:val="20"/>
          <w:highlight w:val="white"/>
          <w:u w:val="none"/>
        </w:rPr>
        <w:t xml:space="preserve"> fecha</w:t>
      </w:r>
      <w:r>
        <w:rPr>
          <w:rFonts w:ascii="Calibri" w:eastAsia="Calibri" w:hAnsi="Calibri" w:cs="Calibri"/>
          <w:b w:val="0"/>
          <w:i w:val="0"/>
          <w:color w:val="000000"/>
          <w:sz w:val="20"/>
          <w:u w:val="none"/>
        </w:rPr>
        <w:t xml:space="preserve"> 2</w:t>
      </w:r>
      <w:r>
        <w:rPr>
          <w:rFonts w:ascii="Calibri" w:eastAsia="Calibri" w:hAnsi="Calibri" w:cs="Calibri"/>
          <w:b w:val="0"/>
          <w:i w:val="0"/>
          <w:color w:val="000000"/>
          <w:sz w:val="20"/>
          <w:u w:val="none"/>
        </w:rPr>
        <w:t>7</w:t>
      </w:r>
      <w:r>
        <w:rPr>
          <w:rFonts w:ascii="Calibri" w:eastAsia="Calibri" w:hAnsi="Calibri" w:cs="Calibri"/>
          <w:b w:val="0"/>
          <w:i w:val="0"/>
          <w:color w:val="000000"/>
          <w:sz w:val="20"/>
          <w:u w:val="none"/>
        </w:rPr>
        <w:t xml:space="preserve"> de </w:t>
      </w:r>
      <w:r>
        <w:rPr>
          <w:rFonts w:ascii="Calibri" w:eastAsia="Calibri" w:hAnsi="Calibri" w:cs="Calibri"/>
          <w:b w:val="0"/>
          <w:i w:val="0"/>
          <w:color w:val="000000"/>
          <w:sz w:val="20"/>
          <w:u w:val="none"/>
        </w:rPr>
        <w:t>agosto</w:t>
      </w:r>
      <w:r>
        <w:rPr>
          <w:rFonts w:ascii="Calibri" w:eastAsia="Calibri" w:hAnsi="Calibri" w:cs="Calibri"/>
          <w:b w:val="0"/>
          <w:i w:val="0"/>
          <w:color w:val="000000"/>
          <w:sz w:val="20"/>
          <w:u w:val="none"/>
        </w:rPr>
        <w:t xml:space="preserve"> de 2026, quien co</w:t>
      </w:r>
      <w:r>
        <w:rPr>
          <w:rFonts w:ascii="Calibri" w:eastAsia="Calibri" w:hAnsi="Calibri" w:cs="Calibri"/>
          <w:b w:val="0"/>
          <w:i w:val="0"/>
          <w:color w:val="000000"/>
          <w:sz w:val="20"/>
          <w:highlight w:val="white"/>
          <w:u w:val="none"/>
        </w:rPr>
        <w:t>n dicha fecha autorizó además su publicación.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8" w:name="Section8"/>
      <w:bookmarkEnd w:id="8"/>
      <w:bookmarkStart w:id="9" w:name="0b7f0b9fae6d44df9a8cf98b9e364671"/>
      <w:r>
        <w:rPr>
          <w:rFonts w:ascii="Calibri" w:eastAsia="Calibri" w:hAnsi="Calibri" w:cs="Calibri"/>
          <w:b/>
          <w:i w:val="0"/>
          <w:color w:val="000000"/>
          <w:sz w:val="20"/>
          <w:u w:val="none"/>
        </w:rPr>
        <w:t>2.-</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intermedios se detallan a continuación. Estas políticas han sido aplicadas uniformemente en todos los períodos y ejercicios presentados, a menos que se indique lo contrario.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0" w:name="Section9"/>
      <w:bookmarkEnd w:id="10"/>
      <w:bookmarkStart w:id="11" w:name="312a8762457e4a05b3b0b11610645a42"/>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intermedios.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presentes estados financieros intermedios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han sido preparados de acuerdo con Norma Internacional de Contabilidad N° 34 (NIC 34) incorporada a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estados financieros intermedios han sido preparados de acuerdo con el principio de costo.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la preparación de los estados financieros intermedios se han utilizado las políticas emanadas desde State Grid Chile Electricity SpA.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la preparación de los estados financieros intermedios se han utilizado estimaciones contables críticas para cuantificar algunos activos, pasivos, ingresos y gastos. Las áreas que involucran un mayor grado de juicio o complejidad o áreas en las que los supuestos y estimaciones son significativos para los estados financieros se describen en Nota 3.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Para el período terminado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 xml:space="preserve">, se han efectuado reclasificaciones menores para facilitar su comparación con el periodo terminado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Estas reclasificaciones no modifican el resultado ni el patrimonio del período anterior.</w:t>
      </w:r>
    </w:p>
    <w:p>
      <w:pPr>
        <w:pStyle w:val="Normal-wk"/>
        <w:keepNext/>
        <w:keepLines/>
        <w:pageBreakBefore/>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Situación de Empresa en Marcha.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la Sociedad presenta patrimonio negativo de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esto debido a que en años anteriores ha generado pérdidas operacionales, lo que implicó que sus operaciones fueran respaldadas mediante un contrato de tesorería centralizada que mantiene con Compañía General de Electricidad S.A.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respecto el Directorio se encuentra constantemente en la revisión de los contratos con sus empresas relacionadas, los que permite a la sociedad enfrentar la situación deficitaria en la cual se encuentra.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40" w:lineRule="exact"/>
        <w:ind w:left="0" w:right="0" w:firstLine="709"/>
        <w:jc w:val="both"/>
        <w:outlineLvl w:val="1"/>
        <w:rPr>
          <w:rFonts w:ascii="Calibri" w:eastAsia="Calibri" w:hAnsi="Calibri" w:cs="Calibri"/>
          <w:b/>
          <w:i w:val="0"/>
          <w:color w:val="000000"/>
          <w:sz w:val="20"/>
          <w:highlight w:val="white"/>
          <w:u w:val="none"/>
        </w:rPr>
      </w:pPr>
      <w:bookmarkStart w:id="12" w:name="Section10"/>
      <w:bookmarkEnd w:id="12"/>
      <w:bookmarkStart w:id="13" w:name="9915461d3ca241d2a542bfcab77d6d38"/>
      <w:r>
        <w:rPr>
          <w:rFonts w:ascii="Calibri" w:eastAsia="Calibri" w:hAnsi="Calibri" w:cs="Calibri"/>
          <w:b/>
          <w:i w:val="0"/>
          <w:color w:val="000000"/>
          <w:sz w:val="20"/>
          <w:highlight w:val="white"/>
          <w:u w:val="none"/>
        </w:rPr>
        <w:t>2.2.-</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Nuevos estándares, interpretaciones y enmiendas adoptadas por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siguientes estándares, interpretaciones y enmiendas son obligatorios por primera vez para el ejercicio 2026.</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hanging="709"/>
        <w:jc w:val="left"/>
        <w:outlineLvl w:val="9"/>
        <w:rPr>
          <w:rFonts w:ascii="Calibri" w:eastAsia="Calibri" w:hAnsi="Calibri" w:cs="Calibri"/>
          <w:b w:val="0"/>
          <w:i w:val="0"/>
          <w:color w:val="000000"/>
          <w:sz w:val="20"/>
          <w:highlight w:val="white"/>
          <w:u w:val="none"/>
        </w:rPr>
      </w:pPr>
      <w:r>
        <w:rPr>
          <w:rFonts w:ascii="Calibri" w:eastAsia="Calibri" w:hAnsi="Calibri" w:cs="Calibri"/>
          <w:b w:val="0"/>
          <w:i w:val="0"/>
          <w:sz w:val="20"/>
        </w:rPr>
        <w:t>2.2.1.-</w:t>
      </w:r>
      <w:r>
        <w:rPr>
          <w:rFonts w:ascii="Calibri" w:eastAsia="Calibri" w:hAnsi="Calibri" w:cs="Calibri"/>
          <w:b w:val="0"/>
          <w:i w:val="0"/>
          <w:sz w:val="20"/>
        </w:rPr>
        <w:tab/>
      </w:r>
      <w:r>
        <w:rPr>
          <w:rFonts w:ascii="Calibri" w:eastAsia="Calibri" w:hAnsi="Calibri" w:cs="Calibri"/>
          <w:b w:val="0"/>
          <w:i w:val="0"/>
          <w:sz w:val="20"/>
        </w:rPr>
        <w:t>En mayo de 2024, el IASB emitió enmiendas a la NIIF 9 y NIIF 7 “Clasificación y Medición de los Instrumentos Financieros“, enmiendas que: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cómo evaluar las características del flujo de efectivo contractual de los activos financieros que incluyen características ambientales, sociales y de gobernanza (ASG) y otras características contingentes similares.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el tratamiento de los activos sin recurso y los instrumentos vinculados contractualmente.</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hanging="709"/>
        <w:jc w:val="both"/>
        <w:outlineLvl w:val="9"/>
        <w:rPr>
          <w:rFonts w:ascii="Aptos" w:eastAsia="Aptos" w:hAnsi="Aptos" w:cs="Aptos"/>
          <w:b w:val="0"/>
          <w:i w:val="0"/>
          <w:sz w:val="24"/>
        </w:rPr>
      </w:pPr>
      <w:r>
        <w:rPr>
          <w:rFonts w:ascii="Calibri" w:eastAsia="Calibri" w:hAnsi="Calibri" w:cs="Calibri"/>
          <w:b w:val="0"/>
          <w:i w:val="0"/>
          <w:sz w:val="20"/>
        </w:rPr>
        <w:t>2.2.2.-</w:t>
      </w:r>
      <w:r>
        <w:rPr>
          <w:rFonts w:ascii="Calibri" w:eastAsia="Calibri" w:hAnsi="Calibri" w:cs="Calibri"/>
          <w:b w:val="0"/>
          <w:i w:val="0"/>
          <w:sz w:val="24"/>
        </w:rPr>
        <w:t xml:space="preserve">   </w:t>
      </w:r>
      <w:r>
        <w:rPr>
          <w:rFonts w:ascii="Calibri" w:eastAsia="Calibri" w:hAnsi="Calibri" w:cs="Calibri"/>
          <w:b w:val="0"/>
          <w:i w:val="0"/>
          <w:sz w:val="20"/>
        </w:rPr>
        <w:t xml:space="preserve">En julio de 2024 el IASB emitió las mejoras anuales a las NIIF que afectan NIIF 1, NIIF 7, NIIF 9, NIIF 10 y NIC 7. Las mejoras anuales se limitan a cambios que aclaran la redacción de una norma o corrigen consecuencias no deseadas relativamente menores, equivocaciones o conflictos entre los requisitos de las normas NIIF que pueden ser causados por descripciones imprecisas. </w:t>
      </w:r>
    </w:p>
    <w:p>
      <w:pPr>
        <w:keepNext w:val="0"/>
        <w:keepLines/>
        <w:pageBreakBefore w:val="0"/>
        <w:widowControl w:val="0"/>
        <w:numPr>
          <w:ilvl w:val="0"/>
          <w:numId w:val="0"/>
        </w:numPr>
        <w:spacing w:before="0" w:after="0" w:line="288" w:lineRule="auto"/>
        <w:ind w:left="2124"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hanging="709"/>
        <w:jc w:val="both"/>
        <w:outlineLvl w:val="9"/>
        <w:rPr>
          <w:rFonts w:ascii="Aptos" w:eastAsia="Aptos" w:hAnsi="Aptos" w:cs="Aptos"/>
          <w:b w:val="0"/>
          <w:i w:val="0"/>
          <w:sz w:val="24"/>
        </w:rPr>
      </w:pPr>
      <w:r>
        <w:rPr>
          <w:rFonts w:ascii="Calibri" w:eastAsia="Calibri" w:hAnsi="Calibri" w:cs="Calibri"/>
          <w:b w:val="0"/>
          <w:i w:val="0"/>
          <w:sz w:val="20"/>
        </w:rPr>
        <w:t>2.2.3.-</w:t>
      </w:r>
      <w:r>
        <w:rPr>
          <w:rFonts w:ascii="Calibri" w:eastAsia="Calibri" w:hAnsi="Calibri" w:cs="Calibri"/>
          <w:b w:val="0"/>
          <w:i w:val="0"/>
          <w:sz w:val="24"/>
        </w:rPr>
        <w:t xml:space="preserve">   </w:t>
      </w:r>
      <w:r>
        <w:rPr>
          <w:rFonts w:ascii="Calibri" w:eastAsia="Calibri" w:hAnsi="Calibri" w:cs="Calibri"/>
          <w:b w:val="0"/>
          <w:i w:val="0"/>
          <w:sz w:val="20"/>
        </w:rPr>
        <w:t>En diciembre de 2024 el IASB emitió las enmiendas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spacing w:before="0" w:after="0" w:line="288" w:lineRule="auto"/>
        <w:ind w:left="2124" w:right="0" w:hanging="709"/>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color w:val="000000"/>
          <w:sz w:val="20"/>
          <w:highlight w:val="white"/>
          <w:u w:val="none"/>
        </w:rPr>
        <w:t>Aclaran la aplicación de los requisitos del concepto de “uso propio”.</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14"/>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color w:val="000000"/>
          <w:sz w:val="20"/>
          <w:highlight w:val="white"/>
          <w:u w:val="none"/>
        </w:rPr>
        <w:t>Permiten la contabilidad de cobertura si estos contratos se utilizan como instrumentos de cobertura.</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color w:val="000000"/>
          <w:sz w:val="20"/>
          <w:highlight w:val="white"/>
          <w:u w:val="none"/>
        </w:rPr>
        <w:t>Agregan nuevos requisitos de revelaciones para permitir a los inversores entender el efecto de estos contratos en el desempeño financiero y los flujos de efectivo de una entidad.</w:t>
      </w:r>
    </w:p>
    <w:p>
      <w:pPr>
        <w:keepNext w:val="0"/>
        <w:keepLines/>
        <w:pageBreakBefore w:val="0"/>
        <w:widowControl w:val="0"/>
        <w:numPr>
          <w:ilvl w:val="0"/>
          <w:numId w:val="0"/>
        </w:numPr>
        <w:spacing w:before="0" w:after="0" w:line="288" w:lineRule="auto"/>
        <w:ind w:left="-11" w:right="0" w:firstLine="77"/>
        <w:jc w:val="left"/>
        <w:outlineLvl w:val="9"/>
        <w:rPr>
          <w:rFonts w:ascii="Aptos" w:eastAsia="Aptos" w:hAnsi="Aptos" w:cs="Aptos"/>
          <w:b w:val="0"/>
          <w:i w:val="0"/>
          <w:color w:val="000000"/>
          <w:sz w:val="24"/>
          <w:highlight w:val="yellow"/>
          <w:u w:val="none"/>
        </w:rPr>
      </w:pPr>
    </w:p>
    <w:p>
      <w:pPr>
        <w:keepNext w:val="0"/>
        <w:keepLines/>
        <w:pageBreakBefore w:val="0"/>
        <w:widowControl w:val="0"/>
        <w:numPr>
          <w:ilvl w:val="0"/>
          <w:numId w:val="0"/>
        </w:numPr>
        <w:spacing w:before="0" w:after="0" w:line="240" w:lineRule="exact"/>
        <w:ind w:left="2124" w:right="0" w:firstLine="0"/>
        <w:jc w:val="left"/>
        <w:outlineLvl w:val="9"/>
        <w:rPr>
          <w:rFonts w:ascii="Arial" w:eastAsia="Arial" w:hAnsi="Arial" w:cs="Arial"/>
          <w:b w:val="0"/>
          <w:i w:val="0"/>
          <w:color w:val="000000"/>
          <w:sz w:val="24"/>
          <w:highlight w:val="yellow"/>
          <w:u w:val="none"/>
        </w:rPr>
      </w:pPr>
      <w:r>
        <w:rPr>
          <w:rFonts w:ascii="Calibri" w:eastAsia="Calibri" w:hAnsi="Calibri" w:cs="Calibri"/>
          <w:b w:val="0"/>
          <w:i w:val="0"/>
          <w:sz w:val="20"/>
        </w:rPr>
        <w:t>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adopción de estas normas, de las modificaciones y enmiendas no generó impactos en los estados financieros intermedios de la Sociedad en la fecha de aplicación inicial.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40" w:lineRule="exact"/>
        <w:ind w:left="1417" w:right="0" w:hanging="709"/>
        <w:jc w:val="both"/>
        <w:outlineLvl w:val="1"/>
        <w:rPr>
          <w:rFonts w:ascii="Calibri" w:eastAsia="Calibri" w:hAnsi="Calibri" w:cs="Calibri"/>
          <w:b/>
          <w:i w:val="0"/>
          <w:color w:val="000000"/>
          <w:sz w:val="20"/>
          <w:highlight w:val="white"/>
          <w:u w:val="none"/>
        </w:rPr>
      </w:pPr>
      <w:bookmarkStart w:id="14" w:name="Section11"/>
      <w:bookmarkEnd w:id="14"/>
      <w:bookmarkStart w:id="15" w:name="fbe2241e0322432f908047fbe5a4a078"/>
      <w:r>
        <w:rPr>
          <w:rFonts w:ascii="Calibri" w:eastAsia="Calibri" w:hAnsi="Calibri" w:cs="Calibri"/>
          <w:b/>
          <w:i w:val="0"/>
          <w:color w:val="000000"/>
          <w:sz w:val="20"/>
          <w:highlight w:val="white"/>
          <w:u w:val="none"/>
        </w:rPr>
        <w:t>2.3.-</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Nuevas estándares, interpretaciones y enmiendas emitidas, no vigentes para el ejercicio 2026, para las cuales no se ha efectuado adopción anticipada de las mismas.</w:t>
      </w:r>
    </w:p>
    <w:p>
      <w:pPr>
        <w:keepNext w:val="0"/>
        <w:keepLines/>
        <w:pageBreakBefore w:val="0"/>
        <w:widowControl w:val="0"/>
        <w:numPr>
          <w:ilvl w:val="0"/>
          <w:numId w:val="0"/>
        </w:numPr>
        <w:spacing w:before="0" w:after="0" w:line="240" w:lineRule="auto"/>
        <w:ind w:left="0" w:right="0" w:firstLine="0"/>
        <w:jc w:val="both"/>
        <w:outlineLvl w:val="9"/>
        <w:rPr>
          <w:rFonts w:ascii="Times New Roman" w:eastAsia="Times New Roman" w:hAnsi="Times New Roman" w:cs="Times New Roman"/>
          <w:b/>
          <w:i w:val="0"/>
          <w:color w:val="000000"/>
          <w:sz w:val="24"/>
          <w:u w:val="none"/>
        </w:rPr>
      </w:pPr>
      <w:bookmarkEnd w:id="15"/>
    </w:p>
    <w:p>
      <w:pPr>
        <w:keepNext w:val="0"/>
        <w:keepLines/>
        <w:pageBreakBefore w:val="0"/>
        <w:widowControl w:val="0"/>
        <w:numPr>
          <w:ilvl w:val="0"/>
          <w:numId w:val="0"/>
        </w:numPr>
        <w:spacing w:before="0" w:after="0" w:line="240" w:lineRule="exact"/>
        <w:ind w:left="2126" w:right="0" w:hanging="709"/>
        <w:jc w:val="both"/>
        <w:outlineLvl w:val="9"/>
        <w:rPr>
          <w:rFonts w:ascii="Aptos" w:eastAsia="Aptos" w:hAnsi="Aptos" w:cs="Aptos"/>
          <w:b w:val="0"/>
          <w:i w:val="0"/>
          <w:sz w:val="24"/>
        </w:rPr>
      </w:pPr>
      <w:r>
        <w:rPr>
          <w:rFonts w:ascii="Calibri" w:eastAsia="Calibri" w:hAnsi="Calibri" w:cs="Calibri"/>
          <w:b w:val="0"/>
          <w:i w:val="0"/>
          <w:sz w:val="20"/>
        </w:rPr>
        <w:t>2.3.1.-</w:t>
      </w:r>
      <w:r>
        <w:rPr>
          <w:rFonts w:ascii="Calibri" w:eastAsia="Calibri" w:hAnsi="Calibri" w:cs="Calibri"/>
          <w:b w:val="0"/>
          <w:i w:val="0"/>
          <w:sz w:val="20"/>
        </w:rPr>
        <w:tab/>
      </w:r>
      <w:r>
        <w:rPr>
          <w:rFonts w:ascii="Calibri" w:eastAsia="Calibri" w:hAnsi="Calibri" w:cs="Calibri"/>
          <w:b w:val="0"/>
          <w:i w:val="0"/>
          <w:sz w:val="20"/>
        </w:rPr>
        <w:t xml:space="preserve">En abril de 2024, el IASB emitió la NIIF 18 “Presentación e Información a Revelar en los Estados Financieros”, que sustituye a la NIC 1. Si bien se han incorporado varias secciones de la NIC 1 con cambios limitados, la NIIF 18 introduce nuevos requisitos de presentación en el estado de resultados,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Además, se han realizado modificaciones de alcance limitado a la NIC 7 “Estado de Flujos de Efectivo”, y algunos requisitos previamente incluidos en la NIC 1 se han trasladado a la NIC 8, que ahora se denomina NIC 8 “Bases de Preparación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 NIIF 18 y todas las modificaciones consiguientes entran en vigor para los ejercicios que comiencen a partir del 1 de enero de 2027, permitiéndose su aplicación anticipada. Se requiere su aplicación retroactiv</w:t>
      </w:r>
      <w:r>
        <w:rPr>
          <w:rFonts w:ascii="Calibri" w:eastAsia="Calibri" w:hAnsi="Calibri" w:cs="Calibri"/>
          <w:b w:val="0"/>
          <w:i w:val="0"/>
          <w:sz w:val="20"/>
        </w:rPr>
        <w:t xml:space="preserve">a.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Entre los principales impactos se contempla la modificación del estado de resultados correspondiente al ejercicio 2026, junto con sus notas asociadas, los cuales serán objeto de reformulación en los estados financieros del ejercicio 2027. Esta reformulación implicará la incorporación de nuevos totales y subtotales en conformidad con los requerimientos establecidos por la NIIF 18. Adicionalmente, se anticipan cambios en la presentación de las notas explicativas, derivados de la aplicación de nuevos criterios de agregación y desagregación de la información financiera. Asimismo, se incorporará una nota específica destinada a la revelación de las medidas de desempeño definidas por la Administración.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Aptos" w:eastAsia="Aptos" w:hAnsi="Aptos" w:cs="Aptos"/>
          <w:b w:val="0"/>
          <w:i w:val="0"/>
          <w:sz w:val="24"/>
        </w:rPr>
      </w:pPr>
      <w:r>
        <w:rPr>
          <w:rFonts w:ascii="Calibri" w:eastAsia="Calibri" w:hAnsi="Calibri" w:cs="Calibri"/>
          <w:b w:val="0"/>
          <w:i w:val="0"/>
          <w:sz w:val="20"/>
        </w:rPr>
        <w:t>2.3.2.-</w:t>
      </w:r>
      <w:r>
        <w:rPr>
          <w:rFonts w:ascii="Calibri" w:eastAsia="Calibri" w:hAnsi="Calibri" w:cs="Calibri"/>
          <w:b w:val="0"/>
          <w:i w:val="0"/>
          <w:sz w:val="20"/>
        </w:rPr>
        <w:tab/>
      </w:r>
      <w:r>
        <w:rPr>
          <w:rFonts w:ascii="Calibri" w:eastAsia="Calibri" w:hAnsi="Calibri" w:cs="Calibri"/>
          <w:b w:val="0"/>
          <w:i w:val="0"/>
          <w:sz w:val="20"/>
        </w:rPr>
        <w:t xml:space="preserve">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presentación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NIIF 19 entrará en vigor para los períodos sobre los que se informa que comiencen a partir del 1 de enero de 2027, permitiéndose su aplicación anticipada.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Aptos" w:eastAsia="Aptos" w:hAnsi="Aptos" w:cs="Aptos"/>
          <w:b w:val="0"/>
          <w:i w:val="0"/>
          <w:sz w:val="24"/>
        </w:rPr>
      </w:pPr>
      <w:r>
        <w:rPr>
          <w:rFonts w:ascii="Calibri" w:eastAsia="Calibri" w:hAnsi="Calibri" w:cs="Calibri"/>
          <w:b w:val="0"/>
          <w:i w:val="0"/>
          <w:sz w:val="20"/>
        </w:rPr>
        <w:t>2.3.3.-</w:t>
      </w:r>
      <w:r>
        <w:rPr>
          <w:rFonts w:ascii="Calibri" w:eastAsia="Calibri" w:hAnsi="Calibri" w:cs="Calibri"/>
          <w:b w:val="0"/>
          <w:i w:val="0"/>
          <w:sz w:val="20"/>
        </w:rPr>
        <w:tab/>
      </w:r>
      <w:r>
        <w:rPr>
          <w:rFonts w:ascii="Calibri" w:eastAsia="Calibri" w:hAnsi="Calibri" w:cs="Calibri"/>
          <w:b w:val="0"/>
          <w:i w:val="0"/>
          <w:sz w:val="20"/>
        </w:rPr>
        <w:t>En noviembre de 2025, el IASB emitió “Conversión a una Moneda de Presentación Hiperinflacionaria - Enmiendas a la NIC 21”. Las enmiendas requieren la conversión desde una moneda funcional no hiperinflacionaria a una moneda de presentación hiperinflacionaria utilizando el tipo de cambio de cierre.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Las enmiendas aplican para los períodos anuales que comiencen el o después del 1 de enero de 2027, y se permite su aplicación anticipada.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Aptos" w:eastAsia="Aptos" w:hAnsi="Aptos" w:cs="Aptos"/>
          <w:b w:val="0"/>
          <w:i w:val="0"/>
          <w:sz w:val="24"/>
        </w:rPr>
      </w:pPr>
      <w:r>
        <w:rPr>
          <w:rFonts w:ascii="Calibri" w:eastAsia="Calibri" w:hAnsi="Calibri" w:cs="Calibri"/>
          <w:b w:val="0"/>
          <w:i w:val="0"/>
          <w:sz w:val="20"/>
        </w:rPr>
        <w:t>2.3.4.-</w:t>
      </w:r>
      <w:r>
        <w:rPr>
          <w:rFonts w:ascii="Calibri" w:eastAsia="Calibri" w:hAnsi="Calibri" w:cs="Calibri"/>
          <w:b w:val="0"/>
          <w:i w:val="0"/>
          <w:sz w:val="20"/>
        </w:rPr>
        <w:tab/>
      </w:r>
      <w:r>
        <w:rPr>
          <w:rFonts w:ascii="Calibri" w:eastAsia="Calibri" w:hAnsi="Calibri" w:cs="Calibri"/>
          <w:b w:val="0"/>
          <w:i w:val="0"/>
          <w:sz w:val="20"/>
        </w:rPr>
        <w:t>En noviembre de 2025, el IASB emitió las Enmiendas a los Ejemplos Ilustrativos de las NIIF 7, NIIF 18, NIC 1, NIC 8, NIC 36 y NIC 37 – Revelaciones sobre Incertidumbres en los Estados Financieros (“los ejemplos”), que agregaron ejemplos ilustrativos a varias normas contables NIIF.</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ejemplos tienen como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Aptos" w:eastAsia="Aptos" w:hAnsi="Aptos" w:cs="Aptos"/>
          <w:b w:val="0"/>
          <w:i w:val="0"/>
          <w:sz w:val="24"/>
        </w:rPr>
      </w:pPr>
      <w:r>
        <w:rPr>
          <w:rFonts w:ascii="Calibri" w:eastAsia="Calibri" w:hAnsi="Calibri" w:cs="Calibri"/>
          <w:b w:val="0"/>
          <w:i w:val="0"/>
          <w:sz w:val="20"/>
        </w:rPr>
        <w:t>Estos ejemplos ilustran requerimientos existentes en las normas contables NIIF. No agregan ni modifican los requerimientos vigentes.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spacing w:before="0" w:after="0" w:line="276" w:lineRule="auto"/>
        <w:ind w:left="2126"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color w:val="000000"/>
          <w:sz w:val="20"/>
          <w:highlight w:val="white"/>
          <w:u w:val="none"/>
        </w:rPr>
        <w:t>Juicios</w:t>
      </w:r>
      <w:r>
        <w:rPr>
          <w:rFonts w:ascii="Calibri" w:eastAsia="Calibri" w:hAnsi="Calibri" w:cs="Calibri"/>
          <w:b w:val="0"/>
          <w:i w:val="0"/>
          <w:sz w:val="20"/>
        </w:rPr>
        <w:t xml:space="preserve"> relacionados con la materialidad.</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generales.</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Riesgo de crédito.</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720" w:right="0" w:firstLine="1416"/>
        <w:jc w:val="both"/>
        <w:outlineLvl w:val="9"/>
        <w:rPr>
          <w:rFonts w:ascii="Calibri" w:eastAsia="Calibri" w:hAnsi="Calibri" w:cs="Calibri"/>
          <w:b w:val="0"/>
          <w:i w:val="0"/>
          <w:sz w:val="20"/>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Aptos" w:eastAsia="Aptos" w:hAnsi="Aptos" w:cs="Aptos"/>
          <w:b w:val="0"/>
          <w:i w:val="0"/>
          <w:sz w:val="24"/>
        </w:rPr>
      </w:pPr>
      <w:r>
        <w:rPr>
          <w:rFonts w:ascii="Calibri" w:eastAsia="Calibri" w:hAnsi="Calibri" w:cs="Calibri"/>
          <w:b w:val="0"/>
          <w:i w:val="0"/>
          <w:sz w:val="20"/>
        </w:rPr>
        <w:t>2.3.5.-</w:t>
      </w:r>
      <w:r>
        <w:rPr>
          <w:rFonts w:ascii="Calibri" w:eastAsia="Calibri" w:hAnsi="Calibri" w:cs="Calibri"/>
          <w:b w:val="0"/>
          <w:i w:val="0"/>
          <w:sz w:val="20"/>
        </w:rPr>
        <w:tab/>
      </w:r>
      <w:r>
        <w:rPr>
          <w:rFonts w:ascii="Calibri" w:eastAsia="Calibri" w:hAnsi="Calibri" w:cs="Calibri"/>
          <w:b w:val="0"/>
          <w:i w:val="0"/>
          <w:sz w:val="20"/>
        </w:rPr>
        <w:t xml:space="preserve">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Las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left"/>
        <w:outlineLvl w:val="9"/>
        <w:rPr>
          <w:rFonts w:ascii="Calibri" w:eastAsia="Calibri" w:hAnsi="Calibri" w:cs="Calibri"/>
          <w:b w:val="0"/>
          <w:i w:val="0"/>
          <w:sz w:val="20"/>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Administración de la Sociedad estima que la adopción de las Normas, Enmiendas e Interpretaciones (distintas de la NIIF 18) y que pudiesen aplicar a la Sociedad, no tendrán un impacto significativo en los estados financieros en el ejercicio de su primera aplicación.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6" w:name="Section12"/>
      <w:bookmarkEnd w:id="16"/>
      <w:bookmarkStart w:id="17" w:name="4d4237b9164b4f3c80e13d229bd3fa1d"/>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Asociadas o coligadas.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Asociadas o coligadas son todas las entidades sobre las que la Sociedad ejerce influencia significativa pero no tiene control, lo cual generalmente está acompañado por una participación de entre un 20% y un 50% de los derechos de voto. Las inversiones en asociadas o coligadas se contabilizan por el método de participación e inicialmente se reconocen por su costo. La inversión de la Sociedad en asociadas o coligadas incluye el menor valor (goodwill o plusvalía comprada) identificada en la adquisición, neto de cualquier pérdida por deterioro acumulada.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participación de la Sociedad en las pérdidas o ganancias posteriores a la adquisición de sus coligadas o asociadas se reconoce en resultados, y su participación en los movimientos patrimoniales posteriores a la adquisición que no constituyen resultados, se imputan a las correspondientes reservas de patrimonio (y se reflejan según corresponda en el estado de resultados integral).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participación de la Sociedad en las pérdidas de una coligada o asociada es igual o superior a su participación en la misma, incluida cualquier otra cuenta a cobrar no asegurada, la Sociedad no reconoce pérdidas adicionales, a no ser que haya incurrido en obligaciones, o, realizado pagos en nombre de la coligada o asociada.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ganancias no realizadas por transacciones entre la Sociedad y sus coligadas o asociadas se eliminan en función del porcentaje de participación de la Sociedad en éstas.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También se eliminan las pérdidas no realizadas, excepto si la transacción proporciona evidencia de pérdida por deterioro del activo que se transfiere. Cuando es necesario para asegurar su uniformidad con las políticas adoptadas por la Sociedad, se modifican las políticas contables de las asociadas.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ganancias o pérdidas de dilución en coligadas o asociadas se reconocen en el estado de resultados.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18" w:name="Section13"/>
      <w:bookmarkEnd w:id="18"/>
      <w:bookmarkStart w:id="19" w:name="e1cfcb377d364a0da7d4e76e055fff04"/>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u w:val="none"/>
        </w:rPr>
      </w:pPr>
      <w:bookmarkEnd w:id="19"/>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partidas incluidas en los estados financieros de la Sociedad se valoran utilizando la moneda del entorno económico principal en que la entidad opera (“moneda funcional”). La moneda funcional de la Sociedad es el Peso chileno, que constituye además la moneda de presentación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otros resultados integrales, como es el caso de las derivadas de estrategias de coberturas de flujos de efectivo y coberturas de inversiones netas, en caso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2.5.3.-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540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00"/>
        <w:gridCol w:w="1200"/>
        <w:gridCol w:w="1200"/>
      </w:tblGrid>
      <w:tr>
        <w:tblPrEx>
          <w:tblW w:w="5400" w:type="dxa"/>
          <w:tblInd w:w="2160" w:type="dxa"/>
          <w:tblLayout w:type="fixed"/>
        </w:tblPrEx>
        <w:trPr>
          <w:cantSplit/>
          <w:trHeight w:hRule="auto" w:val="0"/>
        </w:trPr>
        <w:tc>
          <w:tcPr>
            <w:tcW w:w="30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Fecha</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US $</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UF</w:t>
            </w:r>
          </w:p>
        </w:tc>
      </w:tr>
      <w:tr>
        <w:tblPrEx>
          <w:tblW w:w="5400" w:type="dxa"/>
          <w:tblInd w:w="2160" w:type="dxa"/>
          <w:tblLayout w:type="fixed"/>
        </w:tblPrEx>
        <w:trPr>
          <w:cantSplit/>
          <w:trHeight w:hRule="auto" w:val="0"/>
        </w:trPr>
        <w:tc>
          <w:tcPr>
            <w:tcW w:w="30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30-06-2026</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p>
        </w:tc>
      </w:tr>
      <w:tr>
        <w:tblPrEx>
          <w:tblW w:w="5400" w:type="dxa"/>
          <w:tblInd w:w="2160" w:type="dxa"/>
          <w:tblLayout w:type="fixed"/>
        </w:tblPrEx>
        <w:trPr>
          <w:cantSplit/>
          <w:trHeight w:hRule="auto" w:val="0"/>
        </w:trPr>
        <w:tc>
          <w:tcPr>
            <w:tcW w:w="30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31-12-2025</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907,13</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39.727,96</w:t>
            </w:r>
          </w:p>
        </w:tc>
      </w:tr>
      <w:tr>
        <w:tblPrEx>
          <w:tblW w:w="5400" w:type="dxa"/>
          <w:tblInd w:w="2160" w:type="dxa"/>
          <w:tblLayout w:type="fixed"/>
        </w:tblPrEx>
        <w:trPr>
          <w:cantSplit/>
          <w:trHeight w:hRule="auto" w:val="0"/>
        </w:trPr>
        <w:tc>
          <w:tcPr>
            <w:tcW w:w="30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30-06-2025</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933,42</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39.267,07</w:t>
            </w:r>
          </w:p>
        </w:tc>
      </w:tr>
    </w:tbl>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pPr>
        <w:pStyle w:val="Normal-wk"/>
        <w:keepNext w:val="0"/>
        <w:keepLines/>
        <w:pageBreakBefore w:val="0"/>
        <w:widowControl w:val="0"/>
        <w:numPr>
          <w:ilvl w:val="0"/>
          <w:numId w:val="0"/>
        </w:numPr>
        <w:tabs>
          <w:tab w:val="left" w:pos="700"/>
        </w:tabs>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U.F.</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Unidades de fomento.</w:t>
      </w:r>
    </w:p>
    <w:p>
      <w:pPr>
        <w:pStyle w:val="Normal-wk"/>
        <w:keepNext w:val="0"/>
        <w:keepLines/>
        <w:pageBreakBefore w:val="0"/>
        <w:widowControl w:val="0"/>
        <w:numPr>
          <w:ilvl w:val="0"/>
          <w:numId w:val="0"/>
        </w:numPr>
        <w:tabs>
          <w:tab w:val="left" w:pos="700"/>
        </w:tabs>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 estadounidense.</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0" w:name="Section14"/>
      <w:bookmarkEnd w:id="20"/>
      <w:bookmarkStart w:id="21" w:name="c1b8169110734e56a712c61a741bae41"/>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21"/>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los cuales han sido identificados como: servicios, para los que se toman las decisiones estratégicas. Esta información se detalla en Nota 24.</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2" w:name="Section15"/>
      <w:bookmarkEnd w:id="22"/>
      <w:bookmarkStart w:id="23" w:name="5f0e6832d36c48c58242e8259875989b"/>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tanto en su reconocimiento inicial como en su medición posterior son valorados a su costo menos la correspondiente depreciación y deterioro acumulado de existir.</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ejercicio o período en el que se incurren.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depreciación de las propiedades, planta y equipo se calcula usando el método lineal para asignar sus costos a sus valores residuales sobre sus vidas útiles técnicas estimadas.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y ganancias por la venta de una propiedad, planta y equipo se calculan comparando los ingresos obtenidos con el valor en libros y se incluyen en el estado de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4" w:name="Section16"/>
      <w:bookmarkEnd w:id="24"/>
      <w:bookmarkStart w:id="25" w:name="a4569c7371a14e0eae9abde18c3a3c96"/>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importe recuperable es el valor razonable de un activo menos los costos para la venta o el valor de uso, el mayor de los dos. A efectos de evaluar las pérdidas por deterioro del valor, los activos se agrupan al nivel más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se reconocen en resultados del ejercicio. Se asignan primero para reducir el valor en libros de cualquier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6" w:name="Section17"/>
      <w:bookmarkEnd w:id="26"/>
      <w:bookmarkStart w:id="27" w:name="1ead19ee414a4c278cd80e702d96cbc9"/>
      <w:r>
        <w:rPr>
          <w:rFonts w:ascii="Calibri" w:eastAsia="Calibri" w:hAnsi="Calibri" w:cs="Calibri"/>
          <w:b/>
          <w:i w:val="0"/>
          <w:color w:val="000000"/>
          <w:sz w:val="20"/>
          <w:u w:val="none"/>
        </w:rPr>
        <w:t>2.9.-</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27"/>
    </w:p>
    <w:p>
      <w:pPr>
        <w:pStyle w:val="CarCar3"/>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2.9.1.-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mide inicialmente un activo financiero a su valor razonable más, en el caso de un activo financiero que no se encuentra al valor razonable con cambios en resultados, los costos de transacción.</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 la Sociedad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de la Sociedad son los siguientes: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Prrafodelista1"/>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Prrafodelista1"/>
        <w:keepNext w:val="0"/>
        <w:keepLines/>
        <w:pageBreakBefore w:val="0"/>
        <w:widowControl w:val="0"/>
        <w:numPr>
          <w:ilvl w:val="0"/>
          <w:numId w:val="16"/>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en otro resultado integral, con ganancias o pérdidas recicladas a resultados en el momento de su realización. Los activos financieros en esta categoría son los instrumentos de deuda cotizados de la Sociedad que cumplen con el criterio SPPI y se mantienen dentro de un modelo comercial tanto para cobrar los flujos de efectivo como para vender.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Prrafodelista1"/>
        <w:keepNext w:val="0"/>
        <w:keepLines/>
        <w:pageBreakBefore w:val="0"/>
        <w:widowControl w:val="0"/>
        <w:numPr>
          <w:ilvl w:val="0"/>
          <w:numId w:val="17"/>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capital en otro resultado integral, sin reciclaje de ganancias o pérdidas a resultados en el momento de su realización. Esta categoría solo incluye los instrumentos de capital, que la Sociedad tiene la intención de mantener en el futuro previsible y que la Sociedad ha elegido irrevocablemente para clasificarlos en el reconocimiento inicial o la transición. La Sociedad clasificó sus instrumentos de patrimonio no cotizados como instrumentos de patrimonio en otro resultado integral.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Prrafodelista1"/>
        <w:keepNext w:val="0"/>
        <w:keepLines/>
        <w:pageBreakBefore w:val="0"/>
        <w:widowControl w:val="0"/>
        <w:numPr>
          <w:ilvl w:val="0"/>
          <w:numId w:val="18"/>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financieros a valor razonable con cambios en resultados comprenden instrumentos derivados e instrumentos de capital cotizados que la Sociedad no ha elegido irrevocablemente, en el reconocimiento inicial o transición, para clasificar en otros resultados integrales.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 de la Sociedad.</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2.9.2.-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NIIF 9 requiere que la Sociedad registre las pérdidas crediticias esperadas de todos sus títulos de deuda, préstamos y deudores comerciales, ya sea sobre una base de 12 meses o de por vida.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8" w:name="Section18"/>
      <w:bookmarkEnd w:id="28"/>
      <w:bookmarkStart w:id="29" w:name="e5837e4d52294119a8870989c75dd7ac"/>
      <w:r>
        <w:rPr>
          <w:rFonts w:ascii="Calibri" w:eastAsia="Calibri" w:hAnsi="Calibri" w:cs="Calibri"/>
          <w:b/>
          <w:i w:val="0"/>
          <w:color w:val="000000"/>
          <w:sz w:val="20"/>
          <w:u w:val="none"/>
        </w:rPr>
        <w:t>2.10.-</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comerciales a cobrar corrientes se reconocen a su valor nominal, ya que los plazos medios de vencimientos no superan los 20 días desde su facturación y los retrasos respecto de dicho plazo generan intereses explícitos. Las cuentas comerciales a cobrar no corrientes se reconocen a su costo amortizado.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0" w:name="Section19"/>
      <w:bookmarkEnd w:id="30"/>
      <w:bookmarkStart w:id="31" w:name="bd9d9e171c51449aa09e327313798b9c"/>
      <w:r>
        <w:rPr>
          <w:rFonts w:ascii="Calibri" w:eastAsia="Calibri" w:hAnsi="Calibri" w:cs="Calibri"/>
          <w:b/>
          <w:i w:val="0"/>
          <w:color w:val="000000"/>
          <w:sz w:val="20"/>
          <w:u w:val="none"/>
        </w:rPr>
        <w:t>2.11.-</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1"/>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2" w:name="Section20"/>
      <w:bookmarkEnd w:id="32"/>
      <w:bookmarkStart w:id="33" w:name="5d7c7d03abb04706986dffc8724e22eb"/>
      <w:r>
        <w:rPr>
          <w:rFonts w:ascii="Calibri" w:eastAsia="Calibri" w:hAnsi="Calibri" w:cs="Calibri"/>
          <w:b/>
          <w:i w:val="0"/>
          <w:color w:val="000000"/>
          <w:sz w:val="20"/>
          <w:u w:val="none"/>
        </w:rPr>
        <w:t>2.12.-</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3"/>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incrementales directamente atribuibles a la emisión de nuevas acciones se presentan en el patrimonio neto como una deducción, neta de impuestos, de los ingresos obtenidos.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instrumentos de patrimonio propios de la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4" w:name="Section21"/>
      <w:bookmarkEnd w:id="34"/>
      <w:bookmarkStart w:id="35" w:name="3efd271bea5b4c148b0ab0ec2dedb6f7"/>
      <w:r>
        <w:rPr>
          <w:rFonts w:ascii="Calibri" w:eastAsia="Calibri" w:hAnsi="Calibri" w:cs="Calibri"/>
          <w:b/>
          <w:i w:val="0"/>
          <w:color w:val="000000"/>
          <w:sz w:val="20"/>
          <w:u w:val="none"/>
        </w:rPr>
        <w:t>2.13.-</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5"/>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cuentas por pagar comerciales y otras cuentas por pagar corrientes y no corrientes se reconocen inicialmente a su valor razonable, posteriormente se valoran a costo amortizado utilizando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keepNext/>
        <w:keepLines/>
        <w:pageBreakBefore w:val="0"/>
        <w:widowControl w:val="0"/>
        <w:numPr>
          <w:ilvl w:val="0"/>
          <w:numId w:val="0"/>
        </w:numPr>
        <w:tabs>
          <w:tab w:val="left" w:pos="700"/>
        </w:tabs>
        <w:spacing w:before="0" w:after="0" w:line="288" w:lineRule="auto"/>
        <w:ind w:left="0" w:right="0" w:firstLine="708"/>
        <w:jc w:val="both"/>
        <w:outlineLvl w:val="9"/>
        <w:rPr>
          <w:rFonts w:ascii="Times New Roman" w:eastAsia="Times New Roman" w:hAnsi="Times New Roman" w:cs="Times New Roman"/>
          <w:b/>
          <w:i w:val="0"/>
          <w:color w:val="000000"/>
          <w:sz w:val="24"/>
          <w:u w:val="none"/>
        </w:rPr>
      </w:pPr>
      <w:bookmarkStart w:id="36" w:name="Section22"/>
      <w:bookmarkEnd w:id="36"/>
    </w:p>
    <w:p>
      <w:pPr>
        <w:pStyle w:val="Heading2-wk"/>
        <w:keepNext/>
        <w:keepLines/>
        <w:pageBreakBefore/>
        <w:widowControl w:val="0"/>
        <w:numPr>
          <w:ilvl w:val="0"/>
          <w:numId w:val="0"/>
        </w:numPr>
        <w:tabs>
          <w:tab w:val="left" w:pos="700"/>
        </w:tabs>
        <w:spacing w:before="0" w:after="0" w:line="200" w:lineRule="exact"/>
        <w:ind w:left="0" w:right="0" w:firstLine="708"/>
        <w:jc w:val="both"/>
        <w:outlineLvl w:val="1"/>
        <w:rPr>
          <w:rFonts w:ascii="Times New Roman" w:eastAsia="Times New Roman" w:hAnsi="Times New Roman" w:cs="Times New Roman"/>
          <w:b/>
          <w:i w:val="0"/>
          <w:color w:val="000000"/>
          <w:sz w:val="24"/>
          <w:u w:val="none"/>
        </w:rPr>
      </w:pPr>
      <w:bookmarkStart w:id="37" w:name="7b9969a29bbc4a6c9e2192f9fb927a95"/>
      <w:r>
        <w:rPr>
          <w:rFonts w:ascii="Calibri" w:eastAsia="Calibri" w:hAnsi="Calibri" w:cs="Calibri"/>
          <w:b/>
          <w:i w:val="0"/>
          <w:color w:val="000000"/>
          <w:sz w:val="20"/>
          <w:u w:val="none"/>
        </w:rPr>
        <w:t>2.14.-</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y otros 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7"/>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préstamos y pasivos financieros de naturaleza similar se reconocen inicialmente a su valor razonable, neto de los costos en que se haya incurrido en la transacción. Posteriormente, se valorizan a su costo amortizado y cualquier diferencia entre los fondos obtenidos (netos de los costos necesarios para su obtención) y el valor de reembolso, se reconoce en el estado de resultados durante el plazo de la deuda de acuerdo con el método de la tasa de interés efectiva.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obligaciones financieras se clasifican como pasivos corrientes a menos que CGE Servicios S.A. tenga un derecho incondicio</w:t>
      </w:r>
      <w:r>
        <w:rPr>
          <w:rFonts w:ascii="Calibri" w:eastAsia="Calibri" w:hAnsi="Calibri" w:cs="Calibri"/>
          <w:b w:val="0"/>
          <w:i w:val="0"/>
          <w:color w:val="000000"/>
          <w:sz w:val="20"/>
          <w:u w:val="none"/>
        </w:rPr>
        <w:t xml:space="preserve">nal a diferir su liquidación durante al menos 12 meses después de la fecha de los estados de situación financiera.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8" w:name="Section23"/>
      <w:bookmarkEnd w:id="38"/>
      <w:bookmarkStart w:id="39" w:name="88e98ea8f66143008d5f1ddf176a2c1d"/>
      <w:r>
        <w:rPr>
          <w:rFonts w:ascii="Calibri" w:eastAsia="Calibri" w:hAnsi="Calibri" w:cs="Calibri"/>
          <w:b/>
          <w:i w:val="0"/>
          <w:color w:val="000000"/>
          <w:sz w:val="20"/>
          <w:u w:val="none"/>
        </w:rPr>
        <w:t>2.15.-</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9"/>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gasto por impuesto a las ganancias del ejercicio comprende al impuesto a la renta corriente y al impuesto diferido. El impuesto se reconoce en el estado de resultados, excepto cuando se trata de partidas que se reconocen directamente en el patrimonio, en otros resultados integral o provienen de una combinación de negocios.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corriente comprende el impuesto esperado por pagar o por cobrar sobre la ganancia o pérdida imponible del año y cualquier ajuste al impuesto por pagar o por cobrar con respecto a años anteriores. El monto del impuesto a la renta corriente por pagar o por cobrar es la mejor estimación del monto del impuesto que se espera pagar o recibir. 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impuestos diferidos se calculan de acuerdo con el método del pasivo, sobre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w:t>
      </w:r>
      <w:r>
        <w:rPr>
          <w:rFonts w:ascii="Calibri" w:eastAsia="Calibri" w:hAnsi="Calibri" w:cs="Calibri"/>
          <w:b w:val="0"/>
          <w:i w:val="0"/>
          <w:color w:val="000000"/>
          <w:sz w:val="20"/>
          <w:u w:val="none"/>
        </w:rPr>
        <w:t>uesto diferido se liquide.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en los planes de negocios. Los activos por impuestos diferidos se revisan en cada fecha de presentación y se reducen en la medida en que ya no es probable que se realice el beneficio fiscal relacionado; dichas reducciones se revierten cuando mejora la probabilidad de ganancias imponibles futuras.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diferido se reconoce por las diferencias temporales que surgen de las inversiones en subsidiarias y en asociadas, excepto cuando la oportunidad en que se revertirán las diferencias temporales es controlada por la Sociedad y es probable que la diferencia temporal no se revertirá en un momento previsible en el futuro.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keepNext/>
        <w:keepLines/>
        <w:pageBreakBefore w:val="0"/>
        <w:widowControl w:val="0"/>
        <w:numPr>
          <w:ilvl w:val="0"/>
          <w:numId w:val="0"/>
        </w:numPr>
        <w:tabs>
          <w:tab w:val="left" w:pos="700"/>
        </w:tabs>
        <w:spacing w:before="0" w:after="0" w:line="288" w:lineRule="auto"/>
        <w:ind w:left="0" w:right="0" w:firstLine="708"/>
        <w:jc w:val="both"/>
        <w:outlineLvl w:val="9"/>
        <w:rPr>
          <w:rFonts w:ascii="Times New Roman" w:eastAsia="Times New Roman" w:hAnsi="Times New Roman" w:cs="Times New Roman"/>
          <w:b/>
          <w:i w:val="0"/>
          <w:color w:val="000000"/>
          <w:sz w:val="24"/>
          <w:u w:val="none"/>
        </w:rPr>
      </w:pPr>
      <w:bookmarkStart w:id="40" w:name="Section24"/>
      <w:bookmarkEnd w:id="40"/>
    </w:p>
    <w:p>
      <w:pPr>
        <w:pStyle w:val="Heading2-wk"/>
        <w:keepNext/>
        <w:keepLines/>
        <w:pageBreakBefore/>
        <w:widowControl w:val="0"/>
        <w:numPr>
          <w:ilvl w:val="0"/>
          <w:numId w:val="0"/>
        </w:numPr>
        <w:tabs>
          <w:tab w:val="left" w:pos="700"/>
        </w:tabs>
        <w:spacing w:before="0" w:after="0" w:line="240" w:lineRule="auto"/>
        <w:ind w:left="0" w:right="0" w:firstLine="708"/>
        <w:jc w:val="both"/>
        <w:outlineLvl w:val="1"/>
        <w:rPr>
          <w:rFonts w:ascii="Times New Roman" w:eastAsia="Times New Roman" w:hAnsi="Times New Roman" w:cs="Times New Roman"/>
          <w:b/>
          <w:i w:val="0"/>
          <w:color w:val="000000"/>
          <w:sz w:val="24"/>
          <w:u w:val="none"/>
        </w:rPr>
      </w:pPr>
      <w:bookmarkStart w:id="41" w:name="95659d49463a4485b7edf0054288cb61"/>
      <w:r>
        <w:rPr>
          <w:rFonts w:ascii="Calibri" w:eastAsia="Calibri" w:hAnsi="Calibri" w:cs="Calibri"/>
          <w:b/>
          <w:i w:val="0"/>
          <w:color w:val="000000"/>
          <w:sz w:val="20"/>
          <w:u w:val="none"/>
        </w:rPr>
        <w:t>2.16.-</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1"/>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2.16.1.-</w:t>
      </w:r>
      <w:r>
        <w:rPr>
          <w:rFonts w:ascii="Calibri" w:eastAsia="Calibri" w:hAnsi="Calibri" w:cs="Calibri"/>
          <w:b w:val="0"/>
          <w:i w:val="0"/>
          <w:sz w:val="20"/>
        </w:rPr>
        <w:tab/>
      </w:r>
      <w:r>
        <w:rPr>
          <w:rFonts w:ascii="Calibri" w:eastAsia="Calibri" w:hAnsi="Calibri" w:cs="Calibri"/>
          <w:b w:val="0"/>
          <w:i w:val="0"/>
          <w:sz w:val="20"/>
        </w:rPr>
        <w:t>Vacaciones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reconoce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2.16.2.-</w:t>
      </w:r>
      <w:r>
        <w:rPr>
          <w:rFonts w:ascii="Calibri" w:eastAsia="Calibri" w:hAnsi="Calibri" w:cs="Calibri"/>
          <w:b w:val="0"/>
          <w:i w:val="0"/>
          <w:sz w:val="20"/>
        </w:rPr>
        <w:tab/>
      </w:r>
      <w:r>
        <w:rPr>
          <w:rFonts w:ascii="Calibri" w:eastAsia="Calibri" w:hAnsi="Calibri" w:cs="Calibri"/>
          <w:b w:val="0"/>
          <w:i w:val="0"/>
          <w:sz w:val="20"/>
        </w:rPr>
        <w:t>Beneficios post jubilatorios.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mantiene beneficios post-jubilatorios acordados con el personal conforme a los contratos colectivos e individuales vigentes, para todo el personal contratado con anterioridad al año 1992. Este beneficio se reconoce en base al método de la unidad de crédito proyectada.</w:t>
      </w:r>
    </w:p>
    <w:p>
      <w:pPr>
        <w:keepNext w:val="0"/>
        <w:keepLines/>
        <w:pageBreakBefore w:val="0"/>
        <w:widowControl w:val="0"/>
        <w:numPr>
          <w:ilvl w:val="0"/>
          <w:numId w:val="0"/>
        </w:numPr>
        <w:spacing w:before="0" w:after="0" w:line="288" w:lineRule="auto"/>
        <w:ind w:left="2124" w:right="0" w:firstLine="12"/>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2.16.3.- </w:t>
      </w:r>
      <w:r>
        <w:rPr>
          <w:rFonts w:ascii="Calibri" w:eastAsia="Calibri" w:hAnsi="Calibri" w:cs="Calibri"/>
          <w:b w:val="0"/>
          <w:i w:val="0"/>
          <w:sz w:val="20"/>
        </w:rPr>
        <w:tab/>
      </w:r>
      <w:r>
        <w:rPr>
          <w:rFonts w:ascii="Calibri" w:eastAsia="Calibri" w:hAnsi="Calibri" w:cs="Calibri"/>
          <w:b w:val="0"/>
          <w:i w:val="0"/>
          <w:sz w:val="20"/>
        </w:rPr>
        <w:t>Indemnizaciones por años de servicio (PIAS).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constituye pasivos por obligaciones por indemnizaciones por cese de servicios, en base a lo estipulado en los contratos colectivos e individuales del personal. Si este beneficio se encuentra pactado, la obligación se trata de acuerdo con NIC 19 (r),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costos de servicios pasados se reconocen inmediatamente en resultados. Las ganancias y pérdidas actuariales se reconocen inmediatamente en el balance, con un cargo o abono a otros resultados integrales en los ejercicios en los cuales ocurren. No son reciclados posteriormente.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CarCar3"/>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2.16.4.-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Premios de antigüedad.</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tiene pactado premios pagaderos a los empleados, toda vez que éstos cumplan cierto número de años de servicio en la Sociedad. Este beneficio se reconoce en base a estimaciones actuariales. Los costos de servicio e intereses se reconocen inmediatamente en resultados. Las ganancias y pérdidas actuariales se reconocen inmediatamente en el balance, con un cargo o abono a otros resultados integrales en los períodos o ejercicios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w:t>
      </w:r>
      <w:r>
        <w:rPr>
          <w:rFonts w:ascii="Calibri" w:eastAsia="Calibri" w:hAnsi="Calibri" w:cs="Calibri"/>
          <w:b w:val="0"/>
          <w:i w:val="0"/>
          <w:color w:val="000000"/>
          <w:sz w:val="20"/>
          <w:u w:val="none"/>
        </w:rPr>
        <w:t>16</w:t>
      </w:r>
      <w:r>
        <w:rPr>
          <w:rFonts w:ascii="Calibri" w:eastAsia="Calibri" w:hAnsi="Calibri" w:cs="Calibri"/>
          <w:b w:val="0"/>
          <w:i w:val="0"/>
          <w:color w:val="000000"/>
          <w:sz w:val="20"/>
          <w:u w:val="none"/>
        </w:rPr>
        <w:t xml:space="preserve">.5.-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Otros beneficios por cese de la relación laboral.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beneficios por cese que no califican con lo descrito en el punto 2.16.3.- se pagan cuando la relación laboral se interrumpe antes de la fecha normal de retiro o cuando un empleado acepta voluntariamente el cese a cambio de estos beneficios. La Sociedad reconoce los beneficios por cese cuando está demostrablemente comprometido, ya sea: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CarCar3"/>
        <w:keepNext w:val="0"/>
        <w:keepLines/>
        <w:pageBreakBefore w:val="0"/>
        <w:widowControl w:val="0"/>
        <w:numPr>
          <w:ilvl w:val="0"/>
          <w:numId w:val="19"/>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poner fin a la relación laboral de empleados de acuerdo a un plan formal detallado sin posibilidad de renuncia; 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CarCar3"/>
        <w:keepNext w:val="0"/>
        <w:keepLines/>
        <w:pageBreakBefore w:val="0"/>
        <w:widowControl w:val="0"/>
        <w:numPr>
          <w:ilvl w:val="0"/>
          <w:numId w:val="19"/>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proporcionar beneficios por cese como resultado de una oferta hecha para incentivar el retiro voluntario. Los beneficios que vencen en más de 12 meses después de la fecha del estado de situación financiera, de existir, se descuentan a su valor presente.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2.16.6.-</w:t>
      </w:r>
      <w:r>
        <w:rPr>
          <w:rFonts w:ascii="Calibri" w:eastAsia="Calibri" w:hAnsi="Calibri" w:cs="Calibri"/>
          <w:b w:val="0"/>
          <w:i w:val="0"/>
          <w:sz w:val="20"/>
        </w:rPr>
        <w:tab/>
      </w:r>
      <w:r>
        <w:rPr>
          <w:rFonts w:ascii="Calibri" w:eastAsia="Calibri" w:hAnsi="Calibri" w:cs="Calibri"/>
          <w:b w:val="0"/>
          <w:i w:val="0"/>
          <w:sz w:val="20"/>
        </w:rPr>
        <w:t>Participación en las utilidades.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reconoce un pasivo y un gasto por participación en las utilidades en base a contratos colectivos e individuales de sus trabajadores, sobre la base de una fórmula que toma en cuenta la utilidad atribuible a los accionistas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2" w:name="Section25"/>
      <w:bookmarkEnd w:id="42"/>
      <w:bookmarkStart w:id="43" w:name="18ebe9697dcb4f18b1341ddcbcd483bb"/>
      <w:r>
        <w:rPr>
          <w:rFonts w:ascii="Calibri" w:eastAsia="Calibri" w:hAnsi="Calibri" w:cs="Calibri"/>
          <w:b/>
          <w:i w:val="0"/>
          <w:color w:val="000000"/>
          <w:sz w:val="20"/>
          <w:u w:val="none"/>
        </w:rPr>
        <w:t>2.17.-</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3"/>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reconoce una provisión cuando está obligado contractualmente o cuando existe una práctica del pasado que ha creado una obligación asumida.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provisiones para contratos onerosos, litigios y otras contingencias se reconocen cuando: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0"/>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tiene una obligación presente, ya sea legal o constructiva, como resultado de sucesos pasados;</w:t>
      </w:r>
    </w:p>
    <w:p>
      <w:pPr>
        <w:pStyle w:val="Normal-wk"/>
        <w:keepNext w:val="0"/>
        <w:keepLines/>
        <w:pageBreakBefore w:val="0"/>
        <w:widowControl w:val="0"/>
        <w:numPr>
          <w:ilvl w:val="0"/>
          <w:numId w:val="21"/>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probable que vaya a ser necesaria una salida de recursos para liquidar la obligación;</w:t>
      </w:r>
    </w:p>
    <w:p>
      <w:pPr>
        <w:pStyle w:val="Normal-wk"/>
        <w:keepNext w:val="0"/>
        <w:keepLines/>
        <w:pageBreakBefore w:val="0"/>
        <w:widowControl w:val="0"/>
        <w:numPr>
          <w:ilvl w:val="0"/>
          <w:numId w:val="22"/>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importe puede ser estimado de forma fiable.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provisiones se valoran por el valor actual de los desembolsos que se espera que sean necesarios para liquidar la obligación usando la mejor estimación de la Sociedad.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44" w:name="Section26"/>
      <w:bookmarkEnd w:id="44"/>
      <w:bookmarkStart w:id="45" w:name="54444e7b66fe4d67a77e21e144474892"/>
      <w:r>
        <w:rPr>
          <w:rFonts w:ascii="Calibri" w:eastAsia="Calibri" w:hAnsi="Calibri" w:cs="Calibri"/>
          <w:b/>
          <w:i w:val="0"/>
          <w:color w:val="000000"/>
          <w:sz w:val="20"/>
          <w:u w:val="none"/>
        </w:rPr>
        <w:t>2.18.-</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4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ejercicio.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6" w:name="Section27"/>
      <w:bookmarkEnd w:id="46"/>
      <w:bookmarkStart w:id="47" w:name="8dab965291cc4a2cba1932edd9252796"/>
      <w:r>
        <w:rPr>
          <w:rFonts w:ascii="Calibri" w:eastAsia="Calibri" w:hAnsi="Calibri" w:cs="Calibri"/>
          <w:b/>
          <w:i w:val="0"/>
          <w:color w:val="000000"/>
          <w:sz w:val="20"/>
          <w:u w:val="none"/>
        </w:rPr>
        <w:t>2.19.-</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47"/>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 obligaciones de desempeño, determinar el precio de la transacción, asignar el precio, reconocer el ingreso). También ha evaluado la existencia de costos incrementales de la obtención de un contrato y los costos directamente relacionados con el cumplimiento de un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reconoce los ingresos cuando se han cumplido satisfactoriamente los pasos establecidos en la norma y es probable que los beneficios económicos futuros vayan a fluir a la entidad y se cumplen las condiciones específicas para cada una de las actividades de la Sociedad, tal y como se describe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2.19.1.-</w:t>
      </w:r>
      <w:r>
        <w:rPr>
          <w:rFonts w:ascii="Calibri" w:eastAsia="Calibri" w:hAnsi="Calibri" w:cs="Calibri"/>
          <w:b w:val="0"/>
          <w:i w:val="0"/>
          <w:sz w:val="20"/>
        </w:rPr>
        <w:tab/>
      </w:r>
      <w:r>
        <w:rPr>
          <w:rFonts w:ascii="Calibri" w:eastAsia="Calibri" w:hAnsi="Calibri" w:cs="Calibri"/>
          <w:b w:val="0"/>
          <w:i w:val="0"/>
          <w:sz w:val="20"/>
        </w:rPr>
        <w:t>Ventas de servicios.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ventas de servicios incluyen por lo general una obligación de desempeño, por lo que el ingreso por ventas de servicios se registra en base a la facturación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2.19.2.-</w:t>
      </w:r>
      <w:r>
        <w:rPr>
          <w:rFonts w:ascii="Calibri" w:eastAsia="Calibri" w:hAnsi="Calibri" w:cs="Calibri"/>
          <w:b w:val="0"/>
          <w:i w:val="0"/>
          <w:sz w:val="20"/>
        </w:rPr>
        <w:tab/>
      </w:r>
      <w:r>
        <w:rPr>
          <w:rFonts w:ascii="Calibri" w:eastAsia="Calibri" w:hAnsi="Calibri" w:cs="Calibri"/>
          <w:b w:val="0"/>
          <w:i w:val="0"/>
          <w:sz w:val="20"/>
        </w:rPr>
        <w:t>Ingresos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ingresos por intereses se reconocen usando el método de la tasa de interés efectiva.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2.19.3.-</w:t>
      </w:r>
      <w:r>
        <w:rPr>
          <w:rFonts w:ascii="Calibri" w:eastAsia="Calibri" w:hAnsi="Calibri" w:cs="Calibri"/>
          <w:b w:val="0"/>
          <w:i w:val="0"/>
          <w:sz w:val="20"/>
        </w:rPr>
        <w:tab/>
      </w:r>
      <w:r>
        <w:rPr>
          <w:rFonts w:ascii="Calibri" w:eastAsia="Calibri" w:hAnsi="Calibri" w:cs="Calibri"/>
          <w:b w:val="0"/>
          <w:i w:val="0"/>
          <w:sz w:val="20"/>
        </w:rPr>
        <w:t>Ingresos por dividendos de inversiones temporales.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por d</w:t>
      </w:r>
      <w:r>
        <w:rPr>
          <w:rFonts w:ascii="Calibri" w:eastAsia="Calibri" w:hAnsi="Calibri" w:cs="Calibri"/>
          <w:b w:val="0"/>
          <w:i w:val="0"/>
          <w:color w:val="000000"/>
          <w:sz w:val="20"/>
          <w:u w:val="none"/>
        </w:rPr>
        <w:t>ividendos se reconocen cuando se establece el derecho de recibirlos o se percibe su pago.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8" w:name="Section28"/>
      <w:bookmarkEnd w:id="48"/>
      <w:bookmarkStart w:id="49" w:name="eb1a54c20b344f3fb5f51f14d60ac045"/>
      <w:r>
        <w:rPr>
          <w:rFonts w:ascii="Calibri" w:eastAsia="Calibri" w:hAnsi="Calibri" w:cs="Calibri"/>
          <w:b/>
          <w:i w:val="0"/>
          <w:color w:val="000000"/>
          <w:sz w:val="20"/>
          <w:u w:val="none"/>
        </w:rPr>
        <w:t>2.20.-</w:t>
      </w:r>
      <w:r>
        <w:rPr>
          <w:rFonts w:ascii="Calibri" w:eastAsia="Calibri" w:hAnsi="Calibri" w:cs="Calibri"/>
          <w:b/>
          <w:i w:val="0"/>
          <w:color w:val="000000"/>
          <w:sz w:val="20"/>
          <w:u w:val="none"/>
        </w:rPr>
        <w:tab/>
      </w:r>
      <w:r>
        <w:rPr>
          <w:rFonts w:ascii="Calibri" w:eastAsia="Calibri" w:hAnsi="Calibri" w:cs="Calibri"/>
          <w:b/>
          <w:i w:val="0"/>
          <w:color w:val="000000"/>
          <w:sz w:val="20"/>
          <w:u w:val="none"/>
        </w:rPr>
        <w:t>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49"/>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2.20.1.-</w:t>
      </w:r>
      <w:r>
        <w:rPr>
          <w:rFonts w:ascii="Calibri" w:eastAsia="Calibri" w:hAnsi="Calibri" w:cs="Calibri"/>
          <w:b w:val="0"/>
          <w:i w:val="0"/>
          <w:sz w:val="20"/>
        </w:rPr>
        <w:tab/>
      </w:r>
      <w:r>
        <w:rPr>
          <w:rFonts w:ascii="Calibri" w:eastAsia="Calibri" w:hAnsi="Calibri" w:cs="Calibri"/>
          <w:b w:val="0"/>
          <w:i w:val="0"/>
          <w:sz w:val="20"/>
        </w:rPr>
        <w:t>Cuando la Sociedad es el arrendatario.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Para los arrendamientos donde la Sociedad tiene sustancialmente todos los riesgos y beneficios inherentes a la propiedad, la Sociedad reconoce los activos y pasivos derivados del contrato de arrendamiento con duración superior a 12 meses y de valor subyacente significativo en base a NIIF 16. Como arrendatario reconocerá los activos por derecho de uso y un pasivo por arrendamiento que representa la obligación de los pagos mínimos por este concepto.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Cada pago por arrendamiento se distribuye entre el pasivo y las cargas financieras para obtener una tasa de interés constante sobre el saldo pendiente de la deuda. Las correspondientes obligaciones por arrendamiento, netas de cargas financieras, se incluyen en pasivos por arrendamientos. El elemento de interés del costo financiero se carga en el estado de resultados durante el período de arrendamiento de forma que se obtenga una tasa periódica constante de interés sobre</w:t>
      </w:r>
      <w:r>
        <w:rPr>
          <w:rFonts w:ascii="Calibri" w:eastAsia="Calibri" w:hAnsi="Calibri" w:cs="Calibri"/>
          <w:b w:val="0"/>
          <w:i w:val="0"/>
          <w:color w:val="000000"/>
          <w:sz w:val="20"/>
          <w:u w:val="none"/>
        </w:rPr>
        <w:t xml:space="preserve"> el saldo restante del pasivo para cada período o ejercicio. El activo adquirido en régimen de arrendamiento financiero se deprecia durante su vida útil o la duración del contrato, el menor de los 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2.20.2.-</w:t>
      </w:r>
      <w:r>
        <w:rPr>
          <w:rFonts w:ascii="Calibri" w:eastAsia="Calibri" w:hAnsi="Calibri" w:cs="Calibri"/>
          <w:b w:val="0"/>
          <w:i w:val="0"/>
          <w:sz w:val="20"/>
        </w:rPr>
        <w:tab/>
      </w:r>
      <w:r>
        <w:rPr>
          <w:rFonts w:ascii="Calibri" w:eastAsia="Calibri" w:hAnsi="Calibri" w:cs="Calibri"/>
          <w:b w:val="0"/>
          <w:i w:val="0"/>
          <w:sz w:val="20"/>
        </w:rPr>
        <w:t>Cuando la Sociedad es el arrendador.</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Cuando la Sociedad actúa como arrendador, clasifica al inicio del acuerdo si el arrendamiento es operativo o financiero, en base a la esencia de la transacción. Los arrendamientos en los que se transfieren sustancialmente todos los riesgos y beneficios inherentes a la </w:t>
      </w:r>
      <w:r>
        <w:rPr>
          <w:rFonts w:ascii="Calibri" w:eastAsia="Calibri" w:hAnsi="Calibri" w:cs="Calibri"/>
          <w:b w:val="0"/>
          <w:i w:val="0"/>
          <w:color w:val="000000"/>
          <w:sz w:val="20"/>
          <w:u w:val="none"/>
        </w:rPr>
        <w:t>propiedad</w:t>
      </w:r>
      <w:r>
        <w:rPr>
          <w:rFonts w:ascii="Calibri" w:eastAsia="Calibri" w:hAnsi="Calibri" w:cs="Calibri"/>
          <w:b w:val="0"/>
          <w:i w:val="0"/>
          <w:color w:val="000000"/>
          <w:sz w:val="20"/>
          <w:u w:val="none"/>
        </w:rPr>
        <w:t xml:space="preserve"> del activo subyacente se clasifican como arrendamientos financieros. El resto de los arrendamientos son clasificados como arrendamientos operativos.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arrendamientos financieros, en la fecha de comienzo, la compañía reconoce en el estado de situación financiera los activos mantenidos en arrendamiento financiero y los presenta en el rubro de cuentas por cobrar comerciales y otras cuentas por cobrar, por un valor igual al de la inversión neta en el arrendamiento, calculado como la suma del valor actual de las cuotas de arrendamiento descontadas a la tasa de interés implícita en el arrendamiento. Posteriormente, se reconocen los ingresos financieros a lo largo del plazo del arrendamiento, en función de una tasa de rendimiento constante sobre la inversión financiera neta realizada en el arrendamiento.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los arrendamientos operativos, los pagos por arrendamiento se reconocen como ingreso de forma lineal durante el plazo del mismo.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keepNext/>
        <w:keepLines/>
        <w:pageBreakBefore w:val="0"/>
        <w:widowControl w:val="0"/>
        <w:numPr>
          <w:ilvl w:val="0"/>
          <w:numId w:val="0"/>
        </w:numPr>
        <w:tabs>
          <w:tab w:val="left" w:pos="700"/>
        </w:tabs>
        <w:spacing w:before="0" w:after="0" w:line="288" w:lineRule="auto"/>
        <w:ind w:left="0" w:right="0" w:firstLine="708"/>
        <w:jc w:val="both"/>
        <w:outlineLvl w:val="9"/>
        <w:rPr>
          <w:rFonts w:ascii="Times New Roman" w:eastAsia="Times New Roman" w:hAnsi="Times New Roman" w:cs="Times New Roman"/>
          <w:b/>
          <w:i w:val="0"/>
          <w:color w:val="000000"/>
          <w:sz w:val="24"/>
          <w:u w:val="none"/>
        </w:rPr>
      </w:pPr>
      <w:bookmarkStart w:id="50" w:name="Section29"/>
      <w:bookmarkEnd w:id="50"/>
    </w:p>
    <w:p>
      <w:pPr>
        <w:pStyle w:val="Heading2-wk"/>
        <w:keepNext/>
        <w:keepLines/>
        <w:pageBreakBefore/>
        <w:widowControl w:val="0"/>
        <w:numPr>
          <w:ilvl w:val="0"/>
          <w:numId w:val="0"/>
        </w:numPr>
        <w:tabs>
          <w:tab w:val="left" w:pos="700"/>
        </w:tabs>
        <w:spacing w:before="0" w:after="0" w:line="200" w:lineRule="exact"/>
        <w:ind w:left="0" w:right="0" w:firstLine="708"/>
        <w:jc w:val="both"/>
        <w:outlineLvl w:val="1"/>
        <w:rPr>
          <w:rFonts w:ascii="Times New Roman" w:eastAsia="Times New Roman" w:hAnsi="Times New Roman" w:cs="Times New Roman"/>
          <w:b/>
          <w:i w:val="0"/>
          <w:color w:val="000000"/>
          <w:sz w:val="24"/>
          <w:u w:val="none"/>
        </w:rPr>
      </w:pPr>
      <w:bookmarkStart w:id="51" w:name="7f1505c2a3ce4ab9957322771de3abe1"/>
      <w:r>
        <w:rPr>
          <w:rFonts w:ascii="Calibri" w:eastAsia="Calibri" w:hAnsi="Calibri" w:cs="Calibri"/>
          <w:b/>
          <w:i w:val="0"/>
          <w:color w:val="000000"/>
          <w:sz w:val="20"/>
          <w:u w:val="none"/>
        </w:rPr>
        <w:t>2.21.-</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1"/>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dividendos a pagar a los accionistas de la Sociedad se reconocen como un pasivo en los estados financieros en el ejercicio en que son declarados y aprobados por los accionistas o cuando se configura la obligación correspondiente en función de las disposiciones legales vigentes o las políticas de distribución establecidas por la Junta de Accionistas.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2" w:name="Section30"/>
      <w:bookmarkEnd w:id="52"/>
      <w:bookmarkStart w:id="53" w:name="9c9fbeb555374c508d879f1a94ad8dfb"/>
      <w:r>
        <w:rPr>
          <w:rFonts w:ascii="Calibri" w:eastAsia="Calibri" w:hAnsi="Calibri" w:cs="Calibri"/>
          <w:b/>
          <w:i w:val="0"/>
          <w:color w:val="000000"/>
          <w:sz w:val="20"/>
          <w:u w:val="none"/>
        </w:rPr>
        <w:t>2.22.-</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3"/>
    </w:p>
    <w:p>
      <w:pPr>
        <w:pStyle w:val="CarCar3"/>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ventas incluyen el costo de adquisición de insumos necesarios para el desarrollo de sus negocios, depreciaciones de instalaciones y mano de obra directa a servicios prestados. Estos costos incluyen principalmente los costos de adquisición netos de descuentos obtenidos, los gastos e impuestos no recuperables.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4" w:name="Section31"/>
      <w:bookmarkEnd w:id="54"/>
      <w:bookmarkStart w:id="55" w:name="1da275a6cee94a2c8c06ac189b4c7883"/>
      <w:r>
        <w:rPr>
          <w:rFonts w:ascii="Calibri" w:eastAsia="Calibri" w:hAnsi="Calibri" w:cs="Calibri"/>
          <w:b/>
          <w:i w:val="0"/>
          <w:color w:val="000000"/>
          <w:sz w:val="20"/>
          <w:u w:val="none"/>
        </w:rPr>
        <w:t>2.23.-</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bookmarkEnd w:id="55"/>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ListParagraph-wk"/>
        <w:keepNext w:val="0"/>
        <w:keepLines/>
        <w:pageBreakBefore w:val="0"/>
        <w:widowControl w:val="0"/>
        <w:numPr>
          <w:ilvl w:val="0"/>
          <w:numId w:val="23"/>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operación: Actividades que constituyen los ingresos ordinarios de la Sociedad, así como otras actividades que no pueden ser calificadas como de inversión o financiación.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ListParagraph-wk"/>
        <w:keepNext w:val="0"/>
        <w:keepLines/>
        <w:pageBreakBefore w:val="0"/>
        <w:widowControl w:val="0"/>
        <w:numPr>
          <w:ilvl w:val="0"/>
          <w:numId w:val="2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ListParagraph-wk"/>
        <w:keepNext w:val="0"/>
        <w:keepLines/>
        <w:pageBreakBefore w:val="0"/>
        <w:widowControl w:val="0"/>
        <w:numPr>
          <w:ilvl w:val="0"/>
          <w:numId w:val="2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financiación: Actividades que producen cambios en el tamaño y composición del patrimonio neto y de los pasivos que no forman parte de las actividades de operación.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ha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A la fecha no existen restricciones sobre el 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56" w:name="Section32"/>
      <w:bookmarkEnd w:id="56"/>
      <w:bookmarkStart w:id="57" w:name="822d66d01b234231b6bedf22b780b9a2"/>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ESTIMACIONES Y JUICIOS O CRITERIOS CRÍTICOS DE LA ADMINISTRACIÓN.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7"/>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estimaciones y criterios usados son continuamente evaluados y se basan en la experiencia histórica y otros factores, incluyendo la expectativa de ocurrencia de eventos futuros que se consideran razonables de acuerdo con las circunstancias.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efectúa estimaciones y supuestos respecto del futuro. Las estimaciones contables resultantes por definición muy pocas veces serán iguales a los resultados reales. Las estimaciones y supuestos que tienen un riesgo significativo de causar un ajuste material a los saldos de los activos y pasivos en el próximo ejercicio se presentan a continuación: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58" w:name="Section33"/>
      <w:bookmarkEnd w:id="58"/>
      <w:bookmarkStart w:id="59" w:name="0d2374eb522248bb9ab0245fc53e0129"/>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Beneficios por Indemnizaciones por cese pactadas (PIAS) y premios por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presente de las obligaciones por indemnizaciones por años de servicio pactadas y premios por antigüedad (“los beneficios”) depende de un número de factores que se determinan sobre bases actuariales usando un número de supuestos. Los supuestos usados al determinar el costo neto por los beneficios incluyen la tasa de descuento. Cualquier cambio en estos supuestos tendrá impacto en el valor en libros de la obligación por los beneficios.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determina la tasa de descuento al final de cada año que considera más apropiada de acuerdo a las condiciones de mercado a la fecha de valoración. Esta tasa de interés es la que utiliza la Sociedad para determinar el valor presente de las futuras salidas de flujos de efectivo estimadas que se prevé se requerirá para cancelar las obligaciones por planes de beneficios. Al determinar la tasa de descuento, la Sociedad considera las tasas de interés de mercado de bonos que se denominan en la moneda en la que los beneficios se pagarán y que tienen plazos de vencimiento similares o que se aproximan a los plazos de las respectivas obligaciones por los beneficios.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supuestos claves para establecer las obligaciones por planes de beneficios se basan en parte en las condiciones actuales del mercado. En la Nota 16.5 se presenta información adicional al respecto.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3"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referida metodología utiliza supuestos críticos vinculados con tasa de interés, factores de reajustes e indexación y estimaciones de permanencia futura, cuya variación pueden generar modificaciones significativas sobre los estados financieros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60" w:name="Section34"/>
      <w:bookmarkEnd w:id="60"/>
      <w:bookmarkStart w:id="61" w:name="b0ac88f93b854e4e9ea532838ce45a8f"/>
      <w:r>
        <w:rPr>
          <w:rFonts w:ascii="Calibri" w:eastAsia="Calibri" w:hAnsi="Calibri" w:cs="Calibri"/>
          <w:b/>
          <w:i w:val="0"/>
          <w:color w:val="000000"/>
          <w:sz w:val="20"/>
          <w:u w:val="none"/>
        </w:rPr>
        <w:t>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GESTIÓN DE RIESGOS.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1"/>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factores de riesgo a los que está sometida la Sociedad son de carácter general y se enumeran a continuación: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2" w:name="Section35"/>
      <w:bookmarkEnd w:id="62"/>
      <w:bookmarkStart w:id="63" w:name="ce2ebb4db5af4dc49898cb5e02a378eb"/>
      <w:r>
        <w:rPr>
          <w:rFonts w:ascii="Calibri" w:eastAsia="Calibri" w:hAnsi="Calibri" w:cs="Calibri"/>
          <w:b/>
          <w:i w:val="0"/>
          <w:color w:val="000000"/>
          <w:sz w:val="20"/>
          <w:u w:val="none"/>
        </w:rPr>
        <w:t>4.1.-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financiero.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3"/>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4.1.1.-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Riesgo de tipo de cambio y unidades de reajuste.</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tiene exposición al riesgo de variaciones en el tipo de cambio y unidades de reajuste entre sus flujos operacionales y de sus obligaciones financieras.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color w:val="000000"/>
          <w:sz w:val="20"/>
          <w:u w:val="none"/>
        </w:rPr>
        <w:t xml:space="preserve"> CGE Servicios S.A. no mantiene deudas financieras denominadas en moneda extranjera o Unidades de Fomento.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4.1.2.-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Riesgo de tasa de interés. </w:t>
      </w:r>
    </w:p>
    <w:p>
      <w:pPr>
        <w:keepNext/>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riesgo de tasa de interés es el riesgo de que flujos de instrumentos financieros fluctúen debido a cambios en las tasas de interés de mercado. La Sociedad no tiene exposición al riesgo de cambio en tasas de interés al no mantener deudas financieras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p>
      <w:pPr>
        <w:pStyle w:val="CarCar3"/>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4.1.3.-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Riesgo </w:t>
      </w:r>
      <w:r>
        <w:rPr>
          <w:rFonts w:ascii="Calibri" w:eastAsia="Calibri" w:hAnsi="Calibri" w:cs="Calibri"/>
          <w:b w:val="0"/>
          <w:i w:val="0"/>
          <w:color w:val="000000"/>
          <w:sz w:val="20"/>
          <w:u w:val="none"/>
        </w:rPr>
        <w:t>de</w:t>
      </w:r>
      <w:r>
        <w:rPr>
          <w:rFonts w:ascii="Calibri" w:eastAsia="Calibri" w:hAnsi="Calibri" w:cs="Calibri"/>
          <w:b w:val="0"/>
          <w:i w:val="0"/>
          <w:color w:val="000000"/>
          <w:sz w:val="20"/>
          <w:u w:val="none"/>
        </w:rPr>
        <w:t xml:space="preserve"> liquidez y estructura de pasivos financieros. </w:t>
      </w:r>
    </w:p>
    <w:p>
      <w:pPr>
        <w:keepNext w:val="0"/>
        <w:keepLines/>
        <w:pageBreakBefore w:val="0"/>
        <w:widowControl w:val="0"/>
        <w:numPr>
          <w:ilvl w:val="0"/>
          <w:numId w:val="0"/>
        </w:numPr>
        <w:spacing w:before="0" w:after="0" w:line="288" w:lineRule="auto"/>
        <w:ind w:left="283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riesgo de liquidez está relacionado con las necesidades de fondos para hacer frente a las obligaciones de pago. La Sociedad mantiene una adecuada gestión de los activos y pasivos, optimizando los excedentes de caja diarios y de esa manera asegurar el cumplimiento de los compromisos de deudas en el momento de su vencimiento. La Sociedad al cierre del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no tiene deuda con instituciones financieras.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mbria" w:eastAsia="Cambria" w:hAnsi="Cambria" w:cs="Cambria"/>
          <w:b/>
          <w:i w:val="0"/>
          <w:color w:val="365F91"/>
          <w:sz w:val="28"/>
          <w:u w:val="none"/>
        </w:rPr>
      </w:pPr>
      <w:bookmarkStart w:id="64" w:name="Section36"/>
      <w:bookmarkEnd w:id="64"/>
    </w:p>
    <w:p>
      <w:pPr>
        <w:pStyle w:val="Heading1-wk"/>
        <w:keepNext/>
        <w:keepLines/>
        <w:pageBreakBefore/>
        <w:widowControl w:val="0"/>
        <w:numPr>
          <w:ilvl w:val="0"/>
          <w:numId w:val="0"/>
        </w:numPr>
        <w:tabs>
          <w:tab w:val="left" w:pos="700"/>
        </w:tabs>
        <w:spacing w:before="0" w:after="0" w:line="240" w:lineRule="auto"/>
        <w:ind w:left="0" w:right="0" w:firstLine="0"/>
        <w:jc w:val="left"/>
        <w:outlineLvl w:val="0"/>
        <w:rPr>
          <w:rFonts w:ascii="Cambria" w:eastAsia="Cambria" w:hAnsi="Cambria" w:cs="Cambria"/>
          <w:b/>
          <w:i w:val="0"/>
          <w:color w:val="365F91"/>
          <w:sz w:val="28"/>
          <w:u w:val="none"/>
        </w:rPr>
      </w:pPr>
      <w:bookmarkStart w:id="65" w:name="6d9e0972527c469792a6ce6190e75c83"/>
      <w:r>
        <w:rPr>
          <w:rFonts w:ascii="Calibri" w:eastAsia="Calibri" w:hAnsi="Calibri" w:cs="Calibri"/>
          <w:b/>
          <w:i w:val="0"/>
          <w:color w:val="000000"/>
          <w:sz w:val="20"/>
          <w:u w:val="none"/>
        </w:rPr>
        <w:t>5.-</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Y PASIVOS FINANCIEROS.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bookmarkEnd w:id="65"/>
    </w:p>
    <w:p>
      <w:pPr>
        <w:keepNext w:val="0"/>
        <w:keepLines/>
        <w:pageBreakBefore w:val="0"/>
        <w:widowControl w:val="0"/>
        <w:numPr>
          <w:ilvl w:val="0"/>
          <w:numId w:val="0"/>
        </w:numPr>
        <w:spacing w:before="0" w:after="0" w:line="288" w:lineRule="auto"/>
        <w:ind w:left="2127"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66" w:name="Section37"/>
      <w:bookmarkEnd w:id="66"/>
      <w:bookmarkStart w:id="67" w:name="e090ae5e0a454778977bc6f15ad60bff"/>
      <w:r>
        <w:rPr>
          <w:rFonts w:ascii="Calibri" w:eastAsia="Calibri" w:hAnsi="Calibri" w:cs="Calibri"/>
          <w:b/>
          <w:i w:val="0"/>
          <w:color w:val="000000"/>
          <w:sz w:val="20"/>
          <w:u w:val="none"/>
        </w:rPr>
        <w:t>5.1.-</w:t>
      </w:r>
      <w:r>
        <w:rPr>
          <w:rFonts w:ascii="Calibri" w:eastAsia="Calibri" w:hAnsi="Calibri" w:cs="Calibri"/>
          <w:b/>
          <w:i w:val="0"/>
          <w:color w:val="000000"/>
          <w:sz w:val="20"/>
          <w:u w:val="none"/>
        </w:rPr>
        <w:tab/>
      </w:r>
      <w:r>
        <w:rPr>
          <w:rFonts w:ascii="Calibri" w:eastAsia="Calibri" w:hAnsi="Calibri" w:cs="Calibri"/>
          <w:b/>
          <w:i w:val="0"/>
          <w:color w:val="000000"/>
          <w:sz w:val="20"/>
          <w:u w:val="none"/>
        </w:rPr>
        <w:t>Categorías de activos y pasivos financieros.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bookmarkEnd w:id="67"/>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las diferentes categorías de activos y pasivos financieros, comparando los valores registrados contablemente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y sus respectivos valores razonables.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40"/>
        <w:gridCol w:w="795"/>
        <w:gridCol w:w="795"/>
        <w:gridCol w:w="795"/>
        <w:gridCol w:w="795"/>
      </w:tblGrid>
      <w:tr>
        <w:tblPrEx>
          <w:tblW w:w="8520" w:type="dxa"/>
          <w:tblInd w:w="1417" w:type="dxa"/>
          <w:tblLayout w:type="fixed"/>
        </w:tblPrEx>
        <w:trPr>
          <w:cantSplit/>
          <w:trHeight w:hRule="auto" w:val="0"/>
        </w:trPr>
        <w:tc>
          <w:tcPr>
            <w:tcW w:w="53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 de junio de 2026</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al costo amortizado</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al costo amortizado</w:t>
            </w:r>
          </w:p>
        </w:tc>
        <w:tc>
          <w:tcPr>
            <w:tcW w:w="7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valor Contable</w:t>
            </w:r>
          </w:p>
        </w:tc>
        <w:tc>
          <w:tcPr>
            <w:tcW w:w="7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 valor Razonable</w:t>
            </w:r>
          </w:p>
        </w:tc>
      </w:tr>
      <w:tr>
        <w:tblPrEx>
          <w:tblW w:w="8520" w:type="dxa"/>
          <w:tblInd w:w="1417" w:type="dxa"/>
          <w:tblLayout w:type="fixed"/>
        </w:tblPrEx>
        <w:trPr>
          <w:cantSplit/>
          <w:trHeight w:hRule="auto" w:val="0"/>
        </w:trPr>
        <w:tc>
          <w:tcPr>
            <w:tcW w:w="5340"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4" w:space="0" w:color="FFFFFF"/>
            </w:tcBorders>
          </w:tcPr>
          <w:p>
            <w:pPr>
              <w:keepNext/>
              <w:pageBreakBefore w:val="0"/>
            </w:pPr>
          </w:p>
        </w:tc>
        <w:tc>
          <w:tcPr>
            <w:tcW w:w="795" w:type="dxa"/>
            <w:vMerge/>
            <w:tcBorders>
              <w:top w:val="nil"/>
              <w:left w:val="nil"/>
              <w:bottom w:val="nil"/>
              <w:right w:val="single" w:sz="2" w:space="0" w:color="000000"/>
            </w:tcBorders>
          </w:tcPr>
          <w:p>
            <w:pPr>
              <w:keepNext/>
              <w:pageBreakBefore w:val="0"/>
            </w:pPr>
          </w:p>
        </w:tc>
      </w:tr>
      <w:tr>
        <w:tblPrEx>
          <w:tblW w:w="8520" w:type="dxa"/>
          <w:tblInd w:w="1417" w:type="dxa"/>
          <w:tblLayout w:type="fixed"/>
        </w:tblPrEx>
        <w:trPr>
          <w:cantSplit/>
          <w:trHeight w:hRule="auto" w:val="0"/>
        </w:trPr>
        <w:tc>
          <w:tcPr>
            <w:tcW w:w="534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exact" w:val="60"/>
        </w:trPr>
        <w:tc>
          <w:tcPr>
            <w:tcW w:w="53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w:t>
            </w:r>
          </w:p>
        </w:tc>
        <w:tc>
          <w:tcPr>
            <w:tcW w:w="7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ACTIVOS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8520" w:type="dxa"/>
          <w:tblInd w:w="1417" w:type="dxa"/>
          <w:tblLayout w:type="fixed"/>
        </w:tblPrEx>
        <w:trPr>
          <w:cantSplit/>
          <w:trHeight w:hRule="auto" w:val="0"/>
        </w:trPr>
        <w:tc>
          <w:tcPr>
            <w:tcW w:w="53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225"/>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w:t>
            </w:r>
          </w:p>
        </w:tc>
        <w:tc>
          <w:tcPr>
            <w:tcW w:w="7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comerciales y otras cuentas por pagar.</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a entidades relacionadas.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arrendamientos.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PASIVOS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40"/>
        <w:gridCol w:w="795"/>
        <w:gridCol w:w="795"/>
        <w:gridCol w:w="795"/>
        <w:gridCol w:w="795"/>
      </w:tblGrid>
      <w:tr>
        <w:tblPrEx>
          <w:tblW w:w="8520" w:type="dxa"/>
          <w:tblInd w:w="1417" w:type="dxa"/>
          <w:tblLayout w:type="fixed"/>
        </w:tblPrEx>
        <w:trPr>
          <w:cantSplit/>
          <w:trHeight w:hRule="auto" w:val="0"/>
        </w:trPr>
        <w:tc>
          <w:tcPr>
            <w:tcW w:w="53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 de diciembre de 2025</w:t>
            </w:r>
          </w:p>
        </w:tc>
        <w:tc>
          <w:tcPr>
            <w:tcW w:w="7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al costo amortizado</w:t>
            </w:r>
          </w:p>
        </w:tc>
        <w:tc>
          <w:tcPr>
            <w:tcW w:w="7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al costo amortizado</w:t>
            </w:r>
          </w:p>
        </w:tc>
        <w:tc>
          <w:tcPr>
            <w:tcW w:w="7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valor Contable</w:t>
            </w:r>
          </w:p>
        </w:tc>
        <w:tc>
          <w:tcPr>
            <w:tcW w:w="7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 valor Razonable</w:t>
            </w:r>
          </w:p>
        </w:tc>
      </w:tr>
      <w:tr>
        <w:tblPrEx>
          <w:tblW w:w="8520" w:type="dxa"/>
          <w:tblInd w:w="1417" w:type="dxa"/>
          <w:tblLayout w:type="fixed"/>
        </w:tblPrEx>
        <w:trPr>
          <w:cantSplit/>
          <w:trHeight w:hRule="auto" w:val="0"/>
        </w:trPr>
        <w:tc>
          <w:tcPr>
            <w:tcW w:w="534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exact" w:val="60"/>
        </w:trPr>
        <w:tc>
          <w:tcPr>
            <w:tcW w:w="53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w:t>
            </w:r>
          </w:p>
        </w:tc>
        <w:tc>
          <w:tcPr>
            <w:tcW w:w="7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346.920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346.920</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346.920</w:t>
            </w: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8.367.603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8.367.603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8.367.603</w:t>
            </w: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ACTIVOS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8.714.523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8.714.523</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8.714.523</w:t>
            </w:r>
          </w:p>
        </w:tc>
      </w:tr>
      <w:tr>
        <w:tblPrEx>
          <w:tblW w:w="8520" w:type="dxa"/>
          <w:tblInd w:w="1417" w:type="dxa"/>
          <w:tblLayout w:type="fixed"/>
        </w:tblPrEx>
        <w:trPr>
          <w:cantSplit/>
          <w:trHeight w:hRule="auto" w:val="0"/>
        </w:trPr>
        <w:tc>
          <w:tcPr>
            <w:tcW w:w="53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w:t>
            </w:r>
          </w:p>
        </w:tc>
        <w:tc>
          <w:tcPr>
            <w:tcW w:w="7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225"/>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comerciales y otras cuentas por pagar.</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5.193.423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5.193.423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5.193.423</w:t>
            </w: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a entidades relacionadas.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70.614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70.614</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70.614</w:t>
            </w: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arrendamientos.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867.091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867.091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867.091</w:t>
            </w:r>
          </w:p>
        </w:tc>
      </w:tr>
      <w:tr>
        <w:tblPrEx>
          <w:tblW w:w="8520" w:type="dxa"/>
          <w:tblInd w:w="1417" w:type="dxa"/>
          <w:tblLayout w:type="fixed"/>
        </w:tblPrEx>
        <w:trPr>
          <w:cantSplit/>
          <w:trHeight w:hRule="auto" w:val="0"/>
        </w:trPr>
        <w:tc>
          <w:tcPr>
            <w:tcW w:w="53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PASIVOS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6.131.128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6.131.128</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6.131.128</w:t>
            </w:r>
          </w:p>
        </w:tc>
      </w:tr>
    </w:tbl>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68" w:name="Section38"/>
      <w:bookmarkEnd w:id="68"/>
      <w:bookmarkStart w:id="69" w:name="02ad809dc61a4369963dd8d13ba55ff3"/>
      <w:r>
        <w:rPr>
          <w:rFonts w:ascii="Calibri" w:eastAsia="Calibri" w:hAnsi="Calibri" w:cs="Calibri"/>
          <w:b/>
          <w:i w:val="0"/>
          <w:color w:val="000000"/>
          <w:sz w:val="20"/>
          <w:u w:val="none"/>
        </w:rPr>
        <w:t>6.-</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w:t>
      </w:r>
      <w:r>
        <w:rPr>
          <w:rFonts w:ascii="Calibri" w:eastAsia="Calibri" w:hAnsi="Calibri" w:cs="Calibri"/>
          <w:b/>
          <w:i w:val="0"/>
          <w:color w:val="000000"/>
          <w:sz w:val="20"/>
          <w:highlight w:val="white"/>
          <w:u w:val="none"/>
        </w:rPr>
        <w:t>LENTES AL EFECTIVO</w:t>
      </w:r>
      <w:r>
        <w:rPr>
          <w:rFonts w:ascii="Calibri" w:eastAsia="Calibri" w:hAnsi="Calibri" w:cs="Calibri"/>
          <w:b/>
          <w:i w:val="0"/>
          <w:color w:val="000000"/>
          <w:sz w:val="20"/>
          <w:u w:val="none"/>
        </w:rPr>
        <w:t>.</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69"/>
    </w:p>
    <w:p>
      <w:pPr>
        <w:keepNext w:val="0"/>
        <w:keepLines/>
        <w:pageBreakBefore w:val="0"/>
        <w:widowControl w:val="0"/>
        <w:numPr>
          <w:ilvl w:val="0"/>
          <w:numId w:val="0"/>
        </w:numPr>
        <w:spacing w:before="0" w:after="0" w:line="288" w:lineRule="auto"/>
        <w:ind w:left="705"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70" w:name="Section39"/>
      <w:bookmarkEnd w:id="70"/>
      <w:bookmarkStart w:id="71" w:name="5580c336c37b40859458b6125aaa21e2"/>
      <w:r>
        <w:rPr>
          <w:rFonts w:ascii="Calibri" w:eastAsia="Calibri" w:hAnsi="Calibri" w:cs="Calibri"/>
          <w:b/>
          <w:i w:val="0"/>
          <w:color w:val="000000"/>
          <w:sz w:val="20"/>
          <w:u w:val="none"/>
        </w:rPr>
        <w:t>6.1.-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71"/>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20"/>
        <w:gridCol w:w="900"/>
        <w:gridCol w:w="900"/>
      </w:tblGrid>
      <w:tr>
        <w:tblPrEx>
          <w:tblW w:w="8520" w:type="dxa"/>
          <w:tblInd w:w="1417" w:type="dxa"/>
          <w:tblLayout w:type="fixed"/>
        </w:tblPrEx>
        <w:trPr>
          <w:cantSplit/>
          <w:trHeight w:hRule="auto" w:val="0"/>
        </w:trPr>
        <w:tc>
          <w:tcPr>
            <w:tcW w:w="67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efectivo y equivalentes al efectivo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672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exact" w:val="60"/>
        </w:trPr>
        <w:tc>
          <w:tcPr>
            <w:tcW w:w="6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Efectivo</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Saldos en bancos.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17" w:type="dxa"/>
          <w:tblLayout w:type="fixed"/>
        </w:tblPrEx>
        <w:trPr>
          <w:cantSplit/>
          <w:trHeight w:hRule="auto" w:val="0"/>
        </w:trPr>
        <w:tc>
          <w:tcPr>
            <w:tcW w:w="6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7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por tipo de monedas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20"/>
        <w:gridCol w:w="900"/>
        <w:gridCol w:w="900"/>
        <w:gridCol w:w="900"/>
      </w:tblGrid>
      <w:tr>
        <w:tblPrEx>
          <w:tblW w:w="8520" w:type="dxa"/>
          <w:tblInd w:w="1417" w:type="dxa"/>
          <w:tblLayout w:type="fixed"/>
        </w:tblPrEx>
        <w:trPr>
          <w:cantSplit/>
          <w:trHeight w:hRule="auto" w:val="0"/>
        </w:trPr>
        <w:tc>
          <w:tcPr>
            <w:tcW w:w="58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Información del efectivo y equivalentes al efectivo por moneda</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5820" w:type="dxa"/>
            <w:vMerge/>
            <w:tcBorders>
              <w:top w:val="nil"/>
              <w:left w:val="single" w:sz="2" w:space="0" w:color="000000"/>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auto" w:val="0"/>
        </w:trPr>
        <w:tc>
          <w:tcPr>
            <w:tcW w:w="582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Monto del efectivo y equivalente al efectivo.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17" w:type="dxa"/>
          <w:tblLayout w:type="fixed"/>
        </w:tblPrEx>
        <w:trPr>
          <w:cantSplit/>
          <w:trHeight w:hRule="auto" w:val="0"/>
        </w:trPr>
        <w:tc>
          <w:tcPr>
            <w:tcW w:w="672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efectivo y equivalentes al efectivo incluido en los estados de situación financiera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difieren del presentado en los estados de flujos de efectivo. A la fecha no existen restricciones sobre el efectivo y equivalente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color w:val="000000"/>
          <w:sz w:val="20"/>
          <w:u w:val="none"/>
        </w:rPr>
        <w:t xml:space="preserve"> no tiene líneas de sobregiro disponibles.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72" w:name="Section40"/>
      <w:bookmarkEnd w:id="72"/>
      <w:bookmarkStart w:id="73" w:name="29e2a293c0cc4e4996ef6e28c00fd96c"/>
      <w:r>
        <w:rPr>
          <w:rFonts w:ascii="Calibri" w:eastAsia="Calibri" w:hAnsi="Calibri" w:cs="Calibri"/>
          <w:b/>
          <w:i w:val="0"/>
          <w:color w:val="000000"/>
          <w:sz w:val="20"/>
          <w:u w:val="none"/>
        </w:rPr>
        <w:t>6.2.-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Detalles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composición de los otros pagos por actividades de la operación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50"/>
        <w:gridCol w:w="900"/>
        <w:gridCol w:w="900"/>
      </w:tblGrid>
      <w:tr>
        <w:tblPrEx>
          <w:tblW w:w="8550" w:type="dxa"/>
          <w:tblInd w:w="1417" w:type="dxa"/>
          <w:tblLayout w:type="fixed"/>
        </w:tblPrEx>
        <w:trPr>
          <w:cantSplit/>
          <w:trHeight w:hRule="auto" w:val="0"/>
        </w:trPr>
        <w:tc>
          <w:tcPr>
            <w:tcW w:w="6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7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7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pagos por actividades de operación</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 de IVA.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(2.820.777)</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pagos por actividades de operación</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(2.820.777)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u w:val="none"/>
        </w:rPr>
      </w:pPr>
      <w:bookmarkStart w:id="74" w:name="Section41"/>
      <w:bookmarkEnd w:id="74"/>
      <w:bookmarkStart w:id="75" w:name="758886acd5d944b59869566f14d9d79c"/>
      <w:r>
        <w:rPr>
          <w:rFonts w:ascii="Calibri" w:eastAsia="Calibri" w:hAnsi="Calibri" w:cs="Calibri"/>
          <w:b/>
          <w:i w:val="0"/>
          <w:color w:val="000000"/>
          <w:sz w:val="20"/>
          <w:u w:val="none"/>
        </w:rPr>
        <w:t>6.3.-</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de los pasivos que surgen de las actividades de financiamiento.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w:t>
      </w:r>
      <w:r>
        <w:rPr>
          <w:rFonts w:ascii="Calibri" w:eastAsia="Calibri" w:hAnsi="Calibri" w:cs="Calibri"/>
          <w:b w:val="0"/>
          <w:i w:val="0"/>
          <w:color w:val="000000"/>
          <w:sz w:val="20"/>
          <w:u w:val="none"/>
        </w:rPr>
        <w:t>c</w:t>
      </w:r>
      <w:r>
        <w:rPr>
          <w:rFonts w:ascii="Calibri" w:eastAsia="Calibri" w:hAnsi="Calibri" w:cs="Calibri"/>
          <w:b w:val="0"/>
          <w:i w:val="0"/>
          <w:color w:val="000000"/>
          <w:sz w:val="20"/>
          <w:u w:val="none"/>
        </w:rPr>
        <w:t xml:space="preserve">onciliación de los pasivos que surgen de las actividades de financiamiento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4"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0"/>
        <w:gridCol w:w="900"/>
        <w:gridCol w:w="900"/>
        <w:gridCol w:w="900"/>
        <w:gridCol w:w="900"/>
        <w:gridCol w:w="900"/>
        <w:gridCol w:w="900"/>
        <w:gridCol w:w="900"/>
      </w:tblGrid>
      <w:tr>
        <w:tblPrEx>
          <w:tblW w:w="8550" w:type="dxa"/>
          <w:tblInd w:w="1417" w:type="dxa"/>
          <w:tblLayout w:type="fixed"/>
        </w:tblPrEx>
        <w:trPr>
          <w:cantSplit/>
          <w:trHeight w:hRule="auto" w:val="0"/>
        </w:trPr>
        <w:tc>
          <w:tcPr>
            <w:tcW w:w="22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270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Flujo de efectivo de financiamiento</w:t>
            </w:r>
          </w:p>
        </w:tc>
        <w:tc>
          <w:tcPr>
            <w:tcW w:w="360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Cambios que no representan flujo de efectivo</w:t>
            </w:r>
          </w:p>
        </w:tc>
      </w:tr>
      <w:tr>
        <w:tblPrEx>
          <w:tblW w:w="8550" w:type="dxa"/>
          <w:tblInd w:w="1417" w:type="dxa"/>
          <w:tblLayout w:type="fixed"/>
        </w:tblPrEx>
        <w:trPr>
          <w:cantSplit/>
          <w:trHeight w:hRule="exact" w:val="225"/>
        </w:trPr>
        <w:tc>
          <w:tcPr>
            <w:tcW w:w="22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 al</w:t>
            </w:r>
          </w:p>
        </w:tc>
        <w:tc>
          <w:tcPr>
            <w:tcW w:w="9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Utilizados</w:t>
            </w:r>
          </w:p>
        </w:tc>
        <w:tc>
          <w:tcPr>
            <w:tcW w:w="9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c>
          <w:tcPr>
            <w:tcW w:w="900"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Diferencias de cambio/Unidad de Reajuste</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Costos financieros</w:t>
            </w:r>
          </w:p>
        </w:tc>
        <w:tc>
          <w:tcPr>
            <w:tcW w:w="900"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 al</w:t>
            </w:r>
          </w:p>
        </w:tc>
      </w:tr>
      <w:tr>
        <w:tblPrEx>
          <w:tblW w:w="8550" w:type="dxa"/>
          <w:tblInd w:w="1417" w:type="dxa"/>
          <w:tblLayout w:type="fixed"/>
        </w:tblPrEx>
        <w:trPr>
          <w:cantSplit/>
          <w:trHeight w:hRule="exact" w:val="225"/>
        </w:trPr>
        <w:tc>
          <w:tcPr>
            <w:tcW w:w="22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00"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val="restart"/>
            <w:tcBorders>
              <w:top w:val="nil"/>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exact" w:val="225"/>
        </w:trPr>
        <w:tc>
          <w:tcPr>
            <w:tcW w:w="22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22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867.091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867.091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867.091</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867.091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867.091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867.091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0"/>
        <w:gridCol w:w="900"/>
        <w:gridCol w:w="900"/>
        <w:gridCol w:w="900"/>
        <w:gridCol w:w="900"/>
        <w:gridCol w:w="900"/>
        <w:gridCol w:w="900"/>
        <w:gridCol w:w="900"/>
      </w:tblGrid>
      <w:tr>
        <w:tblPrEx>
          <w:tblW w:w="8550" w:type="dxa"/>
          <w:tblInd w:w="1417" w:type="dxa"/>
          <w:tblLayout w:type="fixed"/>
        </w:tblPrEx>
        <w:trPr>
          <w:cantSplit/>
          <w:trHeight w:hRule="auto" w:val="0"/>
        </w:trPr>
        <w:tc>
          <w:tcPr>
            <w:tcW w:w="22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270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Flujo de efectivo de financiamiento</w:t>
            </w:r>
          </w:p>
        </w:tc>
        <w:tc>
          <w:tcPr>
            <w:tcW w:w="360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Cambios que no representan flujo de efectivo</w:t>
            </w:r>
          </w:p>
        </w:tc>
      </w:tr>
      <w:tr>
        <w:tblPrEx>
          <w:tblW w:w="8550" w:type="dxa"/>
          <w:tblInd w:w="1417" w:type="dxa"/>
          <w:tblLayout w:type="fixed"/>
        </w:tblPrEx>
        <w:trPr>
          <w:cantSplit/>
          <w:trHeight w:hRule="exact" w:val="225"/>
        </w:trPr>
        <w:tc>
          <w:tcPr>
            <w:tcW w:w="22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00"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Saldo al</w:t>
            </w:r>
          </w:p>
          <w:p>
            <w:pPr>
              <w:spacing w:after="0" w:line="240" w:lineRule="auto"/>
              <w:jc w:val="center"/>
            </w:pPr>
            <w:r>
              <w:rPr>
                <w:rFonts w:ascii="Calibri" w:eastAsia="Calibri" w:hAnsi="Calibri" w:cs="Calibri"/>
                <w:b/>
                <w:i w:val="0"/>
                <w:color w:val="FFFFFF"/>
                <w:sz w:val="14"/>
                <w:u w:val="none"/>
              </w:rPr>
              <w:t>31-12-2024</w:t>
            </w:r>
          </w:p>
        </w:tc>
        <w:tc>
          <w:tcPr>
            <w:tcW w:w="9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Utilizados</w:t>
            </w:r>
          </w:p>
        </w:tc>
        <w:tc>
          <w:tcPr>
            <w:tcW w:w="9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c>
          <w:tcPr>
            <w:tcW w:w="900"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Diferencias de cambio/Unidad de Reajuste</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Costos financieros</w:t>
            </w:r>
          </w:p>
        </w:tc>
        <w:tc>
          <w:tcPr>
            <w:tcW w:w="900"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 al</w:t>
            </w:r>
          </w:p>
        </w:tc>
      </w:tr>
      <w:tr>
        <w:tblPrEx>
          <w:tblW w:w="8550" w:type="dxa"/>
          <w:tblInd w:w="1417" w:type="dxa"/>
          <w:tblLayout w:type="fixed"/>
        </w:tblPrEx>
        <w:trPr>
          <w:cantSplit/>
          <w:trHeight w:hRule="exact" w:val="225"/>
        </w:trPr>
        <w:tc>
          <w:tcPr>
            <w:tcW w:w="22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val="restart"/>
            <w:tcBorders>
              <w:top w:val="nil"/>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exact" w:val="225"/>
        </w:trPr>
        <w:tc>
          <w:tcPr>
            <w:tcW w:w="22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22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1.264.238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(746.424)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517.814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39.116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102.072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208.089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867.091</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1.264.238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(746.424)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517.814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39.116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102.072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208.089</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867.091</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20" w:after="0" w:line="288" w:lineRule="auto"/>
        <w:ind w:left="0" w:right="0" w:firstLine="0"/>
        <w:jc w:val="both"/>
        <w:outlineLvl w:val="0"/>
        <w:rPr>
          <w:rFonts w:ascii="Cambria" w:eastAsia="Cambria" w:hAnsi="Cambria" w:cs="Cambria"/>
          <w:b/>
          <w:i w:val="0"/>
          <w:color w:val="365F91"/>
          <w:sz w:val="28"/>
          <w:u w:val="none"/>
        </w:rPr>
      </w:pPr>
      <w:bookmarkStart w:id="76" w:name="Section42"/>
      <w:bookmarkEnd w:id="76"/>
      <w:bookmarkStart w:id="77" w:name="e4375278150f457dbdea98d413934bb9"/>
      <w:r>
        <w:rPr>
          <w:rFonts w:ascii="Calibri" w:eastAsia="Calibri" w:hAnsi="Calibri" w:cs="Calibri"/>
          <w:b/>
          <w:i w:val="0"/>
          <w:color w:val="000000"/>
          <w:sz w:val="20"/>
          <w:u w:val="none"/>
        </w:rPr>
        <w:t>7.-</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77"/>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78" w:name="Section43"/>
      <w:bookmarkEnd w:id="78"/>
      <w:bookmarkStart w:id="79" w:name="7f9388026af14aaab5e3cd20270a4b53"/>
      <w:r>
        <w:rPr>
          <w:rFonts w:ascii="Calibri" w:eastAsia="Calibri" w:hAnsi="Calibri" w:cs="Calibri"/>
          <w:b/>
          <w:i w:val="0"/>
          <w:color w:val="000000"/>
          <w:sz w:val="20"/>
          <w:u w:val="none"/>
        </w:rPr>
        <w:t>7.1.-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79"/>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005"/>
        <w:gridCol w:w="1005"/>
        <w:gridCol w:w="1005"/>
        <w:gridCol w:w="1005"/>
      </w:tblGrid>
      <w:tr>
        <w:tblPrEx>
          <w:tblW w:w="7845" w:type="dxa"/>
          <w:tblInd w:w="2126" w:type="dxa"/>
          <w:tblLayout w:type="fixed"/>
        </w:tblPrEx>
        <w:trPr>
          <w:cantSplit/>
          <w:trHeight w:hRule="auto" w:val="0"/>
        </w:trPr>
        <w:tc>
          <w:tcPr>
            <w:tcW w:w="38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neto</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82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8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Otras cuentas por cobrar, neto.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338.110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8.810</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338.110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8.810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7.1.2.-    Detalle de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005"/>
        <w:gridCol w:w="1005"/>
        <w:gridCol w:w="1005"/>
        <w:gridCol w:w="1005"/>
      </w:tblGrid>
      <w:tr>
        <w:tblPrEx>
          <w:tblW w:w="7845" w:type="dxa"/>
          <w:tblInd w:w="2126" w:type="dxa"/>
          <w:tblLayout w:type="fixed"/>
        </w:tblPrEx>
        <w:trPr>
          <w:cantSplit/>
          <w:trHeight w:hRule="auto" w:val="0"/>
        </w:trPr>
        <w:tc>
          <w:tcPr>
            <w:tcW w:w="38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cuentas por cobrar, neto</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82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8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3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Por cobrar al personal</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al personal.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274.494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8.810</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Anticipo de remuneraciones.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47.427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Fondos por rendir.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7.334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329.255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8.810</w:t>
            </w:r>
          </w:p>
        </w:tc>
      </w:tr>
      <w:tr>
        <w:tblPrEx>
          <w:tblW w:w="7845" w:type="dxa"/>
          <w:tblInd w:w="2126" w:type="dxa"/>
          <w:tblLayout w:type="fixed"/>
        </w:tblPrEx>
        <w:trPr>
          <w:cantSplit/>
          <w:trHeight w:hRule="auto" w:val="0"/>
        </w:trPr>
        <w:tc>
          <w:tcPr>
            <w:tcW w:w="3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Deudores varios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55"/>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Anticipo proveedores.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8.855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8.855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7845" w:type="dxa"/>
          <w:tblInd w:w="2126" w:type="dxa"/>
          <w:tblLayout w:type="fixed"/>
        </w:tblPrEx>
        <w:trPr>
          <w:cantSplit/>
          <w:trHeight w:hRule="auto" w:val="0"/>
        </w:trPr>
        <w:tc>
          <w:tcPr>
            <w:tcW w:w="3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338.110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8.810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bruto.</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005"/>
        <w:gridCol w:w="1005"/>
        <w:gridCol w:w="1005"/>
        <w:gridCol w:w="1005"/>
      </w:tblGrid>
      <w:tr>
        <w:tblPrEx>
          <w:tblW w:w="7845" w:type="dxa"/>
          <w:tblInd w:w="2126" w:type="dxa"/>
          <w:tblLayout w:type="fixed"/>
        </w:tblPrEx>
        <w:trPr>
          <w:cantSplit/>
          <w:trHeight w:hRule="auto" w:val="0"/>
        </w:trPr>
        <w:tc>
          <w:tcPr>
            <w:tcW w:w="38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bruto</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82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8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Otras cuentas por cobrar, bruto.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338.110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8.810</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338.110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8.810</w:t>
            </w:r>
          </w:p>
        </w:tc>
      </w:tr>
    </w:tbl>
    <w:p>
      <w:pPr>
        <w:keepNext w:val="0"/>
        <w:keepLines/>
        <w:pageBreakBefore w:val="0"/>
        <w:widowControl w:val="0"/>
        <w:numPr>
          <w:ilvl w:val="0"/>
          <w:numId w:val="0"/>
        </w:numPr>
        <w:spacing w:before="0" w:after="0" w:line="288" w:lineRule="auto"/>
        <w:ind w:left="1701"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 de 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no existen deudores comerciales y otras cuentas por cobrar deterioradas.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80" w:name="Section44"/>
      <w:bookmarkEnd w:id="80"/>
      <w:bookmarkStart w:id="81" w:name="253913d69a0440a0a0109d0ec30f7a75"/>
      <w:r>
        <w:rPr>
          <w:rFonts w:ascii="Calibri" w:eastAsia="Calibri" w:hAnsi="Calibri" w:cs="Calibri"/>
          <w:b/>
          <w:i w:val="0"/>
          <w:color w:val="000000"/>
          <w:sz w:val="20"/>
          <w:u w:val="none"/>
        </w:rPr>
        <w:t>7.2.-</w:t>
      </w:r>
      <w:r>
        <w:rPr>
          <w:rFonts w:ascii="Calibri" w:eastAsia="Calibri" w:hAnsi="Calibri" w:cs="Calibri"/>
          <w:b/>
          <w:i w:val="0"/>
          <w:color w:val="000000"/>
          <w:sz w:val="20"/>
          <w:u w:val="none"/>
        </w:rPr>
        <w:tab/>
      </w:r>
      <w:r>
        <w:rPr>
          <w:rFonts w:ascii="Calibri" w:eastAsia="Calibri" w:hAnsi="Calibri" w:cs="Calibri"/>
          <w:b/>
          <w:i w:val="0"/>
          <w:color w:val="000000"/>
          <w:sz w:val="20"/>
          <w:u w:val="none"/>
        </w:rPr>
        <w:t>Estratificación de la cartera.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81"/>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estratificación de la cartera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w:t>
      </w:r>
      <w:r>
        <w:rPr>
          <w:rFonts w:ascii="Calibri" w:eastAsia="Calibri" w:hAnsi="Calibri" w:cs="Calibri"/>
          <w:b w:val="0"/>
          <w:i w:val="0"/>
          <w:color w:val="000000"/>
          <w:sz w:val="20"/>
          <w:u w:val="none"/>
        </w:rPr>
        <w:t xml:space="preserve">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exact" w:val="285"/>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6"/>
                <w:u w:val="none"/>
              </w:rPr>
              <w:t xml:space="preserve">Cartera </w:t>
            </w:r>
          </w:p>
          <w:p>
            <w:pPr>
              <w:spacing w:after="0" w:line="240" w:lineRule="auto"/>
              <w:jc w:val="center"/>
            </w:pPr>
            <w:r>
              <w:rPr>
                <w:rFonts w:ascii="Calibri" w:eastAsia="Calibri" w:hAnsi="Calibri" w:cs="Calibri"/>
                <w:b/>
                <w:i w:val="0"/>
                <w:color w:val="FFFFFF"/>
                <w:sz w:val="16"/>
                <w:u w:val="none"/>
              </w:rPr>
              <w:t>al día</w:t>
            </w:r>
          </w:p>
        </w:tc>
        <w:tc>
          <w:tcPr>
            <w:tcW w:w="9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deudores</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6"/>
                <w:u w:val="none"/>
              </w:rPr>
              <w:t xml:space="preserve">Total </w:t>
            </w:r>
          </w:p>
          <w:p>
            <w:pPr>
              <w:spacing w:after="0" w:line="240" w:lineRule="auto"/>
              <w:jc w:val="center"/>
            </w:pPr>
            <w:r>
              <w:rPr>
                <w:rFonts w:ascii="Calibri" w:eastAsia="Calibri" w:hAnsi="Calibri" w:cs="Calibri"/>
                <w:b/>
                <w:i w:val="0"/>
                <w:color w:val="FFFFFF"/>
                <w:sz w:val="16"/>
                <w:u w:val="none"/>
              </w:rPr>
              <w:t>corrientes</w:t>
            </w:r>
          </w:p>
        </w:tc>
        <w:tc>
          <w:tcPr>
            <w:tcW w:w="9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6"/>
                <w:u w:val="none"/>
              </w:rPr>
              <w:t xml:space="preserve">Total </w:t>
            </w:r>
          </w:p>
          <w:p>
            <w:pPr>
              <w:spacing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exact" w:val="285"/>
        </w:trPr>
        <w:tc>
          <w:tcPr>
            <w:tcW w:w="4950" w:type="dxa"/>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8550" w:type="dxa"/>
          <w:tblInd w:w="1417" w:type="dxa"/>
          <w:tblLayout w:type="fixed"/>
        </w:tblPrEx>
        <w:trPr>
          <w:cantSplit/>
          <w:trHeight w:hRule="exact" w:val="285"/>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Otras cuentas por cobrar, bruto.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exact" w:val="285"/>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9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6"/>
                <w:u w:val="none"/>
              </w:rPr>
              <w:t xml:space="preserve">Cartera </w:t>
            </w:r>
          </w:p>
          <w:p>
            <w:pPr>
              <w:spacing w:after="0" w:line="240" w:lineRule="auto"/>
              <w:jc w:val="center"/>
            </w:pPr>
            <w:r>
              <w:rPr>
                <w:rFonts w:ascii="Calibri" w:eastAsia="Calibri" w:hAnsi="Calibri" w:cs="Calibri"/>
                <w:b/>
                <w:i w:val="0"/>
                <w:color w:val="FFFFFF"/>
                <w:sz w:val="16"/>
                <w:u w:val="none"/>
              </w:rPr>
              <w:t>al día</w:t>
            </w:r>
          </w:p>
        </w:tc>
        <w:tc>
          <w:tcPr>
            <w:tcW w:w="9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deudores</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9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6"/>
                <w:u w:val="none"/>
              </w:rPr>
              <w:t xml:space="preserve">Total </w:t>
            </w:r>
          </w:p>
          <w:p>
            <w:pPr>
              <w:spacing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exact" w:val="285"/>
        </w:trPr>
        <w:tc>
          <w:tcPr>
            <w:tcW w:w="4950" w:type="dxa"/>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Otras cuentas por cobrar, bruto.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346.920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346.920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338.110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8.810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346.920</w:t>
            </w:r>
          </w:p>
        </w:tc>
        <w:tc>
          <w:tcPr>
            <w:tcW w:w="90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346.920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338.110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8.810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82" w:name="Section45"/>
      <w:bookmarkEnd w:id="82"/>
      <w:bookmarkStart w:id="83" w:name="ba672e5e5fcd4917913a9e21a08ef811"/>
      <w:r>
        <w:rPr>
          <w:rFonts w:ascii="Calibri" w:eastAsia="Calibri" w:hAnsi="Calibri" w:cs="Calibri"/>
          <w:b/>
          <w:i w:val="0"/>
          <w:color w:val="000000"/>
          <w:sz w:val="20"/>
          <w:u w:val="none"/>
        </w:rPr>
        <w:t>7.3.-</w:t>
      </w:r>
      <w:r>
        <w:rPr>
          <w:rFonts w:ascii="Calibri" w:eastAsia="Calibri" w:hAnsi="Calibri" w:cs="Calibri"/>
          <w:b/>
          <w:i w:val="0"/>
          <w:color w:val="000000"/>
          <w:sz w:val="20"/>
          <w:u w:val="none"/>
        </w:rPr>
        <w:tab/>
      </w:r>
      <w:r>
        <w:rPr>
          <w:rFonts w:ascii="Calibri" w:eastAsia="Calibri" w:hAnsi="Calibri" w:cs="Calibri"/>
          <w:b/>
          <w:i w:val="0"/>
          <w:color w:val="000000"/>
          <w:sz w:val="20"/>
          <w:u w:val="none"/>
        </w:rPr>
        <w:t>Cartera protestada y en cobranza judicial.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3"/>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hay cartera protestada y en cobranza judicial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84" w:name="Section46"/>
      <w:bookmarkEnd w:id="84"/>
      <w:bookmarkStart w:id="85" w:name="870185e0fee94f6a82b579ea908c5f80"/>
      <w:r>
        <w:rPr>
          <w:rFonts w:ascii="Calibri" w:eastAsia="Calibri" w:hAnsi="Calibri" w:cs="Calibri"/>
          <w:b/>
          <w:i w:val="0"/>
          <w:color w:val="000000"/>
          <w:sz w:val="20"/>
          <w:u w:val="none"/>
        </w:rPr>
        <w:t xml:space="preserve">7.4.- </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y monto de operaciones.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8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El número y monto de operaciones al </w:t>
      </w:r>
      <w:r>
        <w:rPr>
          <w:rFonts w:ascii="Calibri" w:eastAsia="Calibri" w:hAnsi="Calibri" w:cs="Calibri"/>
          <w:b w:val="0"/>
          <w:i w:val="0"/>
          <w:color w:val="000000"/>
          <w:sz w:val="20"/>
          <w:highlight w:val="white"/>
          <w:u w:val="none"/>
        </w:rPr>
        <w:t>30 de junio de 2026 y 2025</w:t>
      </w:r>
      <w:r>
        <w:rPr>
          <w:rFonts w:ascii="Calibri" w:eastAsia="Calibri" w:hAnsi="Calibri" w:cs="Calibri"/>
          <w:b w:val="0"/>
          <w:i w:val="0"/>
          <w:color w:val="000000"/>
          <w:sz w:val="20"/>
          <w:highlight w:val="white"/>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servicios.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540" w:type="dxa"/>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servicios.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18.472.388</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277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18.472.388</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86" w:name="Section47"/>
      <w:bookmarkEnd w:id="86"/>
      <w:bookmarkStart w:id="87" w:name="92c5a29e7c32417dac1a03482d17cc77"/>
      <w:r>
        <w:rPr>
          <w:rFonts w:ascii="Calibri" w:eastAsia="Calibri" w:hAnsi="Calibri" w:cs="Calibri"/>
          <w:b/>
          <w:i w:val="0"/>
          <w:color w:val="000000"/>
          <w:sz w:val="20"/>
          <w:u w:val="none"/>
        </w:rPr>
        <w:t>8.-</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COBRAR Y PAGAR A ENTIDADES RELACIONADAS.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8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 18.046, sobre Sociedades Anónimas.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traspasos de fondos de corto plazo desde y hacia</w:t>
      </w:r>
      <w:r>
        <w:rPr>
          <w:rFonts w:ascii="Calibri" w:eastAsia="Calibri" w:hAnsi="Calibri" w:cs="Calibri"/>
          <w:b w:val="0"/>
          <w:i w:val="0"/>
          <w:color w:val="000000"/>
          <w:sz w:val="18"/>
          <w:u w:val="none"/>
        </w:rPr>
        <w:t xml:space="preserve"> </w:t>
      </w:r>
      <w:r>
        <w:rPr>
          <w:rFonts w:ascii="Calibri" w:eastAsia="Calibri" w:hAnsi="Calibri" w:cs="Calibri"/>
          <w:b w:val="0"/>
          <w:i w:val="0"/>
          <w:color w:val="000000"/>
          <w:sz w:val="20"/>
          <w:u w:val="none"/>
        </w:rPr>
        <w:t>la relacionada Compañía General de Electricidad S.A., que no correspondan a cobro o pago de servicios, se estructuran bajo un sistema de tesorería centralizada, estableciéndose para el saldo mensual una tasa de interés variable, de acuerdo a las condiciones del mercado.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tiene como política informar todas las transacciones que efectúa con partes relacionadas durante el ejercicio, con excepción de los dividendos pagados, aportes de capital recibidos, los cuales no se entienden como transacciones.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existen garantías otorgadas o recibidas en dichas operaciones.</w:t>
      </w:r>
    </w:p>
    <w:p>
      <w:pPr>
        <w:pStyle w:val="Normal-wk"/>
        <w:keepNext w:val="0"/>
        <w:keepLines/>
        <w:pageBreakBefore w:val="0"/>
        <w:widowControl w:val="0"/>
        <w:numPr>
          <w:ilvl w:val="0"/>
          <w:numId w:val="0"/>
        </w:numPr>
        <w:spacing w:before="0" w:after="0" w:line="240" w:lineRule="exact"/>
        <w:ind w:left="709"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88" w:name="Section48"/>
      <w:bookmarkEnd w:id="88"/>
      <w:bookmarkStart w:id="89" w:name="5b7b40faca604bc3b94e4ffb06d37d22"/>
      <w:r>
        <w:rPr>
          <w:rFonts w:ascii="Calibri" w:eastAsia="Calibri" w:hAnsi="Calibri" w:cs="Calibri"/>
          <w:b/>
          <w:i w:val="0"/>
          <w:color w:val="000000"/>
          <w:sz w:val="20"/>
          <w:u w:val="none"/>
        </w:rPr>
        <w:t>8.1.-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9"/>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es la siguiente:</w:t>
      </w:r>
    </w:p>
    <w:p>
      <w:pPr>
        <w:keepNext w:val="0"/>
        <w:keepLines/>
        <w:pageBreakBefore w:val="0"/>
        <w:widowControl w:val="0"/>
        <w:numPr>
          <w:ilvl w:val="0"/>
          <w:numId w:val="0"/>
        </w:numPr>
        <w:spacing w:before="0" w:after="0" w:line="288" w:lineRule="auto"/>
        <w:ind w:left="720" w:right="0" w:firstLine="0"/>
        <w:jc w:val="both"/>
        <w:outlineLvl w:val="9"/>
        <w:rPr>
          <w:rFonts w:ascii="Arial" w:eastAsia="Arial" w:hAnsi="Arial" w:cs="Arial"/>
          <w:b w:val="0"/>
          <w:i w:val="0"/>
          <w:color w:val="000000"/>
          <w:sz w:val="22"/>
          <w:u w:val="none"/>
        </w:rPr>
      </w:pPr>
    </w:p>
    <w:tbl>
      <w:tblPr>
        <w:tblW w:w="985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0"/>
        <w:gridCol w:w="2205"/>
        <w:gridCol w:w="705"/>
        <w:gridCol w:w="1560"/>
        <w:gridCol w:w="1095"/>
        <w:gridCol w:w="1095"/>
        <w:gridCol w:w="705"/>
        <w:gridCol w:w="795"/>
        <w:gridCol w:w="795"/>
      </w:tblGrid>
      <w:tr>
        <w:tblPrEx>
          <w:tblW w:w="9855" w:type="dxa"/>
          <w:tblInd w:w="2126" w:type="dxa"/>
          <w:tblLayout w:type="fixed"/>
        </w:tblPrEx>
        <w:trPr>
          <w:cantSplit/>
          <w:trHeight w:hRule="auto" w:val="0"/>
        </w:trPr>
        <w:tc>
          <w:tcPr>
            <w:tcW w:w="9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22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w:t>
            </w:r>
          </w:p>
        </w:tc>
        <w:tc>
          <w:tcPr>
            <w:tcW w:w="7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15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Descripción de la transacción</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Plazo de la transacción</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Corrientes</w:t>
            </w:r>
          </w:p>
        </w:tc>
      </w:tr>
      <w:tr>
        <w:tblPrEx>
          <w:tblW w:w="9855" w:type="dxa"/>
          <w:tblInd w:w="2126" w:type="dxa"/>
          <w:tblLayout w:type="fixed"/>
        </w:tblPrEx>
        <w:trPr>
          <w:cantSplit/>
          <w:trHeight w:hRule="auto" w:val="0"/>
        </w:trPr>
        <w:tc>
          <w:tcPr>
            <w:tcW w:w="900" w:type="dxa"/>
            <w:vMerge/>
            <w:tcBorders>
              <w:top w:val="nil"/>
              <w:left w:val="single" w:sz="2" w:space="0" w:color="000000"/>
              <w:bottom w:val="nil"/>
              <w:right w:val="nil"/>
            </w:tcBorders>
          </w:tcPr>
          <w:p>
            <w:pPr>
              <w:keepNext/>
              <w:pageBreakBefore w:val="0"/>
            </w:pPr>
          </w:p>
        </w:tc>
        <w:tc>
          <w:tcPr>
            <w:tcW w:w="22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1560"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r>
      <w:tr>
        <w:tblPrEx>
          <w:tblW w:w="9855" w:type="dxa"/>
          <w:tblInd w:w="2126" w:type="dxa"/>
          <w:tblLayout w:type="fixed"/>
        </w:tblPrEx>
        <w:trPr>
          <w:cantSplit/>
          <w:trHeight w:hRule="auto" w:val="0"/>
        </w:trPr>
        <w:tc>
          <w:tcPr>
            <w:tcW w:w="900" w:type="dxa"/>
            <w:vMerge/>
            <w:tcBorders>
              <w:top w:val="nil"/>
              <w:left w:val="single" w:sz="2" w:space="0" w:color="000000"/>
              <w:bottom w:val="single" w:sz="2" w:space="0" w:color="000000"/>
              <w:right w:val="nil"/>
            </w:tcBorders>
          </w:tcPr>
          <w:p>
            <w:pPr>
              <w:keepNext/>
              <w:pageBreakBefore w:val="0"/>
            </w:pPr>
          </w:p>
        </w:tc>
        <w:tc>
          <w:tcPr>
            <w:tcW w:w="22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560"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Tesorería centralizada</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4.881.573</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1.212.445</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Recuperación de gastos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8.256</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77.332.779-3</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State Grid Chile Electricity SpA.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Recuperación de gastos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762.543</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77.332.779-3</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State Grid Chile Electricity SpA.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77.465.741-K</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Transmisión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Recuperación de gastos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2.561</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77.465.741-K</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Transmisión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1.344.193</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78.512.190-2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Energy Sur Ingeniería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12.924</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86.386.700-2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Transformadores Tusan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Dividendos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Asociada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9.797</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86.386.700-2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Transformadores Tusan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prestados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Asociada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133.311</w:t>
            </w:r>
          </w:p>
        </w:tc>
      </w:tr>
      <w:tr>
        <w:tblPrEx>
          <w:tblW w:w="9855" w:type="dxa"/>
          <w:tblInd w:w="2126" w:type="dxa"/>
          <w:tblLayout w:type="fixed"/>
        </w:tblPrEx>
        <w:trPr>
          <w:cantSplit/>
          <w:trHeight w:hRule="auto" w:val="0"/>
        </w:trPr>
        <w:tc>
          <w:tcPr>
            <w:tcW w:w="8265" w:type="dxa"/>
            <w:gridSpan w:val="7"/>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3"/>
                <w:u w:val="none"/>
              </w:rPr>
              <w:t>TOTALES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8.367.603</w:t>
            </w:r>
          </w:p>
        </w:tc>
      </w:tr>
    </w:tbl>
    <w:p>
      <w:pPr>
        <w:keepNext w:val="0"/>
        <w:keepLines/>
        <w:pageBreakBefore w:val="0"/>
        <w:widowControl w:val="0"/>
        <w:numPr>
          <w:ilvl w:val="0"/>
          <w:numId w:val="0"/>
        </w:numPr>
        <w:tabs>
          <w:tab w:val="left" w:pos="1400"/>
        </w:tabs>
        <w:spacing w:before="0" w:after="0" w:line="288" w:lineRule="auto"/>
        <w:ind w:left="709" w:right="7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w:t>
      </w:r>
      <w:r>
        <w:rPr>
          <w:rFonts w:ascii="Calibri" w:eastAsia="Calibri" w:hAnsi="Calibri" w:cs="Calibri"/>
          <w:b w:val="0"/>
          <w:i w:val="0"/>
          <w:sz w:val="20"/>
        </w:rPr>
        <w:t>composición</w:t>
      </w:r>
      <w:r>
        <w:rPr>
          <w:rFonts w:ascii="Calibri" w:eastAsia="Calibri" w:hAnsi="Calibri" w:cs="Calibri"/>
          <w:b w:val="0"/>
          <w:i w:val="0"/>
          <w:color w:val="000000"/>
          <w:sz w:val="20"/>
          <w:u w:val="none"/>
        </w:rPr>
        <w:t xml:space="preserve"> del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720" w:right="0" w:firstLine="0"/>
        <w:jc w:val="both"/>
        <w:outlineLvl w:val="9"/>
        <w:rPr>
          <w:rFonts w:ascii="Arial" w:eastAsia="Arial" w:hAnsi="Arial" w:cs="Arial"/>
          <w:b w:val="0"/>
          <w:i w:val="0"/>
          <w:color w:val="000000"/>
          <w:sz w:val="22"/>
          <w:u w:val="none"/>
        </w:rPr>
      </w:pPr>
    </w:p>
    <w:tbl>
      <w:tblPr>
        <w:tblW w:w="985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0"/>
        <w:gridCol w:w="2205"/>
        <w:gridCol w:w="705"/>
        <w:gridCol w:w="1560"/>
        <w:gridCol w:w="1095"/>
        <w:gridCol w:w="1095"/>
        <w:gridCol w:w="705"/>
        <w:gridCol w:w="795"/>
        <w:gridCol w:w="795"/>
      </w:tblGrid>
      <w:tr>
        <w:tblPrEx>
          <w:tblW w:w="9855" w:type="dxa"/>
          <w:tblInd w:w="2126" w:type="dxa"/>
          <w:tblLayout w:type="fixed"/>
        </w:tblPrEx>
        <w:trPr>
          <w:cantSplit/>
          <w:trHeight w:hRule="auto" w:val="0"/>
        </w:trPr>
        <w:tc>
          <w:tcPr>
            <w:tcW w:w="9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22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w:t>
            </w:r>
          </w:p>
        </w:tc>
        <w:tc>
          <w:tcPr>
            <w:tcW w:w="7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15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Descripción de la transacción</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Plazo de la transacción</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Corrientes</w:t>
            </w:r>
          </w:p>
        </w:tc>
      </w:tr>
      <w:tr>
        <w:tblPrEx>
          <w:tblW w:w="9855" w:type="dxa"/>
          <w:tblInd w:w="2126" w:type="dxa"/>
          <w:tblLayout w:type="fixed"/>
        </w:tblPrEx>
        <w:trPr>
          <w:cantSplit/>
          <w:trHeight w:hRule="auto" w:val="0"/>
        </w:trPr>
        <w:tc>
          <w:tcPr>
            <w:tcW w:w="900" w:type="dxa"/>
            <w:vMerge/>
            <w:tcBorders>
              <w:top w:val="nil"/>
              <w:left w:val="single" w:sz="2" w:space="0" w:color="000000"/>
              <w:bottom w:val="nil"/>
              <w:right w:val="nil"/>
            </w:tcBorders>
          </w:tcPr>
          <w:p>
            <w:pPr>
              <w:keepNext/>
              <w:pageBreakBefore w:val="0"/>
            </w:pPr>
          </w:p>
        </w:tc>
        <w:tc>
          <w:tcPr>
            <w:tcW w:w="22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1560"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r>
      <w:tr>
        <w:tblPrEx>
          <w:tblW w:w="9855" w:type="dxa"/>
          <w:tblInd w:w="2126" w:type="dxa"/>
          <w:tblLayout w:type="fixed"/>
        </w:tblPrEx>
        <w:trPr>
          <w:cantSplit/>
          <w:trHeight w:hRule="auto" w:val="0"/>
        </w:trPr>
        <w:tc>
          <w:tcPr>
            <w:tcW w:w="900" w:type="dxa"/>
            <w:vMerge/>
            <w:tcBorders>
              <w:top w:val="nil"/>
              <w:left w:val="single" w:sz="2" w:space="0" w:color="000000"/>
              <w:bottom w:val="single" w:sz="2" w:space="0" w:color="000000"/>
              <w:right w:val="nil"/>
            </w:tcBorders>
          </w:tcPr>
          <w:p>
            <w:pPr>
              <w:keepNext/>
              <w:pageBreakBefore w:val="0"/>
            </w:pPr>
          </w:p>
        </w:tc>
        <w:tc>
          <w:tcPr>
            <w:tcW w:w="22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560"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Recuperación de gastos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62.878</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77.316.204-2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Comercializadora SpA.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Recuperación de gastos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1.651</w:t>
            </w:r>
          </w:p>
        </w:tc>
      </w:tr>
      <w:tr>
        <w:tblPrEx>
          <w:tblW w:w="9855" w:type="dxa"/>
          <w:tblInd w:w="2126"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77.465.741-K</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Transmisión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Recuperación de gastos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6.085</w:t>
            </w:r>
          </w:p>
        </w:tc>
      </w:tr>
      <w:tr>
        <w:tblPrEx>
          <w:tblW w:w="9855" w:type="dxa"/>
          <w:tblInd w:w="2126" w:type="dxa"/>
          <w:tblLayout w:type="fixed"/>
        </w:tblPrEx>
        <w:trPr>
          <w:cantSplit/>
          <w:trHeight w:hRule="auto" w:val="0"/>
        </w:trPr>
        <w:tc>
          <w:tcPr>
            <w:tcW w:w="8265" w:type="dxa"/>
            <w:gridSpan w:val="7"/>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3"/>
                <w:u w:val="none"/>
              </w:rPr>
              <w:t>TOTALES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3"/>
                <w:u w:val="none"/>
              </w:rPr>
              <w:t>70.614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por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205"/>
        <w:gridCol w:w="480"/>
        <w:gridCol w:w="900"/>
        <w:gridCol w:w="2115"/>
        <w:gridCol w:w="615"/>
        <w:gridCol w:w="795"/>
        <w:gridCol w:w="795"/>
        <w:gridCol w:w="795"/>
        <w:gridCol w:w="795"/>
        <w:gridCol w:w="795"/>
        <w:gridCol w:w="795"/>
        <w:gridCol w:w="795"/>
        <w:gridCol w:w="795"/>
      </w:tblGrid>
      <w:tr>
        <w:tblPrEx>
          <w:tblW w:w="13560" w:type="dxa"/>
          <w:tblInd w:w="0" w:type="dxa"/>
          <w:tblLayout w:type="fixed"/>
        </w:tblPrEx>
        <w:trPr>
          <w:cantSplit/>
          <w:trHeight w:hRule="auto" w:val="0"/>
          <w:tblHeader/>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22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Naturaleza de la relación</w:t>
            </w:r>
          </w:p>
        </w:tc>
        <w:tc>
          <w:tcPr>
            <w:tcW w:w="21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Descripción de la transacción</w:t>
            </w:r>
          </w:p>
        </w:tc>
        <w:tc>
          <w:tcPr>
            <w:tcW w:w="61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w:t>
            </w:r>
          </w:p>
        </w:tc>
        <w:tc>
          <w:tcPr>
            <w:tcW w:w="159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159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c>
          <w:tcPr>
            <w:tcW w:w="1590" w:type="dxa"/>
            <w:gridSpan w:val="2"/>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01-04-2026</w:t>
            </w:r>
          </w:p>
        </w:tc>
        <w:tc>
          <w:tcPr>
            <w:tcW w:w="159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01-04-2025</w:t>
            </w:r>
          </w:p>
        </w:tc>
      </w:tr>
      <w:tr>
        <w:tblPrEx>
          <w:tblW w:w="13560" w:type="dxa"/>
          <w:tblInd w:w="0" w:type="dxa"/>
          <w:tblLayout w:type="fixed"/>
        </w:tblPrEx>
        <w:trPr>
          <w:cantSplit/>
          <w:trHeight w:hRule="auto" w:val="0"/>
          <w:tblHeader/>
        </w:trPr>
        <w:tc>
          <w:tcPr>
            <w:tcW w:w="885" w:type="dxa"/>
            <w:vMerge/>
            <w:tcBorders>
              <w:top w:val="nil"/>
              <w:left w:val="single" w:sz="2" w:space="0" w:color="000000"/>
              <w:bottom w:val="nil"/>
              <w:right w:val="nil"/>
            </w:tcBorders>
          </w:tcPr>
          <w:p>
            <w:pPr>
              <w:keepNext/>
              <w:pageBreakBefore w:val="0"/>
            </w:pPr>
          </w:p>
        </w:tc>
        <w:tc>
          <w:tcPr>
            <w:tcW w:w="2205" w:type="dxa"/>
            <w:vMerge/>
            <w:tcBorders>
              <w:top w:val="nil"/>
              <w:left w:val="single" w:sz="4" w:space="0" w:color="FFFFFF"/>
              <w:bottom w:val="nil"/>
              <w:right w:val="nil"/>
            </w:tcBorders>
          </w:tcPr>
          <w:p>
            <w:pPr>
              <w:keepNext/>
              <w:pageBreakBefore w:val="0"/>
            </w:pPr>
          </w:p>
        </w:tc>
        <w:tc>
          <w:tcPr>
            <w:tcW w:w="48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2115" w:type="dxa"/>
            <w:vMerge/>
            <w:tcBorders>
              <w:top w:val="nil"/>
              <w:left w:val="single" w:sz="4" w:space="0" w:color="FFFFFF"/>
              <w:bottom w:val="nil"/>
              <w:right w:val="nil"/>
            </w:tcBorders>
          </w:tcPr>
          <w:p>
            <w:pPr>
              <w:keepNext/>
              <w:pageBreakBefore w:val="0"/>
            </w:pPr>
          </w:p>
        </w:tc>
        <w:tc>
          <w:tcPr>
            <w:tcW w:w="615" w:type="dxa"/>
            <w:vMerge/>
            <w:tcBorders>
              <w:top w:val="nil"/>
              <w:left w:val="single" w:sz="4" w:space="0" w:color="FFFFFF"/>
              <w:bottom w:val="nil"/>
              <w:right w:val="single" w:sz="4" w:space="0" w:color="FFFFFF"/>
            </w:tcBorders>
          </w:tcPr>
          <w:p>
            <w:pPr>
              <w:keepNext/>
              <w:pageBreakBefore w:val="0"/>
            </w:pPr>
          </w:p>
        </w:tc>
        <w:tc>
          <w:tcPr>
            <w:tcW w:w="159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59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30-06-2025</w:t>
            </w:r>
          </w:p>
        </w:tc>
        <w:tc>
          <w:tcPr>
            <w:tcW w:w="1590" w:type="dxa"/>
            <w:gridSpan w:val="2"/>
            <w:tcBorders>
              <w:top w:val="nil"/>
              <w:left w:val="nil"/>
              <w:bottom w:val="single" w:sz="8"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590" w:type="dxa"/>
            <w:gridSpan w:val="2"/>
            <w:tcBorders>
              <w:top w:val="nil"/>
              <w:left w:val="nil"/>
              <w:bottom w:val="single" w:sz="8"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30-06-2025</w:t>
            </w:r>
          </w:p>
        </w:tc>
      </w:tr>
      <w:tr>
        <w:tblPrEx>
          <w:tblW w:w="13560" w:type="dxa"/>
          <w:tblInd w:w="0" w:type="dxa"/>
          <w:tblLayout w:type="fixed"/>
        </w:tblPrEx>
        <w:trPr>
          <w:cantSplit/>
          <w:trHeight w:hRule="auto" w:val="0"/>
          <w:tblHeader/>
        </w:trPr>
        <w:tc>
          <w:tcPr>
            <w:tcW w:w="885" w:type="dxa"/>
            <w:vMerge/>
            <w:tcBorders>
              <w:top w:val="nil"/>
              <w:left w:val="single" w:sz="2" w:space="0" w:color="000000"/>
              <w:bottom w:val="nil"/>
              <w:right w:val="nil"/>
            </w:tcBorders>
          </w:tcPr>
          <w:p>
            <w:pPr>
              <w:keepNext/>
              <w:pageBreakBefore w:val="0"/>
            </w:pPr>
          </w:p>
        </w:tc>
        <w:tc>
          <w:tcPr>
            <w:tcW w:w="2205" w:type="dxa"/>
            <w:vMerge/>
            <w:tcBorders>
              <w:top w:val="nil"/>
              <w:left w:val="single" w:sz="4" w:space="0" w:color="FFFFFF"/>
              <w:bottom w:val="nil"/>
              <w:right w:val="nil"/>
            </w:tcBorders>
          </w:tcPr>
          <w:p>
            <w:pPr>
              <w:keepNext/>
              <w:pageBreakBefore w:val="0"/>
            </w:pPr>
          </w:p>
        </w:tc>
        <w:tc>
          <w:tcPr>
            <w:tcW w:w="48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2115" w:type="dxa"/>
            <w:vMerge/>
            <w:tcBorders>
              <w:top w:val="nil"/>
              <w:left w:val="single" w:sz="4" w:space="0" w:color="FFFFFF"/>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c>
          <w:tcPr>
            <w:tcW w:w="79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79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c>
          <w:tcPr>
            <w:tcW w:w="79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795"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r>
      <w:tr>
        <w:tblPrEx>
          <w:tblW w:w="13560" w:type="dxa"/>
          <w:tblInd w:w="0"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pageBreakBefore w:val="0"/>
            </w:pPr>
          </w:p>
        </w:tc>
        <w:tc>
          <w:tcPr>
            <w:tcW w:w="2205" w:type="dxa"/>
            <w:vMerge/>
            <w:tcBorders>
              <w:top w:val="nil"/>
              <w:left w:val="single" w:sz="4" w:space="0" w:color="FFFFFF"/>
              <w:bottom w:val="single" w:sz="2" w:space="0" w:color="000000"/>
              <w:right w:val="nil"/>
            </w:tcBorders>
          </w:tcPr>
          <w:p>
            <w:pPr>
              <w:pageBreakBefore w:val="0"/>
            </w:pPr>
          </w:p>
        </w:tc>
        <w:tc>
          <w:tcPr>
            <w:tcW w:w="480" w:type="dxa"/>
            <w:vMerge/>
            <w:tcBorders>
              <w:top w:val="nil"/>
              <w:left w:val="single" w:sz="4" w:space="0" w:color="FFFFFF"/>
              <w:bottom w:val="single" w:sz="2" w:space="0" w:color="000000"/>
              <w:right w:val="nil"/>
            </w:tcBorders>
          </w:tcPr>
          <w:p>
            <w:pPr>
              <w:pageBreakBefore w:val="0"/>
            </w:pPr>
          </w:p>
        </w:tc>
        <w:tc>
          <w:tcPr>
            <w:tcW w:w="900" w:type="dxa"/>
            <w:vMerge/>
            <w:tcBorders>
              <w:top w:val="nil"/>
              <w:left w:val="single" w:sz="4" w:space="0" w:color="FFFFFF"/>
              <w:bottom w:val="single" w:sz="2" w:space="0" w:color="000000"/>
              <w:right w:val="nil"/>
            </w:tcBorders>
          </w:tcPr>
          <w:p>
            <w:pPr>
              <w:pageBreakBefore w:val="0"/>
            </w:pPr>
          </w:p>
        </w:tc>
        <w:tc>
          <w:tcPr>
            <w:tcW w:w="2115" w:type="dxa"/>
            <w:vMerge/>
            <w:tcBorders>
              <w:top w:val="nil"/>
              <w:left w:val="single" w:sz="4" w:space="0" w:color="FFFFFF"/>
              <w:bottom w:val="single" w:sz="2" w:space="0" w:color="000000"/>
              <w:right w:val="nil"/>
            </w:tcBorders>
          </w:tcPr>
          <w:p>
            <w:pPr>
              <w:pageBreakBefore w:val="0"/>
            </w:pPr>
          </w:p>
        </w:tc>
        <w:tc>
          <w:tcPr>
            <w:tcW w:w="615" w:type="dxa"/>
            <w:vMerge/>
            <w:tcBorders>
              <w:top w:val="nil"/>
              <w:left w:val="single" w:sz="4" w:space="0" w:color="FFFFFF"/>
              <w:bottom w:val="single" w:sz="2" w:space="0" w:color="000000"/>
              <w:right w:val="nil"/>
            </w:tcBorders>
          </w:tcPr>
          <w:p>
            <w:pPr>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99.548.240-1</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Magallanes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Administrativos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40.361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40.361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39.207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39.207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39.109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41.613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39.207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39.207</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77.332.779-3</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Chile Electricity SpA.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administrativos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32.580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32.580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31.648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31.648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40.850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(40.850)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31.648</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31.648</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77.332.779-3</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State Grid Chile Electricity SpA.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operativos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10.742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10.742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10.433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10.433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24.029.131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10.742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10.433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10.433</w:t>
            </w:r>
          </w:p>
        </w:tc>
      </w:tr>
      <w:tr>
        <w:tblPrEx>
          <w:tblW w:w="13560" w:type="dxa"/>
          <w:tblInd w:w="0" w:type="dxa"/>
          <w:tblLayout w:type="fixed"/>
        </w:tblPrEx>
        <w:trPr>
          <w:cantSplit/>
          <w:trHeight w:hRule="exact" w:val="34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Ingreso por intereses tesorería centralizada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42.916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42.916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56.505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56.505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7.634.196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(7.634.196)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56.505</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56.505</w:t>
            </w:r>
          </w:p>
        </w:tc>
      </w:tr>
      <w:tr>
        <w:tblPrEx>
          <w:tblW w:w="13560" w:type="dxa"/>
          <w:tblInd w:w="0"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Tesorería centralizada (Cargos)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10.880.759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10.465.982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10.000.211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(880.548)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10.465.982</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Tesorería centralizada (Abonos)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11.074.455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14.182.506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5.930.090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(5.144.365)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14.182.506</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administrativos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3.837.657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3.837.657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3.840.607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3.840.607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3.837.657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3.837.657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3.840.607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3.840.607</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comerciales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450.116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450.116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437.246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437.246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247.275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450.116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437.246</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437.246</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operativos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2.629.708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2.629.708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2.554.494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2.554.494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2.620.022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2.639.394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2.554.494</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2.554.494</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Recuperación de gastos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279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23.277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23.556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Reembolso de Gastos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202.841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27.581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27.581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34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Arriendo de equipos microinformáticos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4.964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(4.964)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4.807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(4.807)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1.509.197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1.509.197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4.807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(4.807)</w:t>
            </w:r>
          </w:p>
        </w:tc>
      </w:tr>
      <w:tr>
        <w:tblPrEx>
          <w:tblW w:w="13560" w:type="dxa"/>
          <w:tblInd w:w="0"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Arriendo de propiedades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11.427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(11.427)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11.691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(11.691)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44.136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44.136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11.691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3"/>
                <w:u w:val="none"/>
              </w:rPr>
              <w:t>(11.691)</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 de comunicación</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13.528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(13.528)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13.056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(13.056)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8.012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8.012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sistemas de información</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774.003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(774.003)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751.874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(751.874)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774.003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(774.003)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751.874</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(751.874)</w:t>
            </w:r>
          </w:p>
        </w:tc>
      </w:tr>
      <w:tr>
        <w:tblPrEx>
          <w:tblW w:w="13560" w:type="dxa"/>
          <w:tblInd w:w="0"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administrativos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28.402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(28.402)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27.590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(27.590)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operativos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11.011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(11.011)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10.696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(10.696)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Recuperación de gastos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2.182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Reembolso de gastos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3.036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11.011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(11.011)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10.696</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(10.696)</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administrativos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1.011.162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1.011.162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1.083.880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1.083.880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comerciales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136.962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136.962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133.045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133.045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335.114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(335.114)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2.182</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operativos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471.657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471.657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458.173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458.173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75.369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(75.369)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3.036</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Arriendo de propiedades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44.758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(44.758)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43.356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(43.356)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917.867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917.867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1.083.880</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1.083.880</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88.221.200-9</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Empresa Eléctrica de Magallanes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administrativos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240.475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240.475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233.600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233.600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450.646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450.646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458.173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458.173</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88.221.200-9</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Empresa Eléctrica de Magallanes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operativos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47.818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47.818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46.450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46.450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2.860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77.316.204-2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Comercializadora SpA.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administrativos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171.302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171.302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166.405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166.405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267.934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(267.934)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77.316.204-2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Comercializadora SpA.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comerciales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38.527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38.527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37.425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37.425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922.691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(922.691)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77.316.204-2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Comercializadora SpA.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operativos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47.690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47.690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46.327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46.327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83.950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258.654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166.405</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166.405</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78.512.190-2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Energy Sur Ingeniería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administrativos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1.407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1.407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4.496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4.496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38.527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38.527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37.425</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37.425</w:t>
            </w: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86.386.700-2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Transformadores Tusan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Asociada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administrativos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39.062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39.062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37.945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37.945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p>
        </w:tc>
      </w:tr>
      <w:tr>
        <w:tblPrEx>
          <w:tblW w:w="13560" w:type="dxa"/>
          <w:tblInd w:w="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86.386.700-2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Transformadores Tusan S.A.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Asociada</w:t>
            </w:r>
          </w:p>
        </w:tc>
        <w:tc>
          <w:tcPr>
            <w:tcW w:w="21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Servicios operativos</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11.806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11.806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12.871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12.871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41.808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41.808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46.327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val="0"/>
                <w:i w:val="0"/>
                <w:color w:val="000000"/>
                <w:sz w:val="13"/>
                <w:u w:val="none"/>
              </w:rPr>
              <w:t>46.327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headerReference w:type="default" r:id="rId21"/>
          <w:footerReference w:type="default" r:id="rId22"/>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highlight w:val="white"/>
          <w:u w:val="none"/>
        </w:rPr>
      </w:pPr>
      <w:bookmarkStart w:id="90" w:name="Section49"/>
      <w:bookmarkEnd w:id="90"/>
      <w:bookmarkStart w:id="91" w:name="731c52a1713d4760911c20b10f2894d1"/>
      <w:r>
        <w:rPr>
          <w:rFonts w:ascii="Calibri" w:eastAsia="Calibri" w:hAnsi="Calibri" w:cs="Calibri"/>
          <w:b/>
          <w:i w:val="0"/>
          <w:color w:val="000000"/>
          <w:sz w:val="20"/>
          <w:highlight w:val="white"/>
          <w:u w:val="none"/>
        </w:rPr>
        <w:t>8.2.-</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Directorio y gerencia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bookmarkEnd w:id="91"/>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La Sociedad es administrada por un Directorio compuesto por cinco miembros reelegible, que podrán o no ser accionistas, quienes se mantienen en el cargo por tres años.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yellow"/>
          <w:u w:val="none"/>
        </w:rPr>
        <w:t>Con fecha 21 de abril de 2023,</w:t>
      </w:r>
      <w:r>
        <w:rPr>
          <w:rFonts w:ascii="Calibri" w:eastAsia="Calibri" w:hAnsi="Calibri" w:cs="Calibri"/>
          <w:b w:val="0"/>
          <w:i w:val="0"/>
          <w:color w:val="000000"/>
          <w:sz w:val="20"/>
          <w:highlight w:val="white"/>
          <w:u w:val="none"/>
        </w:rPr>
        <w:t xml:space="preserve"> se celebró la Junta Ordinaria de Accionistas de la Sociedad en la cual, entre otros acuerdos, se procedió a la renovación total del directorio de la misma, quedando designados los siguientes directores: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Yan Dai</w:t>
      </w: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Bing Yu</w:t>
      </w: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Futao Huang</w:t>
      </w: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Chengzu Liu</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Nicolás Eyzaguirre Guzmán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Sesión de Directorio del 28 de abril de 2023 se procedió a la designación del Presidente, quedando compuesto el Directorio de la siguiente forma: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Yan Dai</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Presidente</w:t>
      </w: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Bing Yu </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Futao Huang</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Chengzu Liu</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Nicolás Eyzaguirre Guzmán </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Con fecha 24 de abril de 2025, presentan su renuncia la señora Directora Bing Yu y el señor Director Chengzu Liu. En su reemplazo el Directorio aprueba la designación como reemplazantes a doña Zhang Ran y don Shang Jingfu.</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partir de estos cambios el Directorio queda </w:t>
      </w:r>
      <w:r>
        <w:rPr>
          <w:rFonts w:ascii="Calibri" w:eastAsia="Calibri" w:hAnsi="Calibri" w:cs="Calibri"/>
          <w:b w:val="0"/>
          <w:i w:val="0"/>
          <w:color w:val="000000"/>
          <w:sz w:val="20"/>
          <w:highlight w:val="white"/>
          <w:u w:val="none"/>
        </w:rPr>
        <w:t>compuesto</w:t>
      </w:r>
      <w:r>
        <w:rPr>
          <w:rFonts w:ascii="Calibri" w:eastAsia="Calibri" w:hAnsi="Calibri" w:cs="Calibri"/>
          <w:b w:val="0"/>
          <w:i w:val="0"/>
          <w:color w:val="000000"/>
          <w:sz w:val="20"/>
          <w:u w:val="none"/>
        </w:rPr>
        <w:t xml:space="preserve"> de la siguiente forma: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Yan Dai</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Presidente</w:t>
      </w: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u w:val="none"/>
        </w:rPr>
        <w:t xml:space="preserve">Shang Jingfu </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Futao Huang</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Zhang Rang</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Nicolás Eyzaguirre Guzmán </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u w:val="none"/>
        </w:rPr>
        <w:t>8.2.1.-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Remuneración del Directorio.</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virtud de lo dispuesto por los estatutos de la Sociedad, los directores de esta no reciben remuneración por el ejercicio de su cargo.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8.2.2.-</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 xml:space="preserve">Remuneración del equipo gerencial.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Las remuneraciones con cargo a resultados del equipo gerencial de la sociedad ascienden a     M$ </w:t>
      </w:r>
      <w:r>
        <w:rPr>
          <w:rFonts w:ascii="Calibri" w:eastAsia="Calibri" w:hAnsi="Calibri" w:cs="Calibri"/>
          <w:b w:val="0"/>
          <w:i w:val="0"/>
          <w:color w:val="000000"/>
          <w:sz w:val="20"/>
          <w:highlight w:val="white"/>
          <w:u w:val="none"/>
        </w:rPr>
        <w:t>1.406.183</w:t>
      </w:r>
      <w:r>
        <w:rPr>
          <w:rFonts w:ascii="Calibri" w:eastAsia="Calibri" w:hAnsi="Calibri" w:cs="Calibri"/>
          <w:b w:val="0"/>
          <w:i w:val="0"/>
          <w:color w:val="000000"/>
          <w:sz w:val="20"/>
          <w:highlight w:val="white"/>
          <w:u w:val="none"/>
        </w:rPr>
        <w:t xml:space="preserve">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(M$ </w:t>
      </w:r>
      <w:r>
        <w:rPr>
          <w:rFonts w:ascii="Calibri" w:eastAsia="Calibri" w:hAnsi="Calibri" w:cs="Calibri"/>
          <w:b w:val="0"/>
          <w:i w:val="0"/>
          <w:color w:val="000000"/>
          <w:sz w:val="20"/>
          <w:highlight w:val="white"/>
          <w:u w:val="none"/>
        </w:rPr>
        <w:t>3.210.593</w:t>
      </w:r>
      <w:r>
        <w:rPr>
          <w:rFonts w:ascii="Calibri" w:eastAsia="Calibri" w:hAnsi="Calibri" w:cs="Calibri"/>
          <w:b w:val="0"/>
          <w:i w:val="0"/>
          <w:color w:val="000000"/>
          <w:sz w:val="20"/>
          <w:highlight w:val="white"/>
          <w:u w:val="none"/>
        </w:rPr>
        <w:t xml:space="preserve">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23"/>
          <w:footerReference w:type="default" r:id="rId24"/>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92" w:name="Section50"/>
      <w:bookmarkEnd w:id="92"/>
      <w:bookmarkStart w:id="93" w:name="c0b307166103450f8a8193b1d63a987b"/>
      <w:r>
        <w:rPr>
          <w:rFonts w:ascii="Calibri" w:eastAsia="Calibri" w:hAnsi="Calibri" w:cs="Calibri"/>
          <w:b/>
          <w:i w:val="0"/>
          <w:color w:val="000000"/>
          <w:sz w:val="20"/>
          <w:u w:val="none"/>
        </w:rPr>
        <w:t>9.-</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PASIVOS POR IMPUESTOS.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93"/>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45"/>
        <w:gridCol w:w="1005"/>
        <w:gridCol w:w="1005"/>
      </w:tblGrid>
      <w:tr>
        <w:tblPrEx>
          <w:tblW w:w="9255" w:type="dxa"/>
          <w:tblInd w:w="709" w:type="dxa"/>
          <w:tblLayout w:type="fixed"/>
        </w:tblPrEx>
        <w:trPr>
          <w:cantSplit/>
          <w:trHeight w:hRule="auto" w:val="0"/>
        </w:trPr>
        <w:tc>
          <w:tcPr>
            <w:tcW w:w="72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pasivos por impuestos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55" w:type="dxa"/>
          <w:tblInd w:w="709" w:type="dxa"/>
          <w:tblLayout w:type="fixed"/>
        </w:tblPrEx>
        <w:trPr>
          <w:cantSplit/>
          <w:trHeight w:hRule="auto" w:val="0"/>
        </w:trPr>
        <w:tc>
          <w:tcPr>
            <w:tcW w:w="72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724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por impuestos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Impuestos por recuperar ejercicios anteriores.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13.023</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Créditos al impuesto.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48.200</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activos por impuestos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61.223</w:t>
            </w:r>
          </w:p>
        </w:tc>
      </w:tr>
      <w:tr>
        <w:tblPrEx>
          <w:tblW w:w="9255" w:type="dxa"/>
          <w:tblInd w:w="709" w:type="dxa"/>
          <w:tblLayout w:type="fixed"/>
        </w:tblPrEx>
        <w:trPr>
          <w:cantSplit/>
          <w:trHeight w:hRule="auto" w:val="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por impuestos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 a la renta de primera categoría.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(6.012)</w:t>
            </w:r>
          </w:p>
        </w:tc>
      </w:tr>
      <w:tr>
        <w:tblPrEx>
          <w:tblW w:w="9255" w:type="dxa"/>
          <w:tblInd w:w="709" w:type="dxa"/>
          <w:tblLayout w:type="fixed"/>
        </w:tblPrEx>
        <w:trPr>
          <w:cantSplit/>
          <w:trHeight w:hRule="exact" w:val="255"/>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pasivos por impuestos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(6.012)</w:t>
            </w:r>
          </w:p>
        </w:tc>
      </w:tr>
      <w:tr>
        <w:tblPrEx>
          <w:tblW w:w="9255" w:type="dxa"/>
          <w:tblInd w:w="709" w:type="dxa"/>
          <w:tblLayout w:type="fixed"/>
        </w:tblPrEx>
        <w:trPr>
          <w:cantSplit/>
          <w:trHeight w:hRule="auto" w:val="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(pasivos) por impuestos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55.211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94" w:name="Section51"/>
      <w:bookmarkEnd w:id="94"/>
      <w:bookmarkStart w:id="95" w:name="2beb3f73306643069dc022c59784fb73"/>
      <w:r>
        <w:rPr>
          <w:rFonts w:ascii="Calibri" w:eastAsia="Calibri" w:hAnsi="Calibri" w:cs="Calibri"/>
          <w:b/>
          <w:i w:val="0"/>
          <w:color w:val="000000"/>
          <w:sz w:val="20"/>
          <w:u w:val="none"/>
        </w:rPr>
        <w:t>10.-</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NO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95"/>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30"/>
        <w:gridCol w:w="1005"/>
        <w:gridCol w:w="1005"/>
      </w:tblGrid>
      <w:tr>
        <w:tblPrEx>
          <w:tblW w:w="9240" w:type="dxa"/>
          <w:tblInd w:w="709" w:type="dxa"/>
          <w:tblLayout w:type="fixed"/>
        </w:tblPrEx>
        <w:trPr>
          <w:cantSplit/>
          <w:trHeight w:hRule="auto" w:val="0"/>
        </w:trPr>
        <w:tc>
          <w:tcPr>
            <w:tcW w:w="72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no financieros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40" w:type="dxa"/>
          <w:tblInd w:w="709" w:type="dxa"/>
          <w:tblLayout w:type="fixed"/>
        </w:tblPrEx>
        <w:trPr>
          <w:cantSplit/>
          <w:trHeight w:hRule="auto" w:val="0"/>
        </w:trPr>
        <w:tc>
          <w:tcPr>
            <w:tcW w:w="72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9240" w:type="dxa"/>
          <w:tblInd w:w="709" w:type="dxa"/>
          <w:tblLayout w:type="fixed"/>
        </w:tblPrEx>
        <w:trPr>
          <w:cantSplit/>
          <w:trHeight w:hRule="auto" w:val="0"/>
        </w:trPr>
        <w:tc>
          <w:tcPr>
            <w:tcW w:w="72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40" w:type="dxa"/>
          <w:tblInd w:w="709" w:type="dxa"/>
          <w:tblLayout w:type="fixed"/>
        </w:tblPrEx>
        <w:trPr>
          <w:cantSplit/>
          <w:trHeight w:hRule="auto" w:val="0"/>
        </w:trPr>
        <w:tc>
          <w:tcPr>
            <w:tcW w:w="7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Gastos pagados por anticipado.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1.183</w:t>
            </w:r>
          </w:p>
        </w:tc>
      </w:tr>
      <w:tr>
        <w:tblPrEx>
          <w:tblW w:w="9240" w:type="dxa"/>
          <w:tblInd w:w="709" w:type="dxa"/>
          <w:tblLayout w:type="fixed"/>
        </w:tblPrEx>
        <w:trPr>
          <w:cantSplit/>
          <w:trHeight w:hRule="auto" w:val="0"/>
        </w:trPr>
        <w:tc>
          <w:tcPr>
            <w:tcW w:w="7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1.183</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pagados por anticipado corresponden a seguros pagados por anticipado.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96" w:name="Section52"/>
      <w:bookmarkEnd w:id="96"/>
      <w:bookmarkStart w:id="97" w:name="00c3bb4eade049a4a9011589bc0fdc41"/>
      <w:r>
        <w:rPr>
          <w:rFonts w:ascii="Calibri" w:eastAsia="Calibri" w:hAnsi="Calibri" w:cs="Calibri"/>
          <w:b/>
          <w:i w:val="0"/>
          <w:color w:val="000000"/>
          <w:sz w:val="20"/>
          <w:u w:val="none"/>
        </w:rPr>
        <w:t>11.-</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INVERSIONES CONTABILIZADAS UTILIZANDO EL MÉTODO DE LA PARTICIPACIÓN.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7"/>
    </w:p>
    <w:p>
      <w:pPr>
        <w:keepNext w:val="0"/>
        <w:keepLines/>
        <w:pageBreakBefore w:val="0"/>
        <w:widowControl w:val="0"/>
        <w:numPr>
          <w:ilvl w:val="0"/>
          <w:numId w:val="0"/>
        </w:numPr>
        <w:spacing w:before="0" w:after="0" w:line="288" w:lineRule="auto"/>
        <w:ind w:left="0" w:right="0" w:firstLine="0"/>
        <w:jc w:val="both"/>
        <w:outlineLvl w:val="9"/>
        <w:sectPr>
          <w:headerReference w:type="default" r:id="rId25"/>
          <w:footerReference w:type="default" r:id="rId26"/>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8" w:name="Section53"/>
      <w:bookmarkEnd w:id="98"/>
      <w:bookmarkStart w:id="99" w:name="52eb3fcb4a4e45e9adeafd1c2922e18f"/>
      <w:r>
        <w:rPr>
          <w:rFonts w:ascii="Calibri" w:eastAsia="Calibri" w:hAnsi="Calibri" w:cs="Calibri"/>
          <w:b/>
          <w:i w:val="0"/>
          <w:color w:val="000000"/>
          <w:sz w:val="20"/>
          <w:u w:val="none"/>
        </w:rPr>
        <w:t>11.1.-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9"/>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033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35"/>
        <w:gridCol w:w="615"/>
        <w:gridCol w:w="660"/>
        <w:gridCol w:w="900"/>
        <w:gridCol w:w="900"/>
        <w:gridCol w:w="1005"/>
        <w:gridCol w:w="1005"/>
        <w:gridCol w:w="1005"/>
        <w:gridCol w:w="1005"/>
        <w:gridCol w:w="1005"/>
      </w:tblGrid>
      <w:tr>
        <w:tblPrEx>
          <w:tblW w:w="10335" w:type="dxa"/>
          <w:tblInd w:w="1417" w:type="dxa"/>
          <w:tblLayout w:type="fixed"/>
        </w:tblPrEx>
        <w:trPr>
          <w:cantSplit/>
          <w:trHeight w:hRule="auto" w:val="0"/>
        </w:trPr>
        <w:tc>
          <w:tcPr>
            <w:tcW w:w="22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 de inversiones en asociadas utilizando el método de la participación</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Dividendos recibidos</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 incremento (decremento)</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r>
      <w:tr>
        <w:tblPrEx>
          <w:tblW w:w="10335" w:type="dxa"/>
          <w:tblInd w:w="1417" w:type="dxa"/>
          <w:tblLayout w:type="fixed"/>
        </w:tblPrEx>
        <w:trPr>
          <w:cantSplit/>
          <w:trHeight w:hRule="auto" w:val="0"/>
        </w:trPr>
        <w:tc>
          <w:tcPr>
            <w:tcW w:w="2235" w:type="dxa"/>
            <w:vMerge/>
            <w:tcBorders>
              <w:top w:val="nil"/>
              <w:left w:val="single" w:sz="2" w:space="0" w:color="000000"/>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r>
      <w:tr>
        <w:tblPrEx>
          <w:tblW w:w="10335" w:type="dxa"/>
          <w:tblInd w:w="1417" w:type="dxa"/>
          <w:tblLayout w:type="fixed"/>
        </w:tblPrEx>
        <w:trPr>
          <w:cantSplit/>
          <w:trHeight w:hRule="auto" w:val="0"/>
        </w:trPr>
        <w:tc>
          <w:tcPr>
            <w:tcW w:w="2235" w:type="dxa"/>
            <w:vMerge/>
            <w:tcBorders>
              <w:top w:val="nil"/>
              <w:left w:val="single" w:sz="2" w:space="0" w:color="000000"/>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0335" w:type="dxa"/>
          <w:tblInd w:w="1417" w:type="dxa"/>
          <w:tblLayout w:type="fixed"/>
        </w:tblPrEx>
        <w:trPr>
          <w:cantSplit/>
          <w:trHeight w:hRule="exact" w:val="225"/>
        </w:trPr>
        <w:tc>
          <w:tcPr>
            <w:tcW w:w="2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3"/>
                <w:u w:val="none"/>
              </w:rPr>
              <w:t>Transformadores Tusan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3"/>
                <w:u w:val="none"/>
              </w:rPr>
              <w:t xml:space="preserve"> Chile </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3"/>
                <w:u w:val="none"/>
              </w:rPr>
              <w:t xml:space="preserve"> CL $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469"/>
              </w:tabs>
              <w:spacing w:before="48" w:after="30" w:line="240" w:lineRule="auto"/>
              <w:jc w:val="right"/>
            </w:pPr>
            <w:r>
              <w:rPr>
                <w:rFonts w:ascii="Calibri" w:eastAsia="Calibri" w:hAnsi="Calibri" w:cs="Calibri"/>
                <w:b w:val="0"/>
                <w:i w:val="0"/>
                <w:color w:val="000000"/>
                <w:sz w:val="13"/>
                <w:u w:val="none"/>
              </w:rPr>
              <w:tab/>
              <w:t>0,93000</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469"/>
              </w:tabs>
              <w:spacing w:before="48" w:after="30" w:line="240" w:lineRule="auto"/>
              <w:jc w:val="right"/>
            </w:pPr>
            <w:r>
              <w:rPr>
                <w:rFonts w:ascii="Calibri" w:eastAsia="Calibri" w:hAnsi="Calibri" w:cs="Calibri"/>
                <w:b w:val="0"/>
                <w:i w:val="0"/>
                <w:color w:val="000000"/>
                <w:sz w:val="13"/>
                <w:u w:val="none"/>
              </w:rPr>
              <w:tab/>
              <w:t>0,93000</w:t>
              <w:tab/>
              <w:t>%</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000000"/>
                <w:sz w:val="13"/>
                <w:u w:val="none"/>
              </w:rPr>
              <w:t>131.611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000000"/>
                <w:sz w:val="13"/>
                <w:u w:val="none"/>
              </w:rPr>
              <w:t>131.611</w:t>
            </w:r>
          </w:p>
        </w:tc>
      </w:tr>
      <w:tr>
        <w:tblPrEx>
          <w:tblW w:w="10335" w:type="dxa"/>
          <w:tblInd w:w="1417" w:type="dxa"/>
          <w:tblLayout w:type="fixed"/>
        </w:tblPrEx>
        <w:trPr>
          <w:cantSplit/>
          <w:trHeight w:hRule="exact" w:val="225"/>
        </w:trPr>
        <w:tc>
          <w:tcPr>
            <w:tcW w:w="531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3"/>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131.611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131.611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033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35"/>
        <w:gridCol w:w="615"/>
        <w:gridCol w:w="660"/>
        <w:gridCol w:w="900"/>
        <w:gridCol w:w="900"/>
        <w:gridCol w:w="1005"/>
        <w:gridCol w:w="1005"/>
        <w:gridCol w:w="1005"/>
        <w:gridCol w:w="1005"/>
        <w:gridCol w:w="1005"/>
      </w:tblGrid>
      <w:tr>
        <w:tblPrEx>
          <w:tblW w:w="10335" w:type="dxa"/>
          <w:tblInd w:w="1417" w:type="dxa"/>
          <w:tblLayout w:type="fixed"/>
        </w:tblPrEx>
        <w:trPr>
          <w:cantSplit/>
          <w:trHeight w:hRule="auto" w:val="0"/>
        </w:trPr>
        <w:tc>
          <w:tcPr>
            <w:tcW w:w="22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 de inversiones en asociadas utilizando el método de la participación</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Dividendos recibidos</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 incremento (decremento)</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r>
      <w:tr>
        <w:tblPrEx>
          <w:tblW w:w="10335" w:type="dxa"/>
          <w:tblInd w:w="1417" w:type="dxa"/>
          <w:tblLayout w:type="fixed"/>
        </w:tblPrEx>
        <w:trPr>
          <w:cantSplit/>
          <w:trHeight w:hRule="auto" w:val="0"/>
        </w:trPr>
        <w:tc>
          <w:tcPr>
            <w:tcW w:w="2235" w:type="dxa"/>
            <w:vMerge/>
            <w:tcBorders>
              <w:top w:val="nil"/>
              <w:left w:val="single" w:sz="2" w:space="0" w:color="000000"/>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r>
      <w:tr>
        <w:tblPrEx>
          <w:tblW w:w="10335" w:type="dxa"/>
          <w:tblInd w:w="1417" w:type="dxa"/>
          <w:tblLayout w:type="fixed"/>
        </w:tblPrEx>
        <w:trPr>
          <w:cantSplit/>
          <w:trHeight w:hRule="auto" w:val="0"/>
        </w:trPr>
        <w:tc>
          <w:tcPr>
            <w:tcW w:w="2235" w:type="dxa"/>
            <w:vMerge/>
            <w:tcBorders>
              <w:top w:val="nil"/>
              <w:left w:val="single" w:sz="2" w:space="0" w:color="000000"/>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0335" w:type="dxa"/>
          <w:tblInd w:w="1417" w:type="dxa"/>
          <w:tblLayout w:type="fixed"/>
        </w:tblPrEx>
        <w:trPr>
          <w:cantSplit/>
          <w:trHeight w:hRule="exact" w:val="225"/>
        </w:trPr>
        <w:tc>
          <w:tcPr>
            <w:tcW w:w="2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3"/>
                <w:u w:val="none"/>
              </w:rPr>
              <w:t>Transformadores Tusan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3"/>
                <w:u w:val="none"/>
              </w:rPr>
              <w:t>Chile</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469"/>
              </w:tabs>
              <w:spacing w:before="48" w:after="30" w:line="240" w:lineRule="auto"/>
              <w:jc w:val="right"/>
            </w:pPr>
            <w:r>
              <w:rPr>
                <w:rFonts w:ascii="Calibri" w:eastAsia="Calibri" w:hAnsi="Calibri" w:cs="Calibri"/>
                <w:b w:val="0"/>
                <w:i w:val="0"/>
                <w:color w:val="000000"/>
                <w:sz w:val="13"/>
                <w:u w:val="none"/>
              </w:rPr>
              <w:tab/>
              <w:t>0,93000</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469"/>
              </w:tabs>
              <w:spacing w:before="48" w:after="30" w:line="240" w:lineRule="auto"/>
              <w:jc w:val="right"/>
            </w:pPr>
            <w:r>
              <w:rPr>
                <w:rFonts w:ascii="Calibri" w:eastAsia="Calibri" w:hAnsi="Calibri" w:cs="Calibri"/>
                <w:b w:val="0"/>
                <w:i w:val="0"/>
                <w:color w:val="000000"/>
                <w:sz w:val="13"/>
                <w:u w:val="none"/>
              </w:rPr>
              <w:tab/>
              <w:t>0,93000</w:t>
              <w:tab/>
              <w:t>%</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000000"/>
                <w:sz w:val="13"/>
                <w:u w:val="none"/>
              </w:rPr>
              <w:t>115.278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3"/>
                <w:u w:val="none"/>
              </w:rPr>
              <w:t>32.657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3"/>
                <w:u w:val="none"/>
              </w:rPr>
              <w:t>(16.870)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3"/>
                <w:u w:val="none"/>
              </w:rPr>
              <w:t>546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000000"/>
                <w:sz w:val="13"/>
                <w:u w:val="none"/>
              </w:rPr>
              <w:t>131.611</w:t>
            </w:r>
          </w:p>
        </w:tc>
      </w:tr>
      <w:tr>
        <w:tblPrEx>
          <w:tblW w:w="10335" w:type="dxa"/>
          <w:tblInd w:w="1417" w:type="dxa"/>
          <w:tblLayout w:type="fixed"/>
        </w:tblPrEx>
        <w:trPr>
          <w:cantSplit/>
          <w:trHeight w:hRule="exact" w:val="225"/>
        </w:trPr>
        <w:tc>
          <w:tcPr>
            <w:tcW w:w="531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3"/>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115.278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32.657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(16.870)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546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131.611</w:t>
            </w:r>
          </w:p>
        </w:tc>
      </w:tr>
    </w:tbl>
    <w:p>
      <w:pPr>
        <w:keepNext w:val="0"/>
        <w:keepLines/>
        <w:pageBreakBefore w:val="0"/>
        <w:widowControl w:val="0"/>
        <w:numPr>
          <w:ilvl w:val="0"/>
          <w:numId w:val="0"/>
        </w:numPr>
        <w:spacing w:before="0" w:after="0" w:line="288" w:lineRule="auto"/>
        <w:ind w:left="708"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1"/>
        <w:jc w:val="both"/>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1-wk"/>
        <w:keepNext w:val="0"/>
        <w:keepLines/>
        <w:pageBreakBefore w:val="0"/>
        <w:widowControl w:val="0"/>
        <w:numPr>
          <w:ilvl w:val="0"/>
          <w:numId w:val="0"/>
        </w:numPr>
        <w:spacing w:before="480" w:after="0" w:line="288" w:lineRule="auto"/>
        <w:ind w:left="0" w:right="0" w:firstLine="0"/>
        <w:jc w:val="left"/>
        <w:outlineLvl w:val="0"/>
        <w:rPr>
          <w:rFonts w:ascii="Calibri" w:eastAsia="Calibri" w:hAnsi="Calibri" w:cs="Calibri"/>
          <w:b/>
          <w:i w:val="0"/>
          <w:color w:val="000000"/>
          <w:sz w:val="20"/>
          <w:u w:val="none"/>
        </w:rPr>
      </w:pPr>
      <w:bookmarkStart w:id="100" w:name="Section54"/>
      <w:bookmarkEnd w:id="100"/>
      <w:bookmarkStart w:id="101" w:name="66dc531ad963486fab020a32994607eb"/>
      <w:r>
        <w:rPr>
          <w:rFonts w:ascii="Calibri" w:eastAsia="Calibri" w:hAnsi="Calibri" w:cs="Calibri"/>
          <w:b/>
          <w:i w:val="0"/>
          <w:color w:val="000000"/>
          <w:sz w:val="20"/>
          <w:u w:val="none"/>
        </w:rPr>
        <w:t>12.-</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01"/>
    </w:p>
    <w:p>
      <w:pPr>
        <w:keepNext w:val="0"/>
        <w:keepLines/>
        <w:pageBreakBefore w:val="0"/>
        <w:widowControl w:val="0"/>
        <w:numPr>
          <w:ilvl w:val="0"/>
          <w:numId w:val="0"/>
        </w:numPr>
        <w:spacing w:before="0" w:after="0" w:line="288" w:lineRule="auto"/>
        <w:ind w:left="0" w:right="0" w:firstLine="0"/>
        <w:jc w:val="both"/>
        <w:outlineLvl w:val="9"/>
        <w:sectPr>
          <w:headerReference w:type="default" r:id="rId27"/>
          <w:footerReference w:type="default" r:id="rId28"/>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40" w:lineRule="exact"/>
        <w:ind w:left="0" w:right="0" w:firstLine="709"/>
        <w:jc w:val="both"/>
        <w:outlineLvl w:val="1"/>
        <w:rPr>
          <w:rFonts w:ascii="Calibri" w:eastAsia="Calibri" w:hAnsi="Calibri" w:cs="Calibri"/>
          <w:b/>
          <w:i w:val="0"/>
          <w:color w:val="000000"/>
          <w:sz w:val="20"/>
          <w:u w:val="none"/>
        </w:rPr>
      </w:pPr>
      <w:bookmarkStart w:id="102" w:name="Section55"/>
      <w:bookmarkEnd w:id="102"/>
      <w:bookmarkStart w:id="103" w:name="1a9687e95a4846ebaf070d7a2fc3b2b7"/>
      <w:r>
        <w:rPr>
          <w:rFonts w:ascii="Calibri" w:eastAsia="Calibri" w:hAnsi="Calibri" w:cs="Calibri"/>
          <w:b/>
          <w:i w:val="0"/>
          <w:color w:val="000000"/>
          <w:sz w:val="20"/>
          <w:u w:val="none"/>
        </w:rPr>
        <w:t>12.1.-</w:t>
      </w:r>
      <w:r>
        <w:rPr>
          <w:rFonts w:ascii="Calibri" w:eastAsia="Calibri" w:hAnsi="Calibri" w:cs="Calibri"/>
          <w:b/>
          <w:i w:val="0"/>
          <w:color w:val="000000"/>
          <w:sz w:val="20"/>
          <w:u w:val="none"/>
        </w:rPr>
        <w:tab/>
      </w:r>
      <w:r>
        <w:rPr>
          <w:rFonts w:ascii="Calibri" w:eastAsia="Calibri" w:hAnsi="Calibri" w:cs="Calibri"/>
          <w:b/>
          <w:i w:val="0"/>
          <w:color w:val="000000"/>
          <w:sz w:val="20"/>
          <w:u w:val="none"/>
        </w:rPr>
        <w:t>Vidas útiles.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siguiente cuadro muestra las vidas útiles técnicas para los bienes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50"/>
        <w:gridCol w:w="900"/>
        <w:gridCol w:w="900"/>
      </w:tblGrid>
      <w:tr>
        <w:tblPrEx>
          <w:tblW w:w="8550" w:type="dxa"/>
          <w:tblInd w:w="1417" w:type="dxa"/>
          <w:tblLayout w:type="fixed"/>
        </w:tblPrEx>
        <w:trPr>
          <w:cantSplit/>
          <w:trHeight w:hRule="auto" w:val="0"/>
        </w:trPr>
        <w:tc>
          <w:tcPr>
            <w:tcW w:w="6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útil para la depreciación de propiedades, planta y equipo</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Vida útil</w:t>
            </w:r>
          </w:p>
        </w:tc>
      </w:tr>
      <w:tr>
        <w:tblPrEx>
          <w:tblW w:w="8550" w:type="dxa"/>
          <w:tblInd w:w="1417" w:type="dxa"/>
          <w:tblLayout w:type="fixed"/>
        </w:tblPrEx>
        <w:trPr>
          <w:cantSplit/>
          <w:trHeight w:hRule="auto" w:val="0"/>
        </w:trPr>
        <w:tc>
          <w:tcPr>
            <w:tcW w:w="67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Mínima</w:t>
            </w:r>
          </w:p>
        </w:tc>
        <w:tc>
          <w:tcPr>
            <w:tcW w:w="9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Máxima</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Vida útil para vehículos de motor.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5</w:t>
            </w:r>
          </w:p>
        </w:tc>
        <w:tc>
          <w:tcPr>
            <w:tcW w:w="9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88" w:lineRule="auto"/>
        <w:ind w:left="0" w:right="0" w:firstLine="709"/>
        <w:jc w:val="both"/>
        <w:outlineLvl w:val="1"/>
        <w:rPr>
          <w:rFonts w:ascii="Calibri" w:eastAsia="Calibri" w:hAnsi="Calibri" w:cs="Calibri"/>
          <w:b/>
          <w:i w:val="0"/>
          <w:color w:val="000000"/>
          <w:sz w:val="20"/>
          <w:u w:val="none"/>
        </w:rPr>
      </w:pPr>
      <w:bookmarkStart w:id="104" w:name="Section56"/>
      <w:bookmarkEnd w:id="104"/>
      <w:bookmarkStart w:id="105" w:name="6e2e61f4943e4fa3a4e33df1cfba1b2a"/>
      <w:r>
        <w:rPr>
          <w:rFonts w:ascii="Calibri" w:eastAsia="Calibri" w:hAnsi="Calibri" w:cs="Calibri"/>
          <w:b/>
          <w:i w:val="0"/>
          <w:color w:val="000000"/>
          <w:sz w:val="20"/>
          <w:u w:val="none"/>
        </w:rPr>
        <w:t>12.2.-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los rubros.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0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12.2.1.-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netos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neto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25.057</w:t>
            </w:r>
          </w:p>
        </w:tc>
      </w:tr>
      <w:tr>
        <w:tblPrEx>
          <w:tblW w:w="7845" w:type="dxa"/>
          <w:tblInd w:w="2126" w:type="dxa"/>
          <w:tblLayout w:type="fixed"/>
        </w:tblPrEx>
        <w:trPr>
          <w:cantSplit/>
          <w:trHeight w:hRule="exact" w:val="6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25.057</w:t>
            </w:r>
          </w:p>
        </w:tc>
      </w:tr>
    </w:tbl>
    <w:p>
      <w:pPr>
        <w:keepNext w:val="0"/>
        <w:keepLines/>
        <w:pageBreakBefore w:val="0"/>
        <w:widowControl w:val="0"/>
        <w:numPr>
          <w:ilvl w:val="0"/>
          <w:numId w:val="0"/>
        </w:numPr>
        <w:spacing w:before="0" w:after="0" w:line="288" w:lineRule="auto"/>
        <w:ind w:left="0" w:right="-1"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12.2.2.-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brutos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bruto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100.228</w:t>
            </w:r>
          </w:p>
        </w:tc>
      </w:tr>
      <w:tr>
        <w:tblPrEx>
          <w:tblW w:w="7845" w:type="dxa"/>
          <w:tblInd w:w="2126" w:type="dxa"/>
          <w:tblLayout w:type="fixed"/>
        </w:tblPrEx>
        <w:trPr>
          <w:cantSplit/>
          <w:trHeight w:hRule="exact" w:val="6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100.228</w:t>
            </w:r>
          </w:p>
        </w:tc>
      </w:tr>
    </w:tbl>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12.2.3.-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Depreciación acumulada de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Depreciación acumulada y deterioro, propiedades, planta y equipo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75.171</w:t>
            </w:r>
          </w:p>
        </w:tc>
      </w:tr>
      <w:tr>
        <w:tblPrEx>
          <w:tblW w:w="7845" w:type="dxa"/>
          <w:tblInd w:w="2126" w:type="dxa"/>
          <w:tblLayout w:type="fixed"/>
        </w:tblPrEx>
        <w:trPr>
          <w:cantSplit/>
          <w:trHeight w:hRule="exact" w:val="60"/>
        </w:trPr>
        <w:tc>
          <w:tcPr>
            <w:tcW w:w="58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75.171</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40" w:lineRule="exact"/>
        <w:ind w:left="709" w:right="0" w:firstLine="0"/>
        <w:jc w:val="both"/>
        <w:outlineLvl w:val="1"/>
        <w:rPr>
          <w:rFonts w:ascii="Calibri" w:eastAsia="Calibri" w:hAnsi="Calibri" w:cs="Calibri"/>
          <w:b/>
          <w:i w:val="0"/>
          <w:color w:val="000000"/>
          <w:sz w:val="20"/>
          <w:u w:val="none"/>
        </w:rPr>
      </w:pPr>
      <w:bookmarkStart w:id="106" w:name="Section57"/>
      <w:bookmarkEnd w:id="106"/>
      <w:bookmarkStart w:id="107" w:name="1c10e391646448caaebefcb247f8a95e"/>
      <w:r>
        <w:rPr>
          <w:rFonts w:ascii="Calibri" w:eastAsia="Calibri" w:hAnsi="Calibri" w:cs="Calibri"/>
          <w:b/>
          <w:i w:val="0"/>
          <w:color w:val="000000"/>
          <w:sz w:val="20"/>
          <w:u w:val="none"/>
        </w:rPr>
        <w:t>12.3.-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 cambios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7"/>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
        <w:gridCol w:w="3165"/>
        <w:gridCol w:w="3150"/>
        <w:gridCol w:w="1005"/>
        <w:gridCol w:w="1005"/>
      </w:tblGrid>
      <w:tr>
        <w:tblPrEx>
          <w:tblW w:w="8550" w:type="dxa"/>
          <w:tblInd w:w="1417" w:type="dxa"/>
          <w:tblLayout w:type="fixed"/>
        </w:tblPrEx>
        <w:trPr>
          <w:cantSplit/>
          <w:trHeight w:hRule="exact" w:val="195"/>
        </w:trPr>
        <w:tc>
          <w:tcPr>
            <w:tcW w:w="6540" w:type="dxa"/>
            <w:gridSpan w:val="3"/>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año 2026</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Vehículos de motor, neto</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Propiedades, planta y equipo, neto</w:t>
            </w:r>
          </w:p>
        </w:tc>
      </w:tr>
      <w:tr>
        <w:tblPrEx>
          <w:tblW w:w="8550" w:type="dxa"/>
          <w:tblInd w:w="1417" w:type="dxa"/>
          <w:tblLayout w:type="fixed"/>
        </w:tblPrEx>
        <w:trPr>
          <w:cantSplit/>
          <w:trHeight w:hRule="exact" w:val="195"/>
        </w:trPr>
        <w:tc>
          <w:tcPr>
            <w:tcW w:w="6540" w:type="dxa"/>
            <w:gridSpan w:val="3"/>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exact" w:val="195"/>
        </w:trPr>
        <w:tc>
          <w:tcPr>
            <w:tcW w:w="6540" w:type="dxa"/>
            <w:gridSpan w:val="3"/>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6540" w:type="dxa"/>
            <w:gridSpan w:val="3"/>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25.057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25.057</w:t>
            </w:r>
          </w:p>
        </w:tc>
      </w:tr>
      <w:tr>
        <w:tblPrEx>
          <w:tblW w:w="8550"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720"/>
        </w:trPr>
        <w:tc>
          <w:tcPr>
            <w:tcW w:w="2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textDirection w:val="btLr"/>
            <w:vAlign w:val="bottom"/>
          </w:tcPr>
          <w:p>
            <w:pPr>
              <w:keepNext/>
              <w:pageBreakBefore w:val="0"/>
              <w:spacing w:line="240" w:lineRule="auto"/>
              <w:ind w:left="0" w:right="0"/>
              <w:jc w:val="center"/>
            </w:pPr>
            <w:r>
              <w:rPr>
                <w:rFonts w:ascii="Calibri" w:eastAsia="Calibri" w:hAnsi="Calibri" w:cs="Calibri"/>
                <w:b/>
                <w:i w:val="0"/>
                <w:color w:val="000000"/>
                <w:sz w:val="14"/>
                <w:u w:val="none"/>
              </w:rPr>
              <w:t>Cambios</w:t>
            </w:r>
          </w:p>
        </w:tc>
        <w:tc>
          <w:tcPr>
            <w:tcW w:w="631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(5.011)</w:t>
            </w:r>
          </w:p>
        </w:tc>
      </w:tr>
      <w:tr>
        <w:tblPrEx>
          <w:tblW w:w="8550" w:type="dxa"/>
          <w:tblInd w:w="1417" w:type="dxa"/>
          <w:tblLayout w:type="fixed"/>
        </w:tblPrEx>
        <w:trPr>
          <w:cantSplit/>
          <w:trHeight w:hRule="auto" w:val="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cambios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(5.011)</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(5.011)</w:t>
            </w:r>
          </w:p>
        </w:tc>
      </w:tr>
      <w:tr>
        <w:tblPrEx>
          <w:tblW w:w="8550" w:type="dxa"/>
          <w:tblInd w:w="1417" w:type="dxa"/>
          <w:tblLayout w:type="fixed"/>
        </w:tblPrEx>
        <w:trPr>
          <w:cantSplit/>
          <w:trHeight w:hRule="auto" w:val="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30 de junio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20.046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20.046</w:t>
            </w:r>
          </w:p>
        </w:tc>
      </w:tr>
    </w:tbl>
    <w:p>
      <w:pPr>
        <w:pStyle w:val="Normal-wk"/>
        <w:keepNext w:val="0"/>
        <w:keepLines/>
        <w:pageBreakBefore/>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3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
        <w:gridCol w:w="3165"/>
        <w:gridCol w:w="3135"/>
        <w:gridCol w:w="1005"/>
        <w:gridCol w:w="1005"/>
      </w:tblGrid>
      <w:tr>
        <w:tblPrEx>
          <w:tblW w:w="8535" w:type="dxa"/>
          <w:tblInd w:w="1417" w:type="dxa"/>
          <w:tblLayout w:type="fixed"/>
        </w:tblPrEx>
        <w:trPr>
          <w:cantSplit/>
          <w:trHeight w:hRule="exact" w:val="195"/>
        </w:trPr>
        <w:tc>
          <w:tcPr>
            <w:tcW w:w="6525" w:type="dxa"/>
            <w:gridSpan w:val="3"/>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año 2025</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Vehículos de motor, neto</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Propiedades, planta y equipo, neto</w:t>
            </w:r>
          </w:p>
        </w:tc>
      </w:tr>
      <w:tr>
        <w:tblPrEx>
          <w:tblW w:w="8535" w:type="dxa"/>
          <w:tblInd w:w="1417" w:type="dxa"/>
          <w:tblLayout w:type="fixed"/>
        </w:tblPrEx>
        <w:trPr>
          <w:cantSplit/>
          <w:trHeight w:hRule="exact" w:val="195"/>
        </w:trPr>
        <w:tc>
          <w:tcPr>
            <w:tcW w:w="6525" w:type="dxa"/>
            <w:gridSpan w:val="3"/>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single" w:sz="2" w:space="0" w:color="000000"/>
            </w:tcBorders>
          </w:tcPr>
          <w:p>
            <w:pPr>
              <w:keepNext/>
              <w:pageBreakBefore w:val="0"/>
            </w:pPr>
          </w:p>
        </w:tc>
      </w:tr>
      <w:tr>
        <w:tblPrEx>
          <w:tblW w:w="8535" w:type="dxa"/>
          <w:tblInd w:w="1417" w:type="dxa"/>
          <w:tblLayout w:type="fixed"/>
        </w:tblPrEx>
        <w:trPr>
          <w:cantSplit/>
          <w:trHeight w:hRule="exact" w:val="195"/>
        </w:trPr>
        <w:tc>
          <w:tcPr>
            <w:tcW w:w="6525" w:type="dxa"/>
            <w:gridSpan w:val="3"/>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single" w:sz="2" w:space="0" w:color="000000"/>
            </w:tcBorders>
          </w:tcPr>
          <w:p>
            <w:pPr>
              <w:keepNext/>
              <w:pageBreakBefore w:val="0"/>
            </w:pPr>
          </w:p>
        </w:tc>
      </w:tr>
      <w:tr>
        <w:tblPrEx>
          <w:tblW w:w="8535" w:type="dxa"/>
          <w:tblInd w:w="1417" w:type="dxa"/>
          <w:tblLayout w:type="fixed"/>
        </w:tblPrEx>
        <w:trPr>
          <w:cantSplit/>
          <w:trHeight w:hRule="auto" w:val="0"/>
        </w:trPr>
        <w:tc>
          <w:tcPr>
            <w:tcW w:w="6525" w:type="dxa"/>
            <w:gridSpan w:val="3"/>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35" w:type="dxa"/>
          <w:tblInd w:w="1417" w:type="dxa"/>
          <w:tblLayout w:type="fixed"/>
        </w:tblPrEx>
        <w:trPr>
          <w:cantSplit/>
          <w:trHeight w:hRule="exact" w:val="6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35" w:type="dxa"/>
          <w:tblInd w:w="1417" w:type="dxa"/>
          <w:tblLayout w:type="fixed"/>
        </w:tblPrEx>
        <w:trPr>
          <w:cantSplit/>
          <w:trHeight w:hRule="auto" w:val="0"/>
        </w:trPr>
        <w:tc>
          <w:tcPr>
            <w:tcW w:w="6525"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45.102</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45.102</w:t>
            </w:r>
          </w:p>
        </w:tc>
      </w:tr>
      <w:tr>
        <w:tblPrEx>
          <w:tblW w:w="8535"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35" w:type="dxa"/>
          <w:tblInd w:w="1417" w:type="dxa"/>
          <w:tblLayout w:type="fixed"/>
        </w:tblPrEx>
        <w:trPr>
          <w:cantSplit/>
          <w:trHeight w:hRule="exact" w:val="720"/>
        </w:trPr>
        <w:tc>
          <w:tcPr>
            <w:tcW w:w="225" w:type="dxa"/>
            <w:tcBorders>
              <w:top w:val="single" w:sz="2" w:space="0" w:color="000000"/>
              <w:left w:val="single" w:sz="2" w:space="0" w:color="000000"/>
              <w:bottom w:val="single" w:sz="2" w:space="0" w:color="000000"/>
              <w:right w:val="nil"/>
            </w:tcBorders>
            <w:tcMar>
              <w:top w:w="0" w:type="dxa"/>
              <w:left w:w="0" w:type="dxa"/>
              <w:bottom w:w="0" w:type="dxa"/>
              <w:right w:w="53" w:type="dxa"/>
            </w:tcMar>
            <w:textDirection w:val="btLr"/>
            <w:vAlign w:val="bottom"/>
          </w:tcPr>
          <w:p>
            <w:pPr>
              <w:keepNext/>
              <w:pageBreakBefore w:val="0"/>
              <w:spacing w:line="240" w:lineRule="auto"/>
              <w:ind w:left="0" w:right="0"/>
              <w:jc w:val="center"/>
            </w:pPr>
            <w:r>
              <w:rPr>
                <w:rFonts w:ascii="Calibri" w:eastAsia="Calibri" w:hAnsi="Calibri" w:cs="Calibri"/>
                <w:b/>
                <w:i w:val="0"/>
                <w:color w:val="000000"/>
                <w:sz w:val="14"/>
                <w:u w:val="none"/>
              </w:rPr>
              <w:t>Cambios</w:t>
            </w:r>
          </w:p>
        </w:tc>
        <w:tc>
          <w:tcPr>
            <w:tcW w:w="630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(20.045)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(20.045)</w:t>
            </w:r>
          </w:p>
        </w:tc>
      </w:tr>
      <w:tr>
        <w:tblPrEx>
          <w:tblW w:w="8535" w:type="dxa"/>
          <w:tblInd w:w="1417" w:type="dxa"/>
          <w:tblLayout w:type="fixed"/>
        </w:tblPrEx>
        <w:trPr>
          <w:cantSplit/>
          <w:trHeight w:hRule="auto" w:val="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35" w:type="dxa"/>
          <w:tblInd w:w="1417" w:type="dxa"/>
          <w:tblLayout w:type="fixed"/>
        </w:tblPrEx>
        <w:trPr>
          <w:cantSplit/>
          <w:trHeight w:hRule="auto" w:val="0"/>
        </w:trPr>
        <w:tc>
          <w:tcPr>
            <w:tcW w:w="6525"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cambios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(20.046)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(20.045)</w:t>
            </w:r>
          </w:p>
        </w:tc>
      </w:tr>
      <w:tr>
        <w:tblPrEx>
          <w:tblW w:w="8535" w:type="dxa"/>
          <w:tblInd w:w="1417" w:type="dxa"/>
          <w:tblLayout w:type="fixed"/>
        </w:tblPrEx>
        <w:trPr>
          <w:cantSplit/>
          <w:trHeight w:hRule="auto" w:val="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1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35" w:type="dxa"/>
          <w:tblInd w:w="1417" w:type="dxa"/>
          <w:tblLayout w:type="fixed"/>
        </w:tblPrEx>
        <w:trPr>
          <w:cantSplit/>
          <w:trHeight w:hRule="auto" w:val="0"/>
        </w:trPr>
        <w:tc>
          <w:tcPr>
            <w:tcW w:w="6525"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31 de diciembre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25.057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25.057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08" w:name="Section58"/>
      <w:bookmarkEnd w:id="108"/>
      <w:bookmarkStart w:id="109" w:name="c4d232d7b0a94a87855754ed5f846324"/>
      <w:r>
        <w:rPr>
          <w:rFonts w:ascii="Calibri" w:eastAsia="Calibri" w:hAnsi="Calibri" w:cs="Calibri"/>
          <w:b/>
          <w:i w:val="0"/>
          <w:color w:val="000000"/>
          <w:sz w:val="20"/>
          <w:u w:val="none"/>
        </w:rPr>
        <w:t>13.-</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IMPUESTOS DIFERIDOS.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09"/>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recuperación de los saldos de activos por impuestos diferidos, requieren de la obtención de utilidades tributarias suficientes en el futuro. CGE Servicios S.A. estima con proyecciones futuras de utilidades que estas no cubrirán el recupero de los activos por pérdidas fiscales en el corto plazo.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Las pérdidas fiscales no utilizadas para las que no se han reconocido activos por impuestos diferidos alcanzaron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un monto de M$ </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color w:val="000000"/>
          <w:sz w:val="20"/>
          <w:highlight w:val="white"/>
          <w:u w:val="none"/>
        </w:rPr>
        <w:t xml:space="preserve">  y por ende un activo no reconocido de M$ </w:t>
      </w:r>
      <w:r>
        <w:rPr>
          <w:rFonts w:ascii="Calibri" w:eastAsia="Calibri" w:hAnsi="Calibri" w:cs="Calibri"/>
          <w:b w:val="0"/>
          <w:i w:val="0"/>
          <w:color w:val="000000"/>
          <w:sz w:val="20"/>
          <w:highlight w:val="yellow"/>
          <w:u w:val="none"/>
        </w:rPr>
        <w:t>10.877.283</w:t>
      </w:r>
      <w:r>
        <w:rPr>
          <w:rFonts w:ascii="Calibri" w:eastAsia="Calibri" w:hAnsi="Calibri" w:cs="Calibri"/>
          <w:b w:val="0"/>
          <w:i w:val="0"/>
          <w:color w:val="000000"/>
          <w:sz w:val="20"/>
          <w:highlight w:val="white"/>
          <w:u w:val="none"/>
        </w:rPr>
        <w:t xml:space="preserve">           (M$ </w:t>
      </w:r>
      <w:r>
        <w:rPr>
          <w:rFonts w:ascii="Calibri" w:eastAsia="Calibri" w:hAnsi="Calibri" w:cs="Calibri"/>
          <w:b w:val="0"/>
          <w:i w:val="0"/>
          <w:color w:val="000000"/>
          <w:sz w:val="20"/>
          <w:highlight w:val="white"/>
          <w:u w:val="none"/>
        </w:rPr>
        <w:t>38.960.072</w:t>
      </w:r>
      <w:r>
        <w:rPr>
          <w:rFonts w:ascii="Calibri" w:eastAsia="Calibri" w:hAnsi="Calibri" w:cs="Calibri"/>
          <w:b w:val="0"/>
          <w:i w:val="0"/>
          <w:color w:val="000000"/>
          <w:sz w:val="20"/>
          <w:highlight w:val="white"/>
          <w:u w:val="none"/>
        </w:rPr>
        <w:t xml:space="preserve"> y M$ 10.519.219 de pérdidas fiscales y activo no reconocido, respectivamente, para el ejercicio terminado al </w:t>
      </w:r>
      <w:r>
        <w:rPr>
          <w:rFonts w:ascii="Calibri" w:eastAsia="Calibri" w:hAnsi="Calibri" w:cs="Calibri"/>
          <w:b w:val="0"/>
          <w:i w:val="0"/>
          <w:color w:val="000000"/>
          <w:sz w:val="20"/>
          <w:highlight w:val="white"/>
          <w:u w:val="none"/>
        </w:rPr>
        <w:t>31 de diciembre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10" w:name="Section59"/>
      <w:bookmarkEnd w:id="110"/>
      <w:bookmarkStart w:id="111" w:name="e867d41d3b1c4b2b9db74e75739e3a97"/>
      <w:r>
        <w:rPr>
          <w:rFonts w:ascii="Calibri" w:eastAsia="Calibri" w:hAnsi="Calibri" w:cs="Calibri"/>
          <w:b/>
          <w:i w:val="0"/>
          <w:color w:val="000000"/>
          <w:sz w:val="20"/>
          <w:u w:val="none"/>
        </w:rPr>
        <w:t>13.1.-</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11"/>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10"/>
        <w:gridCol w:w="1005"/>
        <w:gridCol w:w="1005"/>
      </w:tblGrid>
      <w:tr>
        <w:tblPrEx>
          <w:tblW w:w="8520" w:type="dxa"/>
          <w:tblInd w:w="1417" w:type="dxa"/>
          <w:tblLayout w:type="fixed"/>
        </w:tblPrEx>
        <w:trPr>
          <w:cantSplit/>
          <w:trHeight w:hRule="auto" w:val="0"/>
        </w:trPr>
        <w:tc>
          <w:tcPr>
            <w:tcW w:w="651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por impuestos diferidos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651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obligaciones por beneficios a los empleados.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140.508</w:t>
            </w:r>
          </w:p>
        </w:tc>
      </w:tr>
      <w:tr>
        <w:tblPrEx>
          <w:tblW w:w="8520" w:type="dxa"/>
          <w:tblInd w:w="1417"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140.508</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12" w:name="Section60"/>
      <w:bookmarkEnd w:id="112"/>
      <w:bookmarkStart w:id="113" w:name="9139dd6b8aff47e9966f52f20928eaf4"/>
      <w:r>
        <w:rPr>
          <w:rFonts w:ascii="Calibri" w:eastAsia="Calibri" w:hAnsi="Calibri" w:cs="Calibri"/>
          <w:b/>
          <w:i w:val="0"/>
          <w:color w:val="000000"/>
          <w:sz w:val="20"/>
          <w:u w:val="none"/>
        </w:rPr>
        <w:t>13.2.-</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Movimientos de impuesto diferido del estado de situación financiera.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3"/>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pasivos por impuestos diferidos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10"/>
        <w:gridCol w:w="1005"/>
        <w:gridCol w:w="1005"/>
      </w:tblGrid>
      <w:tr>
        <w:tblPrEx>
          <w:tblW w:w="8520" w:type="dxa"/>
          <w:tblInd w:w="1417" w:type="dxa"/>
          <w:tblLayout w:type="fixed"/>
        </w:tblPrEx>
        <w:trPr>
          <w:cantSplit/>
          <w:trHeight w:hRule="auto" w:val="0"/>
        </w:trPr>
        <w:tc>
          <w:tcPr>
            <w:tcW w:w="651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pasivos por impuestos diferidos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651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140.508</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27.506</w:t>
            </w:r>
          </w:p>
        </w:tc>
      </w:tr>
      <w:tr>
        <w:tblPrEx>
          <w:tblW w:w="8520" w:type="dxa"/>
          <w:tblInd w:w="1417"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Gasto (ingreso) por impuestos diferidos reconocidos como resultados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(140.508)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113.002</w:t>
            </w:r>
          </w:p>
        </w:tc>
      </w:tr>
      <w:tr>
        <w:tblPrEx>
          <w:tblW w:w="8520" w:type="dxa"/>
          <w:tblInd w:w="1417"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pasivos por impuestos diferidos, 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(140.508)</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113.002</w:t>
            </w:r>
          </w:p>
        </w:tc>
      </w:tr>
      <w:tr>
        <w:tblPrEx>
          <w:tblW w:w="8520" w:type="dxa"/>
          <w:tblInd w:w="1417" w:type="dxa"/>
          <w:tblLayout w:type="fixed"/>
        </w:tblPrEx>
        <w:trPr>
          <w:cantSplit/>
          <w:trHeight w:hRule="auto" w:val="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140.508</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14" w:name="Section61"/>
      <w:bookmarkEnd w:id="114"/>
      <w:bookmarkStart w:id="115" w:name="dc2d263edf04478b987e057fce4061d6"/>
      <w:r>
        <w:rPr>
          <w:rFonts w:ascii="Calibri" w:eastAsia="Calibri" w:hAnsi="Calibri" w:cs="Calibri"/>
          <w:b/>
          <w:i w:val="0"/>
          <w:color w:val="000000"/>
          <w:sz w:val="20"/>
          <w:u w:val="none"/>
        </w:rPr>
        <w:t>14.-</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5"/>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005"/>
        <w:gridCol w:w="1005"/>
        <w:gridCol w:w="900"/>
        <w:gridCol w:w="900"/>
      </w:tblGrid>
      <w:tr>
        <w:tblPrEx>
          <w:tblW w:w="9255" w:type="dxa"/>
          <w:tblInd w:w="709" w:type="dxa"/>
          <w:tblLayout w:type="fixed"/>
        </w:tblPrEx>
        <w:trPr>
          <w:cantSplit/>
          <w:trHeight w:hRule="auto" w:val="0"/>
        </w:trPr>
        <w:tc>
          <w:tcPr>
            <w:tcW w:w="54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por pagar comerciales y otras cuentas por pagar</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54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Retenciones.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2.244.244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acumulados (o devengados).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2.545.666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no energéticos.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391.226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Acreedores varios.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1.022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11.265</w:t>
            </w:r>
          </w:p>
        </w:tc>
      </w:tr>
      <w:tr>
        <w:tblPrEx>
          <w:tblW w:w="9255" w:type="dxa"/>
          <w:tblInd w:w="709"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5.182.158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11.265</w:t>
            </w:r>
          </w:p>
        </w:tc>
      </w:tr>
    </w:tbl>
    <w:p>
      <w:pPr>
        <w:keepNext w:val="0"/>
        <w:keepLines/>
        <w:pageBreakBefore w:val="0"/>
        <w:widowControl w:val="0"/>
        <w:numPr>
          <w:ilvl w:val="0"/>
          <w:numId w:val="0"/>
        </w:numPr>
        <w:spacing w:before="0" w:after="0" w:line="288" w:lineRule="auto"/>
        <w:ind w:left="1418" w:right="0" w:hanging="71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tiene proveedores de importancia cuyos pasivos superen el 10% de este ítem.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16" w:name="Section62"/>
      <w:bookmarkEnd w:id="116"/>
      <w:bookmarkStart w:id="117" w:name="a8a5eff328ee402ea9a6d1ca9fd35165"/>
      <w:r>
        <w:rPr>
          <w:rFonts w:ascii="Calibri" w:eastAsia="Calibri" w:hAnsi="Calibri" w:cs="Calibri"/>
          <w:b/>
          <w:i w:val="0"/>
          <w:color w:val="000000"/>
          <w:sz w:val="20"/>
          <w:u w:val="none"/>
        </w:rPr>
        <w:t>14.1.-</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acumulados (o devengados).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17"/>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10"/>
        <w:gridCol w:w="1005"/>
        <w:gridCol w:w="1005"/>
      </w:tblGrid>
      <w:tr>
        <w:tblPrEx>
          <w:tblW w:w="8520" w:type="dxa"/>
          <w:tblInd w:w="1417" w:type="dxa"/>
          <w:tblLayout w:type="fixed"/>
        </w:tblPrEx>
        <w:trPr>
          <w:cantSplit/>
          <w:trHeight w:hRule="auto" w:val="0"/>
        </w:trPr>
        <w:tc>
          <w:tcPr>
            <w:tcW w:w="651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Pasivos acumulados (o devengados).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8520" w:type="dxa"/>
          <w:tblInd w:w="1417" w:type="dxa"/>
          <w:tblLayout w:type="fixed"/>
        </w:tblPrEx>
        <w:trPr>
          <w:cantSplit/>
          <w:trHeight w:hRule="auto" w:val="0"/>
        </w:trPr>
        <w:tc>
          <w:tcPr>
            <w:tcW w:w="651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651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Vacaciones del personal.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2.471.539</w:t>
            </w:r>
          </w:p>
        </w:tc>
      </w:tr>
      <w:tr>
        <w:tblPrEx>
          <w:tblW w:w="8520" w:type="dxa"/>
          <w:tblInd w:w="1417"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Bonificaciones de feriados.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69.324</w:t>
            </w:r>
          </w:p>
        </w:tc>
      </w:tr>
      <w:tr>
        <w:tblPrEx>
          <w:tblW w:w="8520" w:type="dxa"/>
          <w:tblInd w:w="1417"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sobre resultados.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2.572</w:t>
            </w:r>
          </w:p>
        </w:tc>
      </w:tr>
      <w:tr>
        <w:tblPrEx>
          <w:tblW w:w="8520" w:type="dxa"/>
          <w:tblInd w:w="1417"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Aguinaldos.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2.231</w:t>
            </w:r>
          </w:p>
        </w:tc>
      </w:tr>
      <w:tr>
        <w:tblPrEx>
          <w:tblW w:w="8520" w:type="dxa"/>
          <w:tblInd w:w="1417"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2.545.666</w:t>
            </w:r>
          </w:p>
        </w:tc>
      </w:tr>
    </w:tbl>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8" w:right="0" w:hanging="710"/>
        <w:jc w:val="both"/>
        <w:outlineLvl w:val="1"/>
        <w:rPr>
          <w:rFonts w:ascii="Times New Roman" w:eastAsia="Times New Roman" w:hAnsi="Times New Roman" w:cs="Times New Roman"/>
          <w:b/>
          <w:i w:val="0"/>
          <w:color w:val="000000"/>
          <w:sz w:val="24"/>
          <w:u w:val="none"/>
        </w:rPr>
      </w:pPr>
      <w:bookmarkStart w:id="118" w:name="Section63"/>
      <w:bookmarkEnd w:id="118"/>
      <w:bookmarkStart w:id="119" w:name="d2891b7d26f8439e90abd07d07880471"/>
      <w:r>
        <w:rPr>
          <w:rFonts w:ascii="Calibri" w:eastAsia="Calibri" w:hAnsi="Calibri" w:cs="Calibri"/>
          <w:b/>
          <w:i w:val="0"/>
          <w:color w:val="000000"/>
          <w:sz w:val="20"/>
          <w:u w:val="none"/>
        </w:rPr>
        <w:t>14.2.-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cuentas comerciales y otras cuentas por pagar con pagos al día y con plazos vencidos.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1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535"/>
        <w:gridCol w:w="1005"/>
        <w:gridCol w:w="1005"/>
        <w:gridCol w:w="1005"/>
      </w:tblGrid>
      <w:tr>
        <w:tblPrEx>
          <w:tblW w:w="8550" w:type="dxa"/>
          <w:tblInd w:w="1417" w:type="dxa"/>
          <w:tblLayout w:type="fixed"/>
        </w:tblPrEx>
        <w:trPr>
          <w:cantSplit/>
          <w:trHeight w:hRule="auto" w:val="0"/>
        </w:trPr>
        <w:tc>
          <w:tcPr>
            <w:tcW w:w="55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exact" w:val="225"/>
        </w:trPr>
        <w:tc>
          <w:tcPr>
            <w:tcW w:w="5535" w:type="dxa"/>
            <w:vMerge/>
            <w:tcBorders>
              <w:top w:val="nil"/>
              <w:left w:val="single" w:sz="2" w:space="0" w:color="000000"/>
              <w:bottom w:val="nil"/>
              <w:right w:val="nil"/>
            </w:tcBorders>
          </w:tcPr>
          <w:p>
            <w:pPr>
              <w:keepNext/>
              <w:pageBreakBefore w:val="0"/>
            </w:pP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exact" w:val="225"/>
        </w:trPr>
        <w:tc>
          <w:tcPr>
            <w:tcW w:w="55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Hasta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Más de 365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535"/>
        <w:gridCol w:w="1005"/>
        <w:gridCol w:w="1005"/>
        <w:gridCol w:w="1005"/>
      </w:tblGrid>
      <w:tr>
        <w:tblPrEx>
          <w:tblW w:w="8550" w:type="dxa"/>
          <w:tblInd w:w="1417" w:type="dxa"/>
          <w:tblLayout w:type="fixed"/>
        </w:tblPrEx>
        <w:trPr>
          <w:cantSplit/>
          <w:trHeight w:hRule="auto" w:val="0"/>
        </w:trPr>
        <w:tc>
          <w:tcPr>
            <w:tcW w:w="55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6"/>
                <w:u w:val="none"/>
              </w:rPr>
              <w:t>Cuentas comerciales con pagos al día (por vencer)</w:t>
            </w:r>
          </w:p>
          <w:p>
            <w:pPr>
              <w:spacing w:after="0" w:line="240" w:lineRule="auto"/>
              <w:jc w:val="center"/>
            </w:pPr>
            <w:r>
              <w:rPr>
                <w:rFonts w:ascii="Calibri" w:eastAsia="Calibri" w:hAnsi="Calibri" w:cs="Calibri"/>
                <w:b/>
                <w:i w:val="0"/>
                <w:color w:val="FFFFFF"/>
                <w:sz w:val="16"/>
                <w:u w:val="none"/>
              </w:rPr>
              <w:t>Cuentas comerciales al día según plazo</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exact" w:val="225"/>
        </w:trPr>
        <w:tc>
          <w:tcPr>
            <w:tcW w:w="5535" w:type="dxa"/>
            <w:vMerge/>
            <w:tcBorders>
              <w:top w:val="nil"/>
              <w:left w:val="single" w:sz="2" w:space="0" w:color="000000"/>
              <w:bottom w:val="nil"/>
              <w:right w:val="nil"/>
            </w:tcBorders>
          </w:tcPr>
          <w:p>
            <w:pPr>
              <w:keepNext/>
              <w:pageBreakBefore w:val="0"/>
            </w:pP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exact" w:val="225"/>
        </w:trPr>
        <w:tc>
          <w:tcPr>
            <w:tcW w:w="55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Hasta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391.226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2.247.496</w:t>
            </w: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2.638.722</w:t>
            </w:r>
          </w:p>
        </w:tc>
      </w:tr>
      <w:tr>
        <w:tblPrEx>
          <w:tblW w:w="8550" w:type="dxa"/>
          <w:tblInd w:w="1417" w:type="dxa"/>
          <w:tblLayout w:type="fixed"/>
        </w:tblPrEx>
        <w:trPr>
          <w:cantSplit/>
          <w:trHeight w:hRule="exact" w:val="225"/>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6"/>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3"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val="0"/>
                <w:i w:val="0"/>
                <w:color w:val="000000"/>
                <w:sz w:val="16"/>
                <w:u w:val="none"/>
              </w:rPr>
              <w:t>2.543.436</w:t>
            </w: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i w:val="0"/>
                <w:color w:val="FFFFFF"/>
                <w:sz w:val="16"/>
                <w:u w:val="none"/>
              </w:rPr>
              <w:t>2.543.436</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Más de 365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11.265</w:t>
            </w: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11.265</w:t>
            </w:r>
          </w:p>
        </w:tc>
      </w:tr>
      <w:tr>
        <w:tblPrEx>
          <w:tblW w:w="8550" w:type="dxa"/>
          <w:tblInd w:w="1417" w:type="dxa"/>
          <w:tblLayout w:type="fixed"/>
        </w:tblPrEx>
        <w:trPr>
          <w:cantSplit/>
          <w:trHeight w:hRule="auto" w:val="0"/>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391.226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4.802.197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5.193.423</w:t>
            </w:r>
          </w:p>
        </w:tc>
      </w:tr>
    </w:tbl>
    <w:p>
      <w:pPr>
        <w:keepNext w:val="0"/>
        <w:keepLines/>
        <w:pageBreakBefore w:val="0"/>
        <w:widowControl w:val="0"/>
        <w:numPr>
          <w:ilvl w:val="0"/>
          <w:numId w:val="0"/>
        </w:numPr>
        <w:spacing w:before="0" w:after="0" w:line="288" w:lineRule="auto"/>
        <w:ind w:left="1418" w:right="0" w:firstLine="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sz w:val="20"/>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sz w:val="20"/>
        </w:rPr>
        <w:t xml:space="preserve"> </w:t>
      </w:r>
      <w:r>
        <w:rPr>
          <w:rFonts w:ascii="Calibri" w:eastAsia="Calibri" w:hAnsi="Calibri" w:cs="Calibri"/>
          <w:b w:val="0"/>
          <w:i w:val="0"/>
          <w:color w:val="000000"/>
          <w:sz w:val="20"/>
          <w:u w:val="none"/>
        </w:rPr>
        <w:t>no hay cuentas por pagar comerciales y otras cuentas por pagar con plazos vencidos.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20" w:name="Section64"/>
      <w:bookmarkEnd w:id="120"/>
      <w:bookmarkStart w:id="121" w:name="81939547a86944acaa045ad35baddacd"/>
      <w:r>
        <w:rPr>
          <w:rFonts w:ascii="Calibri" w:eastAsia="Calibri" w:hAnsi="Calibri" w:cs="Calibri"/>
          <w:b/>
          <w:i w:val="0"/>
          <w:color w:val="000000"/>
          <w:sz w:val="20"/>
          <w:u w:val="none"/>
        </w:rPr>
        <w:t>15.-</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bookmarkEnd w:id="121"/>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14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122" w:name="Section65"/>
      <w:bookmarkEnd w:id="122"/>
      <w:bookmarkStart w:id="123" w:name="cf9baef7669b443d95ae18b3c457338d"/>
      <w:r>
        <w:rPr>
          <w:rFonts w:ascii="Calibri" w:eastAsia="Calibri" w:hAnsi="Calibri" w:cs="Calibri"/>
          <w:b/>
          <w:i w:val="0"/>
          <w:color w:val="000000"/>
          <w:sz w:val="20"/>
          <w:u w:val="none"/>
        </w:rPr>
        <w:t>15.1.-</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 saldos.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23"/>
    </w:p>
    <w:tbl>
      <w:tblPr>
        <w:tblW w:w="655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45"/>
        <w:gridCol w:w="1005"/>
        <w:gridCol w:w="1005"/>
      </w:tblGrid>
      <w:tr>
        <w:tblPrEx>
          <w:tblW w:w="6555" w:type="dxa"/>
          <w:tblInd w:w="1417" w:type="dxa"/>
          <w:tblLayout w:type="fixed"/>
        </w:tblPrEx>
        <w:trPr>
          <w:cantSplit/>
          <w:trHeight w:hRule="auto" w:val="0"/>
        </w:trPr>
        <w:tc>
          <w:tcPr>
            <w:tcW w:w="45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 de provisiones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6555" w:type="dxa"/>
          <w:tblInd w:w="1417" w:type="dxa"/>
          <w:tblLayout w:type="fixed"/>
        </w:tblPrEx>
        <w:trPr>
          <w:cantSplit/>
          <w:trHeight w:hRule="auto" w:val="0"/>
        </w:trPr>
        <w:tc>
          <w:tcPr>
            <w:tcW w:w="45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6555" w:type="dxa"/>
          <w:tblInd w:w="1417" w:type="dxa"/>
          <w:tblLayout w:type="fixed"/>
        </w:tblPrEx>
        <w:trPr>
          <w:cantSplit/>
          <w:trHeight w:hRule="auto" w:val="0"/>
        </w:trPr>
        <w:tc>
          <w:tcPr>
            <w:tcW w:w="454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6555" w:type="dxa"/>
          <w:tblInd w:w="1417" w:type="dxa"/>
          <w:tblLayout w:type="fixed"/>
        </w:tblPrEx>
        <w:trPr>
          <w:cantSplit/>
          <w:trHeight w:hRule="auto" w:val="0"/>
        </w:trPr>
        <w:tc>
          <w:tcPr>
            <w:tcW w:w="4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en utilidades y bonos.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3.728.979</w:t>
            </w:r>
          </w:p>
        </w:tc>
      </w:tr>
      <w:tr>
        <w:tblPrEx>
          <w:tblW w:w="6555" w:type="dxa"/>
          <w:tblInd w:w="1417" w:type="dxa"/>
          <w:tblLayout w:type="fixed"/>
        </w:tblPrEx>
        <w:trPr>
          <w:cantSplit/>
          <w:trHeight w:hRule="auto" w:val="0"/>
        </w:trPr>
        <w:tc>
          <w:tcPr>
            <w:tcW w:w="4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3.728.979</w:t>
            </w: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15.1.1.-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Provisiones de reclamaciones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montos corresponden a la provisión para ciertas demandas legales contra la Sociedad. Los plazos para utilizar los saldos de las provisiones están acotados a los plazos normales de los procesos judiciales.</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15.1.2.-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Participación en utilidades y bonos.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provisión para la participación de los empleados en las utilidades y de los bonos de desempeño se paga al mes siguiente de la aprobación de los estados financieros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7" w:right="0" w:firstLine="0"/>
        <w:jc w:val="both"/>
        <w:outlineLvl w:val="9"/>
        <w:rPr>
          <w:rFonts w:ascii="Calibri" w:eastAsia="Calibri" w:hAnsi="Calibri" w:cs="Calibri"/>
          <w:b w:val="0"/>
          <w:i w:val="0"/>
          <w:color w:val="000000"/>
          <w:sz w:val="18"/>
          <w:highlight w:val="white"/>
          <w:u w:val="none"/>
        </w:rPr>
      </w:pPr>
      <w:r>
        <w:rPr>
          <w:rFonts w:ascii="Calibri" w:eastAsia="Calibri" w:hAnsi="Calibri" w:cs="Calibri"/>
          <w:b/>
          <w:i w:val="0"/>
          <w:color w:val="000000"/>
          <w:sz w:val="20"/>
          <w:highlight w:val="white"/>
          <w:u w:val="none"/>
        </w:rPr>
        <w:t>15.2.-</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Movimiento de las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40" w:type="dxa"/>
          <w:tblLayout w:type="fixed"/>
        </w:tblPrEx>
        <w:trPr>
          <w:cantSplit/>
          <w:trHeight w:hRule="auto" w:val="0"/>
        </w:trPr>
        <w:tc>
          <w:tcPr>
            <w:tcW w:w="49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Conceptos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de provisiones</w:t>
            </w:r>
          </w:p>
        </w:tc>
      </w:tr>
      <w:tr>
        <w:tblPrEx>
          <w:tblW w:w="8520" w:type="dxa"/>
          <w:tblInd w:w="1440"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Por reclamaciones legales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Por part. en utilidades y bonos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al</w:t>
            </w:r>
          </w:p>
        </w:tc>
      </w:tr>
      <w:tr>
        <w:tblPrEx>
          <w:tblW w:w="8520" w:type="dxa"/>
          <w:tblInd w:w="1440"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20" w:type="dxa"/>
          <w:tblInd w:w="1440"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exact" w:val="6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al 1 de enero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3.728.979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3.728.979</w:t>
            </w:r>
          </w:p>
        </w:tc>
      </w:tr>
      <w:tr>
        <w:tblPrEx>
          <w:tblW w:w="85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55"/>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Aumento de provisiones existentes.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1.007.091</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1.007.091</w:t>
            </w: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Provisión utilizada.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(2.619.751)</w:t>
            </w: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(2.619.751)</w:t>
            </w:r>
          </w:p>
        </w:tc>
      </w:tr>
      <w:tr>
        <w:tblPrEx>
          <w:tblW w:w="85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provisiones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(1.612.660)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(1.612.660)</w:t>
            </w:r>
          </w:p>
        </w:tc>
      </w:tr>
      <w:tr>
        <w:tblPrEx>
          <w:tblW w:w="8520" w:type="dxa"/>
          <w:tblInd w:w="1440"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Saldo al 30 de junio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2.116.319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2.116.319</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Conceptos</w:t>
            </w:r>
          </w:p>
        </w:tc>
        <w:tc>
          <w:tcPr>
            <w:tcW w:w="36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de provisiones</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Por reclamaciones legales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Por part. en utilidades y bonos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al</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al 1 de enero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12.686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5.878.392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5.891.078</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Aumento de provisiones existentes.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1.186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3.877.344</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3.878.530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Provisión utilizada.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(13.872)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(6.026.757)</w:t>
            </w: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(6.040.629)</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provisiones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(12.686)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(2.149.413)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(2.162.099)</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Saldo al 31 de diciembre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3.728.979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3.728.979</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24" w:name="Section66"/>
      <w:bookmarkEnd w:id="124"/>
      <w:bookmarkStart w:id="125" w:name="dfff1cb7819b4eb9a76823ce068a6cfc"/>
      <w:r>
        <w:rPr>
          <w:rFonts w:ascii="Calibri" w:eastAsia="Calibri" w:hAnsi="Calibri" w:cs="Calibri"/>
          <w:b/>
          <w:i w:val="0"/>
          <w:color w:val="000000"/>
          <w:sz w:val="20"/>
          <w:u w:val="none"/>
        </w:rPr>
        <w:t>16.-</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POR BENEFICIOS A LOS EMPLEADOS.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5"/>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26" w:name="Section67"/>
      <w:bookmarkEnd w:id="126"/>
      <w:bookmarkStart w:id="127" w:name="8247bda990234ca9aebe2c3f2ce98dd2"/>
      <w:r>
        <w:rPr>
          <w:rFonts w:ascii="Calibri" w:eastAsia="Calibri" w:hAnsi="Calibri" w:cs="Calibri"/>
          <w:b/>
          <w:i w:val="0"/>
          <w:color w:val="000000"/>
          <w:sz w:val="20"/>
          <w:u w:val="none"/>
        </w:rPr>
        <w:t>16.1.-</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del rubro.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2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60"/>
        <w:gridCol w:w="1095"/>
        <w:gridCol w:w="1095"/>
      </w:tblGrid>
      <w:tr>
        <w:tblPrEx>
          <w:tblW w:w="8550" w:type="dxa"/>
          <w:tblInd w:w="1417" w:type="dxa"/>
          <w:tblLayout w:type="fixed"/>
        </w:tblPrEx>
        <w:trPr>
          <w:cantSplit/>
          <w:trHeight w:hRule="auto" w:val="0"/>
        </w:trPr>
        <w:tc>
          <w:tcPr>
            <w:tcW w:w="63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por beneficios a los empleados</w:t>
            </w:r>
          </w:p>
        </w:tc>
        <w:tc>
          <w:tcPr>
            <w:tcW w:w="21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6360" w:type="dxa"/>
            <w:vMerge/>
            <w:tcBorders>
              <w:top w:val="nil"/>
              <w:left w:val="single" w:sz="2" w:space="0" w:color="000000"/>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360"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indemnización años de servicio.</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1.332.004</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1.356.718</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premio de antigüedad.</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110.979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102.592</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beneficios post-jubilatorios.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32.639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45.003</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1.475.622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1.504.313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28" w:name="Section68"/>
      <w:bookmarkEnd w:id="128"/>
      <w:bookmarkStart w:id="129" w:name="5fbba9b02039447f9741740c3d4d130d"/>
      <w:r>
        <w:rPr>
          <w:rFonts w:ascii="Calibri" w:eastAsia="Calibri" w:hAnsi="Calibri" w:cs="Calibri"/>
          <w:b/>
          <w:i w:val="0"/>
          <w:color w:val="000000"/>
          <w:sz w:val="20"/>
          <w:u w:val="none"/>
        </w:rPr>
        <w:t>16.2.-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2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795"/>
        <w:gridCol w:w="795"/>
        <w:gridCol w:w="795"/>
        <w:gridCol w:w="795"/>
        <w:gridCol w:w="795"/>
        <w:gridCol w:w="795"/>
      </w:tblGrid>
      <w:tr>
        <w:tblPrEx>
          <w:tblW w:w="8550" w:type="dxa"/>
          <w:tblInd w:w="1417"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presente de las obligaciones post empleo y similar</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Beneficios post-jubilatorios</w:t>
            </w:r>
          </w:p>
        </w:tc>
      </w:tr>
      <w:tr>
        <w:tblPrEx>
          <w:tblW w:w="8550" w:type="dxa"/>
          <w:tblInd w:w="1417" w:type="dxa"/>
          <w:tblLayout w:type="fixed"/>
        </w:tblPrEx>
        <w:trPr>
          <w:cantSplit/>
          <w:trHeight w:hRule="auto" w:val="0"/>
        </w:trPr>
        <w:tc>
          <w:tcPr>
            <w:tcW w:w="378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378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Valor presente obligación, saldo inicial </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1.356.718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2.528.728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102.592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222.531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45.003</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70.045</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del servicio corriente obligación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14.996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90.600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6.578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(69.430)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318</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1.265</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por intereses por obligación de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21.937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123.642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1.809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10.963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759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3.191</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Ganancias pérdidas actuariales obligación planes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30.748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(389.030)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(13.441)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(29.498)</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Liquidaciones obligación plan de beneficios definidos y transferencia de obligaciones por traspaso de personal desde empresas relacionadas.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(92.395)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(997.222)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(61.472)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jc w:val="right"/>
            </w:pP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 en provisiones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(24.714)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(1.172.010)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8.387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(119.939)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(12.364)</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(25.042)</w:t>
            </w:r>
          </w:p>
        </w:tc>
      </w:tr>
      <w:tr>
        <w:tblPrEx>
          <w:tblW w:w="8550" w:type="dxa"/>
          <w:tblInd w:w="1417" w:type="dxa"/>
          <w:tblLayout w:type="fixed"/>
        </w:tblPrEx>
        <w:trPr>
          <w:cantSplit/>
          <w:trHeight w:hRule="auto" w:val="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1.332.004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1.356.718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110.979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102.592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32.639</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45.003</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30" w:name="Section69"/>
      <w:bookmarkEnd w:id="130"/>
      <w:bookmarkStart w:id="131" w:name="1f6b436443594cf6a3b8dda85d948e8b"/>
      <w:r>
        <w:rPr>
          <w:rFonts w:ascii="Calibri" w:eastAsia="Calibri" w:hAnsi="Calibri" w:cs="Calibri"/>
          <w:b/>
          <w:i w:val="0"/>
          <w:color w:val="000000"/>
          <w:sz w:val="20"/>
          <w:u w:val="none"/>
        </w:rPr>
        <w:t>16.3.-</w:t>
      </w:r>
      <w:r>
        <w:rPr>
          <w:rFonts w:ascii="Calibri" w:eastAsia="Calibri" w:hAnsi="Calibri" w:cs="Calibri"/>
          <w:b/>
          <w:i w:val="0"/>
          <w:color w:val="000000"/>
          <w:sz w:val="20"/>
          <w:u w:val="none"/>
        </w:rPr>
        <w:tab/>
      </w:r>
      <w:r>
        <w:rPr>
          <w:rFonts w:ascii="Calibri" w:eastAsia="Calibri" w:hAnsi="Calibri" w:cs="Calibri"/>
          <w:b/>
          <w:i w:val="0"/>
          <w:color w:val="000000"/>
          <w:sz w:val="20"/>
          <w:u w:val="none"/>
        </w:rPr>
        <w:t>Balance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795"/>
        <w:gridCol w:w="795"/>
        <w:gridCol w:w="795"/>
        <w:gridCol w:w="795"/>
        <w:gridCol w:w="795"/>
        <w:gridCol w:w="795"/>
      </w:tblGrid>
      <w:tr>
        <w:tblPrEx>
          <w:tblW w:w="8550" w:type="dxa"/>
          <w:tblInd w:w="1417"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Balance plan de beneficios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Beneficios post-jubilatorios</w:t>
            </w:r>
          </w:p>
        </w:tc>
      </w:tr>
      <w:tr>
        <w:tblPrEx>
          <w:tblW w:w="8550" w:type="dxa"/>
          <w:tblInd w:w="1417" w:type="dxa"/>
          <w:tblLayout w:type="fixed"/>
        </w:tblPrEx>
        <w:trPr>
          <w:cantSplit/>
          <w:trHeight w:hRule="auto" w:val="0"/>
        </w:trPr>
        <w:tc>
          <w:tcPr>
            <w:tcW w:w="378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378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Obligación presente sin fondos de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1.332.004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1.356.718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110.979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102.592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32.639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45.003</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1.332.004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1.356.718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110.979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102.592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32.639</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45.003</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32" w:name="Section70"/>
      <w:bookmarkEnd w:id="132"/>
      <w:bookmarkStart w:id="133" w:name="778b276a0b664df48f80932a597c83f4"/>
      <w:r>
        <w:rPr>
          <w:rFonts w:ascii="Calibri" w:eastAsia="Calibri" w:hAnsi="Calibri" w:cs="Calibri"/>
          <w:b/>
          <w:i w:val="0"/>
          <w:color w:val="000000"/>
          <w:sz w:val="20"/>
          <w:u w:val="none"/>
        </w:rPr>
        <w:t>16.4.-</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reconocidos en el estado de resultados.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3"/>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485"/>
        <w:gridCol w:w="555"/>
        <w:gridCol w:w="555"/>
        <w:gridCol w:w="555"/>
        <w:gridCol w:w="555"/>
        <w:gridCol w:w="555"/>
        <w:gridCol w:w="555"/>
        <w:gridCol w:w="555"/>
        <w:gridCol w:w="555"/>
        <w:gridCol w:w="555"/>
        <w:gridCol w:w="555"/>
        <w:gridCol w:w="555"/>
        <w:gridCol w:w="555"/>
        <w:gridCol w:w="1095"/>
      </w:tblGrid>
      <w:tr>
        <w:tblPrEx>
          <w:tblW w:w="9240" w:type="dxa"/>
          <w:tblInd w:w="720" w:type="dxa"/>
          <w:tblLayout w:type="fixed"/>
        </w:tblPrEx>
        <w:trPr>
          <w:cantSplit/>
          <w:trHeight w:hRule="auto" w:val="0"/>
        </w:trPr>
        <w:tc>
          <w:tcPr>
            <w:tcW w:w="148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Gastos reconocidos en el estado de resultados por función</w:t>
            </w:r>
          </w:p>
        </w:tc>
        <w:tc>
          <w:tcPr>
            <w:tcW w:w="11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Indemnización por años de servicios</w:t>
            </w:r>
          </w:p>
        </w:tc>
        <w:tc>
          <w:tcPr>
            <w:tcW w:w="11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Premios por antigüedad</w:t>
            </w:r>
          </w:p>
        </w:tc>
        <w:tc>
          <w:tcPr>
            <w:tcW w:w="11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Beneficios post-jubilatorios</w:t>
            </w:r>
          </w:p>
        </w:tc>
        <w:tc>
          <w:tcPr>
            <w:tcW w:w="1110" w:type="dxa"/>
            <w:gridSpan w:val="2"/>
            <w:tcBorders>
              <w:top w:val="single" w:sz="2" w:space="0" w:color="000000"/>
              <w:left w:val="nil"/>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Indemnización por años de servicios</w:t>
            </w:r>
          </w:p>
        </w:tc>
        <w:tc>
          <w:tcPr>
            <w:tcW w:w="1110" w:type="dxa"/>
            <w:gridSpan w:val="2"/>
            <w:tcBorders>
              <w:top w:val="single" w:sz="2" w:space="0" w:color="000000"/>
              <w:left w:val="single" w:sz="8" w:space="0" w:color="FFFFFF"/>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Premios por antigüedad</w:t>
            </w:r>
          </w:p>
        </w:tc>
        <w:tc>
          <w:tcPr>
            <w:tcW w:w="1110" w:type="dxa"/>
            <w:gridSpan w:val="2"/>
            <w:tcBorders>
              <w:top w:val="single" w:sz="2" w:space="0" w:color="000000"/>
              <w:left w:val="single" w:sz="8" w:space="0" w:color="FFFFFF"/>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Beneficios post-jubilatorios</w:t>
            </w:r>
          </w:p>
        </w:tc>
        <w:tc>
          <w:tcPr>
            <w:tcW w:w="1095" w:type="dxa"/>
            <w:vMerge w:val="restart"/>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Línea del estado de resultados</w:t>
            </w:r>
          </w:p>
        </w:tc>
      </w:tr>
      <w:tr>
        <w:tblPrEx>
          <w:tblW w:w="9240" w:type="dxa"/>
          <w:tblInd w:w="720" w:type="dxa"/>
          <w:tblLayout w:type="fixed"/>
        </w:tblPrEx>
        <w:trPr>
          <w:cantSplit/>
          <w:trHeight w:hRule="auto" w:val="0"/>
        </w:trPr>
        <w:tc>
          <w:tcPr>
            <w:tcW w:w="1485" w:type="dxa"/>
            <w:vMerge/>
            <w:tcBorders>
              <w:top w:val="nil"/>
              <w:left w:val="single" w:sz="2" w:space="0" w:color="000000"/>
              <w:bottom w:val="nil"/>
              <w:right w:val="nil"/>
            </w:tcBorders>
          </w:tcPr>
          <w:p>
            <w:pPr>
              <w:keepNext/>
              <w:pageBreakBefore w:val="0"/>
            </w:pPr>
          </w:p>
        </w:tc>
        <w:tc>
          <w:tcPr>
            <w:tcW w:w="55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01-01-2026</w:t>
            </w:r>
          </w:p>
        </w:tc>
        <w:tc>
          <w:tcPr>
            <w:tcW w:w="55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01-01-2025</w:t>
            </w:r>
          </w:p>
        </w:tc>
        <w:tc>
          <w:tcPr>
            <w:tcW w:w="55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01-01-2026</w:t>
            </w:r>
          </w:p>
        </w:tc>
        <w:tc>
          <w:tcPr>
            <w:tcW w:w="55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01-01-2025</w:t>
            </w:r>
          </w:p>
        </w:tc>
        <w:tc>
          <w:tcPr>
            <w:tcW w:w="55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01-01-2026</w:t>
            </w:r>
          </w:p>
        </w:tc>
        <w:tc>
          <w:tcPr>
            <w:tcW w:w="55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01-01-2025</w:t>
            </w:r>
          </w:p>
        </w:tc>
        <w:tc>
          <w:tcPr>
            <w:tcW w:w="55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01-04-2026</w:t>
            </w:r>
          </w:p>
        </w:tc>
        <w:tc>
          <w:tcPr>
            <w:tcW w:w="55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01-04-2025</w:t>
            </w:r>
          </w:p>
        </w:tc>
        <w:tc>
          <w:tcPr>
            <w:tcW w:w="55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01-04-2026</w:t>
            </w:r>
          </w:p>
        </w:tc>
        <w:tc>
          <w:tcPr>
            <w:tcW w:w="55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01-04-2025</w:t>
            </w:r>
          </w:p>
        </w:tc>
        <w:tc>
          <w:tcPr>
            <w:tcW w:w="55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01-04-2026</w:t>
            </w:r>
          </w:p>
        </w:tc>
        <w:tc>
          <w:tcPr>
            <w:tcW w:w="55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01-04-2025</w:t>
            </w:r>
          </w:p>
        </w:tc>
        <w:tc>
          <w:tcPr>
            <w:tcW w:w="1095" w:type="dxa"/>
            <w:vMerge/>
            <w:tcBorders>
              <w:top w:val="nil"/>
              <w:left w:val="single" w:sz="8" w:space="0" w:color="FFFFFF"/>
              <w:bottom w:val="nil"/>
              <w:right w:val="single" w:sz="2" w:space="0" w:color="000000"/>
            </w:tcBorders>
          </w:tcPr>
          <w:p>
            <w:pPr>
              <w:keepNext/>
              <w:pageBreakBefore w:val="0"/>
            </w:pPr>
          </w:p>
        </w:tc>
      </w:tr>
      <w:tr>
        <w:tblPrEx>
          <w:tblW w:w="9240" w:type="dxa"/>
          <w:tblInd w:w="720" w:type="dxa"/>
          <w:tblLayout w:type="fixed"/>
        </w:tblPrEx>
        <w:trPr>
          <w:cantSplit/>
          <w:trHeight w:hRule="auto" w:val="0"/>
        </w:trPr>
        <w:tc>
          <w:tcPr>
            <w:tcW w:w="1485" w:type="dxa"/>
            <w:vMerge/>
            <w:tcBorders>
              <w:top w:val="nil"/>
              <w:left w:val="single" w:sz="2" w:space="0" w:color="000000"/>
              <w:bottom w:val="nil"/>
              <w:right w:val="nil"/>
            </w:tcBorders>
          </w:tcPr>
          <w:p>
            <w:pPr>
              <w:keepNext/>
              <w:pageBreakBefore w:val="0"/>
            </w:pPr>
          </w:p>
        </w:tc>
        <w:tc>
          <w:tcPr>
            <w:tcW w:w="55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30-06-2026</w:t>
            </w:r>
          </w:p>
        </w:tc>
        <w:tc>
          <w:tcPr>
            <w:tcW w:w="55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30-06-2025</w:t>
            </w:r>
          </w:p>
        </w:tc>
        <w:tc>
          <w:tcPr>
            <w:tcW w:w="55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30-06-2026</w:t>
            </w:r>
          </w:p>
        </w:tc>
        <w:tc>
          <w:tcPr>
            <w:tcW w:w="55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30-06-2025</w:t>
            </w:r>
          </w:p>
        </w:tc>
        <w:tc>
          <w:tcPr>
            <w:tcW w:w="55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30-06-2026</w:t>
            </w:r>
          </w:p>
        </w:tc>
        <w:tc>
          <w:tcPr>
            <w:tcW w:w="55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30-06-2025</w:t>
            </w:r>
          </w:p>
        </w:tc>
        <w:tc>
          <w:tcPr>
            <w:tcW w:w="55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30-06-2026</w:t>
            </w:r>
          </w:p>
        </w:tc>
        <w:tc>
          <w:tcPr>
            <w:tcW w:w="55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30-06-2025</w:t>
            </w:r>
          </w:p>
        </w:tc>
        <w:tc>
          <w:tcPr>
            <w:tcW w:w="55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30-06-2026</w:t>
            </w:r>
          </w:p>
        </w:tc>
        <w:tc>
          <w:tcPr>
            <w:tcW w:w="55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30-06-2025</w:t>
            </w:r>
          </w:p>
        </w:tc>
        <w:tc>
          <w:tcPr>
            <w:tcW w:w="55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30-06-2026</w:t>
            </w:r>
          </w:p>
        </w:tc>
        <w:tc>
          <w:tcPr>
            <w:tcW w:w="55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30-06-2025</w:t>
            </w:r>
          </w:p>
        </w:tc>
        <w:tc>
          <w:tcPr>
            <w:tcW w:w="1095" w:type="dxa"/>
            <w:vMerge/>
            <w:tcBorders>
              <w:top w:val="nil"/>
              <w:left w:val="single" w:sz="8" w:space="0" w:color="FFFFFF"/>
              <w:bottom w:val="nil"/>
              <w:right w:val="single" w:sz="2" w:space="0" w:color="000000"/>
            </w:tcBorders>
          </w:tcPr>
          <w:p>
            <w:pPr>
              <w:keepNext/>
              <w:pageBreakBefore w:val="0"/>
            </w:pPr>
          </w:p>
        </w:tc>
      </w:tr>
      <w:tr>
        <w:tblPrEx>
          <w:tblW w:w="9240" w:type="dxa"/>
          <w:tblInd w:w="720" w:type="dxa"/>
          <w:tblLayout w:type="fixed"/>
        </w:tblPrEx>
        <w:trPr>
          <w:cantSplit/>
          <w:trHeight w:hRule="auto" w:val="0"/>
        </w:trPr>
        <w:tc>
          <w:tcPr>
            <w:tcW w:w="1485" w:type="dxa"/>
            <w:vMerge/>
            <w:tcBorders>
              <w:top w:val="nil"/>
              <w:left w:val="single" w:sz="2" w:space="0" w:color="000000"/>
              <w:bottom w:val="single" w:sz="2" w:space="0" w:color="000000"/>
              <w:right w:val="nil"/>
            </w:tcBorders>
          </w:tcPr>
          <w:p>
            <w:pPr>
              <w:keepNext/>
              <w:pageBreakBefore w:val="0"/>
            </w:pPr>
          </w:p>
        </w:tc>
        <w:tc>
          <w:tcPr>
            <w:tcW w:w="55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55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55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55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55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55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55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55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55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55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55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55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9"/>
                <w:u w:val="none"/>
              </w:rPr>
              <w:t>M$</w:t>
            </w:r>
          </w:p>
        </w:tc>
        <w:tc>
          <w:tcPr>
            <w:tcW w:w="1095" w:type="dxa"/>
            <w:vMerge/>
            <w:tcBorders>
              <w:top w:val="nil"/>
              <w:left w:val="single" w:sz="8" w:space="0" w:color="FFFFFF"/>
              <w:bottom w:val="single" w:sz="2" w:space="0" w:color="000000"/>
              <w:right w:val="single" w:sz="2" w:space="0" w:color="000000"/>
            </w:tcBorders>
          </w:tcPr>
          <w:p>
            <w:pPr>
              <w:keepNext/>
              <w:pageBreakBefore w:val="0"/>
            </w:pPr>
          </w:p>
        </w:tc>
      </w:tr>
      <w:tr>
        <w:tblPrEx>
          <w:tblW w:w="9240" w:type="dxa"/>
          <w:tblInd w:w="720" w:type="dxa"/>
          <w:tblLayout w:type="fixed"/>
        </w:tblPrEx>
        <w:trPr>
          <w:cantSplit/>
          <w:trHeight w:hRule="auto" w:val="0"/>
        </w:trPr>
        <w:tc>
          <w:tcPr>
            <w:tcW w:w="14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9"/>
                <w:u w:val="none"/>
              </w:rPr>
              <w:t>Costo del servicio corriente plan de beneficios definidos.</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14.996</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29.748</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6.578</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2.888</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318</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405</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(59.357)</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(62.836)</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(8.670)</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(5.424)</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(628)</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(646)</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9"/>
                <w:u w:val="none"/>
              </w:rPr>
              <w:t>Costo de ventas - gastos de administración.</w:t>
            </w:r>
          </w:p>
        </w:tc>
      </w:tr>
      <w:tr>
        <w:tblPrEx>
          <w:tblW w:w="9240" w:type="dxa"/>
          <w:tblInd w:w="720" w:type="dxa"/>
          <w:tblLayout w:type="fixed"/>
        </w:tblPrEx>
        <w:trPr>
          <w:cantSplit/>
          <w:trHeight w:hRule="auto" w:val="0"/>
        </w:trPr>
        <w:tc>
          <w:tcPr>
            <w:tcW w:w="14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9"/>
                <w:u w:val="none"/>
              </w:rPr>
              <w:t>Costo por intereses plan de beneficios definidos.</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21.937</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37.030</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1.809</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3.237</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759</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1.014</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(76.969)</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(102.082)</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(7.037)</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(6.740)</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(1.650)</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9"/>
                <w:u w:val="none"/>
              </w:rPr>
              <w:t>(2.500)</w:t>
            </w:r>
          </w:p>
        </w:tc>
        <w:tc>
          <w:tcPr>
            <w:tcW w:w="10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9"/>
                <w:u w:val="none"/>
              </w:rPr>
              <w:t>Costos Financieros.</w:t>
            </w:r>
          </w:p>
        </w:tc>
      </w:tr>
      <w:tr>
        <w:tblPrEx>
          <w:tblW w:w="9240" w:type="dxa"/>
          <w:tblInd w:w="720" w:type="dxa"/>
          <w:tblLayout w:type="fixed"/>
        </w:tblPrEx>
        <w:trPr>
          <w:cantSplit/>
          <w:trHeight w:hRule="auto" w:val="0"/>
        </w:trPr>
        <w:tc>
          <w:tcPr>
            <w:tcW w:w="14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9"/>
                <w:u w:val="none"/>
              </w:rPr>
              <w:t>Total</w:t>
            </w:r>
          </w:p>
        </w:tc>
        <w:tc>
          <w:tcPr>
            <w:tcW w:w="55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36.933</w:t>
            </w:r>
          </w:p>
        </w:tc>
        <w:tc>
          <w:tcPr>
            <w:tcW w:w="55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66.778</w:t>
            </w:r>
          </w:p>
        </w:tc>
        <w:tc>
          <w:tcPr>
            <w:tcW w:w="55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8.387</w:t>
            </w:r>
          </w:p>
        </w:tc>
        <w:tc>
          <w:tcPr>
            <w:tcW w:w="55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6.125</w:t>
            </w:r>
          </w:p>
        </w:tc>
        <w:tc>
          <w:tcPr>
            <w:tcW w:w="55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1.077</w:t>
            </w:r>
          </w:p>
        </w:tc>
        <w:tc>
          <w:tcPr>
            <w:tcW w:w="55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1.419</w:t>
            </w:r>
          </w:p>
        </w:tc>
        <w:tc>
          <w:tcPr>
            <w:tcW w:w="5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(136.326)</w:t>
            </w:r>
          </w:p>
        </w:tc>
        <w:tc>
          <w:tcPr>
            <w:tcW w:w="55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(164.918)</w:t>
            </w:r>
          </w:p>
        </w:tc>
        <w:tc>
          <w:tcPr>
            <w:tcW w:w="55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(15.707)</w:t>
            </w:r>
          </w:p>
        </w:tc>
        <w:tc>
          <w:tcPr>
            <w:tcW w:w="55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(12.164)</w:t>
            </w:r>
          </w:p>
        </w:tc>
        <w:tc>
          <w:tcPr>
            <w:tcW w:w="55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(2.278)</w:t>
            </w:r>
          </w:p>
        </w:tc>
        <w:tc>
          <w:tcPr>
            <w:tcW w:w="55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9"/>
                <w:u w:val="none"/>
              </w:rPr>
              <w:t>(3.146)</w:t>
            </w:r>
          </w:p>
        </w:tc>
        <w:tc>
          <w:tcPr>
            <w:tcW w:w="109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720" w:right="0" w:firstLine="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20" w:right="0" w:firstLine="709"/>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4" w:name="Section71"/>
      <w:bookmarkEnd w:id="134"/>
      <w:bookmarkStart w:id="135" w:name="c7423c5640804542a230e204cd4abc9d"/>
      <w:r>
        <w:rPr>
          <w:rFonts w:ascii="Calibri" w:eastAsia="Calibri" w:hAnsi="Calibri" w:cs="Calibri"/>
          <w:b/>
          <w:i w:val="0"/>
          <w:color w:val="000000"/>
          <w:sz w:val="20"/>
          <w:u w:val="none"/>
        </w:rPr>
        <w:t>16.5.-</w:t>
      </w:r>
      <w:r>
        <w:rPr>
          <w:rFonts w:ascii="Calibri" w:eastAsia="Calibri" w:hAnsi="Calibri" w:cs="Calibri"/>
          <w:b/>
          <w:i w:val="0"/>
          <w:color w:val="000000"/>
          <w:sz w:val="20"/>
          <w:u w:val="none"/>
        </w:rPr>
        <w:tab/>
      </w:r>
      <w:r>
        <w:rPr>
          <w:rFonts w:ascii="Calibri" w:eastAsia="Calibri" w:hAnsi="Calibri" w:cs="Calibri"/>
          <w:b/>
          <w:i w:val="0"/>
          <w:color w:val="000000"/>
          <w:sz w:val="20"/>
          <w:u w:val="none"/>
        </w:rPr>
        <w:t>Hipótesis actuariales.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hipótesis actuariales utilizadas al cierre de estos estados financieros intermedios han sido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520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940"/>
        <w:gridCol w:w="2265"/>
      </w:tblGrid>
      <w:tr>
        <w:tblPrEx>
          <w:tblW w:w="5205" w:type="dxa"/>
          <w:tblInd w:w="1417" w:type="dxa"/>
          <w:tblLayout w:type="fixed"/>
        </w:tblPrEx>
        <w:trPr>
          <w:cantSplit/>
          <w:trHeight w:hRule="auto" w:val="0"/>
        </w:trPr>
        <w:tc>
          <w:tcPr>
            <w:tcW w:w="5205" w:type="dxa"/>
            <w:gridSpan w:val="2"/>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r>
      <w:tr>
        <w:tblPrEx>
          <w:tblW w:w="5205" w:type="dxa"/>
          <w:tblInd w:w="1417" w:type="dxa"/>
          <w:tblLayout w:type="fixed"/>
        </w:tblPrEx>
        <w:trPr>
          <w:cantSplit/>
          <w:trHeight w:hRule="auto" w:val="0"/>
        </w:trPr>
        <w:tc>
          <w:tcPr>
            <w:tcW w:w="294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Tasa de descuento real utilizada.</w:t>
            </w:r>
          </w:p>
        </w:tc>
        <w:tc>
          <w:tcPr>
            <w:tcW w:w="22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2,11 %</w:t>
            </w:r>
          </w:p>
        </w:tc>
      </w:tr>
      <w:tr>
        <w:tblPrEx>
          <w:tblW w:w="5205" w:type="dxa"/>
          <w:tblInd w:w="1417" w:type="dxa"/>
          <w:tblLayout w:type="fixed"/>
        </w:tblPrEx>
        <w:trPr>
          <w:cantSplit/>
          <w:trHeight w:hRule="auto" w:val="0"/>
        </w:trPr>
        <w:tc>
          <w:tcPr>
            <w:tcW w:w="2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Aumento futuros de salarios.</w:t>
            </w:r>
          </w:p>
        </w:tc>
        <w:tc>
          <w:tcPr>
            <w:tcW w:w="22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2,90 %</w:t>
            </w:r>
          </w:p>
        </w:tc>
      </w:tr>
      <w:tr>
        <w:tblPrEx>
          <w:tblW w:w="5205" w:type="dxa"/>
          <w:tblInd w:w="1417" w:type="dxa"/>
          <w:tblLayout w:type="fixed"/>
        </w:tblPrEx>
        <w:trPr>
          <w:cantSplit/>
          <w:trHeight w:hRule="auto" w:val="0"/>
        </w:trPr>
        <w:tc>
          <w:tcPr>
            <w:tcW w:w="2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Tabla de mortalidad.</w:t>
            </w:r>
          </w:p>
        </w:tc>
        <w:tc>
          <w:tcPr>
            <w:tcW w:w="22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RV-2020</w:t>
            </w:r>
          </w:p>
        </w:tc>
      </w:tr>
      <w:tr>
        <w:tblPrEx>
          <w:tblW w:w="5205" w:type="dxa"/>
          <w:tblInd w:w="1417" w:type="dxa"/>
          <w:tblLayout w:type="fixed"/>
        </w:tblPrEx>
        <w:trPr>
          <w:cantSplit/>
          <w:trHeight w:hRule="auto" w:val="0"/>
        </w:trPr>
        <w:tc>
          <w:tcPr>
            <w:tcW w:w="2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Tasa de rotación anual.</w:t>
            </w:r>
          </w:p>
        </w:tc>
        <w:tc>
          <w:tcPr>
            <w:tcW w:w="226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1,65 %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supuestos respecto a la tasa futura de mortalidad se fijan sobre la base de asesoría actuarial de acuerdo con las estadísticas publicadas y con la experiencia en Chile.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cálculo del pasivo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se aplicó la misma metodología utilizada en el ejercicio anterior. Respecto a lo anterior, la Sociedad contrató a Mercer (Argentina) S.A., para la determinación de las obligaciones por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la sensibilidad del valor del pasivo actuarial por beneficios definidos ante variaciones de un 1% en la tasa de descuento genera los siguientes efectos: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10"/>
        <w:gridCol w:w="1605"/>
        <w:gridCol w:w="1605"/>
      </w:tblGrid>
      <w:tr>
        <w:tblPrEx>
          <w:tblW w:w="8520" w:type="dxa"/>
          <w:tblInd w:w="1417" w:type="dxa"/>
          <w:tblLayout w:type="fixed"/>
        </w:tblPrEx>
        <w:trPr>
          <w:cantSplit/>
          <w:trHeight w:hRule="auto" w:val="0"/>
        </w:trPr>
        <w:tc>
          <w:tcPr>
            <w:tcW w:w="53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de la tasa de descuento</w:t>
            </w:r>
          </w:p>
        </w:tc>
        <w:tc>
          <w:tcPr>
            <w:tcW w:w="16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Disminución de 1%</w:t>
            </w:r>
            <w:r>
              <w:br/>
            </w:r>
            <w:r>
              <w:rPr>
                <w:rFonts w:ascii="Calibri" w:eastAsia="Calibri" w:hAnsi="Calibri" w:cs="Calibri"/>
                <w:b/>
                <w:i w:val="0"/>
                <w:color w:val="FFFFFF"/>
                <w:sz w:val="16"/>
                <w:u w:val="none"/>
              </w:rPr>
              <w:t>M$</w:t>
            </w:r>
          </w:p>
        </w:tc>
        <w:tc>
          <w:tcPr>
            <w:tcW w:w="160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Incremento de 1%</w:t>
            </w:r>
            <w:r>
              <w:br/>
            </w:r>
            <w:r>
              <w:rPr>
                <w:rFonts w:ascii="Calibri" w:eastAsia="Calibri" w:hAnsi="Calibri" w:cs="Calibri"/>
                <w:b/>
                <w:i w:val="0"/>
                <w:color w:val="FFFFFF"/>
                <w:sz w:val="16"/>
                <w:u w:val="none"/>
              </w:rPr>
              <w:t>M$</w:t>
            </w:r>
          </w:p>
        </w:tc>
      </w:tr>
      <w:tr>
        <w:tblPrEx>
          <w:tblW w:w="8520" w:type="dxa"/>
          <w:tblInd w:w="1417" w:type="dxa"/>
          <w:tblLayout w:type="fixed"/>
        </w:tblPrEx>
        <w:trPr>
          <w:cantSplit/>
          <w:trHeight w:hRule="auto" w:val="0"/>
        </w:trPr>
        <w:tc>
          <w:tcPr>
            <w:tcW w:w="53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Efecto en las obligaciones por beneficios definidos.</w:t>
            </w:r>
          </w:p>
        </w:tc>
        <w:tc>
          <w:tcPr>
            <w:tcW w:w="16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highlight w:val="white"/>
                <w:u w:val="none"/>
              </w:rPr>
              <w:t>86.836</w:t>
            </w:r>
          </w:p>
        </w:tc>
        <w:tc>
          <w:tcPr>
            <w:tcW w:w="16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highlight w:val="white"/>
                <w:u w:val="none"/>
              </w:rPr>
              <w:t>(77.633)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36" w:name="Section72"/>
      <w:bookmarkEnd w:id="136"/>
      <w:bookmarkStart w:id="137" w:name="d391e089811b4eb69ce7165595b334dc"/>
      <w:r>
        <w:rPr>
          <w:rFonts w:ascii="Calibri" w:eastAsia="Calibri" w:hAnsi="Calibri" w:cs="Calibri"/>
          <w:b/>
          <w:i w:val="0"/>
          <w:color w:val="000000"/>
          <w:sz w:val="20"/>
          <w:u w:val="none"/>
        </w:rPr>
        <w:t>16.6.-</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 y plazo de los compromisos.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flujo previsto de prestaciones para los próximos años es como sigue: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Promedio ponderado de las obligaciones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4"/>
                <w:u w:val="none"/>
              </w:rPr>
              <w:t>Indemnización por años de servicios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4"/>
                <w:u w:val="none"/>
              </w:rPr>
              <w:t>Premios por antigüedad</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4"/>
                <w:u w:val="none"/>
              </w:rPr>
              <w:t>Beneficios post-jubilatorios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4"/>
                <w:u w:val="none"/>
              </w:rPr>
              <w:t>Total</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Años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1 Año.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115.844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12.380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128.224</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2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179.243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21.240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200.483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3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102.067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5.389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21.587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129.043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4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78.620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7.649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86.269</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5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23.592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2.747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26.339</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6 a 10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274.529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38.450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11.052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324.031</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Más de 10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558.109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23.124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581.233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1.332.004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110.979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32.639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1.475.622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Promedio ponderado de las obligaciones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4"/>
                <w:u w:val="none"/>
              </w:rPr>
              <w:t>Indemnización por años de servicios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4"/>
                <w:u w:val="none"/>
              </w:rPr>
              <w:t>Premios por antigüedad</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4"/>
                <w:u w:val="none"/>
              </w:rPr>
              <w:t>Beneficios post-jubilatorios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4"/>
                <w:u w:val="none"/>
              </w:rPr>
              <w:t>Total</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Años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1 Año.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120.194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120.194</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2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104.354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19.568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123.922</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3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173.161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6.958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28.428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208.547</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4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44.736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9.269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54.005</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5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57.219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4.788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62.007</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6 a 10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252.967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37.137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12.383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302.487</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Más de 10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604.087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24.872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4.192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633.151</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1.356.718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102.592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45.003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1.504.313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38" w:name="Section73"/>
      <w:bookmarkEnd w:id="138"/>
      <w:bookmarkStart w:id="139" w:name="3a2b496837774f3f8e5b0395af3eac96"/>
      <w:r>
        <w:rPr>
          <w:rFonts w:ascii="Calibri" w:eastAsia="Calibri" w:hAnsi="Calibri" w:cs="Calibri"/>
          <w:b/>
          <w:i w:val="0"/>
          <w:color w:val="000000"/>
          <w:sz w:val="20"/>
          <w:u w:val="none"/>
        </w:rPr>
        <w:t>17.-</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9"/>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40" w:name="Section74"/>
      <w:bookmarkEnd w:id="140"/>
      <w:bookmarkStart w:id="141" w:name="14541c60986d4dee8e6d4a5f77b3d06b"/>
      <w:r>
        <w:rPr>
          <w:rFonts w:ascii="Calibri" w:eastAsia="Calibri" w:hAnsi="Calibri" w:cs="Calibri"/>
          <w:b/>
          <w:i w:val="0"/>
          <w:color w:val="000000"/>
          <w:sz w:val="20"/>
          <w:u w:val="none"/>
        </w:rPr>
        <w:t>17.1.-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arrendamientos.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141"/>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las obligaciones por arrendamiento y sus plazos de vencimiento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520"/>
        <w:gridCol w:w="1005"/>
        <w:gridCol w:w="1005"/>
        <w:gridCol w:w="1005"/>
        <w:gridCol w:w="1005"/>
        <w:gridCol w:w="1005"/>
        <w:gridCol w:w="1005"/>
      </w:tblGrid>
      <w:tr>
        <w:tblPrEx>
          <w:tblW w:w="8550" w:type="dxa"/>
          <w:tblInd w:w="1417" w:type="dxa"/>
          <w:tblLayout w:type="fixed"/>
        </w:tblPrEx>
        <w:trPr>
          <w:cantSplit/>
          <w:trHeight w:hRule="auto" w:val="0"/>
        </w:trPr>
        <w:tc>
          <w:tcPr>
            <w:tcW w:w="25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Pagos mínimos a pagar por arrendamiento, obligaciones por arrendamientos</w:t>
            </w:r>
          </w:p>
        </w:tc>
        <w:tc>
          <w:tcPr>
            <w:tcW w:w="301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52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Interés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presente</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Interés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presente</w:t>
            </w:r>
          </w:p>
        </w:tc>
      </w:tr>
      <w:tr>
        <w:tblPrEx>
          <w:tblW w:w="8550" w:type="dxa"/>
          <w:tblInd w:w="1417" w:type="dxa"/>
          <w:tblLayout w:type="fixed"/>
        </w:tblPrEx>
        <w:trPr>
          <w:cantSplit/>
          <w:trHeight w:hRule="auto" w:val="0"/>
        </w:trPr>
        <w:tc>
          <w:tcPr>
            <w:tcW w:w="252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90 días hasta 1 año.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525.636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(54.073)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471.563</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1 año hasta 2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256.133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(20.401)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235.732</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2 años hasta 3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120.137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(9.225)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110.912</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3 años hasta 4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51.158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48.884</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953.064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(85.973)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867.091</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financieros por intereses devengados producto de estas obligaciones se revelan en ítem detallado en nota 21.</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tasa de interés aplicada nominal anual para contrato por tipo de bien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17" w:type="dxa"/>
          <w:tblLayout w:type="fixed"/>
        </w:tblPrEx>
        <w:trPr>
          <w:cantSplit/>
          <w:trHeight w:hRule="auto" w:val="0"/>
        </w:trPr>
        <w:tc>
          <w:tcPr>
            <w:tcW w:w="6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sujeto a arrendamiento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Tasas de interés</w:t>
            </w:r>
          </w:p>
        </w:tc>
      </w:tr>
      <w:tr>
        <w:tblPrEx>
          <w:tblW w:w="8520" w:type="dxa"/>
          <w:tblInd w:w="1417" w:type="dxa"/>
          <w:tblLayout w:type="fixed"/>
        </w:tblPrEx>
        <w:trPr>
          <w:cantSplit/>
          <w:trHeight w:hRule="exact" w:val="255"/>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Edificio en arrendamiento.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highlight w:val="white"/>
                <w:u w:val="none"/>
              </w:rPr>
              <w:tab/>
              <w:t>5,74 %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6,66 %</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Vehículos de motor, bajo arrendamiento.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highlight w:val="white"/>
                <w:u w:val="none"/>
              </w:rPr>
              <w:tab/>
              <w:t>7,71 %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u w:val="none"/>
              </w:rPr>
              <w:tab/>
              <w:t>7,71 %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42" w:name="Section75"/>
      <w:bookmarkEnd w:id="142"/>
      <w:bookmarkStart w:id="143" w:name="f39c13315b7c4eed9d591f294d46e67b"/>
      <w:r>
        <w:rPr>
          <w:rFonts w:ascii="Calibri" w:eastAsia="Calibri" w:hAnsi="Calibri" w:cs="Calibri"/>
          <w:b/>
          <w:i w:val="0"/>
          <w:color w:val="000000"/>
          <w:sz w:val="20"/>
          <w:u w:val="none"/>
        </w:rPr>
        <w:t>17.2.-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Activos por derecho de uso.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43"/>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bienes arrendados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795"/>
        <w:gridCol w:w="795"/>
        <w:gridCol w:w="795"/>
        <w:gridCol w:w="795"/>
        <w:gridCol w:w="795"/>
        <w:gridCol w:w="795"/>
      </w:tblGrid>
      <w:tr>
        <w:tblPrEx>
          <w:tblW w:w="8520" w:type="dxa"/>
          <w:tblInd w:w="1440" w:type="dxa"/>
          <w:tblLayout w:type="fixed"/>
        </w:tblPrEx>
        <w:trPr>
          <w:cantSplit/>
          <w:trHeight w:hRule="auto" w:val="0"/>
        </w:trPr>
        <w:tc>
          <w:tcPr>
            <w:tcW w:w="3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385" w:type="dxa"/>
            <w:gridSpan w:val="3"/>
            <w:tcBorders>
              <w:top w:val="single" w:sz="2" w:space="0" w:color="000000"/>
              <w:left w:val="single" w:sz="2" w:space="0" w:color="000000"/>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23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20" w:type="dxa"/>
          <w:tblInd w:w="1440" w:type="dxa"/>
          <w:tblLayout w:type="fixed"/>
        </w:tblPrEx>
        <w:trPr>
          <w:cantSplit/>
          <w:trHeight w:hRule="auto" w:val="0"/>
        </w:trPr>
        <w:tc>
          <w:tcPr>
            <w:tcW w:w="375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equipos en arrendamiento, neto</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bruto</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Depreciación acumulada, amortización y deterioro de valor </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Neto</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bruto</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Depreciación acumulada, amortización y deterioro de valor </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Neto</w:t>
            </w:r>
          </w:p>
        </w:tc>
      </w:tr>
      <w:tr>
        <w:tblPrEx>
          <w:tblW w:w="8520" w:type="dxa"/>
          <w:tblInd w:w="1440"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Edificio en arrendamiento.</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1.888.004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(1.397.101)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490.903</w:t>
            </w:r>
          </w:p>
        </w:tc>
      </w:tr>
      <w:tr>
        <w:tblPrEx>
          <w:tblW w:w="8520" w:type="dxa"/>
          <w:tblInd w:w="1440"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Vehículos de motor, bajo arrendamiento.</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402.186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(226.821)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175.365</w:t>
            </w:r>
          </w:p>
        </w:tc>
      </w:tr>
      <w:tr>
        <w:tblPrEx>
          <w:tblW w:w="8520" w:type="dxa"/>
          <w:tblInd w:w="1440"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2.290.190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(1.623.922)</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666.268</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se deprecian en el plazo remanente de los contratos. La depreciación acumulada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1.623.922</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bienes arrendados corresponden a Oficinas Corporativas y sus dependencias, ubicadas en Presidente Riesco N° 5561 comuna de Las Condes y flota de vehículos.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continuación, se presentan los movimientos por clase de activos originado</w:t>
      </w:r>
      <w:r>
        <w:rPr>
          <w:rFonts w:ascii="Calibri" w:eastAsia="Calibri" w:hAnsi="Calibri" w:cs="Calibri"/>
          <w:b w:val="0"/>
          <w:i w:val="0"/>
          <w:color w:val="000000"/>
          <w:sz w:val="20"/>
          <w:highlight w:val="white"/>
          <w:u w:val="none"/>
        </w:rPr>
        <w:t xml:space="preserve">s en el período terminado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175"/>
        <w:gridCol w:w="1125"/>
        <w:gridCol w:w="1125"/>
        <w:gridCol w:w="1125"/>
      </w:tblGrid>
      <w:tr>
        <w:tblPrEx>
          <w:tblW w:w="8550" w:type="dxa"/>
          <w:tblInd w:w="1417" w:type="dxa"/>
          <w:tblLayout w:type="fixed"/>
        </w:tblPrEx>
        <w:trPr>
          <w:cantSplit/>
          <w:trHeight w:hRule="auto" w:val="0"/>
        </w:trPr>
        <w:tc>
          <w:tcPr>
            <w:tcW w:w="51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año 2026</w:t>
            </w:r>
          </w:p>
        </w:tc>
        <w:tc>
          <w:tcPr>
            <w:tcW w:w="11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Edificios</w:t>
            </w:r>
          </w:p>
        </w:tc>
        <w:tc>
          <w:tcPr>
            <w:tcW w:w="11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Vehículos</w:t>
            </w:r>
          </w:p>
        </w:tc>
        <w:tc>
          <w:tcPr>
            <w:tcW w:w="112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8550" w:type="dxa"/>
          <w:tblInd w:w="1417" w:type="dxa"/>
          <w:tblLayout w:type="fixed"/>
        </w:tblPrEx>
        <w:trPr>
          <w:cantSplit/>
          <w:trHeight w:hRule="auto" w:val="0"/>
        </w:trPr>
        <w:tc>
          <w:tcPr>
            <w:tcW w:w="5175" w:type="dxa"/>
            <w:vMerge/>
            <w:tcBorders>
              <w:top w:val="nil"/>
              <w:left w:val="single" w:sz="2" w:space="0" w:color="000000"/>
              <w:bottom w:val="single" w:sz="2" w:space="0" w:color="000000"/>
              <w:right w:val="nil"/>
            </w:tcBorders>
          </w:tcPr>
          <w:p>
            <w:pPr>
              <w:keepNext/>
              <w:pageBreakBefore w:val="0"/>
            </w:pPr>
          </w:p>
        </w:tc>
        <w:tc>
          <w:tcPr>
            <w:tcW w:w="11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2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51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single" w:sz="8"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2026</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490.903</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175.365</w:t>
            </w:r>
          </w:p>
        </w:tc>
        <w:tc>
          <w:tcPr>
            <w:tcW w:w="11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666.268</w:t>
            </w:r>
          </w:p>
        </w:tc>
      </w:tr>
      <w:tr>
        <w:tblPrEx>
          <w:tblW w:w="8550" w:type="dxa"/>
          <w:tblInd w:w="1417"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Adiciones distintas de las obtenidas mediante combinaciones de negocios.</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w:t>
            </w:r>
          </w:p>
        </w:tc>
      </w:tr>
      <w:tr>
        <w:tblPrEx>
          <w:tblW w:w="8550" w:type="dxa"/>
          <w:tblInd w:w="1417"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Retiros.</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w:t>
            </w:r>
          </w:p>
        </w:tc>
      </w:tr>
      <w:tr>
        <w:tblPrEx>
          <w:tblW w:w="8550" w:type="dxa"/>
          <w:tblInd w:w="1417"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(122.523)</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(20.422)</w:t>
            </w:r>
          </w:p>
        </w:tc>
        <w:tc>
          <w:tcPr>
            <w:tcW w:w="11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(142.945)</w:t>
            </w:r>
          </w:p>
        </w:tc>
      </w:tr>
      <w:tr>
        <w:tblPrEx>
          <w:tblW w:w="8550" w:type="dxa"/>
          <w:tblInd w:w="1417"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30 de junio de 2026</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368.380</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154.943</w:t>
            </w:r>
          </w:p>
        </w:tc>
        <w:tc>
          <w:tcPr>
            <w:tcW w:w="11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523.323</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175"/>
        <w:gridCol w:w="1125"/>
        <w:gridCol w:w="1125"/>
        <w:gridCol w:w="1125"/>
      </w:tblGrid>
      <w:tr>
        <w:tblPrEx>
          <w:tblW w:w="8550" w:type="dxa"/>
          <w:tblInd w:w="1417" w:type="dxa"/>
          <w:tblLayout w:type="fixed"/>
        </w:tblPrEx>
        <w:trPr>
          <w:cantSplit/>
          <w:trHeight w:hRule="auto" w:val="0"/>
        </w:trPr>
        <w:tc>
          <w:tcPr>
            <w:tcW w:w="51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año 2025</w:t>
            </w:r>
          </w:p>
        </w:tc>
        <w:tc>
          <w:tcPr>
            <w:tcW w:w="11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Edificios</w:t>
            </w:r>
          </w:p>
        </w:tc>
        <w:tc>
          <w:tcPr>
            <w:tcW w:w="11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Vehículos</w:t>
            </w:r>
          </w:p>
        </w:tc>
        <w:tc>
          <w:tcPr>
            <w:tcW w:w="112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8550" w:type="dxa"/>
          <w:tblInd w:w="1417" w:type="dxa"/>
          <w:tblLayout w:type="fixed"/>
        </w:tblPrEx>
        <w:trPr>
          <w:cantSplit/>
          <w:trHeight w:hRule="auto" w:val="0"/>
        </w:trPr>
        <w:tc>
          <w:tcPr>
            <w:tcW w:w="5175" w:type="dxa"/>
            <w:vMerge/>
            <w:tcBorders>
              <w:top w:val="nil"/>
              <w:left w:val="single" w:sz="2" w:space="0" w:color="000000"/>
              <w:bottom w:val="single" w:sz="2" w:space="0" w:color="000000"/>
              <w:right w:val="nil"/>
            </w:tcBorders>
          </w:tcPr>
          <w:p>
            <w:pPr>
              <w:keepNext/>
              <w:pageBreakBefore w:val="0"/>
            </w:pPr>
          </w:p>
        </w:tc>
        <w:tc>
          <w:tcPr>
            <w:tcW w:w="11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2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51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2025</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765.539</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257.053</w:t>
            </w:r>
          </w:p>
        </w:tc>
        <w:tc>
          <w:tcPr>
            <w:tcW w:w="11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1.022.592</w:t>
            </w:r>
          </w:p>
        </w:tc>
      </w:tr>
      <w:tr>
        <w:tblPrEx>
          <w:tblW w:w="8550" w:type="dxa"/>
          <w:tblInd w:w="1417"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Adiciones distintas de las obtenidas mediante combinaciones de negocios.</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208.090</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208.090</w:t>
            </w:r>
          </w:p>
        </w:tc>
      </w:tr>
      <w:tr>
        <w:tblPrEx>
          <w:tblW w:w="8550" w:type="dxa"/>
          <w:tblInd w:w="1417"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(482.726)</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(81.688)</w:t>
            </w:r>
          </w:p>
        </w:tc>
        <w:tc>
          <w:tcPr>
            <w:tcW w:w="11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(564.414)</w:t>
            </w:r>
          </w:p>
        </w:tc>
      </w:tr>
      <w:tr>
        <w:tblPrEx>
          <w:tblW w:w="8550" w:type="dxa"/>
          <w:tblInd w:w="1417" w:type="dxa"/>
          <w:tblLayout w:type="fixed"/>
        </w:tblPrEx>
        <w:trPr>
          <w:cantSplit/>
          <w:trHeight w:hRule="auto" w:val="0"/>
        </w:trPr>
        <w:tc>
          <w:tcPr>
            <w:tcW w:w="51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31 de diciembre de 2025</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490.903</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175.365</w:t>
            </w:r>
          </w:p>
        </w:tc>
        <w:tc>
          <w:tcPr>
            <w:tcW w:w="11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666.268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44" w:name="Section76"/>
      <w:bookmarkEnd w:id="144"/>
      <w:bookmarkStart w:id="145" w:name="e4e16a4293e44ca38010ebd450876365"/>
      <w:r>
        <w:rPr>
          <w:rFonts w:ascii="Calibri" w:eastAsia="Calibri" w:hAnsi="Calibri" w:cs="Calibri"/>
          <w:b/>
          <w:i w:val="0"/>
          <w:color w:val="000000"/>
          <w:sz w:val="20"/>
          <w:u w:val="none"/>
        </w:rPr>
        <w:t>18.-</w:t>
      </w:r>
      <w:r>
        <w:rPr>
          <w:rFonts w:ascii="Calibri" w:eastAsia="Calibri" w:hAnsi="Calibri" w:cs="Calibri"/>
          <w:b/>
          <w:i w:val="0"/>
          <w:color w:val="000000"/>
          <w:sz w:val="20"/>
          <w:u w:val="none"/>
        </w:rPr>
        <w:tab/>
      </w:r>
      <w:r>
        <w:rPr>
          <w:rFonts w:ascii="Calibri" w:eastAsia="Calibri" w:hAnsi="Calibri" w:cs="Calibri"/>
          <w:b/>
          <w:i w:val="0"/>
          <w:color w:val="000000"/>
          <w:sz w:val="20"/>
          <w:u w:val="none"/>
        </w:rPr>
        <w:t>PATRIMONIO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5"/>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6" w:name="Section77"/>
      <w:bookmarkEnd w:id="146"/>
      <w:bookmarkStart w:id="147" w:name="6e6e9b0e08604c488629d5b4aaa18855"/>
      <w:r>
        <w:rPr>
          <w:rFonts w:ascii="Calibri" w:eastAsia="Calibri" w:hAnsi="Calibri" w:cs="Calibri"/>
          <w:b/>
          <w:i w:val="0"/>
          <w:color w:val="000000"/>
          <w:sz w:val="20"/>
          <w:u w:val="none"/>
        </w:rPr>
        <w:t>18.1.-</w:t>
      </w:r>
      <w:r>
        <w:rPr>
          <w:rFonts w:ascii="Calibri" w:eastAsia="Calibri" w:hAnsi="Calibri" w:cs="Calibri"/>
          <w:b/>
          <w:i w:val="0"/>
          <w:color w:val="000000"/>
          <w:sz w:val="20"/>
          <w:u w:val="none"/>
        </w:rPr>
        <w:tab/>
      </w:r>
      <w:r>
        <w:rPr>
          <w:rFonts w:ascii="Calibri" w:eastAsia="Calibri" w:hAnsi="Calibri" w:cs="Calibri"/>
          <w:b/>
          <w:i w:val="0"/>
          <w:color w:val="000000"/>
          <w:sz w:val="20"/>
          <w:u w:val="none"/>
        </w:rPr>
        <w:t>Gestión de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objetivos de la Sociedad al administrar el capital son el salvaguardar la capacidad de continuar como empresa en marcha con el propósito de generar retornos a sus accionistas, beneficios a otros grupos de interés y mantener una estructura de capital óptima para reducir el costo del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48" w:name="Section78"/>
      <w:bookmarkEnd w:id="148"/>
      <w:bookmarkStart w:id="149" w:name="52e41a9774f44e2b90d6446629c0edb6"/>
      <w:r>
        <w:rPr>
          <w:rFonts w:ascii="Calibri" w:eastAsia="Calibri" w:hAnsi="Calibri" w:cs="Calibri"/>
          <w:b/>
          <w:i w:val="0"/>
          <w:color w:val="000000"/>
          <w:sz w:val="20"/>
          <w:u w:val="none"/>
        </w:rPr>
        <w:t>18.2.-</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suscrito y pagado.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9"/>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capital suscrito y pagado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 xml:space="preserve">asciende a M$ </w:t>
      </w:r>
      <w:r>
        <w:rPr>
          <w:rFonts w:ascii="Calibri" w:eastAsia="Calibri" w:hAnsi="Calibri" w:cs="Calibri"/>
          <w:b w:val="0"/>
          <w:i w:val="0"/>
          <w:color w:val="000000"/>
          <w:sz w:val="20"/>
          <w:u w:val="none"/>
        </w:rPr>
        <w:t>2.000.000</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50" w:name="Section79"/>
      <w:bookmarkEnd w:id="150"/>
      <w:bookmarkStart w:id="151" w:name="fe4f021c257b4b90962579cd5010370c"/>
      <w:r>
        <w:rPr>
          <w:rFonts w:ascii="Calibri" w:eastAsia="Calibri" w:hAnsi="Calibri" w:cs="Calibri"/>
          <w:b/>
          <w:i w:val="0"/>
          <w:color w:val="000000"/>
          <w:sz w:val="20"/>
          <w:u w:val="none"/>
        </w:rPr>
        <w:t>18.3.-</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de acciones suscritas y pagadas.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el capital de la Sociedad está representado por </w:t>
      </w:r>
      <w:r>
        <w:rPr>
          <w:rFonts w:ascii="Calibri" w:eastAsia="Calibri" w:hAnsi="Calibri" w:cs="Calibri"/>
          <w:b w:val="0"/>
          <w:i w:val="0"/>
          <w:color w:val="000000"/>
          <w:sz w:val="20"/>
          <w:u w:val="none"/>
        </w:rPr>
        <w:t>139.611.343</w:t>
      </w:r>
      <w:r>
        <w:rPr>
          <w:rFonts w:ascii="Calibri" w:eastAsia="Calibri" w:hAnsi="Calibri" w:cs="Calibri"/>
          <w:b w:val="0"/>
          <w:i w:val="0"/>
          <w:color w:val="000000"/>
          <w:sz w:val="20"/>
          <w:u w:val="none"/>
        </w:rPr>
        <w:t xml:space="preserve"> acciones sin valor nominal, de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52" w:name="Section80"/>
      <w:bookmarkEnd w:id="152"/>
      <w:bookmarkStart w:id="153" w:name="668e982861e24c93bec2bb36648886b1"/>
      <w:r>
        <w:rPr>
          <w:rFonts w:ascii="Calibri" w:eastAsia="Calibri" w:hAnsi="Calibri" w:cs="Calibri"/>
          <w:b/>
          <w:i w:val="0"/>
          <w:color w:val="000000"/>
          <w:sz w:val="20"/>
          <w:u w:val="none"/>
        </w:rPr>
        <w:t>18.4.-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Junta Ordinaria de Accionistas de la Sociedad, celebrada en abril de 2025, se informó acerca de la política de reparto de dividendos aprobada por el Directorio para el ejercicio 2025 consistente en la intención de distribuir no menos del 30% de las utilidades líquidas del ejercicio. Se espera proponer un dividendo definitivo a la Junta Ordinaria de Accionistas que las condiciones financieras lo ameriten.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cumplimiento de lo antes señalado quedará condicionado a tener un patrimonio positivo, a las utilidades que realmente se obtengan y asimismo, a la situación de caja.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54" w:name="Section81"/>
      <w:bookmarkEnd w:id="154"/>
      <w:bookmarkStart w:id="155" w:name="96a76414a2124556bc16352c76f671ff"/>
      <w:r>
        <w:rPr>
          <w:rFonts w:ascii="Calibri" w:eastAsia="Calibri" w:hAnsi="Calibri" w:cs="Calibri"/>
          <w:b/>
          <w:i w:val="0"/>
          <w:color w:val="000000"/>
          <w:sz w:val="20"/>
          <w:u w:val="none"/>
        </w:rPr>
        <w:t>18.5.-</w:t>
      </w:r>
      <w:r>
        <w:rPr>
          <w:rFonts w:ascii="Calibri" w:eastAsia="Calibri" w:hAnsi="Calibri" w:cs="Calibri"/>
          <w:b/>
          <w:i w:val="0"/>
          <w:color w:val="000000"/>
          <w:sz w:val="20"/>
          <w:u w:val="none"/>
        </w:rPr>
        <w:tab/>
      </w:r>
      <w:r>
        <w:rPr>
          <w:rFonts w:ascii="Calibri" w:eastAsia="Calibri" w:hAnsi="Calibri" w:cs="Calibri"/>
          <w:b/>
          <w:i w:val="0"/>
          <w:color w:val="000000"/>
          <w:sz w:val="20"/>
          <w:u w:val="none"/>
        </w:rPr>
        <w:t>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ha repartido dividendos en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56" w:name="Section82"/>
      <w:bookmarkEnd w:id="156"/>
      <w:bookmarkStart w:id="157" w:name="fb6c0604ec954482875a89d886f4f763"/>
      <w:r>
        <w:rPr>
          <w:rFonts w:ascii="Calibri" w:eastAsia="Calibri" w:hAnsi="Calibri" w:cs="Calibri"/>
          <w:b/>
          <w:i w:val="0"/>
          <w:color w:val="000000"/>
          <w:sz w:val="20"/>
          <w:u w:val="none"/>
        </w:rPr>
        <w:t>18.6.-</w:t>
      </w:r>
      <w:r>
        <w:rPr>
          <w:rFonts w:ascii="Calibri" w:eastAsia="Calibri" w:hAnsi="Calibri" w:cs="Calibri"/>
          <w:b/>
          <w:i w:val="0"/>
          <w:color w:val="000000"/>
          <w:sz w:val="20"/>
          <w:u w:val="none"/>
        </w:rPr>
        <w:tab/>
      </w:r>
      <w:r>
        <w:rPr>
          <w:rFonts w:ascii="Calibri" w:eastAsia="Calibri" w:hAnsi="Calibri" w:cs="Calibri"/>
          <w:b/>
          <w:i w:val="0"/>
          <w:color w:val="000000"/>
          <w:sz w:val="20"/>
          <w:u w:val="none"/>
        </w:rPr>
        <w:t>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de otras reservas dentro del patrimonio, se incluyen los siguientes conceptos: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18.6.1-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Reservas de ganancias y pérdidas por planes de beneficios definidos.</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 a las variaciones de los valores actuariales de la provisión por beneficios definidos de empleados.</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1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saldos acumulados por la aplicación de la NIC 19 se han reconocido en otros resultados integrales, producto de lo anterior el saldo de estas reservas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ascienden a M$ </w:t>
      </w:r>
      <w:r>
        <w:rPr>
          <w:rFonts w:ascii="Calibri" w:eastAsia="Calibri" w:hAnsi="Calibri" w:cs="Calibri"/>
          <w:b w:val="0"/>
          <w:i w:val="0"/>
          <w:color w:val="000000"/>
          <w:sz w:val="20"/>
          <w:u w:val="none"/>
        </w:rPr>
        <w:t>29.593</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437.335</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ambos saldos netos de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18.6.2.-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Otras 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rubro se incluyen otras reservas que se reconocen de inversiones en asociadas.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58" w:name="Section83"/>
      <w:bookmarkEnd w:id="158"/>
      <w:bookmarkStart w:id="159" w:name="ec1f66ee6e9541628a4f864c7235aad1"/>
      <w:r>
        <w:rPr>
          <w:rFonts w:ascii="Calibri" w:eastAsia="Calibri" w:hAnsi="Calibri" w:cs="Calibri"/>
          <w:b/>
          <w:i w:val="0"/>
          <w:color w:val="000000"/>
          <w:sz w:val="20"/>
          <w:u w:val="none"/>
        </w:rPr>
        <w:t>18.7.-</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del movimiento en reservas de los otros resultados integrales.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9"/>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55"/>
        <w:gridCol w:w="1065"/>
        <w:gridCol w:w="1065"/>
        <w:gridCol w:w="1065"/>
      </w:tblGrid>
      <w:tr>
        <w:tblPrEx>
          <w:tblW w:w="8550" w:type="dxa"/>
          <w:tblInd w:w="1417" w:type="dxa"/>
          <w:tblLayout w:type="fixed"/>
        </w:tblPrEx>
        <w:trPr>
          <w:cantSplit/>
          <w:trHeight w:hRule="auto" w:val="0"/>
          <w:tblHeader/>
        </w:trPr>
        <w:tc>
          <w:tcPr>
            <w:tcW w:w="5355"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de otros resultados integrales al</w:t>
            </w:r>
          </w:p>
        </w:tc>
        <w:tc>
          <w:tcPr>
            <w:tcW w:w="319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8550" w:type="dxa"/>
          <w:tblInd w:w="1417" w:type="dxa"/>
          <w:tblLayout w:type="fixed"/>
        </w:tblPrEx>
        <w:trPr>
          <w:cantSplit/>
          <w:trHeight w:hRule="exact" w:val="405"/>
          <w:tblHeader/>
        </w:trPr>
        <w:tc>
          <w:tcPr>
            <w:tcW w:w="535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Importe bruto</w:t>
            </w:r>
          </w:p>
        </w:tc>
        <w:tc>
          <w:tcPr>
            <w:tcW w:w="10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Efecto tributario</w:t>
            </w:r>
          </w:p>
        </w:tc>
        <w:tc>
          <w:tcPr>
            <w:tcW w:w="106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Importe neto</w:t>
            </w:r>
          </w:p>
        </w:tc>
      </w:tr>
      <w:tr>
        <w:tblPrEx>
          <w:tblW w:w="8550" w:type="dxa"/>
          <w:tblInd w:w="1417" w:type="dxa"/>
          <w:tblLayout w:type="fixed"/>
        </w:tblPrEx>
        <w:trPr>
          <w:cantSplit/>
          <w:trHeight w:hRule="auto" w:val="0"/>
          <w:tblHeader/>
        </w:trPr>
        <w:tc>
          <w:tcPr>
            <w:tcW w:w="5355" w:type="dxa"/>
            <w:vMerge/>
            <w:tcBorders>
              <w:top w:val="nil"/>
              <w:left w:val="single" w:sz="2" w:space="0" w:color="000000"/>
              <w:bottom w:val="single" w:sz="2" w:space="0" w:color="000000"/>
              <w:right w:val="nil"/>
            </w:tcBorders>
          </w:tcPr>
          <w:p>
            <w:pPr>
              <w:keepNext/>
              <w:pageBreakBefore w:val="0"/>
            </w:pP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blHeader/>
        </w:trPr>
        <w:tc>
          <w:tcPr>
            <w:tcW w:w="5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blHeader/>
        </w:trPr>
        <w:tc>
          <w:tcPr>
            <w:tcW w:w="5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 después de impuestos</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exact" w:val="60"/>
          <w:tblHeader/>
        </w:trPr>
        <w:tc>
          <w:tcPr>
            <w:tcW w:w="5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Reservas ganancias o pérdidas actuariales planes beneficios definidos</w:t>
            </w:r>
          </w:p>
        </w:tc>
        <w:tc>
          <w:tcPr>
            <w:tcW w:w="106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Ganancias (pérdidas) por nuevas mediciones de planes de beneficios definidos.</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(558.551)</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150.809</w:t>
            </w: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(407.742)</w:t>
            </w:r>
          </w:p>
        </w:tc>
      </w:tr>
      <w:tr>
        <w:tblPrEx>
          <w:tblW w:w="8550" w:type="dxa"/>
          <w:tblInd w:w="1417" w:type="dxa"/>
          <w:tblLayout w:type="fixed"/>
        </w:tblPrEx>
        <w:trPr>
          <w:cantSplit/>
          <w:trHeight w:hRule="auto" w:val="0"/>
        </w:trPr>
        <w:tc>
          <w:tcPr>
            <w:tcW w:w="5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movimientos del período o ejercicio</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(558.551)</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150.809</w:t>
            </w:r>
          </w:p>
        </w:tc>
        <w:tc>
          <w:tcPr>
            <w:tcW w:w="106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(407.742)</w:t>
            </w:r>
          </w:p>
        </w:tc>
      </w:tr>
      <w:tr>
        <w:tblPrEx>
          <w:tblW w:w="8550" w:type="dxa"/>
          <w:tblInd w:w="1417" w:type="dxa"/>
          <w:tblLayout w:type="fixed"/>
        </w:tblPrEx>
        <w:trPr>
          <w:cantSplit/>
          <w:trHeight w:hRule="auto" w:val="0"/>
        </w:trPr>
        <w:tc>
          <w:tcPr>
            <w:tcW w:w="53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53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resultado integral</w:t>
            </w:r>
          </w:p>
        </w:tc>
        <w:tc>
          <w:tcPr>
            <w:tcW w:w="106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(407.742)</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85"/>
        <w:gridCol w:w="1050"/>
        <w:gridCol w:w="1065"/>
        <w:gridCol w:w="1050"/>
      </w:tblGrid>
      <w:tr>
        <w:tblPrEx>
          <w:tblW w:w="8550" w:type="dxa"/>
          <w:tblInd w:w="1417" w:type="dxa"/>
          <w:tblLayout w:type="fixed"/>
        </w:tblPrEx>
        <w:trPr>
          <w:cantSplit/>
          <w:trHeight w:hRule="auto" w:val="0"/>
          <w:tblHeader/>
        </w:trPr>
        <w:tc>
          <w:tcPr>
            <w:tcW w:w="5385"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de otros resultados integrales al</w:t>
            </w:r>
          </w:p>
        </w:tc>
        <w:tc>
          <w:tcPr>
            <w:tcW w:w="316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8550" w:type="dxa"/>
          <w:tblInd w:w="1417" w:type="dxa"/>
          <w:tblLayout w:type="fixed"/>
        </w:tblPrEx>
        <w:trPr>
          <w:cantSplit/>
          <w:trHeight w:hRule="auto" w:val="0"/>
          <w:tblHeader/>
        </w:trPr>
        <w:tc>
          <w:tcPr>
            <w:tcW w:w="538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05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Importe bruto</w:t>
            </w:r>
          </w:p>
        </w:tc>
        <w:tc>
          <w:tcPr>
            <w:tcW w:w="10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Efecto tributario</w:t>
            </w:r>
          </w:p>
        </w:tc>
        <w:tc>
          <w:tcPr>
            <w:tcW w:w="105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Importe neto</w:t>
            </w:r>
          </w:p>
        </w:tc>
      </w:tr>
      <w:tr>
        <w:tblPrEx>
          <w:tblW w:w="8550" w:type="dxa"/>
          <w:tblInd w:w="1417" w:type="dxa"/>
          <w:tblLayout w:type="fixed"/>
        </w:tblPrEx>
        <w:trPr>
          <w:cantSplit/>
          <w:trHeight w:hRule="auto" w:val="0"/>
          <w:tblHeader/>
        </w:trPr>
        <w:tc>
          <w:tcPr>
            <w:tcW w:w="5385" w:type="dxa"/>
            <w:vMerge/>
            <w:tcBorders>
              <w:top w:val="nil"/>
              <w:left w:val="single" w:sz="2" w:space="0" w:color="000000"/>
              <w:bottom w:val="single" w:sz="2" w:space="0" w:color="000000"/>
              <w:right w:val="nil"/>
            </w:tcBorders>
          </w:tcPr>
          <w:p>
            <w:pPr>
              <w:keepNext/>
              <w:pageBreakBefore w:val="0"/>
            </w:pPr>
          </w:p>
        </w:tc>
        <w:tc>
          <w:tcPr>
            <w:tcW w:w="10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5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blHeader/>
        </w:trPr>
        <w:tc>
          <w:tcPr>
            <w:tcW w:w="53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blHeader/>
        </w:trPr>
        <w:tc>
          <w:tcPr>
            <w:tcW w:w="5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 después de impuestos</w:t>
            </w:r>
          </w:p>
        </w:tc>
        <w:tc>
          <w:tcPr>
            <w:tcW w:w="10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5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1.934.877</w:t>
            </w:r>
          </w:p>
        </w:tc>
      </w:tr>
      <w:tr>
        <w:tblPrEx>
          <w:tblW w:w="8550" w:type="dxa"/>
          <w:tblInd w:w="1417" w:type="dxa"/>
          <w:tblLayout w:type="fixed"/>
        </w:tblPrEx>
        <w:trPr>
          <w:cantSplit/>
          <w:trHeight w:hRule="exact" w:val="60"/>
          <w:tblHeader/>
        </w:trPr>
        <w:tc>
          <w:tcPr>
            <w:tcW w:w="53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Reservas ganancias o pérdidas actuariales planes beneficios definidos</w:t>
            </w:r>
          </w:p>
        </w:tc>
        <w:tc>
          <w:tcPr>
            <w:tcW w:w="105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Ganancias (pérdidas) por nuevas mediciones de planes de beneficios definidos.</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466.243</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(125.886)</w:t>
            </w:r>
          </w:p>
        </w:tc>
        <w:tc>
          <w:tcPr>
            <w:tcW w:w="105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340.357</w:t>
            </w:r>
          </w:p>
        </w:tc>
      </w:tr>
      <w:tr>
        <w:tblPrEx>
          <w:tblW w:w="8550" w:type="dxa"/>
          <w:tblInd w:w="1417" w:type="dxa"/>
          <w:tblLayout w:type="fixed"/>
        </w:tblPrEx>
        <w:trPr>
          <w:cantSplit/>
          <w:trHeight w:hRule="auto" w:val="0"/>
        </w:trPr>
        <w:tc>
          <w:tcPr>
            <w:tcW w:w="5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movimientos del período o ejercicio</w:t>
            </w:r>
          </w:p>
        </w:tc>
        <w:tc>
          <w:tcPr>
            <w:tcW w:w="10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466.243</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(125.886)</w:t>
            </w:r>
          </w:p>
        </w:tc>
        <w:tc>
          <w:tcPr>
            <w:tcW w:w="105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340.357</w:t>
            </w:r>
          </w:p>
        </w:tc>
      </w:tr>
      <w:tr>
        <w:tblPrEx>
          <w:tblW w:w="8550" w:type="dxa"/>
          <w:tblInd w:w="1417" w:type="dxa"/>
          <w:tblLayout w:type="fixed"/>
        </w:tblPrEx>
        <w:trPr>
          <w:cantSplit/>
          <w:trHeight w:hRule="auto" w:val="0"/>
        </w:trPr>
        <w:tc>
          <w:tcPr>
            <w:tcW w:w="53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53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resultado integral</w:t>
            </w:r>
          </w:p>
        </w:tc>
        <w:tc>
          <w:tcPr>
            <w:tcW w:w="105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0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5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2.275.234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60" w:name="Section84"/>
      <w:bookmarkEnd w:id="160"/>
      <w:bookmarkStart w:id="161" w:name="6425411fd35a4808a1226c5c57b37b18"/>
      <w:r>
        <w:rPr>
          <w:rFonts w:ascii="Calibri" w:eastAsia="Calibri" w:hAnsi="Calibri" w:cs="Calibri"/>
          <w:b/>
          <w:i w:val="0"/>
          <w:color w:val="000000"/>
          <w:sz w:val="20"/>
          <w:u w:val="none"/>
        </w:rPr>
        <w:t>19.-</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DE ACTIVIDADES ORDINARIAS.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1"/>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62" w:name="Section85"/>
      <w:bookmarkEnd w:id="162"/>
      <w:bookmarkStart w:id="163" w:name="6d5cfcae99e44e07b3b98d6ad0d4db2c"/>
      <w:r>
        <w:rPr>
          <w:rFonts w:ascii="Calibri" w:eastAsia="Calibri" w:hAnsi="Calibri" w:cs="Calibri"/>
          <w:b/>
          <w:i w:val="0"/>
          <w:color w:val="000000"/>
          <w:sz w:val="20"/>
          <w:u w:val="none"/>
        </w:rPr>
        <w:t>19.1.-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ordinarios.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140"/>
        <w:gridCol w:w="1005"/>
        <w:gridCol w:w="1005"/>
        <w:gridCol w:w="1200"/>
        <w:gridCol w:w="1200"/>
      </w:tblGrid>
      <w:tr>
        <w:tblPrEx>
          <w:tblW w:w="8550" w:type="dxa"/>
          <w:tblInd w:w="1417" w:type="dxa"/>
          <w:tblLayout w:type="fixed"/>
        </w:tblPrEx>
        <w:trPr>
          <w:cantSplit/>
          <w:trHeight w:hRule="auto" w:val="0"/>
        </w:trPr>
        <w:tc>
          <w:tcPr>
            <w:tcW w:w="41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Ingresos de actividades ordinarias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14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1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Prestaciones de servicios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18.472.388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(9.439.605)</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9.298.135</w:t>
            </w:r>
          </w:p>
        </w:tc>
      </w:tr>
      <w:tr>
        <w:tblPrEx>
          <w:tblW w:w="8550" w:type="dxa"/>
          <w:tblInd w:w="1417" w:type="dxa"/>
          <w:tblLayout w:type="fixed"/>
        </w:tblPrEx>
        <w:trPr>
          <w:cantSplit/>
          <w:trHeight w:hRule="auto" w:val="0"/>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Prestación de servicios administrativos.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18.472.388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(9.439.605)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9.298.135</w:t>
            </w:r>
          </w:p>
        </w:tc>
      </w:tr>
      <w:tr>
        <w:tblPrEx>
          <w:tblW w:w="8550" w:type="dxa"/>
          <w:tblInd w:w="1417" w:type="dxa"/>
          <w:tblLayout w:type="fixed"/>
        </w:tblPrEx>
        <w:trPr>
          <w:cantSplit/>
          <w:trHeight w:hRule="auto" w:val="0"/>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18.472.388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(9.439.605)</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9.298.135</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compañía mantiene contratos de prestación de servicios con sus empresas relacionadas, los cuales representan el 100% de sus ingresos.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64" w:name="Section86"/>
      <w:bookmarkEnd w:id="164"/>
      <w:bookmarkStart w:id="165" w:name="9006448aca0640d39c9cf45356637693"/>
      <w:r>
        <w:rPr>
          <w:rFonts w:ascii="Calibri" w:eastAsia="Calibri" w:hAnsi="Calibri" w:cs="Calibri"/>
          <w:b/>
          <w:i w:val="0"/>
          <w:color w:val="000000"/>
          <w:sz w:val="20"/>
          <w:u w:val="none"/>
        </w:rPr>
        <w:t>20.-</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 RESULTADOS RELEVANTES.</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bookmarkEnd w:id="165"/>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del estado de resultados por función por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que se adjunta, se descomponen como se indica en 20.1, 20.2, 20.3 y 20.4.</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30"/>
        <w:gridCol w:w="1005"/>
        <w:gridCol w:w="1005"/>
        <w:gridCol w:w="900"/>
        <w:gridCol w:w="900"/>
      </w:tblGrid>
      <w:tr>
        <w:tblPrEx>
          <w:tblW w:w="9240" w:type="dxa"/>
          <w:tblInd w:w="720" w:type="dxa"/>
          <w:tblLayout w:type="fixed"/>
        </w:tblPrEx>
        <w:trPr>
          <w:cantSplit/>
          <w:trHeight w:hRule="exact" w:val="225"/>
        </w:trPr>
        <w:tc>
          <w:tcPr>
            <w:tcW w:w="54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Gastos por naturaleza del estado de resultados por función</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9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9240" w:type="dxa"/>
          <w:tblInd w:w="720" w:type="dxa"/>
          <w:tblLayout w:type="fixed"/>
        </w:tblPrEx>
        <w:trPr>
          <w:cantSplit/>
          <w:trHeight w:hRule="exact" w:val="225"/>
        </w:trPr>
        <w:tc>
          <w:tcPr>
            <w:tcW w:w="54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9240" w:type="dxa"/>
          <w:tblInd w:w="720" w:type="dxa"/>
          <w:tblLayout w:type="fixed"/>
        </w:tblPrEx>
        <w:trPr>
          <w:cantSplit/>
          <w:trHeight w:hRule="exact" w:val="225"/>
        </w:trPr>
        <w:tc>
          <w:tcPr>
            <w:tcW w:w="54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9240" w:type="dxa"/>
          <w:tblInd w:w="720" w:type="dxa"/>
          <w:tblLayout w:type="fixed"/>
        </w:tblPrEx>
        <w:trPr>
          <w:cantSplit/>
          <w:trHeight w:hRule="auto" w:val="0"/>
        </w:trPr>
        <w:tc>
          <w:tcPr>
            <w:tcW w:w="5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4.149.226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(2.159.444)</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2.150.655</w:t>
            </w:r>
          </w:p>
        </w:tc>
      </w:tr>
      <w:tr>
        <w:tblPrEx>
          <w:tblW w:w="9240" w:type="dxa"/>
          <w:tblInd w:w="720" w:type="dxa"/>
          <w:tblLayout w:type="fixed"/>
        </w:tblPrEx>
        <w:trPr>
          <w:cantSplit/>
          <w:trHeight w:hRule="auto" w:val="0"/>
        </w:trPr>
        <w:tc>
          <w:tcPr>
            <w:tcW w:w="5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12.308.235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(6.442.142)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5.738.129</w:t>
            </w:r>
          </w:p>
        </w:tc>
      </w:tr>
      <w:tr>
        <w:tblPrEx>
          <w:tblW w:w="9240" w:type="dxa"/>
          <w:tblInd w:w="720" w:type="dxa"/>
          <w:tblLayout w:type="fixed"/>
        </w:tblPrEx>
        <w:trPr>
          <w:cantSplit/>
          <w:trHeight w:hRule="auto" w:val="0"/>
        </w:trPr>
        <w:tc>
          <w:tcPr>
            <w:tcW w:w="54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16.457.461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(8.601.586)</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7.888.784</w:t>
            </w:r>
          </w:p>
        </w:tc>
      </w:tr>
    </w:tbl>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66" w:name="Section87"/>
      <w:bookmarkEnd w:id="166"/>
      <w:bookmarkStart w:id="167" w:name="66b2670cc22f4ca69eca06efbaed1a95"/>
      <w:r>
        <w:rPr>
          <w:rFonts w:ascii="Calibri" w:eastAsia="Calibri" w:hAnsi="Calibri" w:cs="Calibri"/>
          <w:b/>
          <w:i w:val="0"/>
          <w:color w:val="000000"/>
          <w:sz w:val="20"/>
          <w:u w:val="none"/>
        </w:rPr>
        <w:t>20.1.-</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por naturaleza.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6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740"/>
        <w:gridCol w:w="1005"/>
        <w:gridCol w:w="1005"/>
        <w:gridCol w:w="900"/>
        <w:gridCol w:w="900"/>
      </w:tblGrid>
      <w:tr>
        <w:tblPrEx>
          <w:tblW w:w="8550" w:type="dxa"/>
          <w:tblInd w:w="1417" w:type="dxa"/>
          <w:tblLayout w:type="fixed"/>
        </w:tblPrEx>
        <w:trPr>
          <w:cantSplit/>
          <w:trHeight w:hRule="exact" w:val="225"/>
        </w:trPr>
        <w:tc>
          <w:tcPr>
            <w:tcW w:w="47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Apertura de gastos por naturaleza</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9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exact" w:val="225"/>
        </w:trPr>
        <w:tc>
          <w:tcPr>
            <w:tcW w:w="474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exact" w:val="225"/>
        </w:trPr>
        <w:tc>
          <w:tcPr>
            <w:tcW w:w="47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Gastos de personal.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13.438.502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(6.970.212)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6.355.805</w:t>
            </w:r>
          </w:p>
        </w:tc>
      </w:tr>
      <w:tr>
        <w:tblPrEx>
          <w:tblW w:w="8550"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Gastos de operación y mantenimiento.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66.108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(48.186)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(136.666)</w:t>
            </w:r>
          </w:p>
        </w:tc>
      </w:tr>
      <w:tr>
        <w:tblPrEx>
          <w:tblW w:w="8550"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Gastos de administración.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2.664.304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(1.435.232)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1.521.688</w:t>
            </w:r>
          </w:p>
        </w:tc>
      </w:tr>
      <w:tr>
        <w:tblPrEx>
          <w:tblW w:w="8550"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288.547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(147.956)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147.957</w:t>
            </w:r>
          </w:p>
        </w:tc>
      </w:tr>
      <w:tr>
        <w:tblPrEx>
          <w:tblW w:w="8550"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16.457.461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(8.601.586)</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7.888.784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68" w:name="Section88"/>
      <w:bookmarkEnd w:id="168"/>
      <w:bookmarkStart w:id="169" w:name="22c8cb8a3d33401586fc4f81cc0f1207"/>
      <w:r>
        <w:rPr>
          <w:rFonts w:ascii="Calibri" w:eastAsia="Calibri" w:hAnsi="Calibri" w:cs="Calibri"/>
          <w:b/>
          <w:i w:val="0"/>
          <w:color w:val="000000"/>
          <w:sz w:val="20"/>
          <w:u w:val="none"/>
        </w:rPr>
        <w:t>20.2.-</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de personal.</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6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740"/>
        <w:gridCol w:w="1005"/>
        <w:gridCol w:w="1005"/>
        <w:gridCol w:w="900"/>
        <w:gridCol w:w="900"/>
      </w:tblGrid>
      <w:tr>
        <w:tblPrEx>
          <w:tblW w:w="8550" w:type="dxa"/>
          <w:tblInd w:w="1417" w:type="dxa"/>
          <w:tblLayout w:type="fixed"/>
        </w:tblPrEx>
        <w:trPr>
          <w:cantSplit/>
          <w:trHeight w:hRule="exact" w:val="225"/>
        </w:trPr>
        <w:tc>
          <w:tcPr>
            <w:tcW w:w="47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Gastos de personal</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9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exact" w:val="225"/>
        </w:trPr>
        <w:tc>
          <w:tcPr>
            <w:tcW w:w="474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exact" w:val="225"/>
        </w:trPr>
        <w:tc>
          <w:tcPr>
            <w:tcW w:w="47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Sueldos y salarios.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5.892.074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11.918.306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6.004.402</w:t>
            </w:r>
          </w:p>
        </w:tc>
      </w:tr>
      <w:tr>
        <w:tblPrEx>
          <w:tblW w:w="8550"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Beneficios a corto plazo a los empleados.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308.211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623.001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238.974</w:t>
            </w:r>
          </w:p>
        </w:tc>
      </w:tr>
      <w:tr>
        <w:tblPrEx>
          <w:tblW w:w="8550"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Beneficios por terminación.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769.927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897.195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112.429</w:t>
            </w:r>
          </w:p>
        </w:tc>
      </w:tr>
      <w:tr>
        <w:tblPrEx>
          <w:tblW w:w="8550"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6.970.212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13.438.502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6.355.805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70" w:name="Section89"/>
      <w:bookmarkEnd w:id="170"/>
      <w:bookmarkStart w:id="171" w:name="076fbf09373a43618af73b5f72303b5a"/>
      <w:r>
        <w:rPr>
          <w:rFonts w:ascii="Calibri" w:eastAsia="Calibri" w:hAnsi="Calibri" w:cs="Calibri"/>
          <w:b/>
          <w:i w:val="0"/>
          <w:color w:val="000000"/>
          <w:sz w:val="20"/>
          <w:u w:val="none"/>
        </w:rPr>
        <w:t>20.3.-</w:t>
      </w:r>
      <w:r>
        <w:rPr>
          <w:rFonts w:ascii="Calibri" w:eastAsia="Calibri" w:hAnsi="Calibri" w:cs="Calibri"/>
          <w:b/>
          <w:i w:val="0"/>
          <w:color w:val="000000"/>
          <w:sz w:val="20"/>
          <w:u w:val="none"/>
        </w:rPr>
        <w:tab/>
      </w:r>
      <w:r>
        <w:rPr>
          <w:rFonts w:ascii="Calibri" w:eastAsia="Calibri" w:hAnsi="Calibri" w:cs="Calibri"/>
          <w:b/>
          <w:i w:val="0"/>
          <w:color w:val="000000"/>
          <w:sz w:val="20"/>
          <w:u w:val="none"/>
        </w:rPr>
        <w:t>Depreciación y amortización.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9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Depreciación y retiros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50.866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(25.433)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25.433</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237.681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(122.523)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122.524</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depreciación</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288.547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(147.956)</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147.957</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72" w:name="Section90"/>
      <w:bookmarkEnd w:id="172"/>
      <w:bookmarkStart w:id="173" w:name="767acd95d2a443348a7a4f85b2b89948"/>
      <w:r>
        <w:rPr>
          <w:rFonts w:ascii="Calibri" w:eastAsia="Calibri" w:hAnsi="Calibri" w:cs="Calibri"/>
          <w:b/>
          <w:i w:val="0"/>
          <w:color w:val="000000"/>
          <w:sz w:val="20"/>
          <w:u w:val="none"/>
        </w:rPr>
        <w:t>20.4.-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ganancias (pérdidas).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9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(pérdidas) ganancias.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(1.991)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(487)</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(178)</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4.513</w:t>
            </w:r>
          </w:p>
        </w:tc>
      </w:tr>
    </w:tbl>
    <w:p>
      <w:pPr>
        <w:pStyle w:val="Normal-wk"/>
        <w:keepNext w:val="0"/>
        <w:keepLines/>
        <w:pageBreakBefore w:val="0"/>
        <w:widowControl w:val="0"/>
        <w:numPr>
          <w:ilvl w:val="0"/>
          <w:numId w:val="0"/>
        </w:numPr>
        <w:tabs>
          <w:tab w:val="left" w:pos="2260"/>
        </w:tabs>
        <w:spacing w:before="0" w:after="0" w:line="288" w:lineRule="auto"/>
        <w:ind w:left="1417"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highlight w:val="white"/>
          <w:u w:val="none"/>
        </w:rPr>
        <w:t xml:space="preserve">             </w:t>
      </w:r>
    </w:p>
    <w:p>
      <w:pPr>
        <w:pStyle w:val="Normal-wk"/>
        <w:keepNext w:val="0"/>
        <w:keepLines/>
        <w:pageBreakBefore w:val="0"/>
        <w:widowControl w:val="0"/>
        <w:numPr>
          <w:ilvl w:val="0"/>
          <w:numId w:val="0"/>
        </w:numPr>
        <w:tabs>
          <w:tab w:val="left" w:pos="2260"/>
        </w:tabs>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 Las otras ganancias pérdidas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corresponden a recuperación de gastos por  </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color w:val="000000"/>
          <w:sz w:val="20"/>
          <w:highlight w:val="white"/>
          <w:u w:val="none"/>
        </w:rPr>
        <w:t xml:space="preserve">   M$ 278 y otros egresos por M$ (100), y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 xml:space="preserve"> corresponden a reembolso de gastos por M$ (1.504). </w:t>
      </w:r>
    </w:p>
    <w:p>
      <w:pPr>
        <w:keepNext w:val="0"/>
        <w:keepLines/>
        <w:pageBreakBefore w:val="0"/>
        <w:widowControl w:val="0"/>
        <w:numPr>
          <w:ilvl w:val="0"/>
          <w:numId w:val="0"/>
        </w:numPr>
        <w:spacing w:before="0" w:after="0" w:line="250" w:lineRule="auto"/>
        <w:ind w:left="1418"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50"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74" w:name="Section91"/>
      <w:bookmarkEnd w:id="174"/>
      <w:bookmarkStart w:id="175" w:name="55a05ac6c3204727a49fbfcac8a89c4a"/>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RESULTADO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75"/>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adjuntos de ingresos financieros, costos financieros, resultados por unidades de reajustes y ganancias (pérdidas) de cambio en moneda extranjera del estado de resultados por función por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40"/>
        <w:gridCol w:w="900"/>
        <w:gridCol w:w="900"/>
        <w:gridCol w:w="900"/>
        <w:gridCol w:w="900"/>
      </w:tblGrid>
      <w:tr>
        <w:tblPrEx>
          <w:tblW w:w="9240" w:type="dxa"/>
          <w:tblInd w:w="720" w:type="dxa"/>
          <w:tblLayout w:type="fixed"/>
        </w:tblPrEx>
        <w:trPr>
          <w:cantSplit/>
          <w:trHeight w:hRule="exact" w:val="255"/>
        </w:trPr>
        <w:tc>
          <w:tcPr>
            <w:tcW w:w="56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Resultado financiero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9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9240" w:type="dxa"/>
          <w:tblInd w:w="720" w:type="dxa"/>
          <w:tblLayout w:type="fixed"/>
        </w:tblPrEx>
        <w:trPr>
          <w:cantSplit/>
          <w:trHeight w:hRule="exact" w:val="255"/>
        </w:trPr>
        <w:tc>
          <w:tcPr>
            <w:tcW w:w="564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9240" w:type="dxa"/>
          <w:tblInd w:w="720" w:type="dxa"/>
          <w:tblLayout w:type="fixed"/>
        </w:tblPrEx>
        <w:trPr>
          <w:cantSplit/>
          <w:trHeight w:hRule="exact" w:val="255"/>
        </w:trPr>
        <w:tc>
          <w:tcPr>
            <w:tcW w:w="564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9240" w:type="dxa"/>
          <w:tblInd w:w="720" w:type="dxa"/>
          <w:tblLayout w:type="fixed"/>
        </w:tblPrEx>
        <w:trPr>
          <w:cantSplit/>
          <w:trHeight w:hRule="exact" w:val="60"/>
        </w:trPr>
        <w:tc>
          <w:tcPr>
            <w:tcW w:w="56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Ingresos financieros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Ingreso por intereses tesorería centralizada.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73.431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-42.917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16.926</w:t>
            </w:r>
          </w:p>
        </w:tc>
      </w:tr>
      <w:tr>
        <w:tblPrEx>
          <w:tblW w:w="9240" w:type="dxa"/>
          <w:tblInd w:w="720" w:type="dxa"/>
          <w:tblLayout w:type="fixed"/>
        </w:tblPrEx>
        <w:trPr>
          <w:cantSplit/>
          <w:trHeight w:hRule="exact" w:val="25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ingresos financieros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73.431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(42.917)</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16.926</w:t>
            </w:r>
          </w:p>
        </w:tc>
      </w:tr>
      <w:tr>
        <w:tblPrEx>
          <w:tblW w:w="9240" w:type="dxa"/>
          <w:tblInd w:w="720" w:type="dxa"/>
          <w:tblLayout w:type="fixed"/>
        </w:tblPrEx>
        <w:trPr>
          <w:cantSplit/>
          <w:trHeight w:hRule="exact" w:val="60"/>
        </w:trPr>
        <w:tc>
          <w:tcPr>
            <w:tcW w:w="56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Costos financieros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Gastos por arrendamientos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(55.797)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17.951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(28.080)</w:t>
            </w:r>
          </w:p>
        </w:tc>
      </w:tr>
      <w:tr>
        <w:tblPrEx>
          <w:tblW w:w="9240" w:type="dxa"/>
          <w:tblInd w:w="720" w:type="dxa"/>
          <w:tblLayout w:type="fixed"/>
        </w:tblPrEx>
        <w:trPr>
          <w:cantSplit/>
          <w:trHeight w:hRule="exact" w:val="25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gastos.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(82.520)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24.551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(41.150)</w:t>
            </w:r>
          </w:p>
        </w:tc>
      </w:tr>
      <w:tr>
        <w:tblPrEx>
          <w:tblW w:w="9240" w:type="dxa"/>
          <w:tblInd w:w="720" w:type="dxa"/>
          <w:tblLayout w:type="fixed"/>
        </w:tblPrEx>
        <w:trPr>
          <w:cantSplit/>
          <w:trHeight w:hRule="exact" w:val="25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costos financieros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(139.570)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42.502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(70.483)</w:t>
            </w:r>
          </w:p>
        </w:tc>
      </w:tr>
      <w:tr>
        <w:tblPrEx>
          <w:tblW w:w="9240" w:type="dxa"/>
          <w:tblInd w:w="720" w:type="dxa"/>
          <w:tblLayout w:type="fixed"/>
        </w:tblPrEx>
        <w:trPr>
          <w:cantSplit/>
          <w:trHeight w:hRule="exact" w:val="60"/>
        </w:trPr>
        <w:tc>
          <w:tcPr>
            <w:tcW w:w="56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ganancias (pérdidas) de cambio en moneda extranjera (Nota 21.1)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9240" w:type="dxa"/>
          <w:tblInd w:w="720" w:type="dxa"/>
          <w:tblLayout w:type="fixed"/>
        </w:tblPrEx>
        <w:trPr>
          <w:cantSplit/>
          <w:trHeight w:hRule="exact" w:val="60"/>
        </w:trPr>
        <w:tc>
          <w:tcPr>
            <w:tcW w:w="56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 xml:space="preserve">Total resultados por unidades de reajuste (Nota 21.2)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(31.124)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4.455</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(13.182)</w:t>
            </w:r>
          </w:p>
        </w:tc>
      </w:tr>
      <w:tr>
        <w:tblPrEx>
          <w:tblW w:w="9240" w:type="dxa"/>
          <w:tblInd w:w="720" w:type="dxa"/>
          <w:tblLayout w:type="fixed"/>
        </w:tblPrEx>
        <w:trPr>
          <w:cantSplit/>
          <w:trHeight w:hRule="exact" w:val="60"/>
        </w:trPr>
        <w:tc>
          <w:tcPr>
            <w:tcW w:w="56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56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(97.263)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4.041</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(66.739)</w:t>
            </w:r>
          </w:p>
        </w:tc>
      </w:tr>
    </w:tbl>
    <w:p>
      <w:pPr>
        <w:keepNext w:val="0"/>
        <w:keepLines/>
        <w:pageBreakBefore w:val="0"/>
        <w:widowControl w:val="0"/>
        <w:numPr>
          <w:ilvl w:val="0"/>
          <w:numId w:val="0"/>
        </w:numPr>
        <w:tabs>
          <w:tab w:val="left" w:pos="2260"/>
        </w:tabs>
        <w:spacing w:before="0" w:after="0" w:line="288" w:lineRule="auto"/>
        <w:ind w:left="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2260"/>
        </w:tabs>
        <w:spacing w:before="0" w:after="0" w:line="240" w:lineRule="exact"/>
        <w:ind w:left="992" w:right="0" w:hanging="284"/>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El ítem otros gastos de los costos financieros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está compuesto por costos de intereses de beneficios al personal en base a NIC 19 por M$ 24.505 y comisiones bancarias por M$ 46.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 xml:space="preserve"> dicho ítem se descompone por costos de intereses de beneficios al personal en base a NIC 19 por               M$ </w:t>
      </w:r>
      <w:r>
        <w:rPr>
          <w:rFonts w:ascii="Calibri" w:eastAsia="Calibri" w:hAnsi="Calibri" w:cs="Calibri"/>
          <w:b w:val="0"/>
          <w:i w:val="0"/>
          <w:color w:val="000000"/>
          <w:sz w:val="20"/>
          <w:highlight w:val="yellow"/>
          <w:u w:val="none"/>
        </w:rPr>
        <w:t>41.281</w:t>
      </w:r>
      <w:r>
        <w:rPr>
          <w:rFonts w:ascii="Calibri" w:eastAsia="Calibri" w:hAnsi="Calibri" w:cs="Calibri"/>
          <w:b w:val="0"/>
          <w:i w:val="0"/>
          <w:color w:val="000000"/>
          <w:sz w:val="20"/>
          <w:highlight w:val="white"/>
          <w:u w:val="none"/>
        </w:rPr>
        <w:t xml:space="preserve">, y comisiones bancarias por </w:t>
      </w:r>
      <w:r>
        <w:rPr>
          <w:rFonts w:ascii="Calibri" w:eastAsia="Calibri" w:hAnsi="Calibri" w:cs="Calibri"/>
          <w:b w:val="0"/>
          <w:i w:val="0"/>
          <w:color w:val="000000"/>
          <w:sz w:val="20"/>
          <w:highlight w:val="yellow"/>
          <w:u w:val="none"/>
        </w:rPr>
        <w:t>M$ 89.</w:t>
      </w: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highlight w:val="yellow"/>
          <w:u w:val="none"/>
        </w:rPr>
      </w:pPr>
      <w:bookmarkStart w:id="176" w:name="Section92"/>
      <w:bookmarkEnd w:id="176"/>
      <w:bookmarkStart w:id="177" w:name="6e050a3a4b0d4a7bbd2b7d0341647d90"/>
      <w:r>
        <w:rPr>
          <w:rFonts w:ascii="Calibri" w:eastAsia="Calibri" w:hAnsi="Calibri" w:cs="Calibri"/>
          <w:b/>
          <w:i w:val="0"/>
          <w:color w:val="000000"/>
          <w:sz w:val="20"/>
          <w:u w:val="none"/>
        </w:rPr>
        <w:t>21.1.-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ganancias (pérdidas) de cambio en moneda extranjera.</w:t>
      </w:r>
      <w:r>
        <w:rPr>
          <w:rFonts w:ascii="Calibri" w:eastAsia="Calibri" w:hAnsi="Calibri" w:cs="Calibri"/>
          <w:b/>
          <w:i w:val="0"/>
          <w:color w:val="000000"/>
          <w:sz w:val="20"/>
          <w:highlight w:val="white"/>
          <w:u w:val="none"/>
        </w:rPr>
        <w:t xml:space="preserve">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de cambio en moneda extranjera.</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9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Diferencias de cambio por pasivos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comerciales y otras cuentas por pagar.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diferencias de cambio por pasivos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w:t>
            </w:r>
          </w:p>
        </w:tc>
        <w:tc>
          <w:tcPr>
            <w:tcW w:w="900" w:type="dxa"/>
            <w:tcBorders>
              <w:top w:val="single" w:sz="2" w:space="0" w:color="000000"/>
              <w:left w:val="single" w:sz="8" w:space="0" w:color="D9D9D9"/>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diferencia de cambios neta</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w:t>
            </w:r>
          </w:p>
        </w:tc>
        <w:tc>
          <w:tcPr>
            <w:tcW w:w="900" w:type="dxa"/>
            <w:tcBorders>
              <w:top w:val="single" w:sz="2" w:space="0" w:color="000000"/>
              <w:left w:val="single" w:sz="8" w:space="0" w:color="D9D9D9"/>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6"/>
          <w:u w:val="none"/>
        </w:rPr>
      </w:pP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6"/>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178" w:name="Section93"/>
      <w:bookmarkEnd w:id="178"/>
      <w:bookmarkStart w:id="179" w:name="5d93b4bb14794657b07320e7801b121d"/>
      <w:r>
        <w:rPr>
          <w:rFonts w:ascii="Calibri" w:eastAsia="Calibri" w:hAnsi="Calibri" w:cs="Calibri"/>
          <w:b/>
          <w:i w:val="0"/>
          <w:color w:val="000000"/>
          <w:sz w:val="20"/>
          <w:u w:val="none"/>
        </w:rPr>
        <w:t>21.2.-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unidades de reajuste.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17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Resultado por unidades de reajuste</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9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Unidades de reajuste por pasivos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(27.071)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2.216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(12.373)</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comerciales y otras cuentas por pagar.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(7.558)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2.239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(4.314)</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unidades de reajuste por pasivos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(34.629)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4.455</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(16.687)</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unidades de reajuste neto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(31.124)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4.455</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(13.182)</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80" w:name="Section94"/>
      <w:bookmarkEnd w:id="180"/>
      <w:bookmarkStart w:id="181" w:name="33868732cb2f4751b5eae2b7858aff4d"/>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1"/>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procedió a calcular y contabilizar el impuesto a la renta con una tasa del 27%, en base a lo dispuesto por la Ley N° 20.780, publicada en el Diario Oficial con fecha 29 de septiembre de 2014. La sociedad se encuentra incorporada al sistema de tributación parcialmente integrado.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2" w:name="Section95"/>
      <w:bookmarkEnd w:id="182"/>
      <w:bookmarkStart w:id="183" w:name="f72f2c3d37f049a9a7e5c155fe40950e"/>
      <w:r>
        <w:rPr>
          <w:rFonts w:ascii="Calibri" w:eastAsia="Calibri" w:hAnsi="Calibri" w:cs="Calibri"/>
          <w:b/>
          <w:i w:val="0"/>
          <w:color w:val="000000"/>
          <w:sz w:val="20"/>
          <w:u w:val="none"/>
        </w:rPr>
        <w:t>22.1.-</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resultados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el periodo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se originó un cargo a resultados por impuesto a las ganancias ascendente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y de M$ </w:t>
      </w:r>
      <w:r>
        <w:rPr>
          <w:rFonts w:ascii="Calibri" w:eastAsia="Calibri" w:hAnsi="Calibri" w:cs="Calibri"/>
          <w:b w:val="0"/>
          <w:i w:val="0"/>
          <w:color w:val="000000"/>
          <w:sz w:val="20"/>
          <w:u w:val="none"/>
        </w:rPr>
        <w:t>2.024</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exact" w:val="225"/>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 ingreso por impuesto a las ganancias por partes corriente y diferida</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9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exact" w:val="225"/>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exact" w:val="225"/>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Impuestos corrientes a las ganancias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ingreso por impuestos corrientes.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(2.031)</w:t>
            </w:r>
          </w:p>
        </w:tc>
        <w:tc>
          <w:tcPr>
            <w:tcW w:w="900"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830</w:t>
            </w:r>
          </w:p>
        </w:tc>
        <w:tc>
          <w:tcPr>
            <w:tcW w:w="900" w:type="dxa"/>
            <w:tcBorders>
              <w:top w:val="single" w:sz="2" w:space="0" w:color="000000"/>
              <w:left w:val="single" w:sz="2" w:space="0" w:color="000000"/>
              <w:bottom w:val="nil"/>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(1.732)</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gasto por impuestos corrientes a las ganancias, neto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(2.024)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830</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(1.725)</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6" w:right="0" w:hanging="708"/>
        <w:jc w:val="both"/>
        <w:outlineLvl w:val="1"/>
        <w:rPr>
          <w:rFonts w:ascii="Times New Roman" w:eastAsia="Times New Roman" w:hAnsi="Times New Roman" w:cs="Times New Roman"/>
          <w:b/>
          <w:i w:val="0"/>
          <w:color w:val="000000"/>
          <w:sz w:val="24"/>
          <w:u w:val="none"/>
        </w:rPr>
      </w:pPr>
      <w:bookmarkStart w:id="184" w:name="Section96"/>
      <w:bookmarkEnd w:id="184"/>
      <w:bookmarkStart w:id="185" w:name="42be77bd80334d72b25aadc918abe559"/>
      <w:r>
        <w:rPr>
          <w:rFonts w:ascii="Calibri" w:eastAsia="Calibri" w:hAnsi="Calibri" w:cs="Calibri"/>
          <w:b/>
          <w:i w:val="0"/>
          <w:color w:val="000000"/>
          <w:sz w:val="20"/>
          <w:u w:val="none"/>
        </w:rPr>
        <w:t>22.2.-</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entre el resultado por impuestos a las ganancias contabilizado y la tasa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cuadro muestra la conciliación entre el impuesto a las ganancias contabilizado y el que resultaría de aplicar la tasa efectiva por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46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580"/>
        <w:gridCol w:w="735"/>
        <w:gridCol w:w="735"/>
        <w:gridCol w:w="735"/>
        <w:gridCol w:w="735"/>
        <w:gridCol w:w="735"/>
        <w:gridCol w:w="735"/>
        <w:gridCol w:w="735"/>
        <w:gridCol w:w="735"/>
      </w:tblGrid>
      <w:tr>
        <w:tblPrEx>
          <w:tblW w:w="8460" w:type="dxa"/>
          <w:tblInd w:w="1417" w:type="dxa"/>
          <w:tblLayout w:type="fixed"/>
        </w:tblPrEx>
        <w:trPr>
          <w:cantSplit/>
          <w:trHeight w:hRule="auto" w:val="0"/>
        </w:trPr>
        <w:tc>
          <w:tcPr>
            <w:tcW w:w="25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Conciliación del gasto por impuestos utilizando la tasa legal con el gasto por impuestos utilizando la tasa efectiva</w:t>
            </w:r>
          </w:p>
        </w:tc>
        <w:tc>
          <w:tcPr>
            <w:tcW w:w="73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3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3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73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73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01-04-2026</w:t>
            </w:r>
          </w:p>
        </w:tc>
        <w:tc>
          <w:tcPr>
            <w:tcW w:w="735" w:type="dxa"/>
            <w:tcBorders>
              <w:top w:val="single" w:sz="2" w:space="0" w:color="000000"/>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01-04-2026</w:t>
            </w:r>
          </w:p>
        </w:tc>
        <w:tc>
          <w:tcPr>
            <w:tcW w:w="735" w:type="dxa"/>
            <w:tcBorders>
              <w:top w:val="single" w:sz="2" w:space="0" w:color="000000"/>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01-04-2025</w:t>
            </w:r>
          </w:p>
        </w:tc>
        <w:tc>
          <w:tcPr>
            <w:tcW w:w="73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01-04-2025</w:t>
            </w:r>
          </w:p>
        </w:tc>
      </w:tr>
      <w:tr>
        <w:tblPrEx>
          <w:tblW w:w="8460" w:type="dxa"/>
          <w:tblInd w:w="1417" w:type="dxa"/>
          <w:tblLayout w:type="fixed"/>
        </w:tblPrEx>
        <w:trPr>
          <w:cantSplit/>
          <w:trHeight w:hRule="auto" w:val="0"/>
        </w:trPr>
        <w:tc>
          <w:tcPr>
            <w:tcW w:w="2580" w:type="dxa"/>
            <w:vMerge/>
            <w:tcBorders>
              <w:top w:val="nil"/>
              <w:left w:val="single" w:sz="2" w:space="0" w:color="000000"/>
              <w:bottom w:val="nil"/>
              <w:right w:val="nil"/>
            </w:tcBorders>
          </w:tcPr>
          <w:p>
            <w:pPr>
              <w:keepNext/>
              <w:pageBreakBefore w:val="0"/>
            </w:pP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3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3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3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3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8460" w:type="dxa"/>
          <w:tblInd w:w="1417" w:type="dxa"/>
          <w:tblLayout w:type="fixed"/>
        </w:tblPrEx>
        <w:trPr>
          <w:cantSplit/>
          <w:trHeight w:hRule="auto" w:val="0"/>
        </w:trPr>
        <w:tc>
          <w:tcPr>
            <w:tcW w:w="2580" w:type="dxa"/>
            <w:vMerge/>
            <w:tcBorders>
              <w:top w:val="nil"/>
              <w:left w:val="single" w:sz="2" w:space="0" w:color="000000"/>
              <w:bottom w:val="single" w:sz="2" w:space="0" w:color="000000"/>
              <w:right w:val="nil"/>
            </w:tcBorders>
          </w:tcPr>
          <w:p>
            <w:pPr>
              <w:keepNext/>
              <w:pageBreakBefore w:val="0"/>
            </w:pP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w:t>
            </w:r>
          </w:p>
        </w:tc>
        <w:tc>
          <w:tcPr>
            <w:tcW w:w="73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w:t>
            </w:r>
          </w:p>
        </w:tc>
        <w:tc>
          <w:tcPr>
            <w:tcW w:w="73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w:t>
            </w:r>
          </w:p>
        </w:tc>
      </w:tr>
      <w:tr>
        <w:tblPrEx>
          <w:tblW w:w="8460" w:type="dxa"/>
          <w:tblInd w:w="1417" w:type="dxa"/>
          <w:tblLayout w:type="fixed"/>
        </w:tblPrEx>
        <w:trPr>
          <w:cantSplit/>
          <w:trHeight w:hRule="exact" w:val="60"/>
        </w:trPr>
        <w:tc>
          <w:tcPr>
            <w:tcW w:w="25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460" w:type="dxa"/>
          <w:tblInd w:w="1417" w:type="dxa"/>
          <w:tblLayout w:type="fixed"/>
        </w:tblPrEx>
        <w:trPr>
          <w:cantSplit/>
          <w:trHeight w:hRule="auto" w:val="0"/>
        </w:trPr>
        <w:tc>
          <w:tcPr>
            <w:tcW w:w="25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contable</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1.936.901</w:t>
            </w:r>
          </w:p>
        </w:tc>
        <w:tc>
          <w:tcPr>
            <w:tcW w:w="7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-840.479</w:t>
            </w:r>
          </w:p>
        </w:tc>
        <w:tc>
          <w:tcPr>
            <w:tcW w:w="7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1.356.790</w:t>
            </w:r>
          </w:p>
        </w:tc>
        <w:tc>
          <w:tcPr>
            <w:tcW w:w="7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r>
      <w:tr>
        <w:tblPrEx>
          <w:tblW w:w="8460" w:type="dxa"/>
          <w:tblInd w:w="1417" w:type="dxa"/>
          <w:tblLayout w:type="fixed"/>
        </w:tblPrEx>
        <w:trPr>
          <w:cantSplit/>
          <w:trHeight w:hRule="exact" w:val="60"/>
        </w:trPr>
        <w:tc>
          <w:tcPr>
            <w:tcW w:w="25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460" w:type="dxa"/>
          <w:tblInd w:w="1417" w:type="dxa"/>
          <w:tblLayout w:type="fixed"/>
        </w:tblPrEx>
        <w:trPr>
          <w:cantSplit/>
          <w:trHeight w:hRule="auto" w:val="0"/>
        </w:trPr>
        <w:tc>
          <w:tcPr>
            <w:tcW w:w="25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de (gasto) ingreso por impuestos a la tasa impositiva aplicable</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i w:val="0"/>
                <w:color w:val="FFFFFF"/>
                <w:sz w:val="12"/>
                <w:u w:val="none"/>
              </w:rPr>
              <w:tab/>
              <w:t>27,0 %</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(522.963)</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365"/>
              </w:tabs>
              <w:spacing w:before="0" w:after="0" w:line="240" w:lineRule="auto"/>
              <w:jc w:val="right"/>
            </w:pPr>
            <w:r>
              <w:rPr>
                <w:rFonts w:ascii="Calibri" w:eastAsia="Calibri" w:hAnsi="Calibri" w:cs="Calibri"/>
                <w:b/>
                <w:i w:val="0"/>
                <w:color w:val="FFFFFF"/>
                <w:sz w:val="12"/>
                <w:u w:val="none"/>
              </w:rPr>
              <w:tab/>
              <w:t>27,0 %</w:t>
              <w:tab/>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226.929</w:t>
            </w:r>
          </w:p>
        </w:tc>
        <w:tc>
          <w:tcPr>
            <w:tcW w:w="735" w:type="dxa"/>
            <w:tcBorders>
              <w:top w:val="single" w:sz="2" w:space="0" w:color="000000"/>
              <w:left w:val="single" w:sz="8" w:space="0" w:color="D9D9D9"/>
              <w:bottom w:val="single" w:sz="2" w:space="0" w:color="000000"/>
              <w:right w:val="nil"/>
            </w:tcBorders>
            <w:tcMar>
              <w:top w:w="0" w:type="dxa"/>
              <w:left w:w="0" w:type="dxa"/>
              <w:bottom w:w="0" w:type="dxa"/>
              <w:right w:w="15" w:type="dxa"/>
            </w:tcMar>
            <w:vAlign w:val="center"/>
          </w:tcPr>
          <w:p>
            <w:pPr>
              <w:keepNext/>
              <w:pageBreakBefore w:val="0"/>
              <w:tabs>
                <w:tab w:val="left" w:pos="1"/>
                <w:tab w:val="left" w:pos="365"/>
              </w:tabs>
              <w:spacing w:before="0" w:after="0" w:line="240" w:lineRule="auto"/>
              <w:jc w:val="right"/>
            </w:pPr>
            <w:r>
              <w:rPr>
                <w:rFonts w:ascii="Calibri" w:eastAsia="Calibri" w:hAnsi="Calibri" w:cs="Calibri"/>
                <w:b/>
                <w:i w:val="0"/>
                <w:color w:val="FFFFFF"/>
                <w:sz w:val="12"/>
                <w:u w:val="none"/>
              </w:rPr>
              <w:tab/>
              <w:t>27,0 %</w:t>
              <w:tab/>
            </w:r>
          </w:p>
        </w:tc>
        <w:tc>
          <w:tcPr>
            <w:tcW w:w="73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-366.333</w:t>
            </w:r>
          </w:p>
        </w:tc>
        <w:tc>
          <w:tcPr>
            <w:tcW w:w="735" w:type="dxa"/>
            <w:tcBorders>
              <w:top w:val="single" w:sz="2" w:space="0" w:color="000000"/>
              <w:left w:val="single" w:sz="8" w:space="0" w:color="D9D9D9"/>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365"/>
              </w:tabs>
              <w:spacing w:before="0" w:after="0" w:line="240" w:lineRule="auto"/>
              <w:jc w:val="right"/>
            </w:pPr>
            <w:r>
              <w:rPr>
                <w:rFonts w:ascii="Calibri" w:eastAsia="Calibri" w:hAnsi="Calibri" w:cs="Calibri"/>
                <w:b/>
                <w:i w:val="0"/>
                <w:color w:val="FFFFFF"/>
                <w:sz w:val="12"/>
                <w:u w:val="none"/>
              </w:rPr>
              <w:tab/>
              <w:t>27,0 %</w:t>
              <w:tab/>
            </w:r>
          </w:p>
        </w:tc>
      </w:tr>
      <w:tr>
        <w:tblPrEx>
          <w:tblW w:w="8460" w:type="dxa"/>
          <w:tblInd w:w="1417" w:type="dxa"/>
          <w:tblLayout w:type="fixed"/>
        </w:tblPrEx>
        <w:trPr>
          <w:cantSplit/>
          <w:trHeight w:hRule="auto" w:val="0"/>
        </w:trPr>
        <w:tc>
          <w:tcPr>
            <w:tcW w:w="25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Efecto fiscal de ingresos de actividades ordinarias exentos de tributación.</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1.707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#DIV/0!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4.382</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339"/>
              </w:tabs>
              <w:spacing w:before="0" w:after="0" w:line="240" w:lineRule="auto"/>
              <w:jc w:val="right"/>
            </w:pPr>
            <w:r>
              <w:rPr>
                <w:rFonts w:ascii="Calibri" w:eastAsia="Calibri" w:hAnsi="Calibri" w:cs="Calibri"/>
                <w:b w:val="0"/>
                <w:i w:val="0"/>
                <w:color w:val="000000"/>
                <w:sz w:val="12"/>
                <w:u w:val="none"/>
              </w:rPr>
              <w:tab/>
              <w:t>(0,2 %)</w:t>
              <w:tab/>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152"/>
              </w:tabs>
              <w:spacing w:before="0" w:after="0" w:line="240" w:lineRule="auto"/>
              <w:jc w:val="right"/>
            </w:pPr>
            <w:r>
              <w:rPr>
                <w:rFonts w:ascii="Calibri" w:eastAsia="Calibri" w:hAnsi="Calibri" w:cs="Calibri"/>
                <w:b w:val="0"/>
                <w:i w:val="0"/>
                <w:color w:val="000000"/>
                <w:sz w:val="12"/>
                <w:u w:val="none"/>
              </w:rPr>
              <w:tab/>
              <w:t xml:space="preserve"> %</w:t>
              <w:tab/>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2.610</w:t>
            </w:r>
          </w:p>
        </w:tc>
        <w:tc>
          <w:tcPr>
            <w:tcW w:w="7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339"/>
              </w:tabs>
              <w:spacing w:before="0" w:after="0" w:line="240" w:lineRule="auto"/>
              <w:jc w:val="right"/>
            </w:pPr>
            <w:r>
              <w:rPr>
                <w:rFonts w:ascii="Calibri" w:eastAsia="Calibri" w:hAnsi="Calibri" w:cs="Calibri"/>
                <w:b w:val="0"/>
                <w:i w:val="0"/>
                <w:color w:val="000000"/>
                <w:sz w:val="12"/>
                <w:u w:val="none"/>
              </w:rPr>
              <w:tab/>
              <w:t>(0,2 %)</w:t>
              <w:tab/>
            </w:r>
          </w:p>
        </w:tc>
      </w:tr>
      <w:tr>
        <w:tblPrEx>
          <w:tblW w:w="8460" w:type="dxa"/>
          <w:tblInd w:w="1417" w:type="dxa"/>
          <w:tblLayout w:type="fixed"/>
        </w:tblPrEx>
        <w:trPr>
          <w:cantSplit/>
          <w:trHeight w:hRule="auto" w:val="0"/>
        </w:trPr>
        <w:tc>
          <w:tcPr>
            <w:tcW w:w="25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Efecto fiscal de gastos no deducibles para la determinación de la ganancia (pérdida) tributable.</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#DIV/0!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986.676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00"/>
              </w:tabs>
              <w:spacing w:before="0" w:after="0" w:line="240" w:lineRule="auto"/>
              <w:jc w:val="right"/>
            </w:pPr>
            <w:r>
              <w:rPr>
                <w:rFonts w:ascii="Calibri" w:eastAsia="Calibri" w:hAnsi="Calibri" w:cs="Calibri"/>
                <w:b w:val="0"/>
                <w:i w:val="0"/>
                <w:color w:val="000000"/>
                <w:sz w:val="12"/>
                <w:u w:val="none"/>
              </w:rPr>
              <w:tab/>
              <w:t>(50,9 %)</w:t>
              <w:tab/>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152"/>
              </w:tabs>
              <w:spacing w:before="0" w:after="0" w:line="240" w:lineRule="auto"/>
              <w:jc w:val="right"/>
            </w:pPr>
            <w:r>
              <w:rPr>
                <w:rFonts w:ascii="Calibri" w:eastAsia="Calibri" w:hAnsi="Calibri" w:cs="Calibri"/>
                <w:b w:val="0"/>
                <w:i w:val="0"/>
                <w:color w:val="000000"/>
                <w:sz w:val="12"/>
                <w:u w:val="none"/>
              </w:rPr>
              <w:tab/>
              <w:t xml:space="preserve"> %</w:t>
              <w:tab/>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838.666</w:t>
            </w:r>
          </w:p>
        </w:tc>
        <w:tc>
          <w:tcPr>
            <w:tcW w:w="7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400"/>
              </w:tabs>
              <w:spacing w:before="0" w:after="0" w:line="240" w:lineRule="auto"/>
              <w:jc w:val="right"/>
            </w:pPr>
            <w:r>
              <w:rPr>
                <w:rFonts w:ascii="Calibri" w:eastAsia="Calibri" w:hAnsi="Calibri" w:cs="Calibri"/>
                <w:b w:val="0"/>
                <w:i w:val="0"/>
                <w:color w:val="000000"/>
                <w:sz w:val="12"/>
                <w:u w:val="none"/>
              </w:rPr>
              <w:tab/>
              <w:t>(61,8 %)</w:t>
              <w:tab/>
            </w:r>
          </w:p>
        </w:tc>
      </w:tr>
      <w:tr>
        <w:tblPrEx>
          <w:tblW w:w="8460" w:type="dxa"/>
          <w:tblInd w:w="1417" w:type="dxa"/>
          <w:tblLayout w:type="fixed"/>
        </w:tblPrEx>
        <w:trPr>
          <w:cantSplit/>
          <w:trHeight w:hRule="auto" w:val="0"/>
        </w:trPr>
        <w:tc>
          <w:tcPr>
            <w:tcW w:w="25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Efecto fiscal de pérdidas fiscales.</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225.795</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#DIV/0!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(470.126)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364"/>
              </w:tabs>
              <w:spacing w:before="0" w:after="0" w:line="240" w:lineRule="auto"/>
              <w:jc w:val="right"/>
            </w:pPr>
            <w:r>
              <w:rPr>
                <w:rFonts w:ascii="Calibri" w:eastAsia="Calibri" w:hAnsi="Calibri" w:cs="Calibri"/>
                <w:b w:val="0"/>
                <w:i w:val="0"/>
                <w:color w:val="000000"/>
                <w:sz w:val="12"/>
                <w:u w:val="none"/>
              </w:rPr>
              <w:tab/>
              <w:t>24,3 %</w:t>
              <w:tab/>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152"/>
              </w:tabs>
              <w:spacing w:before="0" w:after="0" w:line="240" w:lineRule="auto"/>
              <w:jc w:val="right"/>
            </w:pPr>
            <w:r>
              <w:rPr>
                <w:rFonts w:ascii="Calibri" w:eastAsia="Calibri" w:hAnsi="Calibri" w:cs="Calibri"/>
                <w:b w:val="0"/>
                <w:i w:val="0"/>
                <w:color w:val="000000"/>
                <w:sz w:val="12"/>
                <w:u w:val="none"/>
              </w:rPr>
              <w:tab/>
              <w:t xml:space="preserve"> %</w:t>
              <w:tab/>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(476.974)</w:t>
            </w:r>
          </w:p>
        </w:tc>
        <w:tc>
          <w:tcPr>
            <w:tcW w:w="7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364"/>
              </w:tabs>
              <w:spacing w:before="0" w:after="0" w:line="240" w:lineRule="auto"/>
              <w:jc w:val="right"/>
            </w:pPr>
            <w:r>
              <w:rPr>
                <w:rFonts w:ascii="Calibri" w:eastAsia="Calibri" w:hAnsi="Calibri" w:cs="Calibri"/>
                <w:b w:val="0"/>
                <w:i w:val="0"/>
                <w:color w:val="000000"/>
                <w:sz w:val="12"/>
                <w:u w:val="none"/>
              </w:rPr>
              <w:tab/>
              <w:t>35,2 %</w:t>
              <w:tab/>
            </w:r>
          </w:p>
        </w:tc>
      </w:tr>
      <w:tr>
        <w:tblPrEx>
          <w:tblW w:w="8460" w:type="dxa"/>
          <w:tblInd w:w="1417" w:type="dxa"/>
          <w:tblLayout w:type="fixed"/>
        </w:tblPrEx>
        <w:trPr>
          <w:cantSplit/>
          <w:trHeight w:hRule="auto" w:val="0"/>
        </w:trPr>
        <w:tc>
          <w:tcPr>
            <w:tcW w:w="25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efectos fiscales por conciliación entre la ganancia contable y gasto por impuestos (ingreso).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(830)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#DIV/0!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303"/>
              </w:tabs>
              <w:spacing w:before="0" w:after="0" w:line="240" w:lineRule="auto"/>
              <w:jc w:val="right"/>
            </w:pPr>
            <w:r>
              <w:rPr>
                <w:rFonts w:ascii="Calibri" w:eastAsia="Calibri" w:hAnsi="Calibri" w:cs="Calibri"/>
                <w:b w:val="0"/>
                <w:i w:val="0"/>
                <w:color w:val="000000"/>
                <w:sz w:val="12"/>
                <w:u w:val="none"/>
              </w:rPr>
              <w:tab/>
              <w:t>0,0 %</w:t>
              <w:tab/>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303"/>
              </w:tabs>
              <w:spacing w:before="0" w:after="0" w:line="240" w:lineRule="auto"/>
              <w:jc w:val="right"/>
            </w:pPr>
            <w:r>
              <w:rPr>
                <w:rFonts w:ascii="Calibri" w:eastAsia="Calibri" w:hAnsi="Calibri" w:cs="Calibri"/>
                <w:b w:val="0"/>
                <w:i w:val="0"/>
                <w:color w:val="000000"/>
                <w:sz w:val="12"/>
                <w:u w:val="none"/>
              </w:rPr>
              <w:tab/>
              <w:t>0,0 %</w:t>
              <w:tab/>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306</w:t>
            </w:r>
          </w:p>
        </w:tc>
        <w:tc>
          <w:tcPr>
            <w:tcW w:w="73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303"/>
              </w:tabs>
              <w:spacing w:before="0" w:after="0" w:line="240" w:lineRule="auto"/>
              <w:jc w:val="right"/>
            </w:pPr>
            <w:r>
              <w:rPr>
                <w:rFonts w:ascii="Calibri" w:eastAsia="Calibri" w:hAnsi="Calibri" w:cs="Calibri"/>
                <w:b w:val="0"/>
                <w:i w:val="0"/>
                <w:color w:val="000000"/>
                <w:sz w:val="12"/>
                <w:u w:val="none"/>
              </w:rPr>
              <w:tab/>
              <w:t>0,0 %</w:t>
              <w:tab/>
            </w:r>
          </w:p>
        </w:tc>
      </w:tr>
      <w:tr>
        <w:tblPrEx>
          <w:tblW w:w="8460" w:type="dxa"/>
          <w:tblInd w:w="1417" w:type="dxa"/>
          <w:tblLayout w:type="fixed"/>
        </w:tblPrEx>
        <w:trPr>
          <w:cantSplit/>
          <w:trHeight w:hRule="auto" w:val="0"/>
        </w:trPr>
        <w:tc>
          <w:tcPr>
            <w:tcW w:w="25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ajustes al gasto por impuestos utilizando la tasa legal</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226.099</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#DIV/0!</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520.939</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i w:val="0"/>
                <w:color w:val="FFFFFF"/>
                <w:sz w:val="12"/>
                <w:u w:val="none"/>
              </w:rPr>
              <w:tab/>
              <w:t>(26,8 %)</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35" w:type="dxa"/>
            <w:tcBorders>
              <w:top w:val="single" w:sz="2" w:space="0" w:color="000000"/>
              <w:left w:val="single" w:sz="8" w:space="0" w:color="D9D9D9"/>
              <w:bottom w:val="single" w:sz="2" w:space="0" w:color="000000"/>
              <w:right w:val="nil"/>
            </w:tcBorders>
            <w:tcMar>
              <w:top w:w="0" w:type="dxa"/>
              <w:left w:w="0" w:type="dxa"/>
              <w:bottom w:w="0" w:type="dxa"/>
              <w:right w:w="15" w:type="dxa"/>
            </w:tcMar>
            <w:vAlign w:val="center"/>
          </w:tcPr>
          <w:p>
            <w:pPr>
              <w:keepNext/>
              <w:pageBreakBefore w:val="0"/>
              <w:tabs>
                <w:tab w:val="left" w:pos="1"/>
                <w:tab w:val="left" w:pos="152"/>
              </w:tabs>
              <w:spacing w:before="0" w:after="0" w:line="240" w:lineRule="auto"/>
              <w:jc w:val="right"/>
            </w:pPr>
            <w:r>
              <w:rPr>
                <w:rFonts w:ascii="Calibri" w:eastAsia="Calibri" w:hAnsi="Calibri" w:cs="Calibri"/>
                <w:b/>
                <w:i w:val="0"/>
                <w:color w:val="FFFFFF"/>
                <w:sz w:val="12"/>
                <w:u w:val="none"/>
              </w:rPr>
              <w:tab/>
              <w:t xml:space="preserve"> %</w:t>
              <w:tab/>
            </w:r>
          </w:p>
        </w:tc>
        <w:tc>
          <w:tcPr>
            <w:tcW w:w="735" w:type="dxa"/>
            <w:tcBorders>
              <w:top w:val="single" w:sz="2" w:space="0" w:color="000000"/>
              <w:left w:val="single" w:sz="8" w:space="0" w:color="D9D9D9"/>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364.608</w:t>
            </w:r>
          </w:p>
        </w:tc>
        <w:tc>
          <w:tcPr>
            <w:tcW w:w="735" w:type="dxa"/>
            <w:tcBorders>
              <w:top w:val="single" w:sz="2" w:space="0" w:color="000000"/>
              <w:left w:val="single" w:sz="8" w:space="0" w:color="D9D9D9"/>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i w:val="0"/>
                <w:color w:val="FFFFFF"/>
                <w:sz w:val="12"/>
                <w:u w:val="none"/>
              </w:rPr>
              <w:tab/>
              <w:t>(26,8 %)</w:t>
            </w:r>
          </w:p>
        </w:tc>
      </w:tr>
      <w:tr>
        <w:tblPrEx>
          <w:tblW w:w="8460" w:type="dxa"/>
          <w:tblInd w:w="1417" w:type="dxa"/>
          <w:tblLayout w:type="fixed"/>
        </w:tblPrEx>
        <w:trPr>
          <w:cantSplit/>
          <w:trHeight w:hRule="auto" w:val="0"/>
        </w:trPr>
        <w:tc>
          <w:tcPr>
            <w:tcW w:w="25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460" w:type="dxa"/>
          <w:tblInd w:w="1417" w:type="dxa"/>
          <w:tblLayout w:type="fixed"/>
        </w:tblPrEx>
        <w:trPr>
          <w:cantSplit/>
          <w:trHeight w:hRule="auto" w:val="0"/>
        </w:trPr>
        <w:tc>
          <w:tcPr>
            <w:tcW w:w="25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 (Gasto) ingreso por impuestos a las ganancias, operaciones continuadas </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226.099</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spacing w:before="0" w:after="0" w:line="240" w:lineRule="auto"/>
              <w:jc w:val="right"/>
            </w:pPr>
            <w:r>
              <w:rPr>
                <w:rFonts w:ascii="Calibri" w:eastAsia="Calibri" w:hAnsi="Calibri" w:cs="Calibri"/>
                <w:b/>
                <w:i w:val="0"/>
                <w:color w:val="FFFFFF"/>
                <w:sz w:val="12"/>
                <w:u w:val="none"/>
              </w:rPr>
              <w:t>#DIV/0!</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(2.024)</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304"/>
              </w:tabs>
              <w:spacing w:before="0" w:after="0" w:line="240" w:lineRule="auto"/>
              <w:jc w:val="right"/>
            </w:pPr>
            <w:r>
              <w:rPr>
                <w:rFonts w:ascii="Calibri" w:eastAsia="Calibri" w:hAnsi="Calibri" w:cs="Calibri"/>
                <w:b/>
                <w:i w:val="0"/>
                <w:color w:val="FFFFFF"/>
                <w:sz w:val="12"/>
                <w:u w:val="none"/>
              </w:rPr>
              <w:tab/>
              <w:t>0,2 %</w:t>
              <w:tab/>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226.929</w:t>
            </w:r>
          </w:p>
        </w:tc>
        <w:tc>
          <w:tcPr>
            <w:tcW w:w="735" w:type="dxa"/>
            <w:tcBorders>
              <w:top w:val="single" w:sz="2" w:space="0" w:color="000000"/>
              <w:left w:val="single" w:sz="8"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365"/>
              </w:tabs>
              <w:spacing w:before="0" w:after="0" w:line="240" w:lineRule="auto"/>
              <w:jc w:val="right"/>
            </w:pPr>
            <w:r>
              <w:rPr>
                <w:rFonts w:ascii="Calibri" w:eastAsia="Calibri" w:hAnsi="Calibri" w:cs="Calibri"/>
                <w:b/>
                <w:i w:val="0"/>
                <w:color w:val="FFFFFF"/>
                <w:sz w:val="12"/>
                <w:u w:val="none"/>
              </w:rPr>
              <w:tab/>
              <w:t>27,0 %</w:t>
              <w:tab/>
            </w:r>
          </w:p>
        </w:tc>
        <w:tc>
          <w:tcPr>
            <w:tcW w:w="73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(1.725)</w:t>
            </w:r>
          </w:p>
        </w:tc>
        <w:tc>
          <w:tcPr>
            <w:tcW w:w="73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304"/>
              </w:tabs>
              <w:spacing w:before="0" w:after="0" w:line="240" w:lineRule="auto"/>
              <w:jc w:val="right"/>
            </w:pPr>
            <w:r>
              <w:rPr>
                <w:rFonts w:ascii="Calibri" w:eastAsia="Calibri" w:hAnsi="Calibri" w:cs="Calibri"/>
                <w:b/>
                <w:i w:val="0"/>
                <w:color w:val="FFFFFF"/>
                <w:sz w:val="12"/>
                <w:u w:val="none"/>
              </w:rPr>
              <w:tab/>
              <w:t>0,2 %</w:t>
              <w:tab/>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6" w:name="Section97"/>
      <w:bookmarkEnd w:id="186"/>
      <w:bookmarkStart w:id="187" w:name="7e27b011461d480b820713bca63d48c5"/>
      <w:r>
        <w:rPr>
          <w:rFonts w:ascii="Calibri" w:eastAsia="Calibri" w:hAnsi="Calibri" w:cs="Calibri"/>
          <w:b/>
          <w:i w:val="0"/>
          <w:color w:val="000000"/>
          <w:sz w:val="20"/>
          <w:u w:val="none"/>
        </w:rPr>
        <w:t>22.3.-</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los resultados integrales por impuestos a las ganancias.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87"/>
    </w:p>
    <w:tbl>
      <w:tblPr>
        <w:tblW w:w="9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860"/>
        <w:gridCol w:w="600"/>
        <w:gridCol w:w="600"/>
        <w:gridCol w:w="600"/>
        <w:gridCol w:w="600"/>
        <w:gridCol w:w="600"/>
        <w:gridCol w:w="600"/>
        <w:gridCol w:w="600"/>
        <w:gridCol w:w="600"/>
        <w:gridCol w:w="600"/>
        <w:gridCol w:w="600"/>
        <w:gridCol w:w="600"/>
        <w:gridCol w:w="600"/>
      </w:tblGrid>
      <w:tr>
        <w:tblPrEx>
          <w:tblW w:w="9060" w:type="dxa"/>
          <w:tblInd w:w="709" w:type="dxa"/>
          <w:tblLayout w:type="fixed"/>
        </w:tblPrEx>
        <w:trPr>
          <w:cantSplit/>
          <w:trHeight w:hRule="auto" w:val="0"/>
        </w:trPr>
        <w:tc>
          <w:tcPr>
            <w:tcW w:w="18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Importes antes de impuestos</w:t>
            </w:r>
          </w:p>
        </w:tc>
        <w:tc>
          <w:tcPr>
            <w:tcW w:w="1800" w:type="dxa"/>
            <w:gridSpan w:val="3"/>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1800"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1800" w:type="dxa"/>
            <w:gridSpan w:val="3"/>
            <w:tcBorders>
              <w:top w:val="nil"/>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1800" w:type="dxa"/>
            <w:gridSpan w:val="3"/>
            <w:tcBorders>
              <w:top w:val="nil"/>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r>
      <w:tr>
        <w:tblPrEx>
          <w:tblW w:w="9060" w:type="dxa"/>
          <w:tblInd w:w="709" w:type="dxa"/>
          <w:tblLayout w:type="fixed"/>
        </w:tblPrEx>
        <w:trPr>
          <w:cantSplit/>
          <w:trHeight w:hRule="auto" w:val="0"/>
        </w:trPr>
        <w:tc>
          <w:tcPr>
            <w:tcW w:w="1860" w:type="dxa"/>
            <w:vMerge/>
            <w:tcBorders>
              <w:top w:val="nil"/>
              <w:left w:val="single" w:sz="2" w:space="0" w:color="000000"/>
              <w:bottom w:val="nil"/>
              <w:right w:val="single" w:sz="4" w:space="0" w:color="FFFFFF"/>
            </w:tcBorders>
          </w:tcPr>
          <w:p>
            <w:pPr>
              <w:keepNext/>
              <w:pageBreakBefore w:val="0"/>
            </w:pPr>
          </w:p>
        </w:tc>
        <w:tc>
          <w:tcPr>
            <w:tcW w:w="1800" w:type="dxa"/>
            <w:gridSpan w:val="3"/>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1800" w:type="dxa"/>
            <w:gridSpan w:val="3"/>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1800" w:type="dxa"/>
            <w:gridSpan w:val="3"/>
            <w:tcBorders>
              <w:top w:val="nil"/>
              <w:left w:val="nil"/>
              <w:bottom w:val="single" w:sz="8"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1800" w:type="dxa"/>
            <w:gridSpan w:val="3"/>
            <w:tcBorders>
              <w:top w:val="nil"/>
              <w:left w:val="nil"/>
              <w:bottom w:val="single" w:sz="8"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r>
      <w:tr>
        <w:tblPrEx>
          <w:tblW w:w="9060" w:type="dxa"/>
          <w:tblInd w:w="709" w:type="dxa"/>
          <w:tblLayout w:type="fixed"/>
        </w:tblPrEx>
        <w:trPr>
          <w:cantSplit/>
          <w:trHeight w:hRule="auto" w:val="0"/>
        </w:trPr>
        <w:tc>
          <w:tcPr>
            <w:tcW w:w="1860" w:type="dxa"/>
            <w:vMerge/>
            <w:tcBorders>
              <w:top w:val="nil"/>
              <w:left w:val="single" w:sz="2" w:space="0" w:color="000000"/>
              <w:bottom w:val="nil"/>
              <w:right w:val="nil"/>
            </w:tcBorders>
          </w:tcPr>
          <w:p>
            <w:pPr>
              <w:keepNext/>
              <w:pageBreakBefore w:val="0"/>
            </w:pPr>
          </w:p>
        </w:tc>
        <w:tc>
          <w:tcPr>
            <w:tcW w:w="60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antes de impuestos</w:t>
            </w: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Gasto (ingreso) por impuesto a las ganancias</w:t>
            </w: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después de impuestos</w:t>
            </w:r>
          </w:p>
        </w:tc>
        <w:tc>
          <w:tcPr>
            <w:tcW w:w="60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antes de impuestos</w:t>
            </w: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Gasto (ingreso) por impuesto a las ganancias</w:t>
            </w: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después de impuestos</w:t>
            </w:r>
          </w:p>
        </w:tc>
        <w:tc>
          <w:tcPr>
            <w:tcW w:w="600" w:type="dxa"/>
            <w:tcBorders>
              <w:top w:val="nil"/>
              <w:left w:val="single" w:sz="2" w:space="0" w:color="000000"/>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antes de impuestos</w:t>
            </w:r>
          </w:p>
        </w:tc>
        <w:tc>
          <w:tcPr>
            <w:tcW w:w="600"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Gasto (ingreso) por impuesto a las ganancias</w:t>
            </w:r>
          </w:p>
        </w:tc>
        <w:tc>
          <w:tcPr>
            <w:tcW w:w="600"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después de impuestos</w:t>
            </w:r>
          </w:p>
        </w:tc>
        <w:tc>
          <w:tcPr>
            <w:tcW w:w="600" w:type="dxa"/>
            <w:tcBorders>
              <w:top w:val="nil"/>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antes de impuestos</w:t>
            </w:r>
          </w:p>
        </w:tc>
        <w:tc>
          <w:tcPr>
            <w:tcW w:w="600"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Gasto (ingreso) por impuesto a las ganancias</w:t>
            </w:r>
          </w:p>
        </w:tc>
        <w:tc>
          <w:tcPr>
            <w:tcW w:w="60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después de impuestos</w:t>
            </w:r>
          </w:p>
        </w:tc>
      </w:tr>
      <w:tr>
        <w:tblPrEx>
          <w:tblW w:w="9060" w:type="dxa"/>
          <w:tblInd w:w="709" w:type="dxa"/>
          <w:tblLayout w:type="fixed"/>
        </w:tblPrEx>
        <w:trPr>
          <w:cantSplit/>
          <w:trHeight w:hRule="auto" w:val="0"/>
        </w:trPr>
        <w:tc>
          <w:tcPr>
            <w:tcW w:w="1860" w:type="dxa"/>
            <w:vMerge/>
            <w:tcBorders>
              <w:top w:val="nil"/>
              <w:left w:val="single" w:sz="2" w:space="0" w:color="000000"/>
              <w:bottom w:val="single" w:sz="2" w:space="0" w:color="000000"/>
              <w:right w:val="nil"/>
            </w:tcBorders>
          </w:tcPr>
          <w:p>
            <w:pPr>
              <w:keepNext/>
              <w:pageBreakBefore w:val="0"/>
            </w:pP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0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0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0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0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r>
      <w:tr>
        <w:tblPrEx>
          <w:tblW w:w="9060" w:type="dxa"/>
          <w:tblInd w:w="709" w:type="dxa"/>
          <w:tblLayout w:type="fixed"/>
        </w:tblPrEx>
        <w:trPr>
          <w:cantSplit/>
          <w:trHeight w:hRule="auto" w:val="0"/>
        </w:trPr>
        <w:tc>
          <w:tcPr>
            <w:tcW w:w="18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1"/>
                <w:u w:val="none"/>
              </w:rPr>
              <w:t>Ganancias (pérdidas) por nuevas mediciones de planes de beneficios definidos.</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(558.551)</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150.809</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(407.742)</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466.243</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(125.886)</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202.501</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(541.348)</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146.164</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(395.184)</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188.844</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(50.988)</w:t>
            </w:r>
          </w:p>
        </w:tc>
        <w:tc>
          <w:tcPr>
            <w:tcW w:w="6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060" w:type="dxa"/>
          <w:tblInd w:w="709" w:type="dxa"/>
          <w:tblLayout w:type="fixed"/>
        </w:tblPrEx>
        <w:trPr>
          <w:cantSplit/>
          <w:trHeight w:hRule="auto" w:val="0"/>
        </w:trPr>
        <w:tc>
          <w:tcPr>
            <w:tcW w:w="18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Total</w:t>
            </w:r>
          </w:p>
        </w:tc>
        <w:tc>
          <w:tcPr>
            <w:tcW w:w="6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150.809</w:t>
            </w:r>
          </w:p>
        </w:tc>
        <w:tc>
          <w:tcPr>
            <w:tcW w:w="6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(125.886)</w:t>
            </w:r>
          </w:p>
        </w:tc>
        <w:tc>
          <w:tcPr>
            <w:tcW w:w="6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146.164</w:t>
            </w:r>
          </w:p>
        </w:tc>
        <w:tc>
          <w:tcPr>
            <w:tcW w:w="6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(50.988)</w:t>
            </w:r>
          </w:p>
        </w:tc>
        <w:tc>
          <w:tcPr>
            <w:tcW w:w="6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88" w:name="Section98"/>
      <w:bookmarkEnd w:id="188"/>
      <w:bookmarkStart w:id="189" w:name="16f92c37a926478cad5e2ef8bc15db91"/>
      <w:r>
        <w:rPr>
          <w:rFonts w:ascii="Calibri" w:eastAsia="Calibri" w:hAnsi="Calibri" w:cs="Calibri"/>
          <w:b/>
          <w:i w:val="0"/>
          <w:color w:val="000000"/>
          <w:sz w:val="20"/>
          <w:u w:val="none"/>
        </w:rPr>
        <w:t>23.-</w:t>
      </w:r>
      <w:r>
        <w:rPr>
          <w:rFonts w:ascii="Calibri" w:eastAsia="Calibri" w:hAnsi="Calibri" w:cs="Calibri"/>
          <w:b/>
          <w:i w:val="0"/>
          <w:color w:val="000000"/>
          <w:sz w:val="20"/>
          <w:u w:val="none"/>
        </w:rPr>
        <w:tab/>
      </w:r>
      <w:r>
        <w:rPr>
          <w:rFonts w:ascii="Calibri" w:eastAsia="Calibri" w:hAnsi="Calibri" w:cs="Calibri"/>
          <w:b/>
          <w:i w:val="0"/>
          <w:color w:val="000000"/>
          <w:sz w:val="20"/>
          <w:u w:val="none"/>
        </w:rPr>
        <w:t>GANANCIAS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9"/>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utilidad por acción básica se calcula dividiendo la utilidad atribuible a los accionistas de la Sociedad entre el promedio ponderado de las acciones comunes en circulación en el año, excluyendo de existir, las acciones comunes adquiridas por la Sociedad y mantenidas como acciones de tesorería.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45"/>
        <w:gridCol w:w="1005"/>
        <w:gridCol w:w="1005"/>
      </w:tblGrid>
      <w:tr>
        <w:tblPrEx>
          <w:tblW w:w="9255" w:type="dxa"/>
          <w:tblInd w:w="709" w:type="dxa"/>
          <w:tblLayout w:type="fixed"/>
        </w:tblPrEx>
        <w:trPr>
          <w:cantSplit/>
          <w:trHeight w:hRule="auto" w:val="0"/>
        </w:trPr>
        <w:tc>
          <w:tcPr>
            <w:tcW w:w="72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RESULTADOS POR FUNCIÓN</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9255" w:type="dxa"/>
          <w:tblInd w:w="709" w:type="dxa"/>
          <w:tblLayout w:type="fixed"/>
        </w:tblPrEx>
        <w:trPr>
          <w:cantSplit/>
          <w:trHeight w:hRule="auto" w:val="0"/>
        </w:trPr>
        <w:tc>
          <w:tcPr>
            <w:tcW w:w="724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9255" w:type="dxa"/>
          <w:tblInd w:w="709" w:type="dxa"/>
          <w:tblLayout w:type="fixed"/>
        </w:tblPrEx>
        <w:trPr>
          <w:cantSplit/>
          <w:trHeight w:hRule="auto" w:val="0"/>
        </w:trPr>
        <w:tc>
          <w:tcPr>
            <w:tcW w:w="724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9255" w:type="dxa"/>
          <w:tblInd w:w="709" w:type="dxa"/>
          <w:tblLayout w:type="fixed"/>
        </w:tblPrEx>
        <w:trPr>
          <w:cantSplit/>
          <w:trHeight w:hRule="exact" w:val="60"/>
        </w:trPr>
        <w:tc>
          <w:tcPr>
            <w:tcW w:w="72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1.934.877</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 por acción básica y diluidas en operaciones continuadas.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13,86</w:t>
            </w:r>
          </w:p>
        </w:tc>
      </w:tr>
      <w:tr>
        <w:tblPrEx>
          <w:tblW w:w="9255" w:type="dxa"/>
          <w:tblInd w:w="709" w:type="dxa"/>
          <w:tblLayout w:type="fixed"/>
        </w:tblPrEx>
        <w:trPr>
          <w:cantSplit/>
          <w:trHeight w:hRule="auto" w:val="0"/>
        </w:trPr>
        <w:tc>
          <w:tcPr>
            <w:tcW w:w="7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Cantidad de acciones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139.611.343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139.611.343</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transacciones o conceptos que generen efecto dilutivo.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90" w:name="Section99"/>
      <w:bookmarkEnd w:id="190"/>
      <w:bookmarkStart w:id="191" w:name="75c21560da46469398ff5cbc68a85b8f"/>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POR SEGMENTO.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1"/>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92" w:name="Section100"/>
      <w:bookmarkEnd w:id="192"/>
      <w:bookmarkStart w:id="193" w:name="df6c0acba18349cb9bf1e0da62d8bd30"/>
      <w:r>
        <w:rPr>
          <w:rFonts w:ascii="Calibri" w:eastAsia="Calibri" w:hAnsi="Calibri" w:cs="Calibri"/>
          <w:b/>
          <w:i w:val="0"/>
          <w:color w:val="000000"/>
          <w:sz w:val="20"/>
          <w:u w:val="none"/>
        </w:rPr>
        <w:t>24.1.-</w:t>
      </w:r>
      <w:r>
        <w:rPr>
          <w:rFonts w:ascii="Calibri" w:eastAsia="Calibri" w:hAnsi="Calibri" w:cs="Calibri"/>
          <w:b/>
          <w:i w:val="0"/>
          <w:color w:val="000000"/>
          <w:sz w:val="20"/>
          <w:u w:val="none"/>
        </w:rPr>
        <w:tab/>
      </w:r>
      <w:r>
        <w:rPr>
          <w:rFonts w:ascii="Calibri" w:eastAsia="Calibri" w:hAnsi="Calibri" w:cs="Calibri"/>
          <w:b/>
          <w:i w:val="0"/>
          <w:color w:val="000000"/>
          <w:sz w:val="20"/>
          <w:u w:val="none"/>
        </w:rPr>
        <w:t>Criterios de segmentación.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9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gerencia ha determinado los segmentos operativos sobre la base de los informes revisados por el comité ejecutivo estratégico.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comité considera el negocio desde una perspectiva asociada al tipo de servicio o producto vendido (servicios).</w:t>
      </w:r>
    </w:p>
    <w:p>
      <w:pPr>
        <w:pStyle w:val="Prrafodelista1"/>
        <w:keepNext w:val="0"/>
        <w:keepLines/>
        <w:pageBreakBefore w:val="0"/>
        <w:widowControl w:val="0"/>
        <w:numPr>
          <w:ilvl w:val="0"/>
          <w:numId w:val="0"/>
        </w:numPr>
        <w:spacing w:before="0" w:after="0" w:line="240" w:lineRule="exact"/>
        <w:ind w:left="1416" w:right="0" w:firstLine="0"/>
        <w:jc w:val="both"/>
        <w:outlineLvl w:val="9"/>
        <w:rPr>
          <w:rFonts w:ascii="Arial" w:eastAsia="Arial" w:hAnsi="Arial" w:cs="Arial"/>
          <w:b w:val="0"/>
          <w:i w:val="0"/>
          <w:color w:val="000000"/>
          <w:sz w:val="22"/>
          <w:u w:val="none"/>
        </w:rPr>
      </w:pPr>
      <w:r>
        <w:rPr>
          <w:rFonts w:ascii="Calibri" w:eastAsia="Calibri" w:hAnsi="Calibri" w:cs="Calibri"/>
          <w:b w:val="0"/>
          <w:i w:val="0"/>
          <w:color w:val="000000"/>
          <w:sz w:val="20"/>
          <w:u w:val="none"/>
        </w:rPr>
        <w:t xml:space="preserve">Los segmentos operativos reportables derivan sus ingresos principalmente de la prestación de servicios administrativos. </w:t>
      </w:r>
    </w:p>
    <w:p>
      <w:pPr>
        <w:keepNext w:val="0"/>
        <w:keepLines/>
        <w:pageBreakBefore w:val="0"/>
        <w:widowControl w:val="0"/>
        <w:numPr>
          <w:ilvl w:val="0"/>
          <w:numId w:val="0"/>
        </w:numPr>
        <w:spacing w:before="0" w:after="0" w:line="288" w:lineRule="auto"/>
        <w:ind w:left="1416" w:right="0" w:firstLine="0"/>
        <w:jc w:val="both"/>
        <w:outlineLvl w:val="9"/>
        <w:rPr>
          <w:rFonts w:ascii="Arial" w:eastAsia="Arial" w:hAnsi="Arial" w:cs="Arial"/>
          <w:b w:val="0"/>
          <w:i w:val="0"/>
          <w:color w:val="000000"/>
          <w:sz w:val="20"/>
          <w:u w:val="none"/>
        </w:rPr>
      </w:pPr>
    </w:p>
    <w:p>
      <w:pPr>
        <w:pStyle w:val="Prrafodelista1"/>
        <w:keepNext w:val="0"/>
        <w:keepLines/>
        <w:pageBreakBefore w:val="0"/>
        <w:widowControl w:val="0"/>
        <w:numPr>
          <w:ilvl w:val="0"/>
          <w:numId w:val="0"/>
        </w:numPr>
        <w:spacing w:before="0" w:after="0" w:line="240" w:lineRule="exact"/>
        <w:ind w:left="1416" w:right="0" w:firstLine="0"/>
        <w:jc w:val="both"/>
        <w:outlineLvl w:val="9"/>
        <w:rPr>
          <w:rFonts w:ascii="Arial" w:eastAsia="Arial" w:hAnsi="Arial" w:cs="Arial"/>
          <w:b w:val="0"/>
          <w:i w:val="0"/>
          <w:color w:val="000000"/>
          <w:sz w:val="22"/>
          <w:u w:val="none"/>
        </w:rPr>
      </w:pPr>
      <w:r>
        <w:rPr>
          <w:rFonts w:ascii="Calibri" w:eastAsia="Calibri" w:hAnsi="Calibri" w:cs="Calibri"/>
          <w:b w:val="0"/>
          <w:i w:val="0"/>
          <w:color w:val="000000"/>
          <w:sz w:val="20"/>
          <w:u w:val="none"/>
        </w:rPr>
        <w:t>Los indicadores utilizados por el comité ejecutivo para la medición de desempeño y asignación de recursos a cada segmento están vinculados con el margen de cada actividad y su EBITDA (Donde Ebitda se determina como (+) Ganancias (pérdidas) de actividades operacionales (+) Depreciación y retiros (+) Amortización).</w:t>
      </w:r>
    </w:p>
    <w:p>
      <w:pPr>
        <w:keepNext w:val="0"/>
        <w:keepLines/>
        <w:pageBreakBefore w:val="0"/>
        <w:widowControl w:val="0"/>
        <w:numPr>
          <w:ilvl w:val="0"/>
          <w:numId w:val="0"/>
        </w:numPr>
        <w:spacing w:before="0" w:after="0" w:line="288" w:lineRule="auto"/>
        <w:ind w:left="1416" w:right="0" w:firstLine="0"/>
        <w:jc w:val="both"/>
        <w:outlineLvl w:val="9"/>
        <w:rPr>
          <w:rFonts w:ascii="Arial" w:eastAsia="Arial" w:hAnsi="Arial" w:cs="Arial"/>
          <w:b w:val="0"/>
          <w:i w:val="0"/>
          <w:color w:val="000000"/>
          <w:sz w:val="20"/>
          <w:u w:val="none"/>
        </w:rPr>
      </w:pPr>
    </w:p>
    <w:p>
      <w:pPr>
        <w:pStyle w:val="Prrafodelista1"/>
        <w:keepNext w:val="0"/>
        <w:keepLines/>
        <w:pageBreakBefore w:val="0"/>
        <w:widowControl w:val="0"/>
        <w:numPr>
          <w:ilvl w:val="0"/>
          <w:numId w:val="0"/>
        </w:numPr>
        <w:spacing w:before="0" w:after="0" w:line="240" w:lineRule="exact"/>
        <w:ind w:left="1416" w:right="0" w:firstLine="0"/>
        <w:jc w:val="both"/>
        <w:outlineLvl w:val="9"/>
        <w:rPr>
          <w:rFonts w:ascii="Arial" w:eastAsia="Arial" w:hAnsi="Arial" w:cs="Arial"/>
          <w:b w:val="0"/>
          <w:i w:val="0"/>
          <w:color w:val="000000"/>
          <w:sz w:val="22"/>
          <w:u w:val="none"/>
        </w:rPr>
      </w:pPr>
      <w:r>
        <w:rPr>
          <w:rFonts w:ascii="Calibri" w:eastAsia="Calibri" w:hAnsi="Calibri" w:cs="Calibri"/>
          <w:b w:val="0"/>
          <w:i w:val="0"/>
          <w:color w:val="000000"/>
          <w:sz w:val="20"/>
          <w:u w:val="none"/>
        </w:rPr>
        <w:t>La información por segmentos que se entrega al comité ejecutivo estratégico de los segmentos reportables a nivel de estado de resultados por función y el estado de flujo de efectivo, es la siguiente:</w:t>
      </w:r>
    </w:p>
    <w:p>
      <w:pPr>
        <w:keepNext w:val="0"/>
        <w:keepLines/>
        <w:pageBreakBefore w:val="0"/>
        <w:widowControl w:val="0"/>
        <w:numPr>
          <w:ilvl w:val="0"/>
          <w:numId w:val="0"/>
        </w:numPr>
        <w:spacing w:before="0" w:after="0" w:line="240" w:lineRule="auto"/>
        <w:ind w:left="720" w:right="0" w:firstLine="0"/>
        <w:jc w:val="both"/>
        <w:outlineLvl w:val="9"/>
        <w:rPr>
          <w:rFonts w:ascii="Arial" w:eastAsia="Arial" w:hAnsi="Arial" w:cs="Arial"/>
          <w:b w:val="0"/>
          <w:i w:val="0"/>
          <w:color w:val="000000"/>
          <w:sz w:val="22"/>
          <w:u w:val="none"/>
        </w:rPr>
      </w:pPr>
    </w:p>
    <w:p>
      <w:pPr>
        <w:keepNext w:val="0"/>
        <w:keepLines/>
        <w:pageBreakBefore w:val="0"/>
        <w:widowControl w:val="0"/>
        <w:numPr>
          <w:ilvl w:val="0"/>
          <w:numId w:val="0"/>
        </w:numPr>
        <w:spacing w:before="0" w:after="0" w:line="240" w:lineRule="auto"/>
        <w:ind w:left="72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4" w:name="Section101"/>
      <w:bookmarkEnd w:id="194"/>
      <w:bookmarkStart w:id="195" w:name="e96f64cd832a4dc98fbeeb2efe15c04e"/>
      <w:r>
        <w:rPr>
          <w:rFonts w:ascii="Calibri" w:eastAsia="Calibri" w:hAnsi="Calibri" w:cs="Calibri"/>
          <w:b/>
          <w:i w:val="0"/>
          <w:color w:val="000000"/>
          <w:sz w:val="20"/>
          <w:u w:val="none"/>
        </w:rPr>
        <w:t>24.2.-</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de resultados por segmentos.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exact" w:val="225"/>
          <w:tblHeader/>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RESULTADOS POR FUNCIÓN</w:t>
            </w:r>
          </w:p>
        </w:tc>
        <w:tc>
          <w:tcPr>
            <w:tcW w:w="3600" w:type="dxa"/>
            <w:gridSpan w:val="4"/>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Servicios</w:t>
            </w:r>
          </w:p>
        </w:tc>
      </w:tr>
      <w:tr>
        <w:tblPrEx>
          <w:tblW w:w="8550" w:type="dxa"/>
          <w:tblInd w:w="1417" w:type="dxa"/>
          <w:tblLayout w:type="fixed"/>
        </w:tblPrEx>
        <w:trPr>
          <w:cantSplit/>
          <w:trHeight w:hRule="exact" w:val="225"/>
          <w:tblHeader/>
        </w:trPr>
        <w:tc>
          <w:tcPr>
            <w:tcW w:w="4950" w:type="dxa"/>
            <w:vMerge/>
            <w:tcBorders>
              <w:top w:val="nil"/>
              <w:left w:val="single" w:sz="2" w:space="0" w:color="000000"/>
              <w:bottom w:val="nil"/>
              <w:right w:val="nil"/>
            </w:tcBorders>
          </w:tcPr>
          <w:p>
            <w:pPr>
              <w:keepNext/>
              <w:pageBreakBefore w:val="0"/>
            </w:pP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900" w:type="dxa"/>
            <w:tcBorders>
              <w:top w:val="single" w:sz="8" w:space="0" w:color="FFFFFF"/>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90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exact" w:val="225"/>
          <w:tblHeader/>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exact" w:val="225"/>
          <w:tblHeader/>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225"/>
          <w:tblHeader/>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Ingresos de actividades ordinarias.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18.472.388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(9.439.605)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9.298.135</w:t>
            </w:r>
          </w:p>
        </w:tc>
      </w:tr>
      <w:tr>
        <w:tblPrEx>
          <w:tblW w:w="8550" w:type="dxa"/>
          <w:tblInd w:w="1417" w:type="dxa"/>
          <w:tblLayout w:type="fixed"/>
        </w:tblPrEx>
        <w:trPr>
          <w:cantSplit/>
          <w:trHeight w:hRule="exact" w:val="225"/>
          <w:tblHeader/>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(4.149.226)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2.159.444</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(2.150.655)</w:t>
            </w:r>
          </w:p>
        </w:tc>
      </w:tr>
      <w:tr>
        <w:tblPrEx>
          <w:tblW w:w="8550" w:type="dxa"/>
          <w:tblInd w:w="1417" w:type="dxa"/>
          <w:tblLayout w:type="fixed"/>
        </w:tblPrEx>
        <w:trPr>
          <w:cantSplit/>
          <w:trHeight w:hRule="exact" w:val="225"/>
          <w:tblHeader/>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bruta</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14.323.162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(7.280.161)</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7.147.480</w:t>
            </w: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(12.308.235)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6.442.142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(5.738.129)</w:t>
            </w: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ganancias (pérdidas).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4.513</w:t>
            </w: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Ganancias (pérdidas) de actividades operacionales.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2.017.936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(838.197)</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1.413.864</w:t>
            </w: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Ingresos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73.431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(42.917)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16.926</w:t>
            </w: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(139.570)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42.502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(70.483)</w:t>
            </w:r>
          </w:p>
        </w:tc>
      </w:tr>
      <w:tr>
        <w:tblPrEx>
          <w:tblW w:w="8550" w:type="dxa"/>
          <w:tblInd w:w="1417" w:type="dxa"/>
          <w:tblLayout w:type="fixed"/>
        </w:tblPrEx>
        <w:trPr>
          <w:cantSplit/>
          <w:trHeight w:hRule="exact" w:val="34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Participación en ganancia (pérdida) de asociadas y negocios conjuntos que se contabilicen utilizando el método de la participación.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16.228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(6.323)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9.665</w:t>
            </w: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Ganancias (pérdidas) de cambio en moneda extranjera.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Resultados por unidades de reajuste.</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(31.124)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4.455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(13.182)</w:t>
            </w: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 antes de impuesto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1.936.901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(840.479)</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1.356.790</w:t>
            </w:r>
          </w:p>
        </w:tc>
      </w:tr>
      <w:tr>
        <w:tblPrEx>
          <w:tblW w:w="8550" w:type="dxa"/>
          <w:tblInd w:w="1417" w:type="dxa"/>
          <w:tblLayout w:type="fixed"/>
        </w:tblPrEx>
        <w:trPr>
          <w:cantSplit/>
          <w:trHeight w:hRule="exact" w:val="25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 (gasto) por impuestos a las ganancias.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(1.725)</w:t>
            </w: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Ganancia (pérdida)</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1.934.877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(839.649)</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1.355.065</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single" w:sz="2" w:space="0" w:color="000000"/>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 y retiros.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288.547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(147.956)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147.957</w:t>
            </w:r>
          </w:p>
        </w:tc>
      </w:tr>
      <w:tr>
        <w:tblPrEx>
          <w:tblW w:w="8550" w:type="dxa"/>
          <w:tblInd w:w="1417" w:type="dxa"/>
          <w:tblLayout w:type="fixed"/>
        </w:tblPrEx>
        <w:trPr>
          <w:cantSplit/>
          <w:trHeight w:hRule="exact" w:val="225"/>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EBITDA</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2.306.483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(986.153)</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1.561.821</w:t>
            </w:r>
          </w:p>
        </w:tc>
      </w:tr>
    </w:tbl>
    <w:p>
      <w:pPr>
        <w:keepNext/>
        <w:keepLines/>
        <w:pageBreakBefore w:val="0"/>
        <w:widowControl w:val="0"/>
        <w:numPr>
          <w:ilvl w:val="0"/>
          <w:numId w:val="0"/>
        </w:numPr>
        <w:tabs>
          <w:tab w:val="left" w:pos="700"/>
        </w:tabs>
        <w:spacing w:before="0" w:after="0" w:line="288" w:lineRule="auto"/>
        <w:ind w:left="720" w:right="0" w:firstLine="709"/>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720" w:right="0" w:firstLine="709"/>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96" w:name="Section102"/>
      <w:bookmarkEnd w:id="196"/>
      <w:bookmarkStart w:id="197" w:name="4da4d5bc6e4a4f088a5a2049ada2eed0"/>
      <w:r>
        <w:rPr>
          <w:rFonts w:ascii="Calibri" w:eastAsia="Calibri" w:hAnsi="Calibri" w:cs="Calibri"/>
          <w:b/>
          <w:i w:val="0"/>
          <w:color w:val="000000"/>
          <w:sz w:val="20"/>
          <w:u w:val="none"/>
        </w:rPr>
        <w:t>24.3.-</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Flujos de efectivo por segmento por método directo.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50"/>
        <w:gridCol w:w="900"/>
        <w:gridCol w:w="900"/>
      </w:tblGrid>
      <w:tr>
        <w:tblPrEx>
          <w:tblW w:w="8550" w:type="dxa"/>
          <w:tblInd w:w="1417" w:type="dxa"/>
          <w:tblLayout w:type="fixed"/>
        </w:tblPrEx>
        <w:trPr>
          <w:cantSplit/>
          <w:trHeight w:hRule="auto" w:val="0"/>
        </w:trPr>
        <w:tc>
          <w:tcPr>
            <w:tcW w:w="6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FLUJO DE EFECTIVO POR MÉTODO DIRECTO</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Servicios</w:t>
            </w:r>
          </w:p>
        </w:tc>
      </w:tr>
      <w:tr>
        <w:tblPrEx>
          <w:tblW w:w="8550" w:type="dxa"/>
          <w:tblInd w:w="1417" w:type="dxa"/>
          <w:tblLayout w:type="fixed"/>
        </w:tblPrEx>
        <w:trPr>
          <w:cantSplit/>
          <w:trHeight w:hRule="auto" w:val="0"/>
        </w:trPr>
        <w:tc>
          <w:tcPr>
            <w:tcW w:w="67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7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7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operación.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(3.281.190)</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inversión.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3.652.444</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financiación.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(371.643)</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(389)</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 al principio del período o ejercicio.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827</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Efectivo y equivalentes al efectivo al final del período o ejercicio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438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0"/>
        <w:jc w:val="both"/>
        <w:outlineLvl w:val="0"/>
        <w:rPr>
          <w:rFonts w:ascii="Times New Roman" w:eastAsia="Times New Roman" w:hAnsi="Times New Roman" w:cs="Times New Roman"/>
          <w:b/>
          <w:i w:val="0"/>
          <w:color w:val="000000"/>
          <w:sz w:val="24"/>
          <w:u w:val="none"/>
        </w:rPr>
      </w:pPr>
      <w:bookmarkStart w:id="198" w:name="Section103"/>
      <w:bookmarkEnd w:id="198"/>
      <w:bookmarkStart w:id="199" w:name="956dde07375244feabebb500b1b9e3bd"/>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CONTINGENCIAS, JUICIOS Y OTROS.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9"/>
    </w:p>
    <w:p>
      <w:pPr>
        <w:keepNext w:val="0"/>
        <w:keepLines/>
        <w:pageBreakBefore w:val="0"/>
        <w:widowControl w:val="0"/>
        <w:numPr>
          <w:ilvl w:val="0"/>
          <w:numId w:val="0"/>
        </w:numPr>
        <w:spacing w:before="0" w:after="0" w:line="288" w:lineRule="auto"/>
        <w:ind w:left="0" w:right="0" w:firstLine="0"/>
        <w:jc w:val="both"/>
        <w:outlineLvl w:val="9"/>
        <w:sectPr>
          <w:footerReference w:type="default" r:id="rId29"/>
          <w:type w:val="continuous"/>
          <w:pgSz w:w="12240" w:h="15840"/>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00" w:name="Section104"/>
      <w:bookmarkEnd w:id="200"/>
      <w:bookmarkStart w:id="201" w:name="55e6f4b5fdb94db7a44cc9cd7fc4c63b"/>
      <w:r>
        <w:rPr>
          <w:rFonts w:ascii="Calibri" w:eastAsia="Calibri" w:hAnsi="Calibri" w:cs="Calibri"/>
          <w:b/>
          <w:i w:val="0"/>
          <w:color w:val="000000"/>
          <w:sz w:val="20"/>
          <w:u w:val="none"/>
        </w:rPr>
        <w:t>25.1.-</w:t>
      </w:r>
      <w:r>
        <w:rPr>
          <w:rFonts w:ascii="Calibri" w:eastAsia="Calibri" w:hAnsi="Calibri" w:cs="Calibri"/>
          <w:b/>
          <w:i w:val="0"/>
          <w:color w:val="000000"/>
          <w:sz w:val="20"/>
          <w:u w:val="none"/>
        </w:rPr>
        <w:tab/>
      </w:r>
      <w:r>
        <w:rPr>
          <w:rFonts w:ascii="Calibri" w:eastAsia="Calibri" w:hAnsi="Calibri" w:cs="Calibri"/>
          <w:b/>
          <w:i w:val="0"/>
          <w:color w:val="000000"/>
          <w:sz w:val="20"/>
          <w:u w:val="none"/>
        </w:rPr>
        <w:t>Juicios y otras acciones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1"/>
    </w:p>
    <w:p>
      <w:pPr>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 Sociedad no tiene</w:t>
      </w:r>
      <w:r>
        <w:rPr>
          <w:rFonts w:ascii="Calibri" w:eastAsia="Calibri" w:hAnsi="Calibri" w:cs="Calibri"/>
          <w:b w:val="0"/>
          <w:i w:val="0"/>
          <w:color w:val="000000"/>
          <w:sz w:val="20"/>
          <w:highlight w:val="white"/>
          <w:u w:val="none"/>
        </w:rPr>
        <w:t xml:space="preserve"> juicios vigentes por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highlight w:val="white"/>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1416" w:right="0" w:firstLine="1"/>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6" w:right="0" w:firstLine="1"/>
        <w:jc w:val="both"/>
        <w:outlineLvl w:val="9"/>
        <w:sectPr>
          <w:type w:val="continuous"/>
          <w:pgSz w:w="12240" w:h="15840"/>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highlight w:val="white"/>
          <w:u w:val="none"/>
        </w:rPr>
      </w:pPr>
      <w:bookmarkStart w:id="202" w:name="Section105"/>
      <w:bookmarkEnd w:id="202"/>
      <w:bookmarkStart w:id="203" w:name="52f60080f97c444eb6c4ee8edee7b49a"/>
      <w:r>
        <w:rPr>
          <w:rFonts w:ascii="Calibri" w:eastAsia="Calibri" w:hAnsi="Calibri" w:cs="Calibri"/>
          <w:b/>
          <w:i w:val="0"/>
          <w:color w:val="000000"/>
          <w:sz w:val="20"/>
          <w:highlight w:val="white"/>
          <w:u w:val="none"/>
        </w:rPr>
        <w:t>25.2.-</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Sanciones administrativas.</w:t>
      </w:r>
    </w:p>
    <w:p>
      <w:pPr>
        <w:keepNext w:val="0"/>
        <w:keepLines/>
        <w:pageBreakBefore w:val="0"/>
        <w:widowControl w:val="0"/>
        <w:numPr>
          <w:ilvl w:val="0"/>
          <w:numId w:val="0"/>
        </w:numPr>
        <w:spacing w:before="0" w:after="0" w:line="288" w:lineRule="auto"/>
        <w:ind w:left="2269" w:right="0" w:hanging="851"/>
        <w:jc w:val="both"/>
        <w:outlineLvl w:val="9"/>
        <w:rPr>
          <w:rFonts w:ascii="Calibri" w:eastAsia="Calibri" w:hAnsi="Calibri" w:cs="Calibri"/>
          <w:b w:val="0"/>
          <w:i w:val="0"/>
          <w:color w:val="000000"/>
          <w:sz w:val="20"/>
          <w:highlight w:val="white"/>
          <w:u w:val="none"/>
        </w:rPr>
      </w:pPr>
      <w:bookmarkEnd w:id="203"/>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 Sociedad, los Directores y Ejecutivos no han sido sancionados por autoridades administrativas durante el período terminado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0"/>
          <w:cols w:space="708"/>
        </w:sectPr>
      </w:pPr>
    </w:p>
    <w:p>
      <w:pPr>
        <w:pStyle w:val="Heading1-wk"/>
        <w:keepNext/>
        <w:keepLines/>
        <w:pageBreakBefore w:val="0"/>
        <w:widowControl w:val="0"/>
        <w:numPr>
          <w:ilvl w:val="0"/>
          <w:numId w:val="0"/>
        </w:numPr>
        <w:tabs>
          <w:tab w:val="left" w:pos="700"/>
        </w:tabs>
        <w:spacing w:before="0" w:after="0" w:line="240" w:lineRule="exact"/>
        <w:ind w:left="709" w:right="0" w:hanging="709"/>
        <w:jc w:val="both"/>
        <w:outlineLvl w:val="0"/>
        <w:rPr>
          <w:rFonts w:ascii="Cambria" w:eastAsia="Cambria" w:hAnsi="Cambria" w:cs="Cambria"/>
          <w:b/>
          <w:i w:val="0"/>
          <w:color w:val="365F91"/>
          <w:sz w:val="28"/>
          <w:u w:val="none"/>
        </w:rPr>
      </w:pPr>
      <w:bookmarkStart w:id="204" w:name="Section106"/>
      <w:bookmarkEnd w:id="204"/>
      <w:bookmarkStart w:id="205" w:name="bd1d426a4912438db10e4aaaf08babf1"/>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GARANTÍAS COMPROMETIDAS CON TERCEROS, OTROS ACTIVOS Y PASIVOS CONTINGENTES Y OTROS </w:t>
      </w:r>
      <w:r>
        <w:rPr>
          <w:rFonts w:ascii="Calibri" w:eastAsia="Calibri" w:hAnsi="Calibri" w:cs="Calibri"/>
          <w:b/>
          <w:i w:val="0"/>
          <w:color w:val="000000"/>
          <w:sz w:val="20"/>
          <w:highlight w:val="white"/>
          <w:u w:val="none"/>
        </w:rPr>
        <w:t xml:space="preserve">COMPROMISOS.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5"/>
    </w:p>
    <w:p>
      <w:pPr>
        <w:pStyle w:val="Normal-wk"/>
        <w:keepNext w:val="0"/>
        <w:keepLines/>
        <w:pageBreakBefore w:val="0"/>
        <w:widowControl w:val="0"/>
        <w:numPr>
          <w:ilvl w:val="0"/>
          <w:numId w:val="0"/>
        </w:numPr>
        <w:spacing w:before="0" w:after="0" w:line="240" w:lineRule="exact"/>
        <w:ind w:left="709"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intermedios del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color w:val="000000"/>
          <w:sz w:val="20"/>
          <w:u w:val="none"/>
        </w:rPr>
        <w:t xml:space="preserve"> la Sociedad no registra garantías materiales comprometidas con terceros.</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06" w:name="Section107"/>
      <w:bookmarkEnd w:id="206"/>
      <w:bookmarkStart w:id="207" w:name="67bb4db9d0a94d8b96729611ec084caa"/>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distribución de personal de la Sociedad del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30"/>
        <w:gridCol w:w="1005"/>
        <w:gridCol w:w="1005"/>
        <w:gridCol w:w="1005"/>
        <w:gridCol w:w="1005"/>
        <w:gridCol w:w="1005"/>
      </w:tblGrid>
      <w:tr>
        <w:tblPrEx>
          <w:tblW w:w="9255" w:type="dxa"/>
          <w:tblInd w:w="709" w:type="dxa"/>
          <w:tblLayout w:type="fixed"/>
        </w:tblPrEx>
        <w:trPr>
          <w:cantSplit/>
          <w:trHeight w:hRule="auto" w:val="0"/>
        </w:trPr>
        <w:tc>
          <w:tcPr>
            <w:tcW w:w="42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402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Promedio del ejercicio</w:t>
            </w:r>
          </w:p>
        </w:tc>
      </w:tr>
      <w:tr>
        <w:tblPrEx>
          <w:tblW w:w="9255" w:type="dxa"/>
          <w:tblInd w:w="709" w:type="dxa"/>
          <w:tblLayout w:type="fixed"/>
        </w:tblPrEx>
        <w:trPr>
          <w:cantSplit/>
          <w:trHeight w:hRule="auto" w:val="0"/>
        </w:trPr>
        <w:tc>
          <w:tcPr>
            <w:tcW w:w="4230" w:type="dxa"/>
            <w:vMerge/>
            <w:tcBorders>
              <w:top w:val="nil"/>
              <w:left w:val="single" w:sz="2" w:space="0" w:color="000000"/>
              <w:bottom w:val="nil"/>
              <w:right w:val="single" w:sz="4" w:space="0" w:color="FFFFFF"/>
            </w:tcBorders>
          </w:tcPr>
          <w:p>
            <w:pPr>
              <w:keepNext/>
              <w:pageBreakBefore w:val="0"/>
            </w:pP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Gerentes y ejecutivos principales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Profesionales y técnicos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Trabajadores y otros</w:t>
            </w:r>
          </w:p>
        </w:tc>
        <w:tc>
          <w:tcPr>
            <w:tcW w:w="100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c>
          <w:tcPr>
            <w:tcW w:w="1005" w:type="dxa"/>
            <w:vMerge/>
            <w:tcBorders>
              <w:top w:val="nil"/>
              <w:left w:val="nil"/>
              <w:bottom w:val="nil"/>
              <w:right w:val="single" w:sz="2" w:space="0" w:color="000000"/>
            </w:tcBorders>
          </w:tcPr>
          <w:p>
            <w:pPr>
              <w:keepNext/>
              <w:pageBreakBefore w:val="0"/>
            </w:pPr>
          </w:p>
        </w:tc>
      </w:tr>
      <w:tr>
        <w:tblPrEx>
          <w:tblW w:w="9255" w:type="dxa"/>
          <w:tblInd w:w="709" w:type="dxa"/>
          <w:tblLayout w:type="fixed"/>
        </w:tblPrEx>
        <w:trPr>
          <w:cantSplit/>
          <w:trHeight w:hRule="auto" w:val="0"/>
        </w:trPr>
        <w:tc>
          <w:tcPr>
            <w:tcW w:w="4230" w:type="dxa"/>
            <w:vMerge/>
            <w:tcBorders>
              <w:top w:val="nil"/>
              <w:left w:val="single" w:sz="2" w:space="0" w:color="000000"/>
              <w:bottom w:val="single" w:sz="2" w:space="0" w:color="000000"/>
              <w:right w:val="single" w:sz="4" w:space="0" w:color="FFFFFF"/>
            </w:tcBorders>
          </w:tcPr>
          <w:p>
            <w:pPr>
              <w:keepNext/>
              <w:pageBreakBefore w:val="0"/>
            </w:pPr>
          </w:p>
        </w:tc>
        <w:tc>
          <w:tcPr>
            <w:tcW w:w="1005" w:type="dxa"/>
            <w:vMerge/>
            <w:tcBorders>
              <w:top w:val="nil"/>
              <w:left w:val="nil"/>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single" w:sz="4" w:space="0" w:color="FFFFFF"/>
            </w:tcBorders>
          </w:tcPr>
          <w:p>
            <w:pPr>
              <w:keepNext/>
              <w:pageBreakBefore w:val="0"/>
            </w:pPr>
          </w:p>
        </w:tc>
        <w:tc>
          <w:tcPr>
            <w:tcW w:w="1005" w:type="dxa"/>
            <w:vMerge/>
            <w:tcBorders>
              <w:top w:val="nil"/>
              <w:left w:val="nil"/>
              <w:bottom w:val="single" w:sz="2" w:space="0" w:color="000000"/>
              <w:right w:val="single" w:sz="2" w:space="0" w:color="000000"/>
            </w:tcBorders>
          </w:tcPr>
          <w:p>
            <w:pPr>
              <w:keepNext/>
              <w:pageBreakBefore w:val="0"/>
            </w:pPr>
          </w:p>
        </w:tc>
      </w:tr>
      <w:tr>
        <w:tblPrEx>
          <w:tblW w:w="9255" w:type="dxa"/>
          <w:tblInd w:w="709" w:type="dxa"/>
          <w:tblLayout w:type="fixed"/>
        </w:tblPrEx>
        <w:trPr>
          <w:cantSplit/>
          <w:trHeight w:hRule="exact" w:val="60"/>
        </w:trPr>
        <w:tc>
          <w:tcPr>
            <w:tcW w:w="42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CGE Servicios S.A.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330</w:t>
            </w:r>
          </w:p>
        </w:tc>
      </w:tr>
      <w:tr>
        <w:tblPrEx>
          <w:tblW w:w="9255" w:type="dxa"/>
          <w:tblInd w:w="709" w:type="dxa"/>
          <w:tblLayout w:type="fixed"/>
        </w:tblPrEx>
        <w:trPr>
          <w:cantSplit/>
          <w:trHeight w:hRule="auto" w:val="0"/>
        </w:trPr>
        <w:tc>
          <w:tcPr>
            <w:tcW w:w="42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 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30"/>
        <w:gridCol w:w="1005"/>
        <w:gridCol w:w="1005"/>
        <w:gridCol w:w="1005"/>
        <w:gridCol w:w="1005"/>
        <w:gridCol w:w="1005"/>
      </w:tblGrid>
      <w:tr>
        <w:tblPrEx>
          <w:tblW w:w="9255" w:type="dxa"/>
          <w:tblInd w:w="709" w:type="dxa"/>
          <w:tblLayout w:type="fixed"/>
        </w:tblPrEx>
        <w:trPr>
          <w:cantSplit/>
          <w:trHeight w:hRule="auto" w:val="0"/>
        </w:trPr>
        <w:tc>
          <w:tcPr>
            <w:tcW w:w="42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4020" w:type="dxa"/>
            <w:gridSpan w:val="4"/>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Promedio del ejercicio</w:t>
            </w:r>
          </w:p>
        </w:tc>
      </w:tr>
      <w:tr>
        <w:tblPrEx>
          <w:tblW w:w="9255" w:type="dxa"/>
          <w:tblInd w:w="709" w:type="dxa"/>
          <w:tblLayout w:type="fixed"/>
        </w:tblPrEx>
        <w:trPr>
          <w:cantSplit/>
          <w:trHeight w:hRule="auto" w:val="0"/>
        </w:trPr>
        <w:tc>
          <w:tcPr>
            <w:tcW w:w="4230" w:type="dxa"/>
            <w:vMerge/>
            <w:tcBorders>
              <w:top w:val="nil"/>
              <w:left w:val="single" w:sz="2" w:space="0" w:color="000000"/>
              <w:bottom w:val="nil"/>
              <w:right w:val="single" w:sz="4" w:space="0" w:color="FFFFFF"/>
            </w:tcBorders>
          </w:tcPr>
          <w:p>
            <w:pPr>
              <w:keepNext/>
              <w:pageBreakBefore w:val="0"/>
            </w:pP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Gerentes y ejecutivos principales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Profesionales y técnicos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Trabajadores y otros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c>
          <w:tcPr>
            <w:tcW w:w="1005" w:type="dxa"/>
            <w:vMerge/>
            <w:tcBorders>
              <w:top w:val="nil"/>
              <w:left w:val="single" w:sz="4" w:space="0" w:color="FFFFFF"/>
              <w:bottom w:val="nil"/>
              <w:right w:val="single" w:sz="2" w:space="0" w:color="000000"/>
            </w:tcBorders>
          </w:tcPr>
          <w:p>
            <w:pPr>
              <w:keepNext/>
              <w:pageBreakBefore w:val="0"/>
            </w:pPr>
          </w:p>
        </w:tc>
      </w:tr>
      <w:tr>
        <w:tblPrEx>
          <w:tblW w:w="9255" w:type="dxa"/>
          <w:tblInd w:w="709" w:type="dxa"/>
          <w:tblLayout w:type="fixed"/>
        </w:tblPrEx>
        <w:trPr>
          <w:cantSplit/>
          <w:trHeight w:hRule="auto" w:val="0"/>
        </w:trPr>
        <w:tc>
          <w:tcPr>
            <w:tcW w:w="4230" w:type="dxa"/>
            <w:vMerge/>
            <w:tcBorders>
              <w:top w:val="nil"/>
              <w:left w:val="single" w:sz="2" w:space="0" w:color="000000"/>
              <w:bottom w:val="single" w:sz="2" w:space="0" w:color="000000"/>
              <w:right w:val="single" w:sz="4" w:space="0" w:color="FFFFFF"/>
            </w:tcBorders>
          </w:tcPr>
          <w:p>
            <w:pPr>
              <w:keepNext/>
              <w:pageBreakBefore w:val="0"/>
            </w:pPr>
          </w:p>
        </w:tc>
        <w:tc>
          <w:tcPr>
            <w:tcW w:w="1005" w:type="dxa"/>
            <w:vMerge/>
            <w:tcBorders>
              <w:top w:val="nil"/>
              <w:left w:val="nil"/>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single" w:sz="2" w:space="0" w:color="000000"/>
            </w:tcBorders>
          </w:tcPr>
          <w:p>
            <w:pPr>
              <w:keepNext/>
              <w:pageBreakBefore w:val="0"/>
            </w:pPr>
          </w:p>
        </w:tc>
      </w:tr>
      <w:tr>
        <w:tblPrEx>
          <w:tblW w:w="9255" w:type="dxa"/>
          <w:tblInd w:w="709" w:type="dxa"/>
          <w:tblLayout w:type="fixed"/>
        </w:tblPrEx>
        <w:trPr>
          <w:cantSplit/>
          <w:trHeight w:hRule="exact" w:val="60"/>
        </w:trPr>
        <w:tc>
          <w:tcPr>
            <w:tcW w:w="42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CGE Servicios S.A.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333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345</w:t>
            </w:r>
          </w:p>
        </w:tc>
      </w:tr>
      <w:tr>
        <w:tblPrEx>
          <w:tblW w:w="9255" w:type="dxa"/>
          <w:tblInd w:w="709" w:type="dxa"/>
          <w:tblLayout w:type="fixed"/>
        </w:tblPrEx>
        <w:trPr>
          <w:cantSplit/>
          <w:trHeight w:hRule="auto" w:val="0"/>
        </w:trPr>
        <w:tc>
          <w:tcPr>
            <w:tcW w:w="42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2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 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345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08" w:name="Section108"/>
      <w:bookmarkEnd w:id="208"/>
      <w:bookmarkStart w:id="209" w:name="76a45a9a2f4e4b248bcfe4abb6255037"/>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HECHOS POSTERIORES.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9"/>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Entre el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fecha de cierre de los estados financieros intermedios, y su fecha de presentación, no han ocurrido hechos significativos de carácter financiero-contable que pudieran afectar el patrimonio de la Sociedad o la interpretación de éstos.</w:t>
      </w:r>
    </w:p>
    <w:sectPr>
      <w:type w:val="continuous"/>
      <w:pgSz w:w="12240" w:h="15840"/>
      <w:pgMar w:top="1134" w:right="1134" w:bottom="1134" w:left="1134" w:header="0" w:footer="0"/>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498.9pt;height:1.98pt">
          <v:imagedata r:id="rId1" o:title=""/>
          <o:lock v:ext="edit" aspectratio="t"/>
        </v:shape>
      </w:pict>
    </w:r>
  </w:p>
  <w:p>
    <w:pPr>
      <w:pStyle w:val="Estndar"/>
      <w:keepNext w:val="0"/>
      <w:keepLines/>
      <w:pageBreakBefore w:val="0"/>
      <w:widowControl w:val="0"/>
      <w:numPr>
        <w:ilvl w:val="0"/>
        <w:numId w:val="0"/>
      </w:numPr>
      <w:tabs>
        <w:tab w:val="right" w:pos="9960"/>
      </w:tabs>
      <w:spacing w:before="0" w:after="0" w:line="240" w:lineRule="exact"/>
      <w:ind w:left="0" w:right="0" w:firstLine="0"/>
      <w:jc w:val="left"/>
      <w:outlineLvl w:val="0"/>
      <w:rPr>
        <w:rFonts w:ascii="Times New Roman" w:eastAsia="Times New Roman" w:hAnsi="Times New Roman" w:cs="Times New Roman"/>
        <w:b w:val="0"/>
        <w:i w:val="0"/>
        <w:color w:val="000000"/>
        <w:sz w:val="24"/>
        <w:u w:val="none"/>
      </w:rPr>
    </w:pPr>
    <w:r>
      <w:rPr>
        <w:rFonts w:ascii="Calibri" w:eastAsia="Calibri" w:hAnsi="Calibri" w:cs="Calibri"/>
        <w:b w:val="0"/>
        <w:i w:val="0"/>
        <w:color w:val="000000"/>
        <w:sz w:val="20"/>
        <w:u w:val="none"/>
      </w:rPr>
      <w:t>Las notas adjuntas forman parte integral de estos estados financieros intermedios.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680.32pt;height:2.83pt">
          <v:imagedata r:id="rId1" o:title=""/>
          <o:lock v:ext="edit" aspectratio="t"/>
        </v:shape>
      </w:pict>
    </w:r>
  </w:p>
  <w:p>
    <w:pPr>
      <w:pStyle w:val="Normal-wk"/>
      <w:keepNext w:val="0"/>
      <w:keepLines/>
      <w:pageBreakBefore w:val="0"/>
      <w:widowControl w:val="0"/>
      <w:numPr>
        <w:ilvl w:val="0"/>
        <w:numId w:val="0"/>
      </w:numPr>
      <w:tabs>
        <w:tab w:val="right" w:pos="13600"/>
      </w:tabs>
      <w:spacing w:before="0" w:after="0" w:line="240" w:lineRule="exact"/>
      <w:ind w:left="0" w:right="0" w:firstLine="0"/>
      <w:jc w:val="both"/>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notas adjuntas forman parte integral de estos estados financieros intermedios.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498.9pt;height:1.98pt">
          <v:imagedata r:id="rId1" o:title=""/>
          <o:lock v:ext="edit" aspectratio="t"/>
        </v:shape>
      </w:pict>
    </w:r>
  </w:p>
  <w:p>
    <w:pPr>
      <w:pStyle w:val="Estndar"/>
      <w:keepNext w:val="0"/>
      <w:keepLines/>
      <w:pageBreakBefore w:val="0"/>
      <w:widowControl w:val="0"/>
      <w:numPr>
        <w:ilvl w:val="0"/>
        <w:numId w:val="0"/>
      </w:numPr>
      <w:tabs>
        <w:tab w:val="right" w:pos="9920"/>
      </w:tabs>
      <w:spacing w:before="0" w:after="0" w:line="240" w:lineRule="exact"/>
      <w:ind w:left="0" w:right="0" w:firstLine="0"/>
      <w:jc w:val="left"/>
      <w:outlineLvl w:val="0"/>
      <w:rPr>
        <w:rFonts w:ascii="Times New Roman" w:eastAsia="Times New Roman" w:hAnsi="Times New Roman" w:cs="Times New Roman"/>
        <w:b w:val="0"/>
        <w:i w:val="0"/>
        <w:color w:val="000000"/>
        <w:sz w:val="24"/>
        <w:u w:val="none"/>
      </w:rPr>
    </w:pPr>
    <w:r>
      <w:rPr>
        <w:rFonts w:ascii="Calibri" w:eastAsia="Calibri" w:hAnsi="Calibri" w:cs="Calibri"/>
        <w:b w:val="0"/>
        <w:i w:val="0"/>
        <w:color w:val="000000"/>
        <w:sz w:val="20"/>
        <w:u w:val="none"/>
      </w:rPr>
      <w:t>Las notas adjuntas forman parte integral de estos estados financieros intermedios.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w:t>
    </w:r>
    <w:r>
      <w:rPr>
        <w:rFonts w:ascii="Calibri" w:eastAsia="Calibri" w:hAnsi="Calibri" w:cs="Calibri"/>
        <w:b w:val="0"/>
        <w:i w:val="0"/>
        <w:color w:val="000000"/>
        <w:sz w:val="20"/>
        <w:u w:val="none"/>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498.9pt;height:1.98pt">
          <v:imagedata r:id="rId1" o:title=""/>
          <o:lock v:ext="edit" aspectratio="t"/>
        </v:shape>
      </w:pict>
    </w:r>
  </w:p>
  <w:p>
    <w:pPr>
      <w:pStyle w:val="Estndar"/>
      <w:keepNext w:val="0"/>
      <w:keepLines/>
      <w:pageBreakBefore w:val="0"/>
      <w:widowControl w:val="0"/>
      <w:numPr>
        <w:ilvl w:val="0"/>
        <w:numId w:val="0"/>
      </w:numPr>
      <w:tabs>
        <w:tab w:val="right" w:pos="9920"/>
      </w:tabs>
      <w:spacing w:before="0" w:after="0" w:line="240" w:lineRule="exact"/>
      <w:ind w:left="0" w:right="0" w:firstLine="0"/>
      <w:jc w:val="right"/>
      <w:outlineLvl w:val="0"/>
      <w:rPr>
        <w:rFonts w:ascii="Times New Roman" w:eastAsia="Times New Roman" w:hAnsi="Times New Roman" w:cs="Times New Roman"/>
        <w:b w:val="0"/>
        <w:i w:val="0"/>
        <w:color w:val="000000"/>
        <w:sz w:val="24"/>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29</w:t>
    </w:r>
    <w:r>
      <w:rPr>
        <w:rFonts w:ascii="Calibri" w:eastAsia="Calibri" w:hAnsi="Calibri" w:cs="Calibri"/>
        <w:b w:val="0"/>
        <w:i w:val="0"/>
        <w:color w:val="000000"/>
        <w:sz w:val="20"/>
        <w:u w:val="none"/>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677.48pt;height:1.98pt">
          <v:imagedata r:id="rId1" o:title=""/>
          <o:lock v:ext="edit" aspectratio="t"/>
        </v:shape>
      </w:pict>
    </w:r>
  </w:p>
  <w:p>
    <w:pPr>
      <w:pStyle w:val="Estndar"/>
      <w:keepNext w:val="0"/>
      <w:keepLines/>
      <w:pageBreakBefore w:val="0"/>
      <w:widowControl w:val="0"/>
      <w:numPr>
        <w:ilvl w:val="0"/>
        <w:numId w:val="0"/>
      </w:numPr>
      <w:tabs>
        <w:tab w:val="left" w:pos="11620"/>
      </w:tabs>
      <w:spacing w:before="0" w:after="0" w:line="240" w:lineRule="exact"/>
      <w:ind w:left="1440" w:right="0" w:firstLine="720"/>
      <w:jc w:val="right"/>
      <w:outlineLvl w:val="1"/>
      <w:rPr>
        <w:rFonts w:ascii="Times New Roman" w:eastAsia="Times New Roman" w:hAnsi="Times New Roman" w:cs="Times New Roman"/>
        <w:b w:val="0"/>
        <w:i w:val="0"/>
        <w:color w:val="000000"/>
        <w:sz w:val="24"/>
        <w:u w:val="none"/>
      </w:rPr>
    </w:pP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32</w:t>
    </w:r>
    <w:r>
      <w:rPr>
        <w:rFonts w:ascii="Calibri" w:eastAsia="Calibri" w:hAnsi="Calibri" w:cs="Calibri"/>
        <w:b w:val="0"/>
        <w:i w:val="0"/>
        <w:color w:val="000000"/>
        <w:sz w:val="20"/>
        <w:u w:val="none"/>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width:498.9pt;height:1.98pt">
          <v:imagedata r:id="rId1" o:title=""/>
          <o:lock v:ext="edit" aspectratio="t"/>
        </v:shape>
      </w:pic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34</w:t>
    </w:r>
    <w:r>
      <w:rPr>
        <w:rFonts w:ascii="Calibri" w:eastAsia="Calibri" w:hAnsi="Calibri" w:cs="Calibri"/>
        <w:b w:val="0"/>
        <w:i w:val="0"/>
        <w:color w:val="000000"/>
        <w:sz w:val="20"/>
        <w:u w:val="none"/>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width:677.48pt;height:1.98pt">
          <v:imagedata r:id="rId1" o:title=""/>
          <o:lock v:ext="edit" aspectratio="t"/>
        </v:shape>
      </w:pict>
    </w:r>
  </w:p>
  <w:p>
    <w:pPr>
      <w:pStyle w:val="Estndar"/>
      <w:keepNext w:val="0"/>
      <w:keepLines/>
      <w:pageBreakBefore w:val="0"/>
      <w:widowControl w:val="0"/>
      <w:numPr>
        <w:ilvl w:val="0"/>
        <w:numId w:val="0"/>
      </w:numPr>
      <w:tabs>
        <w:tab w:val="left" w:pos="11620"/>
      </w:tabs>
      <w:spacing w:before="0" w:after="0" w:line="240" w:lineRule="exact"/>
      <w:ind w:left="0" w:right="0" w:firstLine="0"/>
      <w:jc w:val="left"/>
      <w:outlineLvl w:val="0"/>
      <w:rPr>
        <w:rFonts w:ascii="Times New Roman" w:eastAsia="Times New Roman" w:hAnsi="Times New Roman" w:cs="Times New Roman"/>
        <w:b w:val="0"/>
        <w:i w:val="0"/>
        <w:color w:val="000000"/>
        <w:sz w:val="24"/>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35</w:t>
    </w:r>
    <w:r>
      <w:rPr>
        <w:rFonts w:ascii="Calibri" w:eastAsia="Calibri" w:hAnsi="Calibri" w:cs="Calibri"/>
        <w:b w:val="0"/>
        <w:i w:val="0"/>
        <w:color w:val="000000"/>
        <w:sz w:val="20"/>
        <w:u w:val="none"/>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8" type="#_x0000_t75" style="width:498.9pt;height:1.98pt">
          <v:imagedata r:id="rId1" o:title=""/>
          <o:lock v:ext="edit" aspectratio="t"/>
        </v:shape>
      </w:pict>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sz w:val="20"/>
      </w:rPr>
      <w:t xml:space="preserve">            Pá</w:t>
    </w:r>
    <w:r>
      <w:rPr>
        <w:rFonts w:ascii="Calibri" w:eastAsia="Calibri" w:hAnsi="Calibri" w:cs="Calibri"/>
        <w:b w:val="0"/>
        <w:i w:val="0"/>
        <w:color w:val="000000"/>
        <w:sz w:val="20"/>
        <w:u w:val="none"/>
      </w:rPr>
      <w:t xml:space="preserve">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49</w:t>
    </w:r>
    <w:r>
      <w:rPr>
        <w:rFonts w:ascii="Calibri" w:eastAsia="Calibri" w:hAnsi="Calibri" w:cs="Calibri"/>
        <w:b w:val="0"/>
        <w:i w:val="0"/>
        <w:color w:val="000000"/>
        <w:sz w:val="20"/>
        <w:u w:val="none"/>
      </w:rP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9"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7920" w:right="0" w:firstLine="72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50</w:t>
    </w:r>
    <w:r>
      <w:rPr>
        <w:rFonts w:ascii="Calibri" w:eastAsia="Calibri" w:hAnsi="Calibri" w:cs="Calibri"/>
        <w:b w:val="0"/>
        <w:i w:val="0"/>
        <w:sz w:val="20"/>
      </w:rPr>
      <w:fldChar w:fldCharType="end"/>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7200" w:right="0" w:firstLine="720"/>
      <w:jc w:val="both"/>
      <w:outlineLvl w:val="9"/>
      <w:rPr>
        <w:rFonts w:ascii="Calibri" w:eastAsia="Calibri" w:hAnsi="Calibri" w:cs="Calibri"/>
        <w:b w:val="0"/>
        <w:i w:val="0"/>
        <w:color w:val="000000"/>
        <w:sz w:val="20"/>
        <w:u w:val="non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7478" w:right="278" w:firstLine="72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91.13pt;height:51.02pt">
          <v:imagedata r:id="rId1" o:title=""/>
          <o:lock v:ext="edit" aspectratio="t"/>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7478" w:right="278" w:firstLine="72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91.13pt;height:51.02pt">
          <v:imagedata r:id="rId1" o:title=""/>
          <o:lock v:ext="edit" aspectratio="t"/>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l2"/>
    <w:lvl w:ilvl="0">
      <w:start w:val="1"/>
      <w:numFmt w:val="lowerRoman"/>
      <w:lvlText w:val="%1)"/>
      <w:lvlJc w:val="left"/>
      <w:pPr>
        <w:tabs>
          <w:tab w:val="num" w:pos="720"/>
        </w:tabs>
        <w:ind w:left="720" w:hanging="360"/>
      </w:p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multilevel"/>
    <w:tmpl w:val="00000004"/>
    <w:styleLink w:val="ol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
    <w:nsid w:val="00000005"/>
    <w:multiLevelType w:val="multilevel"/>
    <w:tmpl w:val="00000005"/>
    <w:styleLink w:val="ol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5">
    <w:nsid w:val="00000006"/>
    <w:multiLevelType w:val="multilevel"/>
    <w:tmpl w:val="00000006"/>
    <w:styleLink w:val="ol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6">
    <w:nsid w:val="00000007"/>
    <w:multiLevelType w:val="multilevel"/>
    <w:tmpl w:val="00000007"/>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7">
    <w:nsid w:val="00000008"/>
    <w:multiLevelType w:val="multilevel"/>
    <w:tmpl w:val="00000008"/>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8">
    <w:nsid w:val="00000009"/>
    <w:multiLevelType w:val="multilevel"/>
    <w:tmpl w:val="00000009"/>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9">
    <w:nsid w:val="0000000A"/>
    <w:multiLevelType w:val="multilevel"/>
    <w:tmpl w:val="0000000A"/>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0">
    <w:nsid w:val="0000000B"/>
    <w:multiLevelType w:val="multilevel"/>
    <w:tmpl w:val="0000000B"/>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1">
    <w:nsid w:val="0000000C"/>
    <w:multiLevelType w:val="multilevel"/>
    <w:tmpl w:val="0000000C"/>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2">
    <w:nsid w:val="0000000D"/>
    <w:multiLevelType w:val="multilevel"/>
    <w:tmpl w:val="00000007"/>
    <w:lvl w:ilvl="0">
      <w:start w:val="1"/>
      <w:numFmt w:val="upperRoman"/>
      <w:lvlText w:val="%1."/>
      <w:lvlJc w:val="left"/>
      <w:pPr>
        <w:tabs>
          <w:tab w:val="num" w:pos="720"/>
        </w:tabs>
        <w:ind w:left="720" w:hanging="360"/>
      </w:pPr>
      <w:rPr>
        <w:rFonts w:ascii="Calibri" w:eastAsia="Calibri" w:hAnsi="Calibri" w:cs="Calibri"/>
        <w:b/>
        <w:i w:val="0"/>
        <w:strike w:val="0"/>
        <w:color w:val="000000"/>
        <w:sz w:val="22"/>
        <w:u w:val="none"/>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13">
    <w:nsid w:val="0000000E"/>
    <w:multiLevelType w:val="hybridMultilevel"/>
    <w:tmpl w:val="0000000E"/>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multilevel"/>
    <w:tmpl w:val="00000003"/>
    <w:lvl w:ilvl="0">
      <w:start w:val="1"/>
      <w:numFmt w:val="lowerRoman"/>
      <w:lvlText w:val="%1)"/>
      <w:lvlJc w:val="left"/>
      <w:pPr>
        <w:tabs>
          <w:tab w:val="num" w:pos="2835"/>
        </w:tabs>
        <w:ind w:left="720" w:hanging="360"/>
      </w:pPr>
      <w:rPr>
        <w:rFonts w:ascii="Calibri" w:eastAsia="Calibri" w:hAnsi="Calibri" w:cs="Calibri"/>
        <w:b w:val="0"/>
        <w:i w:val="0"/>
        <w:strike w:val="0"/>
        <w:color w:val="000000"/>
        <w:sz w:val="20"/>
        <w:u w:val="none"/>
      </w:r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9">
    <w:nsid w:val="00000014"/>
    <w:multiLevelType w:val="hybridMultilevel"/>
    <w:tmpl w:val="00000014"/>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l2">
    <w:name w:val="ol2"/>
    <w:pPr>
      <w:numPr>
        <w:numId w:val="3"/>
      </w:numPr>
    </w:pPr>
  </w:style>
  <w:style w:type="numbering" w:customStyle="1" w:styleId="ol3">
    <w:name w:val="ol3"/>
    <w:pPr>
      <w:numPr>
        <w:numId w:val="4"/>
      </w:numPr>
    </w:pPr>
  </w:style>
  <w:style w:type="numbering" w:customStyle="1" w:styleId="ol4">
    <w:name w:val="ol4"/>
    <w:pPr>
      <w:numPr>
        <w:numId w:val="5"/>
      </w:numPr>
    </w:pPr>
  </w:style>
  <w:style w:type="numbering" w:customStyle="1" w:styleId="ol5">
    <w:name w:val="ol5"/>
    <w:pPr>
      <w:numPr>
        <w:numId w:val="6"/>
      </w:numPr>
    </w:pPr>
  </w:style>
  <w:style w:type="numbering" w:customStyle="1" w:styleId="oul1">
    <w:name w:val="oul1"/>
    <w:pPr>
      <w:numPr>
        <w:numId w:val="7"/>
      </w:numPr>
    </w:pPr>
  </w:style>
  <w:style w:type="numbering" w:customStyle="1" w:styleId="outlinearabic">
    <w:name w:val="outline.arabic"/>
    <w:pPr>
      <w:numPr>
        <w:numId w:val="8"/>
      </w:numPr>
    </w:pPr>
  </w:style>
  <w:style w:type="numbering" w:customStyle="1" w:styleId="ul1">
    <w:name w:val="ul1"/>
    <w:pPr>
      <w:numPr>
        <w:numId w:val="9"/>
      </w:numPr>
    </w:pPr>
  </w:style>
  <w:style w:type="numbering" w:customStyle="1" w:styleId="ul2">
    <w:name w:val="ul2"/>
    <w:pPr>
      <w:numPr>
        <w:numId w:val="10"/>
      </w:numPr>
    </w:pPr>
  </w:style>
  <w:style w:type="numbering" w:customStyle="1" w:styleId="ul3">
    <w:name w:val="ul3"/>
    <w:pPr>
      <w:numPr>
        <w:numId w:val="11"/>
      </w:numPr>
    </w:pPr>
  </w:style>
  <w:style w:type="numbering" w:customStyle="1" w:styleId="ul4">
    <w:name w:val="ul4"/>
    <w:pPr>
      <w:numPr>
        <w:numId w:val="12"/>
      </w:numPr>
    </w:pPr>
  </w:style>
  <w:style w:type="paragraph" w:customStyle="1" w:styleId="Normal-wk">
    <w:name w:val="Normal-wk"/>
    <w:qFormat/>
    <w:pPr>
      <w:keepNext w:val="0"/>
      <w:keepLines/>
      <w:spacing w:before="0" w:after="0" w:line="288" w:lineRule="auto"/>
      <w:ind w:left="0" w:firstLine="0"/>
      <w:jc w:val="both"/>
    </w:pPr>
    <w:rPr>
      <w:rFonts w:ascii="Calibri" w:eastAsia="Calibri" w:hAnsi="Calibri" w:cs="Calibri"/>
      <w:b w:val="0"/>
      <w:i w:val="0"/>
      <w:color w:val="000000"/>
      <w:spacing w:val="0"/>
      <w:sz w:val="20"/>
    </w:rPr>
  </w:style>
  <w:style w:type="paragraph" w:customStyle="1" w:styleId="CarCar3">
    <w:name w:val="Car Car3"/>
    <w:qFormat/>
    <w:pPr>
      <w:keepNext w:val="0"/>
      <w:spacing w:before="0" w:after="0" w:line="288" w:lineRule="auto"/>
      <w:ind w:left="0" w:firstLine="0"/>
      <w:jc w:val="both"/>
    </w:pPr>
    <w:rPr>
      <w:rFonts w:ascii="Calibri" w:eastAsia="Calibri" w:hAnsi="Calibri" w:cs="Calibri"/>
      <w:b w:val="0"/>
      <w:i w:val="0"/>
      <w:color w:val="000000"/>
      <w:spacing w:val="0"/>
      <w:sz w:val="20"/>
    </w:rPr>
  </w:style>
  <w:style w:type="paragraph" w:customStyle="1" w:styleId="Estndar">
    <w:name w:val="Estándar"/>
    <w:qFormat/>
    <w:pPr>
      <w:keepNext w:val="0"/>
      <w:spacing w:before="0" w:after="0" w:line="240" w:lineRule="auto"/>
      <w:ind w:left="0" w:firstLine="0"/>
      <w:jc w:val="left"/>
    </w:pPr>
    <w:rPr>
      <w:rFonts w:ascii="Times New Roman" w:eastAsia="Times New Roman" w:hAnsi="Times New Roman" w:cs="Times New Roman"/>
      <w:b w:val="0"/>
      <w:i w:val="0"/>
      <w:color w:val="000000"/>
      <w:spacing w:val="0"/>
      <w:sz w:val="24"/>
    </w:rPr>
  </w:style>
  <w:style w:type="paragraph" w:styleId="FootnoteText">
    <w:name w:val="footnote text"/>
    <w:basedOn w:val="Normal"/>
    <w:link w:val="FootnoteTextChar"/>
    <w:uiPriority w:val="99"/>
    <w:rsid w:val="000F3DF7"/>
    <w:pPr>
      <w:spacing w:after="0" w:line="240" w:lineRule="auto"/>
    </w:pPr>
    <w:rPr>
      <w:sz w:val="20"/>
      <w:szCs w:val="20"/>
    </w:rPr>
  </w:style>
  <w:style w:type="character" w:customStyle="1" w:styleId="FootnoteTextChar">
    <w:name w:val="Footnote Text Char"/>
    <w:basedOn w:val="DefaultParagraphFont"/>
    <w:link w:val="FootnoteText"/>
    <w:uiPriority w:val="99"/>
    <w:rsid w:val="000F3DF7"/>
    <w:rPr>
      <w:sz w:val="20"/>
      <w:szCs w:val="20"/>
    </w:rPr>
  </w:style>
  <w:style w:type="paragraph" w:customStyle="1" w:styleId="FootnoteText-wk">
    <w:name w:val="Footnote Text-wk"/>
    <w:qFormat/>
    <w:pPr>
      <w:keepNext w:val="0"/>
      <w:spacing w:before="0" w:after="0" w:line="240" w:lineRule="auto"/>
      <w:ind w:left="0" w:firstLine="0"/>
      <w:jc w:val="left"/>
    </w:pPr>
    <w:rPr>
      <w:rFonts w:ascii="Arial" w:eastAsia="Arial" w:hAnsi="Arial" w:cs="Arial"/>
      <w:b w:val="0"/>
      <w:i w:val="0"/>
      <w:color w:val="000000"/>
      <w:spacing w:val="0"/>
      <w:sz w:val="2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spacing w:before="480" w:after="0" w:line="240" w:lineRule="auto"/>
      <w:ind w:left="0" w:firstLine="0"/>
      <w:jc w:val="left"/>
    </w:pPr>
    <w:rPr>
      <w:rFonts w:ascii="Cambria" w:eastAsia="Cambria" w:hAnsi="Cambria" w:cs="Cambria"/>
      <w:b/>
      <w:i w:val="0"/>
      <w:color w:val="365F91"/>
      <w:spacing w:val="0"/>
      <w:sz w:val="28"/>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spacing w:before="0" w:after="0" w:line="240" w:lineRule="auto"/>
      <w:ind w:left="0" w:firstLine="0"/>
      <w:jc w:val="both"/>
    </w:pPr>
    <w:rPr>
      <w:rFonts w:ascii="Times New Roman" w:eastAsia="Times New Roman" w:hAnsi="Times New Roman" w:cs="Times New Roman"/>
      <w:b/>
      <w:i w:val="0"/>
      <w:color w:val="000000"/>
      <w:spacing w:val="0"/>
      <w:sz w:val="24"/>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TextePrinc">
    <w:name w:val="TextePrinc"/>
    <w:qFormat/>
    <w:pPr>
      <w:keepNext w:val="0"/>
      <w:spacing w:before="0" w:after="0" w:line="240" w:lineRule="auto"/>
      <w:ind w:left="0" w:firstLine="0"/>
      <w:jc w:val="left"/>
    </w:pPr>
    <w:rPr>
      <w:rFonts w:ascii="Arial" w:eastAsia="Arial" w:hAnsi="Arial" w:cs="Arial"/>
      <w:b w:val="0"/>
      <w:i w:val="0"/>
      <w:color w:val="000000"/>
      <w:spacing w:val="0"/>
      <w:sz w:val="18"/>
    </w:rPr>
  </w:style>
  <w:style w:type="paragraph" w:customStyle="1" w:styleId="pf0">
    <w:name w:val="pf0"/>
    <w:qFormat/>
    <w:pPr>
      <w:keepNext w:val="0"/>
      <w:spacing w:before="100" w:after="100" w:line="240" w:lineRule="auto"/>
      <w:ind w:left="0" w:firstLine="0"/>
      <w:jc w:val="left"/>
    </w:pPr>
    <w:rPr>
      <w:rFonts w:ascii="Times New Roman" w:eastAsia="Times New Roman" w:hAnsi="Times New Roman" w:cs="Times New Roman"/>
      <w:b w:val="0"/>
      <w:i w:val="0"/>
      <w:color w:val="000000"/>
      <w:spacing w:val="0"/>
      <w:sz w:val="24"/>
    </w:rPr>
  </w:style>
  <w:style w:type="paragraph" w:styleId="TOC1">
    <w:name w:val="toc 1"/>
    <w:basedOn w:val="Normal"/>
    <w:next w:val="Normal"/>
    <w:autoRedefine/>
    <w:uiPriority w:val="39"/>
    <w:rsid w:val="000F3DF7"/>
    <w:pPr>
      <w:spacing w:after="100"/>
    </w:pPr>
  </w:style>
  <w:style w:type="paragraph" w:customStyle="1" w:styleId="TOC1-wk">
    <w:name w:val="TOC 1-wk"/>
    <w:qFormat/>
    <w:pPr>
      <w:spacing w:line="288" w:lineRule="auto"/>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customStyle="1" w:styleId="TOC1-wk-1">
    <w:name w:val="TOC 1-wk-1"/>
    <w:qFormat/>
    <w:pPr>
      <w:spacing w:line="288" w:lineRule="auto"/>
      <w:ind w:left="426" w:hanging="426"/>
      <w:jc w:val="left"/>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image" Target="media/image2.png" /><Relationship Id="rId13" Type="http://schemas.openxmlformats.org/officeDocument/2006/relationships/header" Target="header5.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header" Target="header7.xml" /><Relationship Id="rId18" Type="http://schemas.openxmlformats.org/officeDocument/2006/relationships/footer" Target="footer7.xml" /><Relationship Id="rId19" Type="http://schemas.openxmlformats.org/officeDocument/2006/relationships/header" Target="header8.xml" /><Relationship Id="rId2" Type="http://schemas.openxmlformats.org/officeDocument/2006/relationships/webSettings" Target="webSettings.xml" /><Relationship Id="rId20" Type="http://schemas.openxmlformats.org/officeDocument/2006/relationships/footer" Target="footer8.xml" /><Relationship Id="rId21" Type="http://schemas.openxmlformats.org/officeDocument/2006/relationships/header" Target="header9.xml" /><Relationship Id="rId22" Type="http://schemas.openxmlformats.org/officeDocument/2006/relationships/footer" Target="footer9.xml" /><Relationship Id="rId23" Type="http://schemas.openxmlformats.org/officeDocument/2006/relationships/header" Target="header10.xml" /><Relationship Id="rId24" Type="http://schemas.openxmlformats.org/officeDocument/2006/relationships/footer" Target="footer10.xml" /><Relationship Id="rId25" Type="http://schemas.openxmlformats.org/officeDocument/2006/relationships/header" Target="header11.xml" /><Relationship Id="rId26" Type="http://schemas.openxmlformats.org/officeDocument/2006/relationships/footer" Target="footer11.xml" /><Relationship Id="rId27" Type="http://schemas.openxmlformats.org/officeDocument/2006/relationships/header" Target="header12.xml" /><Relationship Id="rId28" Type="http://schemas.openxmlformats.org/officeDocument/2006/relationships/footer" Target="footer12.xml" /><Relationship Id="rId29" Type="http://schemas.openxmlformats.org/officeDocument/2006/relationships/footer" Target="footer13.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_rels/footer9.xml.rels><?xml version="1.0" encoding="utf-8" standalone="yes"?><Relationships xmlns="http://schemas.openxmlformats.org/package/2006/relationships"><Relationship Id="rId1" Type="http://schemas.openxmlformats.org/officeDocument/2006/relationships/image" Target="media/image2.png" /></Relationships>
</file>

<file path=word/_rels/footer10.xml.rels><?xml version="1.0" encoding="utf-8" standalone="yes"?><Relationships xmlns="http://schemas.openxmlformats.org/package/2006/relationships"><Relationship Id="rId1" Type="http://schemas.openxmlformats.org/officeDocument/2006/relationships/image" Target="media/image2.png" /></Relationships>
</file>

<file path=word/_rels/footer11.xml.rels><?xml version="1.0" encoding="utf-8" standalone="yes"?><Relationships xmlns="http://schemas.openxmlformats.org/package/2006/relationships"><Relationship Id="rId1" Type="http://schemas.openxmlformats.org/officeDocument/2006/relationships/image" Target="media/image2.png" /></Relationships>
</file>

<file path=word/_rels/footer12.xml.rels><?xml version="1.0" encoding="utf-8" standalone="yes"?><Relationships xmlns="http://schemas.openxmlformats.org/package/2006/relationships"><Relationship Id="rId1" Type="http://schemas.openxmlformats.org/officeDocument/2006/relationships/image" Target="media/image2.png" /></Relationships>
</file>

<file path=word/_rels/footer13.xml.rels><?xml version="1.0" encoding="utf-8" standalone="yes"?><Relationships xmlns="http://schemas.openxmlformats.org/package/2006/relationships"><Relationship Id="rId1" Type="http://schemas.openxmlformats.org/officeDocument/2006/relationships/image" Target="media/image2.png" /></Relationships>
</file>

<file path=word/_rels/header3.xml.rels><?xml version="1.0" encoding="utf-8" standalone="yes"?><Relationships xmlns="http://schemas.openxmlformats.org/package/2006/relationships"><Relationship Id="rId1" Type="http://schemas.openxmlformats.org/officeDocument/2006/relationships/image" Target="media/image1.png" /></Relationships>
</file>

<file path=word/_rels/header4.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52</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E230 (ESP) - EE.FF 06-2026 - CGE Servicios S.A.</dc:title>
  <cp:revision>1</cp:revision>
</cp:coreProperties>
</file>