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18"/>
          <w:u w:val="none"/>
        </w:rPr>
      </w:pPr>
      <w:bookmarkStart w:id="0" w:name="Section1"/>
      <w:bookmarkEnd w:id="0"/>
    </w:p>
    <w:p w:rsidR="00A77B3E">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18"/>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ListParagraph-wk"/>
        <w:keepNext w:val="0"/>
        <w:keepLines w:val="0"/>
        <w:pageBreakBefore w:val="0"/>
        <w:widowControl/>
        <w:numPr>
          <w:ilvl w:val="0"/>
          <w:numId w:val="9"/>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ESTADOS FINANCIEROS.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SITUACIÓN FINANCIERA CLASIFICADO.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RESULTADOS POR FUNCIÓN.</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RESULTADO INTEGRAL.</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CAMBIOS EN EL PATRIMONIO NETO.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FLUJO DE EFECTIVO DIRECTO.</w:t>
      </w: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9"/>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NOTAS A LOS ESTADOS FINANCIEROS.</w:t>
      </w: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rsidR="00A77B3E">
      <w:pPr>
        <w:keepNext w:val="0"/>
        <w:keepLines/>
        <w:pageBreakBefore w:val="0"/>
        <w:widowControl w:val="0"/>
        <w:numPr>
          <w:ilvl w:val="0"/>
          <w:numId w:val="0"/>
        </w:numPr>
        <w:spacing w:before="0" w:after="0" w:line="288" w:lineRule="auto"/>
        <w:ind w:left="0" w:right="0" w:firstLine="0"/>
        <w:jc w:val="both"/>
        <w:outlineLvl w:val="9"/>
        <w:sectPr>
          <w:headerReference w:type="default" r:id="rId4"/>
          <w:footerReference w:type="default" r:id="rId5"/>
          <w:headerReference w:type="first" r:id="rId6"/>
          <w:footerReference w:type="first" r:id="rId7"/>
          <w:type w:val="continuous"/>
          <w:pgSz w:w="12240" w:h="15840"/>
          <w:pgMar w:top="1134" w:right="1134" w:bottom="1134" w:left="1134" w:header="0" w:footer="0" w:gutter="0"/>
          <w:cols w:space="708"/>
          <w:titlePg/>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8"/>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pt;height:66.07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080" w:right="0" w:firstLine="338"/>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480" w:lineRule="exact"/>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40"/>
          <w:u w:val="none"/>
        </w:rPr>
        <w:t>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4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6"/>
          <w:u w:val="none"/>
        </w:rPr>
        <w:t xml:space="preserve">ESTADOS FINANCIEROS </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24"/>
          <w:u w:val="none"/>
        </w:rPr>
        <w:t>(Expresados en miles de pesos chilenos)</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24"/>
          <w:u w:val="none"/>
        </w:rPr>
        <w:t>Correspondientes a los ejercicios terminados al</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18"/>
          <w:u w:val="none"/>
        </w:rPr>
        <w:sectPr>
          <w:pgSz w:w="12240" w:h="15840"/>
          <w:pgMar w:top="1134" w:right="1134" w:bottom="1134" w:left="1134" w:header="0" w:footer="0"/>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6"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88.178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32.538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344.555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63.993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265.905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52.697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847.866</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701.377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133.087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834.464</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1.682.330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ENERGY SUR INGENIERÍA S.A.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175.804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52.033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227.837</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227.837</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129.526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1.346.057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(21.090)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1.454.493</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1.682.330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ENERGY SUR INGENIERÍA S.A.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RESULTADOS POR FUNCIÓN</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exact" w:val="255"/>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1.031.297</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(756.386)</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274.911</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(216.908)</w:t>
            </w:r>
          </w:p>
        </w:tc>
      </w:tr>
      <w:tr>
        <w:tblPrEx>
          <w:tblW w:w="9960" w:type="dxa"/>
          <w:tblInd w:w="0" w:type="dxa"/>
          <w:tblLayout w:type="fixed"/>
        </w:tblPrEx>
        <w:trPr>
          <w:cantSplit/>
          <w:trHeight w:hRule="exact" w:val="40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1.486</w:t>
            </w:r>
          </w:p>
        </w:tc>
      </w:tr>
      <w:tr>
        <w:tblPrEx>
          <w:tblW w:w="9960" w:type="dxa"/>
          <w:tblInd w:w="0" w:type="dxa"/>
          <w:tblLayout w:type="fixed"/>
        </w:tblPrEx>
        <w:trPr>
          <w:cantSplit/>
          <w:trHeight w:hRule="exact" w:val="28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59.489</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3.204</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(3.249)</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2.019</w:t>
            </w:r>
          </w:p>
        </w:tc>
      </w:tr>
      <w:tr>
        <w:tblPrEx>
          <w:tblW w:w="9960" w:type="dxa"/>
          <w:tblInd w:w="0" w:type="dxa"/>
          <w:tblLayout w:type="fixed"/>
        </w:tblPrEx>
        <w:trPr>
          <w:cantSplit/>
          <w:trHeight w:hRule="exact" w:val="28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61.455</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(5.253)</w:t>
            </w:r>
          </w:p>
        </w:tc>
      </w:tr>
      <w:tr>
        <w:tblPrEx>
          <w:tblW w:w="9960" w:type="dxa"/>
          <w:tblInd w:w="0" w:type="dxa"/>
          <w:tblLayout w:type="fixed"/>
        </w:tblPrEx>
        <w:trPr>
          <w:cantSplit/>
          <w:trHeight w:hRule="exact" w:val="28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56.202</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8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w:t>
            </w:r>
          </w:p>
        </w:tc>
      </w:tr>
      <w:tr>
        <w:tblPrEx>
          <w:tblW w:w="9960" w:type="dxa"/>
          <w:tblInd w:w="0" w:type="dxa"/>
          <w:tblLayout w:type="fixed"/>
        </w:tblPrEx>
        <w:trPr>
          <w:cantSplit/>
          <w:trHeight w:hRule="exact" w:val="28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ENERGY SUR INGENIERÍA S.A.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RESULTADO INTEGRAL</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498.9pt;height:1.98pt">
            <v:imagedata r:id="rId9"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blHeader/>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56.202</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56.202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4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56.202</w:t>
            </w:r>
          </w:p>
        </w:tc>
      </w:tr>
    </w:tbl>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footerReference w:type="default" r:id="rId10"/>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0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45"/>
        <w:gridCol w:w="1095"/>
        <w:gridCol w:w="1095"/>
        <w:gridCol w:w="1095"/>
        <w:gridCol w:w="1095"/>
        <w:gridCol w:w="1095"/>
      </w:tblGrid>
      <w:tr>
        <w:tblPrEx>
          <w:tblW w:w="13020" w:type="dxa"/>
          <w:tblInd w:w="0" w:type="dxa"/>
          <w:tblLayout w:type="fixed"/>
        </w:tblPrEx>
        <w:trPr>
          <w:cantSplit/>
          <w:trHeight w:hRule="auto" w:val="0"/>
        </w:trPr>
        <w:tc>
          <w:tcPr>
            <w:tcW w:w="75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109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020" w:type="dxa"/>
          <w:tblInd w:w="0" w:type="dxa"/>
          <w:tblLayout w:type="fixed"/>
        </w:tblPrEx>
        <w:trPr>
          <w:cantSplit/>
          <w:trHeight w:hRule="auto" w:val="0"/>
        </w:trPr>
        <w:tc>
          <w:tcPr>
            <w:tcW w:w="754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020" w:type="dxa"/>
          <w:tblInd w:w="0" w:type="dxa"/>
          <w:tblLayout w:type="fixed"/>
        </w:tblPrEx>
        <w:trPr>
          <w:cantSplit/>
          <w:trHeight w:hRule="auto" w:val="0"/>
        </w:trPr>
        <w:tc>
          <w:tcPr>
            <w:tcW w:w="754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129.526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1.346.057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1.454.493</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225"/>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225"/>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225"/>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225"/>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exact" w:val="225"/>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129.526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1.346.057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1.454.493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677.48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0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45"/>
        <w:gridCol w:w="1095"/>
        <w:gridCol w:w="1095"/>
        <w:gridCol w:w="1095"/>
        <w:gridCol w:w="1095"/>
        <w:gridCol w:w="1095"/>
      </w:tblGrid>
      <w:tr>
        <w:tblPrEx>
          <w:tblW w:w="13020" w:type="dxa"/>
          <w:tblInd w:w="0" w:type="dxa"/>
          <w:tblLayout w:type="fixed"/>
        </w:tblPrEx>
        <w:trPr>
          <w:cantSplit/>
          <w:trHeight w:hRule="auto" w:val="0"/>
        </w:trPr>
        <w:tc>
          <w:tcPr>
            <w:tcW w:w="75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109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020" w:type="dxa"/>
          <w:tblInd w:w="0" w:type="dxa"/>
          <w:tblLayout w:type="fixed"/>
        </w:tblPrEx>
        <w:trPr>
          <w:cantSplit/>
          <w:trHeight w:hRule="auto" w:val="0"/>
        </w:trPr>
        <w:tc>
          <w:tcPr>
            <w:tcW w:w="754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020" w:type="dxa"/>
          <w:tblInd w:w="0" w:type="dxa"/>
          <w:tblLayout w:type="fixed"/>
        </w:tblPrEx>
        <w:trPr>
          <w:cantSplit/>
          <w:trHeight w:hRule="auto" w:val="0"/>
        </w:trPr>
        <w:tc>
          <w:tcPr>
            <w:tcW w:w="754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129.526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1.365.150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1.473.586</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56.202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56.202</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56.202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56.202</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(83.030)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(83.030)</w:t>
            </w:r>
          </w:p>
        </w:tc>
      </w:tr>
      <w:tr>
        <w:tblPrEx>
          <w:tblW w:w="13020" w:type="dxa"/>
          <w:tblInd w:w="0" w:type="dxa"/>
          <w:tblLayout w:type="fixed"/>
        </w:tblPrEx>
        <w:trPr>
          <w:cantSplit/>
          <w:trHeight w:hRule="exact" w:val="6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(26.828)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(26.828)</w:t>
            </w:r>
          </w:p>
        </w:tc>
      </w:tr>
      <w:tr>
        <w:tblPrEx>
          <w:tblW w:w="13020" w:type="dxa"/>
          <w:tblInd w:w="0" w:type="dxa"/>
          <w:tblLayout w:type="fixed"/>
        </w:tblPrEx>
        <w:trPr>
          <w:cantSplit/>
          <w:trHeight w:hRule="auto" w:val="0"/>
        </w:trPr>
        <w:tc>
          <w:tcPr>
            <w:tcW w:w="7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020" w:type="dxa"/>
          <w:tblInd w:w="0" w:type="dxa"/>
          <w:tblLayout w:type="fixed"/>
        </w:tblPrEx>
        <w:trPr>
          <w:cantSplit/>
          <w:trHeight w:hRule="auto" w:val="0"/>
        </w:trPr>
        <w:tc>
          <w:tcPr>
            <w:tcW w:w="7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129.526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1.338.322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1.446.758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11"/>
          <w:footerReference w:type="default" r:id="rId12"/>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FLUJO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blHeader/>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1.344.156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(493.854)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(445.956)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(154.358)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245.390</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(313.204)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(98.947)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210.000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3.204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(198.947)</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(145.300)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(145.300)</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(98.857)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(98.857)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144.101</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45.244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3"/>
          <w:footerReference w:type="default" r:id="rId14"/>
          <w:pgSz w:w="12240" w:h="15840"/>
          <w:pgMar w:top="1699"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INDICE A LAS NOTAS DE LOS ESTADOS FINANCIEROS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9"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9cf60e5f5a4e35ba600aa23a32c0c7"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9cf60e5f5a4e35ba600aa23a32c0c7"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02174b841974c48a3f86261d2ff68eb" w:history="1">
              <w:r>
                <w:rPr>
                  <w:rFonts w:ascii="Calibri" w:eastAsia="Calibri" w:hAnsi="Calibri" w:cs="Calibri"/>
                  <w:b w:val="0"/>
                  <w:i w:val="0"/>
                  <w:color w:val="000000"/>
                  <w:sz w:val="20"/>
                  <w:u w:val="none"/>
                  <w:shd w:val="clear" w:color="auto" w:fill="auto"/>
                </w:rPr>
                <w:t>2.-</w:t>
                <w:tab/>
                <w:t>DESCRIPCIÓN DE LOS SECTORES DONDE PARTICIPA ENERGY SUR INGENIERÍA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02174b841974c48a3f86261d2ff68eb"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9a8ccfbfcd54fecaad53a27fdc4109e"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9a8ccfbfcd54fecaad53a27fdc4109e"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b7e75f007a2432fbcd5625b6a28ac80" w:history="1">
              <w:r>
                <w:rPr>
                  <w:rFonts w:ascii="Calibri" w:eastAsia="Calibri" w:hAnsi="Calibri" w:cs="Calibri"/>
                  <w:b w:val="0"/>
                  <w:i w:val="0"/>
                  <w:color w:val="000000"/>
                  <w:sz w:val="20"/>
                  <w:u w:val="none"/>
                  <w:shd w:val="clear" w:color="auto" w:fill="auto"/>
                </w:rPr>
                <w:t>3.1.-</w:t>
                <w:tab/>
                <w:t xml:space="preserve">Bases de preparación de los estados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b7e75f007a2432fbcd5625b6a28ac80"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6c5a7d15fd496fb9892bdb95e7c22e" w:history="1">
              <w:r>
                <w:rPr>
                  <w:rFonts w:ascii="Calibri" w:eastAsia="Calibri" w:hAnsi="Calibri" w:cs="Calibri"/>
                  <w:b w:val="0"/>
                  <w:i w:val="0"/>
                  <w:color w:val="000000"/>
                  <w:sz w:val="20"/>
                  <w:u w:val="none"/>
                  <w:shd w:val="clear" w:color="auto" w:fill="auto"/>
                </w:rPr>
                <w:t>3.2.-</w:t>
                <w:tab/>
                <w:t>Nuevos estándares, interpretaciones y enmiendas adoptadas por Energy Sur Ingeniería S.A.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6c5a7d15fd496fb9892bdb95e7c22e"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69ba54a6164c61bc93e9eaa7437f14"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69ba54a6164c61bc93e9eaa7437f14"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f6707f1b1c14caf8a12d1f688eca0f0" w:history="1">
              <w:r>
                <w:rPr>
                  <w:rFonts w:ascii="Calibri" w:eastAsia="Calibri" w:hAnsi="Calibri" w:cs="Calibri"/>
                  <w:b w:val="0"/>
                  <w:i w:val="0"/>
                  <w:color w:val="000000"/>
                  <w:sz w:val="20"/>
                  <w:u w:val="none"/>
                  <w:shd w:val="clear" w:color="auto" w:fill="auto"/>
                </w:rPr>
                <w:t>3.4.-</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f6707f1b1c14caf8a12d1f688eca0f0"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32cc3e5b7ab4bf0bf677b79bfe5b8ec" w:history="1">
              <w:r>
                <w:rPr>
                  <w:rFonts w:ascii="Calibri" w:eastAsia="Calibri" w:hAnsi="Calibri" w:cs="Calibri"/>
                  <w:b w:val="0"/>
                  <w:i w:val="0"/>
                  <w:color w:val="000000"/>
                  <w:sz w:val="20"/>
                  <w:u w:val="none"/>
                  <w:shd w:val="clear" w:color="auto" w:fill="auto"/>
                </w:rPr>
                <w:t>3.5.-</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32cc3e5b7ab4bf0bf677b79bfe5b8ec"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019487cc6842809ff20f3ee35fca7f" w:history="1">
              <w:r>
                <w:rPr>
                  <w:rFonts w:ascii="Calibri" w:eastAsia="Calibri" w:hAnsi="Calibri" w:cs="Calibri"/>
                  <w:b w:val="0"/>
                  <w:i w:val="0"/>
                  <w:color w:val="000000"/>
                  <w:sz w:val="20"/>
                  <w:u w:val="none"/>
                  <w:shd w:val="clear" w:color="auto" w:fill="auto"/>
                </w:rPr>
                <w:t>3.6.-</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019487cc6842809ff20f3ee35fca7f"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8e0e70303e4bafb457edbf83d1d6fd" w:history="1">
              <w:r>
                <w:rPr>
                  <w:rFonts w:ascii="Calibri" w:eastAsia="Calibri" w:hAnsi="Calibri" w:cs="Calibri"/>
                  <w:b w:val="0"/>
                  <w:i w:val="0"/>
                  <w:color w:val="000000"/>
                  <w:sz w:val="20"/>
                  <w:u w:val="none"/>
                  <w:shd w:val="clear" w:color="auto" w:fill="auto"/>
                </w:rPr>
                <w:t>3.7.-</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8e0e70303e4bafb457edbf83d1d6fd"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d353d19046141a5b46b2798b084a518" w:history="1">
              <w:r>
                <w:rPr>
                  <w:rFonts w:ascii="Calibri" w:eastAsia="Calibri" w:hAnsi="Calibri" w:cs="Calibri"/>
                  <w:b w:val="0"/>
                  <w:i w:val="0"/>
                  <w:color w:val="000000"/>
                  <w:sz w:val="20"/>
                  <w:u w:val="none"/>
                  <w:shd w:val="clear" w:color="auto" w:fill="auto"/>
                </w:rPr>
                <w:t>3.8.-</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d353d19046141a5b46b2798b084a518"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1a35a59be44ffa9f0002004d62c257" w:history="1">
              <w:r>
                <w:rPr>
                  <w:rFonts w:ascii="Calibri" w:eastAsia="Calibri" w:hAnsi="Calibri" w:cs="Calibri"/>
                  <w:b w:val="0"/>
                  <w:i w:val="0"/>
                  <w:color w:val="000000"/>
                  <w:sz w:val="20"/>
                  <w:u w:val="none"/>
                  <w:shd w:val="clear" w:color="auto" w:fill="auto"/>
                </w:rPr>
                <w:t>3.9.-</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1a35a59be44ffa9f0002004d62c257"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2e5ae5311d4791b4e8ea1529f52fa8" w:history="1">
              <w:r>
                <w:rPr>
                  <w:rFonts w:ascii="Calibri" w:eastAsia="Calibri" w:hAnsi="Calibri" w:cs="Calibri"/>
                  <w:b w:val="0"/>
                  <w:i w:val="0"/>
                  <w:color w:val="000000"/>
                  <w:sz w:val="20"/>
                  <w:u w:val="none"/>
                  <w:shd w:val="clear" w:color="auto" w:fill="auto"/>
                </w:rPr>
                <w:t>3.10.-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2e5ae5311d4791b4e8ea1529f52fa8"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84af392f154282996faaa414a0c02f" w:history="1">
              <w:r>
                <w:rPr>
                  <w:rFonts w:ascii="Calibri" w:eastAsia="Calibri" w:hAnsi="Calibri" w:cs="Calibri"/>
                  <w:b w:val="0"/>
                  <w:i w:val="0"/>
                  <w:color w:val="000000"/>
                  <w:sz w:val="20"/>
                  <w:u w:val="none"/>
                  <w:shd w:val="clear" w:color="auto" w:fill="auto"/>
                </w:rPr>
                <w:t>3.11.-</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84af392f154282996faaa414a0c02f"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019e1a70b2141b68b93611577abb72c" w:history="1">
              <w:r>
                <w:rPr>
                  <w:rFonts w:ascii="Calibri" w:eastAsia="Calibri" w:hAnsi="Calibri" w:cs="Calibri"/>
                  <w:b w:val="0"/>
                  <w:i w:val="0"/>
                  <w:color w:val="000000"/>
                  <w:sz w:val="20"/>
                  <w:u w:val="none"/>
                  <w:shd w:val="clear" w:color="auto" w:fill="auto"/>
                </w:rPr>
                <w:t>3.12.-</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019e1a70b2141b68b93611577abb72c"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62dec39fb204546a6acd6641543b6e0" w:history="1">
              <w:r>
                <w:rPr>
                  <w:rFonts w:ascii="Calibri" w:eastAsia="Calibri" w:hAnsi="Calibri" w:cs="Calibri"/>
                  <w:b w:val="0"/>
                  <w:i w:val="0"/>
                  <w:color w:val="000000"/>
                  <w:sz w:val="20"/>
                  <w:u w:val="none"/>
                  <w:shd w:val="clear" w:color="auto" w:fill="auto"/>
                </w:rPr>
                <w:t>3.13.-</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62dec39fb204546a6acd6641543b6e0"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71488e24d064d53a581803b41fafa1f" w:history="1">
              <w:r>
                <w:rPr>
                  <w:rFonts w:ascii="Calibri" w:eastAsia="Calibri" w:hAnsi="Calibri" w:cs="Calibri"/>
                  <w:b w:val="0"/>
                  <w:i w:val="0"/>
                  <w:color w:val="000000"/>
                  <w:sz w:val="20"/>
                  <w:u w:val="none"/>
                  <w:shd w:val="clear" w:color="auto" w:fill="auto"/>
                </w:rPr>
                <w:t>3.14.-</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71488e24d064d53a581803b41fafa1f"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1761249ead447497e748527bc576ff" w:history="1">
              <w:r>
                <w:rPr>
                  <w:rFonts w:ascii="Calibri" w:eastAsia="Calibri" w:hAnsi="Calibri" w:cs="Calibri"/>
                  <w:b w:val="0"/>
                  <w:i w:val="0"/>
                  <w:color w:val="000000"/>
                  <w:sz w:val="20"/>
                  <w:u w:val="none"/>
                  <w:shd w:val="clear" w:color="auto" w:fill="auto"/>
                </w:rPr>
                <w:t>3.15.-</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1761249ead447497e748527bc576ff"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23752180bd4f6887275ff731e0dd53" w:history="1">
              <w:r>
                <w:rPr>
                  <w:rFonts w:ascii="Calibri" w:eastAsia="Calibri" w:hAnsi="Calibri" w:cs="Calibri"/>
                  <w:b w:val="0"/>
                  <w:i w:val="0"/>
                  <w:color w:val="000000"/>
                  <w:sz w:val="20"/>
                  <w:u w:val="none"/>
                  <w:shd w:val="clear" w:color="auto" w:fill="auto"/>
                </w:rPr>
                <w:t>3.16.-</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23752180bd4f6887275ff731e0dd53"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989defe4344a55b854c7d29775c577" w:history="1">
              <w:r>
                <w:rPr>
                  <w:rFonts w:ascii="Calibri" w:eastAsia="Calibri" w:hAnsi="Calibri" w:cs="Calibri"/>
                  <w:b w:val="0"/>
                  <w:i w:val="0"/>
                  <w:color w:val="000000"/>
                  <w:sz w:val="20"/>
                  <w:u w:val="none"/>
                  <w:shd w:val="clear" w:color="auto" w:fill="auto"/>
                </w:rPr>
                <w:t>3.17.-</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989defe4344a55b854c7d29775c577"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13b6c7a9b74bbe9c5e93cc187cd5be" w:history="1">
              <w:r>
                <w:rPr>
                  <w:rFonts w:ascii="Calibri" w:eastAsia="Calibri" w:hAnsi="Calibri" w:cs="Calibri"/>
                  <w:b w:val="0"/>
                  <w:i w:val="0"/>
                  <w:color w:val="000000"/>
                  <w:sz w:val="20"/>
                  <w:u w:val="none"/>
                  <w:shd w:val="clear" w:color="auto" w:fill="auto"/>
                </w:rPr>
                <w:t>3.18.-</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13b6c7a9b74bbe9c5e93cc187cd5be"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ec9d8b2d698489c920fe5e5f0685aee" w:history="1">
              <w:r>
                <w:rPr>
                  <w:rFonts w:ascii="Calibri" w:eastAsia="Calibri" w:hAnsi="Calibri" w:cs="Calibri"/>
                  <w:b w:val="0"/>
                  <w:i w:val="0"/>
                  <w:color w:val="000000"/>
                  <w:sz w:val="20"/>
                  <w:u w:val="none"/>
                  <w:shd w:val="clear" w:color="auto" w:fill="auto"/>
                </w:rPr>
                <w:t>3.19.-</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ec9d8b2d698489c920fe5e5f0685aee"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dddeeeb025496e96f3c80df7a2a998" w:history="1">
              <w:r>
                <w:rPr>
                  <w:rFonts w:ascii="Calibri" w:eastAsia="Calibri" w:hAnsi="Calibri" w:cs="Calibri"/>
                  <w:b w:val="0"/>
                  <w:i w:val="0"/>
                  <w:color w:val="000000"/>
                  <w:sz w:val="20"/>
                  <w:u w:val="none"/>
                  <w:shd w:val="clear" w:color="auto" w:fill="auto"/>
                </w:rPr>
                <w:t>3.20.-</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dddeeeb025496e96f3c80df7a2a998"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58ecfbc4bf484a8d6f149af7682b27" w:history="1">
              <w:r>
                <w:rPr>
                  <w:rFonts w:ascii="Calibri" w:eastAsia="Calibri" w:hAnsi="Calibri" w:cs="Calibri"/>
                  <w:b w:val="0"/>
                  <w:i w:val="0"/>
                  <w:color w:val="000000"/>
                  <w:sz w:val="20"/>
                  <w:u w:val="none"/>
                  <w:shd w:val="clear" w:color="auto" w:fill="auto"/>
                </w:rPr>
                <w:t>3.21.-</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58ecfbc4bf484a8d6f149af7682b27"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13fab7fbb9d43de9498b23e48c6a2b0" w:history="1">
              <w:r>
                <w:rPr>
                  <w:rFonts w:ascii="Calibri" w:eastAsia="Calibri" w:hAnsi="Calibri" w:cs="Calibri"/>
                  <w:b w:val="0"/>
                  <w:i w:val="0"/>
                  <w:color w:val="000000"/>
                  <w:sz w:val="20"/>
                  <w:u w:val="none"/>
                  <w:shd w:val="clear" w:color="auto" w:fill="auto"/>
                </w:rPr>
                <w:t>3.22.-</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13fab7fbb9d43de9498b23e48c6a2b0"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4505ba6bac49deb93e02884c3a3488"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4505ba6bac49deb93e02884c3a3488"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e279fc021024fc59b754ef507b16016" w:history="1">
              <w:r>
                <w:rPr>
                  <w:rFonts w:ascii="Calibri" w:eastAsia="Calibri" w:hAnsi="Calibri" w:cs="Calibri"/>
                  <w:b w:val="0"/>
                  <w:i w:val="0"/>
                  <w:color w:val="000000"/>
                  <w:sz w:val="20"/>
                  <w:u w:val="none"/>
                  <w:shd w:val="clear" w:color="auto" w:fill="auto"/>
                </w:rPr>
                <w:t>4.1.-</w:t>
                <w:tab/>
                <w:t>Beneficios por Indemnizaciones por cese pactadas (PIAS).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e279fc021024fc59b754ef507b16016"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84001376cf487687bc8e0cf80a1c9a"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84001376cf487687bc8e0cf80a1c9a"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71fbc18b202485d9fd0e2bab2c3194c" w:history="1">
              <w:r>
                <w:rPr>
                  <w:rFonts w:ascii="Calibri" w:eastAsia="Calibri" w:hAnsi="Calibri" w:cs="Calibri"/>
                  <w:b w:val="0"/>
                  <w:i w:val="0"/>
                  <w:color w:val="000000"/>
                  <w:sz w:val="20"/>
                  <w:u w:val="none"/>
                  <w:shd w:val="clear" w:color="auto" w:fill="auto"/>
                </w:rPr>
                <w:t>5.1.-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71fbc18b202485d9fd0e2bab2c3194c"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46881d7a54403f9ea82ff8eefa0f89"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46881d7a54403f9ea82ff8eefa0f89"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5d803c6f8fa4ce9a54ea96ddfe9658f"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5d803c6f8fa4ce9a54ea96ddfe9658f"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ddadff5d0949ae9c2d74753159c542"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ddadff5d0949ae9c2d74753159c542"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8c1ec3851f2447d90b538c83eb539cd" w:history="1">
              <w:r>
                <w:rPr>
                  <w:rFonts w:ascii="Calibri" w:eastAsia="Calibri" w:hAnsi="Calibri" w:cs="Calibri"/>
                  <w:b w:val="0"/>
                  <w:i w:val="0"/>
                  <w:color w:val="000000"/>
                  <w:sz w:val="20"/>
                  <w:u w:val="none"/>
                  <w:shd w:val="clear" w:color="auto" w:fill="auto"/>
                </w:rPr>
                <w:t>7.-</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8c1ec3851f2447d90b538c83eb539cd"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4aa65c51af44bdbe04259202515d93" w:history="1">
              <w:r>
                <w:rPr>
                  <w:rFonts w:ascii="Calibri" w:eastAsia="Calibri" w:hAnsi="Calibri" w:cs="Calibri"/>
                  <w:b w:val="0"/>
                  <w:i w:val="0"/>
                  <w:color w:val="000000"/>
                  <w:sz w:val="20"/>
                  <w:u w:val="none"/>
                  <w:shd w:val="clear" w:color="auto" w:fill="auto"/>
                </w:rPr>
                <w:t>7.1.-</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4aa65c51af44bdbe04259202515d93"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f966eb370a4f0785e9f33e8078dc5b"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f966eb370a4f0785e9f33e8078dc5b"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dd3771c3ee446f4b32d57ee519d54c2"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dd3771c3ee446f4b32d57ee519d54c2"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918f3546de42ee97144ed3e1d1c66d"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918f3546de42ee97144ed3e1d1c66d"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8cd4cac67a4cb5b7e3b6b208cb27c1"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8cd4cac67a4cb5b7e3b6b208cb27c1"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8b4f0fbb4814e7a8e70d32b348da1e0"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8b4f0fbb4814e7a8e70d32b348da1e0"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c260571a84e4d0d8d37f6bcb7c0f5c4"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c260571a84e4d0d8d37f6bcb7c0f5c4"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f982a6fc294b1e8791915142de6cea"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f982a6fc294b1e8791915142de6cea"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8ca48187fd747d7825bf0dd6368ea7c"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8ca48187fd747d7825bf0dd6368ea7c"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812f02e68c48c7b15a215b1853926a"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812f02e68c48c7b15a215b1853926a"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2b4e526aab74ea588db0cf3c1087565"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2b4e526aab74ea588db0cf3c1087565"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8596e2240b419e9cfa647cd0fa5105"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8596e2240b419e9cfa647cd0fa5105"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5a5c8222f54d2691028305e3a21b76"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5a5c8222f54d2691028305e3a21b76"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fb55f81e9e14f3eb05ea29e50faf2bf"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fb55f81e9e14f3eb05ea29e50faf2bf"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2d29ad13eda43478e324ac81efc1a61"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2d29ad13eda43478e324ac81efc1a61"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edc4165e0674fae9e816414f9e720ce" w:history="1">
              <w:r>
                <w:rPr>
                  <w:rFonts w:ascii="Calibri" w:eastAsia="Calibri" w:hAnsi="Calibri" w:cs="Calibri"/>
                  <w:b w:val="0"/>
                  <w:i w:val="0"/>
                  <w:color w:val="000000"/>
                  <w:sz w:val="20"/>
                  <w:u w:val="none"/>
                  <w:shd w:val="clear" w:color="auto" w:fill="auto"/>
                </w:rPr>
                <w:t>13.-</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edc4165e0674fae9e816414f9e720ce"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a74b5f570764773bb8ab68fe23c77bd" w:history="1">
              <w:r>
                <w:rPr>
                  <w:rFonts w:ascii="Calibri" w:eastAsia="Calibri" w:hAnsi="Calibri" w:cs="Calibri"/>
                  <w:b w:val="0"/>
                  <w:i w:val="0"/>
                  <w:color w:val="000000"/>
                  <w:sz w:val="20"/>
                  <w:u w:val="none"/>
                  <w:shd w:val="clear" w:color="auto" w:fill="auto"/>
                </w:rPr>
                <w:t>13.1.-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a74b5f570764773bb8ab68fe23c77bd"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ad5c696ec74135becbb6c857b4d769" w:history="1">
              <w:r>
                <w:rPr>
                  <w:rFonts w:ascii="Calibri" w:eastAsia="Calibri" w:hAnsi="Calibri" w:cs="Calibri"/>
                  <w:b w:val="0"/>
                  <w:i w:val="0"/>
                  <w:color w:val="000000"/>
                  <w:sz w:val="20"/>
                  <w:u w:val="none"/>
                  <w:shd w:val="clear" w:color="auto" w:fill="auto"/>
                </w:rPr>
                <w:t>13.2.-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ad5c696ec74135becbb6c857b4d769"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a3315fe23754e9c819fb811c5d2fadd" w:history="1">
              <w:r>
                <w:rPr>
                  <w:rFonts w:ascii="Calibri" w:eastAsia="Calibri" w:hAnsi="Calibri" w:cs="Calibri"/>
                  <w:b w:val="0"/>
                  <w:i w:val="0"/>
                  <w:color w:val="000000"/>
                  <w:sz w:val="20"/>
                  <w:u w:val="none"/>
                  <w:shd w:val="clear" w:color="auto" w:fill="auto"/>
                </w:rPr>
                <w:t>13.3.-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a3315fe23754e9c819fb811c5d2fadd"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34927f4a1a4fb28c57753b3959b6e3" w:history="1">
              <w:r>
                <w:rPr>
                  <w:rFonts w:ascii="Calibri" w:eastAsia="Calibri" w:hAnsi="Calibri" w:cs="Calibri"/>
                  <w:b w:val="0"/>
                  <w:i w:val="0"/>
                  <w:color w:val="000000"/>
                  <w:sz w:val="20"/>
                  <w:u w:val="none"/>
                  <w:shd w:val="clear" w:color="auto" w:fill="auto"/>
                </w:rPr>
                <w:t>13.4.-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34927f4a1a4fb28c57753b3959b6e3"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c32180fb4e44ec7ab3a3113fc6b0144" w:history="1">
              <w:r>
                <w:rPr>
                  <w:rFonts w:ascii="Calibri" w:eastAsia="Calibri" w:hAnsi="Calibri" w:cs="Calibri"/>
                  <w:b w:val="0"/>
                  <w:i w:val="0"/>
                  <w:color w:val="000000"/>
                  <w:sz w:val="20"/>
                  <w:u w:val="none"/>
                  <w:shd w:val="clear" w:color="auto" w:fill="auto"/>
                </w:rPr>
                <w:t>13.5.-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c32180fb4e44ec7ab3a3113fc6b0144"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4b302aa91f643b48fb735e458e76cd4" w:history="1">
              <w:r>
                <w:rPr>
                  <w:rFonts w:ascii="Calibri" w:eastAsia="Calibri" w:hAnsi="Calibri" w:cs="Calibri"/>
                  <w:b w:val="0"/>
                  <w:i w:val="0"/>
                  <w:color w:val="000000"/>
                  <w:sz w:val="20"/>
                  <w:u w:val="none"/>
                  <w:shd w:val="clear" w:color="auto" w:fill="auto"/>
                </w:rPr>
                <w:t>14.-</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4b302aa91f643b48fb735e458e76cd4"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fb5ee52d5a47d1af5a679552ab35bc" w:history="1">
              <w:r>
                <w:rPr>
                  <w:rFonts w:ascii="Calibri" w:eastAsia="Calibri" w:hAnsi="Calibri" w:cs="Calibri"/>
                  <w:b w:val="0"/>
                  <w:i w:val="0"/>
                  <w:color w:val="000000"/>
                  <w:sz w:val="20"/>
                  <w:u w:val="none"/>
                  <w:shd w:val="clear" w:color="auto" w:fill="auto"/>
                </w:rPr>
                <w:t>14.1.-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fb5ee52d5a47d1af5a679552ab35bc"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7b8b9fc5ad47a9b4cb4b8bb2adbc2d" w:history="1">
              <w:r>
                <w:rPr>
                  <w:rFonts w:ascii="Calibri" w:eastAsia="Calibri" w:hAnsi="Calibri" w:cs="Calibri"/>
                  <w:b w:val="0"/>
                  <w:i w:val="0"/>
                  <w:color w:val="000000"/>
                  <w:sz w:val="20"/>
                  <w:u w:val="none"/>
                  <w:shd w:val="clear" w:color="auto" w:fill="auto"/>
                </w:rPr>
                <w:t>14.2.-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7b8b9fc5ad47a9b4cb4b8bb2adbc2d"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4f104eff4d4835a1fb0e0cea82a03d" w:history="1">
              <w:r>
                <w:rPr>
                  <w:rFonts w:ascii="Calibri" w:eastAsia="Calibri" w:hAnsi="Calibri" w:cs="Calibri"/>
                  <w:b w:val="0"/>
                  <w:i w:val="0"/>
                  <w:color w:val="000000"/>
                  <w:sz w:val="20"/>
                  <w:u w:val="none"/>
                  <w:shd w:val="clear" w:color="auto" w:fill="auto"/>
                </w:rPr>
                <w:t>14.3.-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4f104eff4d4835a1fb0e0cea82a03d"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c60e40445f94d5cb73b4bff59c5c52b" w:history="1">
              <w:r>
                <w:rPr>
                  <w:rFonts w:ascii="Calibri" w:eastAsia="Calibri" w:hAnsi="Calibri" w:cs="Calibri"/>
                  <w:b w:val="0"/>
                  <w:i w:val="0"/>
                  <w:color w:val="000000"/>
                  <w:sz w:val="20"/>
                  <w:u w:val="none"/>
                  <w:shd w:val="clear" w:color="auto" w:fill="auto"/>
                </w:rPr>
                <w:t>14.4.-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c60e40445f94d5cb73b4bff59c5c52b"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07f6fe2e0c47aa892595e5c73d36f5" w:history="1">
              <w:r>
                <w:rPr>
                  <w:rFonts w:ascii="Calibri" w:eastAsia="Calibri" w:hAnsi="Calibri" w:cs="Calibri"/>
                  <w:b w:val="0"/>
                  <w:i w:val="0"/>
                  <w:color w:val="000000"/>
                  <w:sz w:val="20"/>
                  <w:u w:val="none"/>
                  <w:shd w:val="clear" w:color="auto" w:fill="auto"/>
                </w:rPr>
                <w:t>15.-</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07f6fe2e0c47aa892595e5c73d36f5"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b4b85fb4dca4865a28cf2c24ff61f86" w:history="1">
              <w:r>
                <w:rPr>
                  <w:rFonts w:ascii="Calibri" w:eastAsia="Calibri" w:hAnsi="Calibri" w:cs="Calibri"/>
                  <w:b w:val="0"/>
                  <w:i w:val="0"/>
                  <w:color w:val="000000"/>
                  <w:sz w:val="20"/>
                  <w:u w:val="none"/>
                  <w:shd w:val="clear" w:color="auto" w:fill="auto"/>
                </w:rPr>
                <w:t>15.1.-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b4b85fb4dca4865a28cf2c24ff61f86"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1e268ed3a64b85a7d94f9ba7d66b78" w:history="1">
              <w:r>
                <w:rPr>
                  <w:rFonts w:ascii="Calibri" w:eastAsia="Calibri" w:hAnsi="Calibri" w:cs="Calibri"/>
                  <w:b w:val="0"/>
                  <w:i w:val="0"/>
                  <w:color w:val="000000"/>
                  <w:sz w:val="20"/>
                  <w:u w:val="none"/>
                  <w:shd w:val="clear" w:color="auto" w:fill="auto"/>
                </w:rPr>
                <w:t>15.2.-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1e268ed3a64b85a7d94f9ba7d66b78"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222a356abfc48dfa3e9557f3dde8608" w:history="1">
              <w:r>
                <w:rPr>
                  <w:rFonts w:ascii="Calibri" w:eastAsia="Calibri" w:hAnsi="Calibri" w:cs="Calibri"/>
                  <w:b w:val="0"/>
                  <w:i w:val="0"/>
                  <w:color w:val="000000"/>
                  <w:sz w:val="20"/>
                  <w:u w:val="none"/>
                  <w:shd w:val="clear" w:color="auto" w:fill="auto"/>
                </w:rPr>
                <w:t>16.-</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222a356abfc48dfa3e9557f3dde8608"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0f42925adea472aba3826073ac631dc" w:history="1">
              <w:r>
                <w:rPr>
                  <w:rFonts w:ascii="Calibri" w:eastAsia="Calibri" w:hAnsi="Calibri" w:cs="Calibri"/>
                  <w:b w:val="0"/>
                  <w:i w:val="0"/>
                  <w:color w:val="000000"/>
                  <w:sz w:val="20"/>
                  <w:u w:val="none"/>
                  <w:shd w:val="clear" w:color="auto" w:fill="auto"/>
                </w:rPr>
                <w:t>16.1.-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0f42925adea472aba3826073ac631dc"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ebff00f3f504c5c83c08c46c51e571a" w:history="1">
              <w:r>
                <w:rPr>
                  <w:rFonts w:ascii="Calibri" w:eastAsia="Calibri" w:hAnsi="Calibri" w:cs="Calibri"/>
                  <w:b w:val="0"/>
                  <w:i w:val="0"/>
                  <w:color w:val="000000"/>
                  <w:sz w:val="20"/>
                  <w:u w:val="none"/>
                  <w:shd w:val="clear" w:color="auto" w:fill="auto"/>
                </w:rPr>
                <w:t>16.2.-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ebff00f3f504c5c83c08c46c51e571a"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6421730543422fa778e29e5e94a241" w:history="1">
              <w:r>
                <w:rPr>
                  <w:rFonts w:ascii="Calibri" w:eastAsia="Calibri" w:hAnsi="Calibri" w:cs="Calibri"/>
                  <w:b w:val="0"/>
                  <w:i w:val="0"/>
                  <w:color w:val="000000"/>
                  <w:sz w:val="20"/>
                  <w:u w:val="none"/>
                  <w:shd w:val="clear" w:color="auto" w:fill="auto"/>
                </w:rPr>
                <w:t>16.3.-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6421730543422fa778e29e5e94a241"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e391b3746747aeb46f002b6f912cdc" w:history="1">
              <w:r>
                <w:rPr>
                  <w:rFonts w:ascii="Calibri" w:eastAsia="Calibri" w:hAnsi="Calibri" w:cs="Calibri"/>
                  <w:b w:val="0"/>
                  <w:i w:val="0"/>
                  <w:color w:val="000000"/>
                  <w:sz w:val="20"/>
                  <w:u w:val="none"/>
                  <w:shd w:val="clear" w:color="auto" w:fill="auto"/>
                </w:rPr>
                <w:t>16.4.-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e391b3746747aeb46f002b6f912cdc"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4f0c1e2bc54a11b93a96c4e7e3aaa3" w:history="1">
              <w:r>
                <w:rPr>
                  <w:rFonts w:ascii="Calibri" w:eastAsia="Calibri" w:hAnsi="Calibri" w:cs="Calibri"/>
                  <w:b w:val="0"/>
                  <w:i w:val="0"/>
                  <w:color w:val="000000"/>
                  <w:sz w:val="20"/>
                  <w:u w:val="none"/>
                  <w:shd w:val="clear" w:color="auto" w:fill="auto"/>
                </w:rPr>
                <w:t>16.5.-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4f0c1e2bc54a11b93a96c4e7e3aaa3"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2f3a1e8b8545128fdd62dff1d9405e" w:history="1">
              <w:r>
                <w:rPr>
                  <w:rFonts w:ascii="Calibri" w:eastAsia="Calibri" w:hAnsi="Calibri" w:cs="Calibri"/>
                  <w:b w:val="0"/>
                  <w:i w:val="0"/>
                  <w:color w:val="000000"/>
                  <w:sz w:val="20"/>
                  <w:u w:val="none"/>
                  <w:shd w:val="clear" w:color="auto" w:fill="auto"/>
                </w:rPr>
                <w:t>16.6.-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2f3a1e8b8545128fdd62dff1d9405e"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87df3ebd00a43528104faf04056a447" w:history="1">
              <w:r>
                <w:rPr>
                  <w:rFonts w:ascii="Calibri" w:eastAsia="Calibri" w:hAnsi="Calibri" w:cs="Calibri"/>
                  <w:b w:val="0"/>
                  <w:i w:val="0"/>
                  <w:color w:val="000000"/>
                  <w:sz w:val="20"/>
                  <w:u w:val="none"/>
                  <w:shd w:val="clear" w:color="auto" w:fill="auto"/>
                </w:rPr>
                <w:t>17.-</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87df3ebd00a43528104faf04056a447"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646d053477f4c4e8e4c9bb203f14627" w:history="1">
              <w:r>
                <w:rPr>
                  <w:rFonts w:ascii="Calibri" w:eastAsia="Calibri" w:hAnsi="Calibri" w:cs="Calibri"/>
                  <w:b w:val="0"/>
                  <w:i w:val="0"/>
                  <w:color w:val="000000"/>
                  <w:sz w:val="20"/>
                  <w:u w:val="none"/>
                  <w:shd w:val="clear" w:color="auto" w:fill="auto"/>
                </w:rPr>
                <w:t>17.1.-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646d053477f4c4e8e4c9bb203f14627"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40d2513e6b4ae293e228a95ed8d3f0" w:history="1">
              <w:r>
                <w:rPr>
                  <w:rFonts w:ascii="Calibri" w:eastAsia="Calibri" w:hAnsi="Calibri" w:cs="Calibri"/>
                  <w:b w:val="0"/>
                  <w:i w:val="0"/>
                  <w:color w:val="000000"/>
                  <w:sz w:val="20"/>
                  <w:u w:val="none"/>
                  <w:shd w:val="clear" w:color="auto" w:fill="auto"/>
                </w:rPr>
                <w:t>17.2.-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40d2513e6b4ae293e228a95ed8d3f0"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6a7adb571f48fcaccd55142c436111" w:history="1">
              <w:r>
                <w:rPr>
                  <w:rFonts w:ascii="Calibri" w:eastAsia="Calibri" w:hAnsi="Calibri" w:cs="Calibri"/>
                  <w:b w:val="0"/>
                  <w:i w:val="0"/>
                  <w:color w:val="000000"/>
                  <w:sz w:val="20"/>
                  <w:u w:val="none"/>
                  <w:shd w:val="clear" w:color="auto" w:fill="auto"/>
                </w:rPr>
                <w:t>17.3.-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6a7adb571f48fcaccd55142c436111"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e76dbeb1654c5a9b039df2ec6f8062" w:history="1">
              <w:r>
                <w:rPr>
                  <w:rFonts w:ascii="Calibri" w:eastAsia="Calibri" w:hAnsi="Calibri" w:cs="Calibri"/>
                  <w:b w:val="0"/>
                  <w:i w:val="0"/>
                  <w:color w:val="000000"/>
                  <w:sz w:val="20"/>
                  <w:u w:val="none"/>
                  <w:shd w:val="clear" w:color="auto" w:fill="auto"/>
                </w:rPr>
                <w:t>17.4.-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e76dbeb1654c5a9b039df2ec6f8062"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045eb958d44068afa230b224080721" w:history="1">
              <w:r>
                <w:rPr>
                  <w:rFonts w:ascii="Calibri" w:eastAsia="Calibri" w:hAnsi="Calibri" w:cs="Calibri"/>
                  <w:b w:val="0"/>
                  <w:i w:val="0"/>
                  <w:color w:val="000000"/>
                  <w:sz w:val="20"/>
                  <w:u w:val="none"/>
                  <w:shd w:val="clear" w:color="auto" w:fill="auto"/>
                </w:rPr>
                <w:t>17.5.-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045eb958d44068afa230b224080721"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c9747507284a268723c07e633d0c4c" w:history="1">
              <w:r>
                <w:rPr>
                  <w:rFonts w:ascii="Calibri" w:eastAsia="Calibri" w:hAnsi="Calibri" w:cs="Calibri"/>
                  <w:b w:val="0"/>
                  <w:i w:val="0"/>
                  <w:color w:val="000000"/>
                  <w:sz w:val="20"/>
                  <w:u w:val="none"/>
                  <w:shd w:val="clear" w:color="auto" w:fill="auto"/>
                </w:rPr>
                <w:t>18.-</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c9747507284a268723c07e633d0c4c"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427352d975f4c8dbe1ab77eab88790e" w:history="1">
              <w:r>
                <w:rPr>
                  <w:rFonts w:ascii="Calibri" w:eastAsia="Calibri" w:hAnsi="Calibri" w:cs="Calibri"/>
                  <w:b w:val="0"/>
                  <w:i w:val="0"/>
                  <w:color w:val="000000"/>
                  <w:sz w:val="20"/>
                  <w:u w:val="none"/>
                  <w:shd w:val="clear" w:color="auto" w:fill="auto"/>
                </w:rPr>
                <w:t>18.1.-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427352d975f4c8dbe1ab77eab88790e"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67125c3d06c4b7f9c84e7e30ea92753" w:history="1">
              <w:r>
                <w:rPr>
                  <w:rFonts w:ascii="Calibri" w:eastAsia="Calibri" w:hAnsi="Calibri" w:cs="Calibri"/>
                  <w:b w:val="0"/>
                  <w:i w:val="0"/>
                  <w:color w:val="000000"/>
                  <w:sz w:val="20"/>
                  <w:u w:val="none"/>
                  <w:shd w:val="clear" w:color="auto" w:fill="auto"/>
                </w:rPr>
                <w:t>19.-</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67125c3d06c4b7f9c84e7e30ea92753"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a247f4b77b41ec82755de11e10269b" w:history="1">
              <w:r>
                <w:rPr>
                  <w:rFonts w:ascii="Calibri" w:eastAsia="Calibri" w:hAnsi="Calibri" w:cs="Calibri"/>
                  <w:b w:val="0"/>
                  <w:i w:val="0"/>
                  <w:color w:val="000000"/>
                  <w:sz w:val="20"/>
                  <w:u w:val="none"/>
                  <w:shd w:val="clear" w:color="auto" w:fill="auto"/>
                </w:rPr>
                <w:t>19.1.-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a247f4b77b41ec82755de11e10269b"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24f937e8f943e18a6032669cd4f8e5" w:history="1">
              <w:r>
                <w:rPr>
                  <w:rFonts w:ascii="Calibri" w:eastAsia="Calibri" w:hAnsi="Calibri" w:cs="Calibri"/>
                  <w:b w:val="0"/>
                  <w:i w:val="0"/>
                  <w:color w:val="000000"/>
                  <w:sz w:val="20"/>
                  <w:u w:val="none"/>
                  <w:shd w:val="clear" w:color="auto" w:fill="auto"/>
                </w:rPr>
                <w:t>19.2.-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24f937e8f943e18a6032669cd4f8e5"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cd133ba6be449486793b9335e39ae6" w:history="1">
              <w:r>
                <w:rPr>
                  <w:rFonts w:ascii="Calibri" w:eastAsia="Calibri" w:hAnsi="Calibri" w:cs="Calibri"/>
                  <w:b w:val="0"/>
                  <w:i w:val="0"/>
                  <w:color w:val="000000"/>
                  <w:sz w:val="20"/>
                  <w:u w:val="none"/>
                  <w:shd w:val="clear" w:color="auto" w:fill="auto"/>
                </w:rPr>
                <w:t>19.3.-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cd133ba6be449486793b9335e39ae6"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14d66998eb9418dbf28b5cfe3a307ed" w:history="1">
              <w:r>
                <w:rPr>
                  <w:rFonts w:ascii="Calibri" w:eastAsia="Calibri" w:hAnsi="Calibri" w:cs="Calibri"/>
                  <w:b w:val="0"/>
                  <w:i w:val="0"/>
                  <w:color w:val="000000"/>
                  <w:sz w:val="20"/>
                  <w:u w:val="none"/>
                  <w:shd w:val="clear" w:color="auto" w:fill="auto"/>
                </w:rPr>
                <w:t>19.4.-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14d66998eb9418dbf28b5cfe3a307ed"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ecf72c528154bed8571e7aed6be597d" w:history="1">
              <w:r>
                <w:rPr>
                  <w:rFonts w:ascii="Calibri" w:eastAsia="Calibri" w:hAnsi="Calibri" w:cs="Calibri"/>
                  <w:b w:val="0"/>
                  <w:i w:val="0"/>
                  <w:color w:val="000000"/>
                  <w:sz w:val="20"/>
                  <w:u w:val="none"/>
                  <w:shd w:val="clear" w:color="auto" w:fill="auto"/>
                </w:rPr>
                <w:t>20.-</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ecf72c528154bed8571e7aed6be597d"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725affa92f43428cb75e04e8556eac" w:history="1">
              <w:r>
                <w:rPr>
                  <w:rFonts w:ascii="Calibri" w:eastAsia="Calibri" w:hAnsi="Calibri" w:cs="Calibri"/>
                  <w:b w:val="0"/>
                  <w:i w:val="0"/>
                  <w:color w:val="000000"/>
                  <w:sz w:val="20"/>
                  <w:u w:val="none"/>
                  <w:shd w:val="clear" w:color="auto" w:fill="auto"/>
                </w:rPr>
                <w:t>20.1.-</w:t>
                <w:tab/>
                <w:t>Composición ganancias (pérdidas) de cambio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725affa92f43428cb75e04e8556eac"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66abaa88f14bcc83a61869d9694279" w:history="1">
              <w:r>
                <w:rPr>
                  <w:rFonts w:ascii="Calibri" w:eastAsia="Calibri" w:hAnsi="Calibri" w:cs="Calibri"/>
                  <w:b w:val="0"/>
                  <w:i w:val="0"/>
                  <w:color w:val="000000"/>
                  <w:sz w:val="20"/>
                  <w:u w:val="none"/>
                  <w:shd w:val="clear" w:color="auto" w:fill="auto"/>
                </w:rPr>
                <w:t>20.2.-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66abaa88f14bcc83a61869d9694279"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8c7d96e2df349c0a0ff265eefba9ee7" w:history="1">
              <w:r>
                <w:rPr>
                  <w:rFonts w:ascii="Calibri" w:eastAsia="Calibri" w:hAnsi="Calibri" w:cs="Calibri"/>
                  <w:b w:val="0"/>
                  <w:i w:val="0"/>
                  <w:color w:val="000000"/>
                  <w:sz w:val="20"/>
                  <w:u w:val="none"/>
                  <w:shd w:val="clear" w:color="auto" w:fill="auto"/>
                </w:rPr>
                <w:t>21.-</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8c7d96e2df349c0a0ff265eefba9ee7"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5aae9922784144960304f4728a79cb" w:history="1">
              <w:r>
                <w:rPr>
                  <w:rFonts w:ascii="Calibri" w:eastAsia="Calibri" w:hAnsi="Calibri" w:cs="Calibri"/>
                  <w:b w:val="0"/>
                  <w:i w:val="0"/>
                  <w:color w:val="000000"/>
                  <w:sz w:val="20"/>
                  <w:u w:val="none"/>
                  <w:shd w:val="clear" w:color="auto" w:fill="auto"/>
                </w:rPr>
                <w:t>21.1.-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5aae9922784144960304f4728a79cb"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433f2878ddd42b39d691cbe107c08f8" w:history="1">
              <w:r>
                <w:rPr>
                  <w:rFonts w:ascii="Calibri" w:eastAsia="Calibri" w:hAnsi="Calibri" w:cs="Calibri"/>
                  <w:b w:val="0"/>
                  <w:i w:val="0"/>
                  <w:color w:val="000000"/>
                  <w:sz w:val="20"/>
                  <w:u w:val="none"/>
                  <w:shd w:val="clear" w:color="auto" w:fill="auto"/>
                </w:rPr>
                <w:t>21.2.-</w:t>
                <w:tab/>
                <w:t>Localización del 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433f2878ddd42b39d691cbe107c08f8"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ed4264191f4c27a88bd7d88bd6ae0c" w:history="1">
              <w:r>
                <w:rPr>
                  <w:rFonts w:ascii="Calibri" w:eastAsia="Calibri" w:hAnsi="Calibri" w:cs="Calibri"/>
                  <w:b w:val="0"/>
                  <w:i w:val="0"/>
                  <w:color w:val="000000"/>
                  <w:sz w:val="20"/>
                  <w:u w:val="none"/>
                  <w:shd w:val="clear" w:color="auto" w:fill="auto"/>
                </w:rPr>
                <w:t>21.3.-</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ed4264191f4c27a88bd7d88bd6ae0c"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3427eb822f544b095105db58f093547" w:history="1">
              <w:r>
                <w:rPr>
                  <w:rFonts w:ascii="Calibri" w:eastAsia="Calibri" w:hAnsi="Calibri" w:cs="Calibri"/>
                  <w:b w:val="0"/>
                  <w:i w:val="0"/>
                  <w:color w:val="000000"/>
                  <w:sz w:val="20"/>
                  <w:u w:val="none"/>
                  <w:shd w:val="clear" w:color="auto" w:fill="auto"/>
                </w:rPr>
                <w:t>22.-</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3427eb822f544b095105db58f093547"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5a47b88a334a579da24eba78f0715e" w:history="1">
              <w:r>
                <w:rPr>
                  <w:rFonts w:ascii="Calibri" w:eastAsia="Calibri" w:hAnsi="Calibri" w:cs="Calibri"/>
                  <w:b w:val="0"/>
                  <w:i w:val="0"/>
                  <w:color w:val="000000"/>
                  <w:sz w:val="20"/>
                  <w:u w:val="none"/>
                  <w:shd w:val="clear" w:color="auto" w:fill="auto"/>
                </w:rPr>
                <w:t>23.-</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5a47b88a334a579da24eba78f0715e"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e9036f71134556a2995d74c67d51c9" w:history="1">
              <w:r>
                <w:rPr>
                  <w:rFonts w:ascii="Calibri" w:eastAsia="Calibri" w:hAnsi="Calibri" w:cs="Calibri"/>
                  <w:b w:val="0"/>
                  <w:i w:val="0"/>
                  <w:color w:val="000000"/>
                  <w:sz w:val="20"/>
                  <w:u w:val="none"/>
                  <w:shd w:val="clear" w:color="auto" w:fill="auto"/>
                </w:rPr>
                <w:t>23.1.-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e9036f71134556a2995d74c67d51c9"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e1389b41a74d35b4242d7dd2905704" w:history="1">
              <w:r>
                <w:rPr>
                  <w:rFonts w:ascii="Calibri" w:eastAsia="Calibri" w:hAnsi="Calibri" w:cs="Calibri"/>
                  <w:b w:val="0"/>
                  <w:i w:val="0"/>
                  <w:color w:val="000000"/>
                  <w:sz w:val="20"/>
                  <w:u w:val="none"/>
                  <w:shd w:val="clear" w:color="auto" w:fill="auto"/>
                </w:rPr>
                <w:t>23.2.-</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e1389b41a74d35b4242d7dd2905704"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b9eda08529b4d248ca3b96b5a077497" w:history="1">
              <w:r>
                <w:rPr>
                  <w:rFonts w:ascii="Calibri" w:eastAsia="Calibri" w:hAnsi="Calibri" w:cs="Calibri"/>
                  <w:b w:val="0"/>
                  <w:i w:val="0"/>
                  <w:color w:val="000000"/>
                  <w:sz w:val="20"/>
                  <w:u w:val="none"/>
                  <w:shd w:val="clear" w:color="auto" w:fill="auto"/>
                </w:rPr>
                <w:t>23.3.-</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b9eda08529b4d248ca3b96b5a077497"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c20868e11a47a49aaec0d28d6baedf" w:history="1">
              <w:r>
                <w:rPr>
                  <w:rFonts w:ascii="Calibri" w:eastAsia="Calibri" w:hAnsi="Calibri" w:cs="Calibri"/>
                  <w:b w:val="0"/>
                  <w:i w:val="0"/>
                  <w:color w:val="000000"/>
                  <w:sz w:val="20"/>
                  <w:u w:val="none"/>
                  <w:shd w:val="clear" w:color="auto" w:fill="auto"/>
                </w:rPr>
                <w:t>24.-</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c20868e11a47a49aaec0d28d6baedf"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d615082406455fa047d0b14be2258d" w:history="1">
              <w:r>
                <w:rPr>
                  <w:rFonts w:ascii="Calibri" w:eastAsia="Calibri" w:hAnsi="Calibri" w:cs="Calibri"/>
                  <w:b w:val="0"/>
                  <w:i w:val="0"/>
                  <w:color w:val="000000"/>
                  <w:sz w:val="20"/>
                  <w:u w:val="none"/>
                  <w:shd w:val="clear" w:color="auto" w:fill="auto"/>
                </w:rPr>
                <w:t>24.1.-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d615082406455fa047d0b14be2258d"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e630bd59374d5ca08f923acc89437a" w:history="1">
              <w:r>
                <w:rPr>
                  <w:rFonts w:ascii="Calibri" w:eastAsia="Calibri" w:hAnsi="Calibri" w:cs="Calibri"/>
                  <w:b w:val="0"/>
                  <w:i w:val="0"/>
                  <w:color w:val="000000"/>
                  <w:sz w:val="20"/>
                  <w:u w:val="none"/>
                  <w:shd w:val="clear" w:color="auto" w:fill="auto"/>
                </w:rPr>
                <w:t>25.-</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e630bd59374d5ca08f923acc89437a"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94c040f630401595fd2f9a0a1f4b65" w:history="1">
              <w:r>
                <w:rPr>
                  <w:rFonts w:ascii="Calibri" w:eastAsia="Calibri" w:hAnsi="Calibri" w:cs="Calibri"/>
                  <w:b w:val="0"/>
                  <w:i w:val="0"/>
                  <w:color w:val="000000"/>
                  <w:sz w:val="20"/>
                  <w:u w:val="none"/>
                  <w:shd w:val="clear" w:color="auto" w:fill="auto"/>
                </w:rPr>
                <w:t>26.-</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94c040f630401595fd2f9a0a1f4b65"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c90f93438a4120b82dd9a8294381c3" w:history="1">
              <w:r>
                <w:rPr>
                  <w:rFonts w:ascii="Calibri" w:eastAsia="Calibri" w:hAnsi="Calibri" w:cs="Calibri"/>
                  <w:b w:val="0"/>
                  <w:i w:val="0"/>
                  <w:color w:val="000000"/>
                  <w:sz w:val="20"/>
                  <w:u w:val="none"/>
                  <w:shd w:val="clear" w:color="auto" w:fill="auto"/>
                </w:rPr>
                <w:t>27.-</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c90f93438a4120b82dd9a8294381c3"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426416338c49f29289c45d01fed4bf" w:history="1">
              <w:r>
                <w:rPr>
                  <w:rFonts w:ascii="Calibri" w:eastAsia="Calibri" w:hAnsi="Calibri" w:cs="Calibri"/>
                  <w:b w:val="0"/>
                  <w:i w:val="0"/>
                  <w:color w:val="000000"/>
                  <w:sz w:val="20"/>
                  <w:u w:val="none"/>
                  <w:shd w:val="clear" w:color="auto" w:fill="auto"/>
                </w:rPr>
                <w:t>28.-</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426416338c49f29289c45d01fed4bf" w:history="1">
              <w:r>
                <w:rPr>
                  <w:rFonts w:ascii="Calibri" w:eastAsia="Calibri" w:hAnsi="Calibri" w:cs="Calibri"/>
                  <w:b w:val="0"/>
                  <w:i w:val="0"/>
                  <w:color w:val="000000"/>
                  <w:sz w:val="20"/>
                  <w:u w:val="none"/>
                  <w:shd w:val="clear" w:color="auto" w:fill="auto"/>
                </w:rPr>
                <w:t>49</w:t>
              </w:r>
            </w:hyperlink>
          </w:p>
        </w:tc>
      </w:tr>
    </w:tbl>
    <w:p>
      <w:pPr>
        <w:keepNext w:val="0"/>
        <w:keepLines/>
        <w:pageBreakBefore w:val="0"/>
        <w:widowControl w:val="0"/>
        <w:numPr>
          <w:ilvl w:val="0"/>
          <w:numId w:val="0"/>
        </w:numPr>
        <w:tabs>
          <w:tab w:val="left" w:pos="440"/>
          <w:tab w:val="left" w:pos="9060"/>
        </w:tabs>
        <w:spacing w:before="0" w:after="0" w:line="288" w:lineRule="auto"/>
        <w:ind w:left="0" w:right="-94"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16"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ENERGY SUR INGENIERÍA S.A.</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NOTAS A LOS ESTADOS FINANCIEROS </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18"/>
          <w:u w:val="none"/>
        </w:rPr>
      </w:pPr>
      <w:r>
        <w:pict>
          <v:shape id="_x0000_i1034" type="#_x0000_t75" style="width:498.9pt;height:1.98pt">
            <v:imagedata r:id="rId9"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5"/>
          <w:footerReference w:type="default" r:id="rId16"/>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16" w:lineRule="exact"/>
        <w:ind w:left="567" w:right="0" w:hanging="567"/>
        <w:jc w:val="left"/>
        <w:outlineLvl w:val="0"/>
        <w:rPr>
          <w:rFonts w:ascii="Cambria" w:eastAsia="Cambria" w:hAnsi="Cambria" w:cs="Cambria"/>
          <w:b/>
          <w:i w:val="0"/>
          <w:color w:val="365F91"/>
          <w:sz w:val="28"/>
          <w:u w:val="none"/>
        </w:rPr>
      </w:pPr>
      <w:bookmarkStart w:id="6" w:name="Section7"/>
      <w:bookmarkEnd w:id="6"/>
      <w:bookmarkStart w:id="7" w:name="dd9cf60e5f5a4e35ba600aa23a32c0c7"/>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(Energy Sur S.A.) Rut:78.512.190-2, es una sociedad anónima cerrada y tiene su domicilio social en Calle Local Nº 55, Parque Industrial Michaihue, San Pedro de la Paz, Concepción, República de Chile.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01 de junio de 1998, se efectuó el cambio de tipo de Sociedad, de responsabilidad limitada a Sociedad Anónima Cerrada, de conformidad con los artículos 96, 97 y 98 de la Ley 18.046, modificando la razón social de Energy Sur Ltda. a 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accionistas de Energy Sur Ingeniería S.A. son los siguientes:</w:t>
      </w:r>
    </w:p>
    <w:p>
      <w:pPr>
        <w:keepNext w:val="0"/>
        <w:keepLines/>
        <w:pageBreakBefore w:val="0"/>
        <w:widowControl w:val="0"/>
        <w:numPr>
          <w:ilvl w:val="0"/>
          <w:numId w:val="0"/>
        </w:numPr>
        <w:spacing w:before="0" w:after="0" w:line="288" w:lineRule="auto"/>
        <w:ind w:left="3544" w:right="0" w:hanging="297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55,00%</w:t>
      </w:r>
    </w:p>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Guillermo Hayes Morales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30,00%</w:t>
      </w:r>
    </w:p>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Erich Gruttner Grimal</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15,00%</w:t>
      </w:r>
    </w:p>
    <w:p>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 matriz Transformadores Tusan S.A. es una sociedad anónima cerrada, domicilio social en Avenida Gladys Marín Nº 6030 en la ciudad de Santiago, República de Chile. </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Transformadores Tusan S.A. (En Adelante Tusan S.A.), el mayor accionista de Energy Sur Ingeniería S.A., es subsidiaria de CGE Transmisión S.A. Al 31 de diciembre de 2025 el accionista propietario del 97,145% de las acciones de CGE Transmisión S.A. es State Grid Chile Electricity SpA., miembro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correspondiente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han sido aprobada en Sesión de Directorio con fecha</w:t>
      </w:r>
      <w:r>
        <w:rPr>
          <w:rFonts w:ascii="Calibri" w:eastAsia="Calibri" w:hAnsi="Calibri" w:cs="Calibri"/>
          <w:b w:val="0"/>
          <w:i w:val="0"/>
          <w:color w:val="000000"/>
          <w:sz w:val="20"/>
          <w:highlight w:val="white"/>
          <w:u w:val="none"/>
        </w:rPr>
        <w:t xml:space="preserve"> 9 de marzo de 2026.</w:t>
      </w:r>
    </w:p>
    <w:p>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567"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8" w:name="Section8"/>
      <w:bookmarkEnd w:id="8"/>
      <w:bookmarkStart w:id="9" w:name="c02174b841974c48a3f86261d2ff68eb"/>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 LOS SECTORES DONDE PARTICIPA 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participa en el mercado eléctrico mediante la reparación y mantención de transformadores eléctricos, como también proporciona asesoría en el área de la ingeniería eléctrica, realizando mediciones de diversa índole, y montaje de proyectos de ingeniería.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0" w:name="Section9"/>
      <w:bookmarkEnd w:id="10"/>
      <w:bookmarkStart w:id="11" w:name="f9a8ccfbfcd54fecaad53a27fdc4109e"/>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567" w:right="0" w:hanging="567"/>
        <w:jc w:val="both"/>
        <w:outlineLvl w:val="9"/>
        <w:rPr>
          <w:rFonts w:ascii="Calibri" w:eastAsia="Calibri" w:hAnsi="Calibri" w:cs="Calibri"/>
          <w:b w:val="0"/>
          <w:i w:val="0"/>
          <w:color w:val="000000"/>
          <w:sz w:val="20"/>
          <w:u w:val="none"/>
        </w:rPr>
      </w:pPr>
      <w:bookmarkEnd w:id="11"/>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se detallan a continuación.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 w:name="Section10"/>
      <w:bookmarkEnd w:id="12"/>
      <w:bookmarkStart w:id="13" w:name="db7e75f007a2432fbcd5625b6a28ac80"/>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de 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han sido preparados de acuerdo con el principio de costo.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las políticas emanadas desde State Grid Chile Electricity SpA.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estimaciones contables críticas para cuantificar algunos activos, pasivos, ingresos y gastos. Las áreas que involucran un mayor grado de juicio o complejidad o áreas en las que los supuestos y estimaciones son significativos para los estados financieros se describen en Nota 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el ejercicio terminado al 31 de diciembre de 2024, se han efectuado reclasificaciones para facilitar su comparación con el ejercicio terminado al 31 de diciembre de 2025. Estas reclasificaciones no modifican el resultado ni el patrimonio del ejercicio anterior.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14" w:name="Section11"/>
      <w:bookmarkEnd w:id="14"/>
      <w:bookmarkStart w:id="15" w:name="2b6c5a7d15fd496fb9892bdb95e7c22e"/>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hanging="709"/>
        <w:jc w:val="both"/>
        <w:outlineLvl w:val="9"/>
        <w:rPr>
          <w:rFonts w:ascii="Calibri" w:eastAsia="Calibri" w:hAnsi="Calibri" w:cs="Calibri"/>
          <w:b w:val="0"/>
          <w:i w:val="0"/>
          <w:sz w:val="20"/>
        </w:rPr>
      </w:pPr>
      <w:r>
        <w:rPr>
          <w:rFonts w:ascii="Calibri" w:eastAsia="Calibri" w:hAnsi="Calibri" w:cs="Calibri"/>
          <w:b w:val="0"/>
          <w:i w:val="0"/>
          <w:sz w:val="20"/>
        </w:rPr>
        <w:t>3.2.1.-</w:t>
      </w:r>
      <w:r>
        <w:rPr>
          <w:rFonts w:ascii="Calibri" w:eastAsia="Calibri" w:hAnsi="Calibri" w:cs="Calibri"/>
          <w:b w:val="0"/>
          <w:i w:val="0"/>
          <w:sz w:val="20"/>
        </w:rPr>
        <w:tab/>
      </w:r>
      <w:r>
        <w:rPr>
          <w:rFonts w:ascii="Calibri" w:eastAsia="Calibri" w:hAnsi="Calibri" w:cs="Calibri"/>
          <w:b w:val="0"/>
          <w:i w:val="0"/>
          <w:sz w:val="20"/>
        </w:rPr>
        <w:t>En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entran en vigencia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tabs>
          <w:tab w:val="left" w:pos="700"/>
        </w:tabs>
        <w:spacing w:before="0" w:after="0" w:line="288" w:lineRule="auto"/>
        <w:ind w:left="1418"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 adopción de esta norma y </w:t>
      </w:r>
      <w:r>
        <w:rPr>
          <w:rFonts w:ascii="Calibri" w:eastAsia="Calibri" w:hAnsi="Calibri" w:cs="Calibri"/>
          <w:b w:val="0"/>
          <w:i w:val="0"/>
          <w:color w:val="000000"/>
          <w:sz w:val="20"/>
          <w:u w:val="none"/>
        </w:rPr>
        <w:t>su</w:t>
      </w:r>
      <w:r>
        <w:rPr>
          <w:rFonts w:ascii="Calibri" w:eastAsia="Calibri" w:hAnsi="Calibri" w:cs="Calibri"/>
          <w:b w:val="0"/>
          <w:i w:val="0"/>
          <w:sz w:val="20"/>
        </w:rPr>
        <w:t xml:space="preserve"> enmienda no generó impactos en los estados financieros de la Sociedad en la fecha de aplicación </w:t>
      </w:r>
      <w:r>
        <w:rPr>
          <w:rFonts w:ascii="Calibri" w:eastAsia="Calibri" w:hAnsi="Calibri" w:cs="Calibri"/>
          <w:b w:val="0"/>
          <w:i w:val="0"/>
          <w:color w:val="000000"/>
          <w:sz w:val="20"/>
          <w:u w:val="none"/>
        </w:rPr>
        <w:t>inicial.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3" w:right="0" w:hanging="705"/>
        <w:jc w:val="both"/>
        <w:outlineLvl w:val="1"/>
        <w:rPr>
          <w:rFonts w:ascii="Times New Roman" w:eastAsia="Times New Roman" w:hAnsi="Times New Roman" w:cs="Times New Roman"/>
          <w:b/>
          <w:i w:val="0"/>
          <w:color w:val="000000"/>
          <w:sz w:val="24"/>
          <w:u w:val="none"/>
        </w:rPr>
      </w:pPr>
      <w:bookmarkStart w:id="16" w:name="Section12"/>
      <w:bookmarkEnd w:id="16"/>
      <w:bookmarkStart w:id="17" w:name="0c69ba54a6164c61bc93e9eaa7437f14"/>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17"/>
    </w:p>
    <w:p>
      <w:pPr>
        <w:pStyle w:val="Normal-wk"/>
        <w:keepNext w:val="0"/>
        <w:keepLines/>
        <w:pageBreakBefore w:val="0"/>
        <w:widowControl w:val="0"/>
        <w:numPr>
          <w:ilvl w:val="0"/>
          <w:numId w:val="0"/>
        </w:numPr>
        <w:spacing w:before="0" w:after="0" w:line="240" w:lineRule="exact"/>
        <w:ind w:left="2127"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spacing w:before="0" w:after="0" w:line="288" w:lineRule="auto"/>
        <w:ind w:left="2127" w:right="0" w:hanging="709"/>
        <w:jc w:val="left"/>
        <w:outlineLvl w:val="9"/>
        <w:rPr>
          <w:rFonts w:ascii="Calibri" w:eastAsia="Calibri" w:hAnsi="Calibri" w:cs="Calibri"/>
          <w:b w:val="0"/>
          <w:i w:val="0"/>
          <w:sz w:val="20"/>
        </w:rPr>
      </w:pPr>
    </w:p>
    <w:p>
      <w:pPr>
        <w:keepNext w:val="0"/>
        <w:keepLines/>
        <w:pageBreakBefore w:val="0"/>
        <w:widowControl w:val="0"/>
        <w:numPr>
          <w:ilvl w:val="0"/>
          <w:numId w:val="10"/>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10"/>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Clarifican cómo evaluar las características del flujo de efectivo contractual de los activos financieros que incluyen características ambientales, sociales y de gobernanza (ASG) y otras características contingentes similares. </w:t>
      </w:r>
    </w:p>
    <w:p>
      <w:pPr>
        <w:keepNext w:val="0"/>
        <w:keepLines/>
        <w:pageBreakBefore w:val="0"/>
        <w:widowControl w:val="0"/>
        <w:numPr>
          <w:ilvl w:val="0"/>
          <w:numId w:val="0"/>
        </w:numPr>
        <w:spacing w:before="0" w:after="0" w:line="288" w:lineRule="auto"/>
        <w:ind w:left="0" w:right="0" w:firstLine="3"/>
        <w:jc w:val="both"/>
        <w:outlineLvl w:val="9"/>
        <w:rPr>
          <w:rFonts w:ascii="Calibri" w:eastAsia="Calibri" w:hAnsi="Calibri" w:cs="Calibri"/>
          <w:b w:val="0"/>
          <w:i w:val="0"/>
          <w:sz w:val="20"/>
        </w:rPr>
      </w:pPr>
    </w:p>
    <w:p>
      <w:pPr>
        <w:keepNext w:val="0"/>
        <w:keepLines/>
        <w:pageBreakBefore w:val="0"/>
        <w:widowControl w:val="0"/>
        <w:numPr>
          <w:ilvl w:val="0"/>
          <w:numId w:val="10"/>
        </w:numPr>
        <w:spacing w:before="0" w:after="0" w:line="288" w:lineRule="auto"/>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Clarifican el tratamiento de los activos sin recurso y los instrumentos vinculados cont</w:t>
      </w:r>
      <w:r>
        <w:rPr>
          <w:rFonts w:ascii="Calibri" w:eastAsia="Calibri" w:hAnsi="Calibri" w:cs="Calibri"/>
          <w:b w:val="0"/>
          <w:i w:val="0"/>
          <w:color w:val="000000"/>
          <w:sz w:val="20"/>
          <w:u w:val="none"/>
        </w:rPr>
        <w:t xml:space="preserve">ractualmente.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0"/>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 xml:space="preserve">Los nuevos requisitos se aplicarán retrospectivamente con un ajuste en el saldo de apertura de los resultados </w:t>
      </w:r>
      <w:r>
        <w:rPr>
          <w:rFonts w:ascii="Calibri" w:eastAsia="Calibri" w:hAnsi="Calibri" w:cs="Calibri"/>
          <w:b w:val="0"/>
          <w:i w:val="0"/>
          <w:color w:val="000000"/>
          <w:sz w:val="20"/>
          <w:u w:val="none"/>
        </w:rPr>
        <w:t>acumulados</w:t>
      </w:r>
      <w:r>
        <w:rPr>
          <w:rFonts w:ascii="Calibri" w:eastAsia="Calibri" w:hAnsi="Calibri" w:cs="Calibri"/>
          <w:b w:val="0"/>
          <w:i w:val="0"/>
          <w:sz w:val="20"/>
        </w:rPr>
        <w:t>.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w:t>
      </w:r>
      <w:r>
        <w:rPr>
          <w:rFonts w:ascii="Calibri" w:eastAsia="Calibri" w:hAnsi="Calibri" w:cs="Calibri"/>
          <w:b w:val="0"/>
          <w:i w:val="0"/>
          <w:color w:val="000000"/>
          <w:sz w:val="20"/>
          <w:u w:val="none"/>
        </w:rPr>
        <w:tab/>
      </w:r>
      <w:r>
        <w:rPr>
          <w:rFonts w:ascii="Calibri" w:eastAsia="Calibri" w:hAnsi="Calibri" w:cs="Calibri"/>
          <w:b w:val="0"/>
          <w:i w:val="0"/>
          <w:sz w:val="20"/>
        </w:rPr>
        <w:t xml:space="preserve">En julio de 2024 el IASB emitió las mejoras anuales a las NIIF que afectan NIIF 1, NIIF 7, NIIF 9, NIIF 10 y NIC 7. Las mejoras anuales se limitan a cambios que </w:t>
      </w:r>
      <w:r>
        <w:rPr>
          <w:rFonts w:ascii="Calibri" w:eastAsia="Calibri" w:hAnsi="Calibri" w:cs="Calibri"/>
          <w:b w:val="0"/>
          <w:i w:val="0"/>
          <w:color w:val="000000"/>
          <w:sz w:val="20"/>
          <w:u w:val="none"/>
        </w:rPr>
        <w:t>aclaran</w:t>
      </w:r>
      <w:r>
        <w:rPr>
          <w:rFonts w:ascii="Calibri" w:eastAsia="Calibri" w:hAnsi="Calibri" w:cs="Calibri"/>
          <w:b w:val="0"/>
          <w:i w:val="0"/>
          <w:sz w:val="20"/>
        </w:rPr>
        <w:t xml:space="preserve">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 xml:space="preserve">En diciembre de 2024 el IASB emitió las </w:t>
      </w:r>
      <w:r>
        <w:rPr>
          <w:rFonts w:ascii="Calibri" w:eastAsia="Calibri" w:hAnsi="Calibri" w:cs="Calibri"/>
          <w:b w:val="0"/>
          <w:i w:val="0"/>
          <w:color w:val="000000"/>
          <w:sz w:val="20"/>
          <w:u w:val="none"/>
        </w:rPr>
        <w:t>enmiendas</w:t>
      </w:r>
      <w:r>
        <w:rPr>
          <w:rFonts w:ascii="Calibri" w:eastAsia="Calibri" w:hAnsi="Calibri" w:cs="Calibri"/>
          <w:b w:val="0"/>
          <w:i w:val="0"/>
          <w:sz w:val="20"/>
        </w:rPr>
        <w:t xml:space="preserve">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tabs>
          <w:tab w:val="left" w:pos="700"/>
        </w:tabs>
        <w:spacing w:before="0" w:after="0" w:line="288" w:lineRule="auto"/>
        <w:ind w:left="2551"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 xml:space="preserve">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w:t>
      </w:r>
      <w:r>
        <w:rPr>
          <w:rFonts w:ascii="Calibri" w:eastAsia="Calibri" w:hAnsi="Calibri" w:cs="Calibri"/>
          <w:b w:val="0"/>
          <w:i w:val="0"/>
          <w:color w:val="000000"/>
          <w:sz w:val="20"/>
          <w:u w:val="none"/>
        </w:rPr>
        <w:t>resultados</w:t>
      </w:r>
      <w:r>
        <w:rPr>
          <w:rFonts w:ascii="Calibri" w:eastAsia="Calibri" w:hAnsi="Calibri" w:cs="Calibri"/>
          <w:b w:val="0"/>
          <w:i w:val="0"/>
          <w:sz w:val="20"/>
        </w:rPr>
        <w:t>,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w:t>
      </w:r>
      <w:r>
        <w:rPr>
          <w:rFonts w:ascii="Calibri" w:eastAsia="Calibri" w:hAnsi="Calibri" w:cs="Calibri"/>
          <w:b w:val="0"/>
          <w:i w:val="0"/>
          <w:color w:val="000000"/>
          <w:sz w:val="20"/>
          <w:u w:val="none"/>
        </w:rPr>
        <w:t>presentación</w:t>
      </w:r>
      <w:r>
        <w:rPr>
          <w:rFonts w:ascii="Calibri" w:eastAsia="Calibri" w:hAnsi="Calibri" w:cs="Calibri"/>
          <w:b w:val="0"/>
          <w:i w:val="0"/>
          <w:sz w:val="20"/>
        </w:rPr>
        <w:t xml:space="preserve">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 xml:space="preserve">En noviembre de 2025, el IASB emitió “Conversión a una Moneda de Presentación Hiperinflacionaria - Enmiendas a la NIC 21”. Las enmiendas requieren la conversión desde una </w:t>
      </w:r>
      <w:r>
        <w:rPr>
          <w:rFonts w:ascii="Calibri" w:eastAsia="Calibri" w:hAnsi="Calibri" w:cs="Calibri"/>
          <w:b w:val="0"/>
          <w:i w:val="0"/>
          <w:color w:val="000000"/>
          <w:sz w:val="20"/>
          <w:u w:val="none"/>
        </w:rPr>
        <w:t>moneda</w:t>
      </w:r>
      <w:r>
        <w:rPr>
          <w:rFonts w:ascii="Calibri" w:eastAsia="Calibri" w:hAnsi="Calibri" w:cs="Calibri"/>
          <w:b w:val="0"/>
          <w:i w:val="0"/>
          <w:sz w:val="20"/>
        </w:rPr>
        <w:t xml:space="preserve"> funcional no hiperinflacionaria a una moneda de presentación hiperinflacionaria utilizando el tipo de cambio de cierre.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30" w:lineRule="exact"/>
        <w:ind w:left="2124" w:right="0" w:hanging="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3.3.7.-</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contables NIIF.</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tabs>
          <w:tab w:val="left" w:pos="700"/>
        </w:tabs>
        <w:spacing w:before="0" w:after="0" w:line="288" w:lineRule="auto"/>
        <w:ind w:left="2124"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tabs>
          <w:tab w:val="left" w:pos="700"/>
        </w:tabs>
        <w:spacing w:before="0" w:after="0" w:line="276" w:lineRule="auto"/>
        <w:ind w:left="2124" w:right="0" w:firstLine="0"/>
        <w:jc w:val="left"/>
        <w:outlineLvl w:val="9"/>
        <w:rPr>
          <w:rFonts w:ascii="Aptos" w:eastAsia="Aptos" w:hAnsi="Aptos" w:cs="Aptos"/>
          <w:b w:val="0"/>
          <w:i w:val="0"/>
          <w:sz w:val="24"/>
        </w:rPr>
      </w:pPr>
    </w:p>
    <w:p>
      <w:pPr>
        <w:keepNext w:val="0"/>
        <w:keepLines/>
        <w:pageBreakBefore w:val="0"/>
        <w:widowControl w:val="0"/>
        <w:numPr>
          <w:ilvl w:val="0"/>
          <w:numId w:val="0"/>
        </w:numPr>
        <w:tabs>
          <w:tab w:val="left" w:pos="700"/>
        </w:tabs>
        <w:spacing w:before="0" w:after="0" w:line="276" w:lineRule="auto"/>
        <w:ind w:left="2124" w:right="0" w:firstLine="0"/>
        <w:jc w:val="left"/>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76" w:lineRule="auto"/>
        <w:ind w:left="2551" w:right="0" w:hanging="425"/>
        <w:jc w:val="left"/>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tabs>
          <w:tab w:val="left" w:pos="700"/>
        </w:tabs>
        <w:spacing w:before="0" w:after="0" w:line="230" w:lineRule="exact"/>
        <w:ind w:left="2551" w:right="0" w:hanging="425"/>
        <w:jc w:val="left"/>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tabs>
          <w:tab w:val="left" w:pos="700"/>
        </w:tabs>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tabs>
          <w:tab w:val="left" w:pos="700"/>
        </w:tabs>
        <w:spacing w:before="0" w:after="0" w:line="276"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30" w:lineRule="exact"/>
        <w:ind w:left="2124" w:right="0" w:hanging="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3.3.8.-</w:t>
      </w:r>
      <w:r>
        <w:rPr>
          <w:rFonts w:ascii="Calibri" w:eastAsia="Calibri" w:hAnsi="Calibri" w:cs="Calibri"/>
          <w:b w:val="0"/>
          <w:i w:val="0"/>
          <w:color w:val="000000"/>
          <w:sz w:val="20"/>
          <w:u w:val="none"/>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tabs>
          <w:tab w:val="left" w:pos="700"/>
        </w:tabs>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tabs>
          <w:tab w:val="left" w:pos="700"/>
        </w:tabs>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76" w:lineRule="auto"/>
        <w:ind w:left="0" w:right="0" w:firstLine="1416"/>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Administración la </w:t>
      </w:r>
      <w:r>
        <w:rPr>
          <w:rFonts w:ascii="Calibri" w:eastAsia="Calibri" w:hAnsi="Calibri" w:cs="Calibri"/>
          <w:b w:val="0"/>
          <w:i w:val="0"/>
          <w:color w:val="000000"/>
          <w:sz w:val="20"/>
          <w:u w:val="none"/>
        </w:rPr>
        <w:t>Sociedad</w:t>
      </w:r>
      <w:r>
        <w:rPr>
          <w:rFonts w:ascii="Calibri" w:eastAsia="Calibri" w:hAnsi="Calibri" w:cs="Calibri"/>
          <w:b w:val="0"/>
          <w:i w:val="0"/>
          <w:sz w:val="20"/>
        </w:rPr>
        <w:t xml:space="preserve"> estima que la adopción de las Normas, Enmiendas e Interpretaciones y que pudiesen aplicar a la Sociedad, no tendrán un impacto significativo en los estados financieros en el ejercicio de su primera aplicación.</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hanging="708"/>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 w:name="Section13"/>
      <w:bookmarkEnd w:id="18"/>
      <w:bookmarkStart w:id="19" w:name="2f6707f1b1c14caf8a12d1f688eca0f0"/>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la Sociedad se valoran utilizando la moneda del entorno económico principal en que la entidad opera (“moneda funcional”). La moneda funcional de Energy Sur Ingeniería S.A. es el Peso chileno, que constituye además la moneda de presentación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2124" w:right="0" w:hanging="71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val="0"/>
        <w:pageBreakBefore w:val="0"/>
        <w:widowControl/>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468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tblGrid>
      <w:tr>
        <w:tblPrEx>
          <w:tblW w:w="468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468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468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38.416,69</w:t>
            </w:r>
          </w:p>
        </w:tc>
      </w:tr>
    </w:tbl>
    <w:p>
      <w:pPr>
        <w:keepNext w:val="0"/>
        <w:keepLines w:val="0"/>
        <w:pageBreakBefore w:val="0"/>
        <w:widowControl/>
        <w:numPr>
          <w:ilvl w:val="0"/>
          <w:numId w:val="0"/>
        </w:numPr>
        <w:spacing w:before="0" w:after="0" w:line="288" w:lineRule="auto"/>
        <w:ind w:left="2127" w:right="0" w:firstLine="0"/>
        <w:jc w:val="left"/>
        <w:outlineLvl w:val="9"/>
        <w:rPr>
          <w:rFonts w:ascii="Arial" w:eastAsia="Arial" w:hAnsi="Arial" w:cs="Arial"/>
          <w:b w:val="0"/>
          <w:i w:val="0"/>
          <w:color w:val="000000"/>
          <w:sz w:val="20"/>
          <w:u w:val="none"/>
        </w:rPr>
      </w:pPr>
    </w:p>
    <w:p>
      <w:pPr>
        <w:pStyle w:val="CarCarChar"/>
        <w:keepNext w:val="0"/>
        <w:keepLines w:val="0"/>
        <w:pageBreakBefore w:val="0"/>
        <w:widowControl/>
        <w:numPr>
          <w:ilvl w:val="0"/>
          <w:numId w:val="0"/>
        </w:numPr>
        <w:tabs>
          <w:tab w:val="left" w:pos="700"/>
        </w:tabs>
        <w:spacing w:before="0" w:after="0" w:line="288" w:lineRule="auto"/>
        <w:ind w:left="2127" w:right="0" w:firstLine="0"/>
        <w:jc w:val="left"/>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Pesos chilenos</w:t>
      </w:r>
    </w:p>
    <w:p>
      <w:pPr>
        <w:pStyle w:val="CarCarChar"/>
        <w:keepNext w:val="0"/>
        <w:keepLines w:val="0"/>
        <w:pageBreakBefore w:val="0"/>
        <w:widowControl/>
        <w:numPr>
          <w:ilvl w:val="0"/>
          <w:numId w:val="0"/>
        </w:numPr>
        <w:tabs>
          <w:tab w:val="left" w:pos="700"/>
        </w:tabs>
        <w:spacing w:before="0" w:after="0" w:line="240" w:lineRule="exact"/>
        <w:ind w:left="2127" w:right="0" w:firstLine="0"/>
        <w:jc w:val="left"/>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Dólares estadounidenses</w:t>
      </w:r>
    </w:p>
    <w:p>
      <w:pPr>
        <w:pStyle w:val="CarCarChar"/>
        <w:keepNext w:val="0"/>
        <w:keepLines w:val="0"/>
        <w:pageBreakBefore w:val="0"/>
        <w:widowControl/>
        <w:numPr>
          <w:ilvl w:val="0"/>
          <w:numId w:val="0"/>
        </w:numPr>
        <w:tabs>
          <w:tab w:val="left" w:pos="700"/>
        </w:tabs>
        <w:spacing w:before="0" w:after="0" w:line="288" w:lineRule="auto"/>
        <w:ind w:left="2127" w:right="0" w:firstLine="0"/>
        <w:jc w:val="left"/>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 xml:space="preserve">UF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Unidad de fomento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Arial" w:eastAsia="Arial" w:hAnsi="Arial" w:cs="Arial"/>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0" w:name="Section14"/>
      <w:bookmarkEnd w:id="20"/>
      <w:bookmarkStart w:id="21" w:name="132cc3e5b7ab4bf0bf677b79bfe5b8ec"/>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servicios, para los que se toman las decisiones estratégicas. Esta información se detalla en Nota 23.</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 w:name="Section15"/>
      <w:bookmarkEnd w:id="22"/>
      <w:bookmarkStart w:id="23" w:name="0c019487cc6842809ff20f3ee35fca7f"/>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período o ejercicio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en caso de existir, incluyen los siguientes conceptos devengados únicamente durante el periodo de construcción: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Gasto</w:t>
      </w:r>
      <w:r>
        <w:rPr>
          <w:rFonts w:ascii="Calibri" w:eastAsia="Calibri" w:hAnsi="Calibri" w:cs="Calibri"/>
          <w:b w:val="0"/>
          <w:i w:val="0"/>
          <w:color w:val="000000"/>
          <w:sz w:val="20"/>
          <w:u w:val="none"/>
        </w:rPr>
        <w:t>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 w:name="Section16"/>
      <w:bookmarkEnd w:id="24"/>
      <w:bookmarkStart w:id="25" w:name="d38e0e70303e4bafb457edbf83d1d6fd"/>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2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9"/>
        <w:jc w:val="both"/>
        <w:outlineLvl w:val="9"/>
        <w:sectPr>
          <w:pgSz w:w="12240" w:h="15840"/>
          <w:pgMar w:top="1134" w:right="1134" w:bottom="1134" w:left="1134" w:header="0" w:footer="425"/>
          <w:cols w:space="708"/>
        </w:sectPr>
      </w:pPr>
    </w:p>
    <w:p>
      <w:pPr>
        <w:pStyle w:val="Heading2-wk"/>
        <w:keepNext w:val="0"/>
        <w:keepLines w:val="0"/>
        <w:pageBreakBefore w:val="0"/>
        <w:widowControl/>
        <w:numPr>
          <w:ilvl w:val="0"/>
          <w:numId w:val="0"/>
        </w:numPr>
        <w:tabs>
          <w:tab w:val="left" w:pos="700"/>
        </w:tabs>
        <w:spacing w:before="0" w:after="0" w:line="288" w:lineRule="auto"/>
        <w:ind w:left="709" w:right="0" w:firstLine="0"/>
        <w:jc w:val="both"/>
        <w:outlineLvl w:val="1"/>
        <w:rPr>
          <w:rFonts w:ascii="Calibri" w:eastAsia="Calibri" w:hAnsi="Calibri" w:cs="Calibri"/>
          <w:b/>
          <w:i w:val="0"/>
          <w:color w:val="000000"/>
          <w:sz w:val="20"/>
          <w:u w:val="none"/>
        </w:rPr>
      </w:pPr>
      <w:bookmarkStart w:id="26" w:name="Section17"/>
      <w:bookmarkEnd w:id="26"/>
      <w:bookmarkStart w:id="27" w:name="ad353d19046141a5b46b2798b084a518"/>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 w:name="Section18"/>
      <w:bookmarkEnd w:id="28"/>
      <w:bookmarkStart w:id="29" w:name="041a35a59be44ffa9f0002004d62c257"/>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2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3.9.1.-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mide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la sociedad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2"/>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2"/>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deuda en otro resultado integral, con ganancias o pérdidas recicladas a resultados en el momento de su realización. Los activos financieros en esta categoría son los instrumentos de deuda cotizados de la Sociedad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2"/>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la Sociedad tiene la intención de mantener en el futuro previsible y que ha elegido irrevocablemente para clasificarlos en el reconocimiento inicial o la transición. La Sociedad clasifica sus instrumentos de patrimonio no cotizados como instrumentos de patrimonio en otro resultado integral, en caso de existir.</w:t>
      </w:r>
    </w:p>
    <w:p>
      <w:pPr>
        <w:keepNext w:val="0"/>
        <w:keepLines/>
        <w:pageBreakBefore w:val="0"/>
        <w:widowControl w:val="0"/>
        <w:numPr>
          <w:ilvl w:val="0"/>
          <w:numId w:val="0"/>
        </w:numPr>
        <w:spacing w:before="0" w:after="0" w:line="288" w:lineRule="auto"/>
        <w:ind w:left="248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2"/>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no ha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3.9.2.-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la sociedad registre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ha establecido una matriz de provisiones que se basa en la experiencia histórica de pérdidas crediticias,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0" w:name="Section19"/>
      <w:bookmarkEnd w:id="30"/>
      <w:bookmarkStart w:id="31" w:name="322e5ae5311d4791b4e8ea1529f52fa8"/>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con el método de precio medio ponderado (PMP).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los productos terminados, de los productos en proceso, como los costos de transformadores y el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2" w:name="Section20"/>
      <w:bookmarkEnd w:id="32"/>
      <w:bookmarkStart w:id="33" w:name="0584af392f154282996faaa414a0c02f"/>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por cobrar no corrientes se reconocen a su costo amortizado.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4" w:name="Section21"/>
      <w:bookmarkEnd w:id="34"/>
      <w:bookmarkStart w:id="35" w:name="9019e1a70b2141b68b93611577abb72c"/>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5"/>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6" w:name="Section22"/>
      <w:bookmarkEnd w:id="36"/>
      <w:bookmarkStart w:id="37" w:name="862dec39fb204546a6acd6641543b6e0"/>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7"/>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w:t>
      </w:r>
      <w:r>
        <w:rPr>
          <w:rFonts w:ascii="Calibri" w:eastAsia="Calibri" w:hAnsi="Calibri" w:cs="Calibri"/>
          <w:b w:val="0"/>
          <w:i w:val="0"/>
          <w:color w:val="000000"/>
          <w:sz w:val="20"/>
          <w:u w:val="none"/>
        </w:rPr>
        <w:t xml:space="preserve">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8" w:name="Section23"/>
      <w:bookmarkEnd w:id="38"/>
      <w:bookmarkStart w:id="39" w:name="e71488e24d064d53a581803b41fafa1f"/>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0" w:name="Section24"/>
      <w:bookmarkEnd w:id="40"/>
      <w:bookmarkStart w:id="41" w:name="171761249ead447497e748527bc576ff"/>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1"/>
    </w:p>
    <w:p>
      <w:pPr>
        <w:pStyle w:val="CarCar3"/>
        <w:keepNext w:val="0"/>
        <w:keepLines w:val="0"/>
        <w:pageBreakBefore w:val="0"/>
        <w:widowControl/>
        <w:numPr>
          <w:ilvl w:val="0"/>
          <w:numId w:val="0"/>
        </w:numPr>
        <w:spacing w:before="0" w:after="0" w:line="240" w:lineRule="exact"/>
        <w:ind w:left="1417"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 xml:space="preserve">El gasto por impuesto a las ganancias del ejercicio comprende al impuesto a la renta corriente y al </w:t>
      </w:r>
      <w:r>
        <w:rPr>
          <w:rFonts w:ascii="Calibri" w:eastAsia="Calibri" w:hAnsi="Calibri" w:cs="Calibri"/>
          <w:b w:val="0"/>
          <w:i w:val="0"/>
          <w:sz w:val="20"/>
        </w:rPr>
        <w:t xml:space="preserve">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corriente comprende el impuesto esperado por pagar o por cobrar sobre la gana</w:t>
      </w:r>
      <w:r>
        <w:rPr>
          <w:rFonts w:ascii="Calibri" w:eastAsia="Calibri" w:hAnsi="Calibri" w:cs="Calibri"/>
          <w:b w:val="0"/>
          <w:i w:val="0"/>
          <w:color w:val="000000"/>
          <w:sz w:val="20"/>
          <w:u w:val="none"/>
        </w:rPr>
        <w:t xml:space="preserve">ncia o pérdida imponible del año y cualquier ajuste al impuesto por pagar o por cobrar con respecto a años anteriores. El monto del impuesto a la renta corriente por pagar o por cobrar es la mejor estimación del monto del impuesto que se espera pagar o recibir. </w:t>
      </w:r>
      <w:r>
        <w:rPr>
          <w:rFonts w:ascii="Calibri" w:eastAsia="Calibri" w:hAnsi="Calibri" w:cs="Calibri"/>
          <w:b w:val="0"/>
          <w:i w:val="0"/>
          <w:sz w:val="20"/>
        </w:rPr>
        <w:t>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a los planes de negocios de la sociedad.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provisiona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2" w:name="Section25"/>
      <w:bookmarkEnd w:id="42"/>
      <w:bookmarkStart w:id="43" w:name="ce23752180bd4f6887275ff731e0dd53"/>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3"/>
    </w:p>
    <w:p>
      <w:pPr>
        <w:pStyle w:val="CarCar3"/>
        <w:keepNext w:val="0"/>
        <w:keepLines w:val="0"/>
        <w:pageBreakBefore w:val="0"/>
        <w:widowControl/>
        <w:numPr>
          <w:ilvl w:val="0"/>
          <w:numId w:val="0"/>
        </w:numPr>
        <w:tabs>
          <w:tab w:val="left" w:pos="700"/>
        </w:tabs>
        <w:spacing w:before="0" w:after="0" w:line="288" w:lineRule="auto"/>
        <w:ind w:left="141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3.16.1.-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Energy Sur Ingeniería S.A.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CarCar3"/>
        <w:keepNext w:val="0"/>
        <w:keepLines w:val="0"/>
        <w:pageBreakBefore w:val="0"/>
        <w:widowControl/>
        <w:numPr>
          <w:ilvl w:val="0"/>
          <w:numId w:val="0"/>
        </w:numPr>
        <w:spacing w:before="0" w:after="0" w:line="240" w:lineRule="exact"/>
        <w:ind w:left="141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3.16.2.- 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constituye pasivos por obligaciones por indemnizaciones por cese de servicios, en base a lo estipulado en los contratos del personal de gerencia.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períodos en los cuales ocurren. No son reciclados posteriormente.</w:t>
      </w:r>
    </w:p>
    <w:p>
      <w:pPr>
        <w:keepNext w:val="0"/>
        <w:keepLines/>
        <w:pageBreakBefore w:val="0"/>
        <w:widowControl w:val="0"/>
        <w:numPr>
          <w:ilvl w:val="0"/>
          <w:numId w:val="0"/>
        </w:numPr>
        <w:spacing w:before="0" w:after="0" w:line="288" w:lineRule="auto"/>
        <w:ind w:left="2124"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1"/>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4" w:name="Section26"/>
      <w:bookmarkEnd w:id="44"/>
      <w:bookmarkStart w:id="45" w:name="5f989defe4344a55b854c7d29775c577"/>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5"/>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Energy Sur Ingeniería S.A. reconoce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para contratos onerosos, litigios y otras contingencias se reconocen cuando:</w:t>
      </w:r>
    </w:p>
    <w:p>
      <w:pPr>
        <w:keepNext w:val="0"/>
        <w:keepLines/>
        <w:pageBreakBefore w:val="0"/>
        <w:widowControl w:val="0"/>
        <w:numPr>
          <w:ilvl w:val="0"/>
          <w:numId w:val="0"/>
        </w:numPr>
        <w:spacing w:before="0" w:after="0" w:line="288" w:lineRule="auto"/>
        <w:ind w:left="-11" w:right="0" w:firstLine="77"/>
        <w:jc w:val="both"/>
        <w:outlineLvl w:val="9"/>
        <w:rPr>
          <w:rFonts w:ascii="Calibri" w:eastAsia="Calibri" w:hAnsi="Calibri" w:cs="Calibri"/>
          <w:b w:val="0"/>
          <w:i w:val="0"/>
          <w:sz w:val="20"/>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 Sociedad tiene una obligación presente, ya sea legal o constructiva, como resultado de sucesos pasados.</w:t>
      </w: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Es probable que vaya a ser necesaria una salida de recursos para liquidar la obligación.</w:t>
      </w:r>
    </w:p>
    <w:p>
      <w:pPr>
        <w:keepNext w:val="0"/>
        <w:keepLines/>
        <w:pageBreakBefore w:val="0"/>
        <w:widowControl w:val="0"/>
        <w:numPr>
          <w:ilvl w:val="0"/>
          <w:numId w:val="11"/>
        </w:numPr>
        <w:spacing w:before="0" w:after="0" w:line="288" w:lineRule="auto"/>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El importe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se valoran por el valor actual de los desembolsos que se espera que sean necesarios para liquidar la obligación usando la mejor estimación de la sociedad.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46" w:name="Section27"/>
      <w:bookmarkEnd w:id="46"/>
      <w:bookmarkStart w:id="47" w:name="6b13b6c7a9b74bbe9c5e93cc187cd5be"/>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8" w:name="Section28"/>
      <w:bookmarkEnd w:id="48"/>
      <w:bookmarkStart w:id="49" w:name="9ec9d8b2d698489c920fe5e5f0685aee"/>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w:t>
      </w: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obligaciones de desempeño, determinar el precio de la transacción, asignar el precio, reconocer el ingreso). También ha evaluado la existencia de costos incrementales de la obtención de un contrato y los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los ingresos cuando se han cumplido satisfactoriamente los pasos establecidos en la norma y es probable que los beneficios económicos futuros vayan a fluir a la entidad y se cumplen las condiciones específicas para cada una de las actividades de la Sociedad, tal y como se describe a continuación.</w:t>
      </w:r>
    </w:p>
    <w:p>
      <w:pPr>
        <w:keepNext w:val="0"/>
        <w:keepLines/>
        <w:pageBreakBefore w:val="0"/>
        <w:widowControl w:val="0"/>
        <w:numPr>
          <w:ilvl w:val="0"/>
          <w:numId w:val="0"/>
        </w:numPr>
        <w:tabs>
          <w:tab w:val="left" w:pos="700"/>
        </w:tabs>
        <w:spacing w:before="0" w:after="0" w:line="288" w:lineRule="auto"/>
        <w:ind w:left="2127"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3.19.1.-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 de servicios.</w:t>
      </w: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ventas de servicios incluyen </w:t>
      </w:r>
      <w:r>
        <w:rPr>
          <w:rFonts w:ascii="Calibri" w:eastAsia="Calibri" w:hAnsi="Calibri" w:cs="Calibri"/>
          <w:b w:val="0"/>
          <w:i w:val="0"/>
          <w:color w:val="000000"/>
          <w:sz w:val="20"/>
          <w:u w:val="none"/>
        </w:rPr>
        <w:t>por</w:t>
      </w:r>
      <w:r>
        <w:rPr>
          <w:rFonts w:ascii="Calibri" w:eastAsia="Calibri" w:hAnsi="Calibri" w:cs="Calibri"/>
          <w:b w:val="0"/>
          <w:i w:val="0"/>
          <w:sz w:val="20"/>
        </w:rPr>
        <w:t xml:space="preserve"> lo general una obligación de desempeño, por lo que el ingreso por ventas de servicios se registra en base a la facturación efectiva</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w:t>
      </w:r>
      <w:r>
        <w:rPr>
          <w:rFonts w:ascii="Calibri" w:eastAsia="Calibri" w:hAnsi="Calibri" w:cs="Calibri"/>
          <w:b w:val="0"/>
          <w:i w:val="0"/>
          <w:color w:val="000000"/>
          <w:sz w:val="20"/>
          <w:u w:val="none"/>
        </w:rPr>
        <w:t xml:space="preserve">.19.3.-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bienes incluyen por lo general una obligación de desempeño, por lo que el ingreso por ventas de bienes se registra en base a la facturación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3.19.4.-</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ingresos y costos del contrato </w:t>
      </w:r>
      <w:r>
        <w:rPr>
          <w:rFonts w:ascii="Calibri" w:eastAsia="Calibri" w:hAnsi="Calibri" w:cs="Calibri"/>
          <w:b w:val="0"/>
          <w:i w:val="0"/>
          <w:color w:val="000000"/>
          <w:sz w:val="20"/>
          <w:u w:val="none"/>
        </w:rPr>
        <w:t>de</w:t>
      </w:r>
      <w:r>
        <w:rPr>
          <w:rFonts w:ascii="Calibri" w:eastAsia="Calibri" w:hAnsi="Calibri" w:cs="Calibri"/>
          <w:b w:val="0"/>
          <w:i w:val="0"/>
          <w:sz w:val="20"/>
        </w:rPr>
        <w:t xml:space="preserve"> construcción se reconocen en resultados de acuerdo con el método del producto (grado de avance físico). Cuando el </w:t>
      </w:r>
      <w:r>
        <w:rPr>
          <w:rFonts w:ascii="Calibri" w:eastAsia="Calibri" w:hAnsi="Calibri" w:cs="Calibri"/>
          <w:b w:val="0"/>
          <w:i w:val="0"/>
          <w:color w:val="000000"/>
          <w:sz w:val="20"/>
          <w:u w:val="none"/>
        </w:rPr>
        <w:t>resultado</w:t>
      </w:r>
      <w:r>
        <w:rPr>
          <w:rFonts w:ascii="Calibri" w:eastAsia="Calibri" w:hAnsi="Calibri" w:cs="Calibri"/>
          <w:b w:val="0"/>
          <w:i w:val="0"/>
          <w:sz w:val="20"/>
        </w:rPr>
        <w:t xml:space="preserve"> de un contrato de construcción no puede estimarse de forma fiable, los ingresos del </w:t>
      </w:r>
      <w:r>
        <w:rPr>
          <w:rFonts w:ascii="Calibri" w:eastAsia="Calibri" w:hAnsi="Calibri" w:cs="Calibri"/>
          <w:b w:val="0"/>
          <w:i w:val="0"/>
          <w:color w:val="000000"/>
          <w:sz w:val="20"/>
          <w:u w:val="none"/>
        </w:rPr>
        <w:t>contrato</w:t>
      </w:r>
      <w:r>
        <w:rPr>
          <w:rFonts w:ascii="Calibri" w:eastAsia="Calibri" w:hAnsi="Calibri" w:cs="Calibri"/>
          <w:b w:val="0"/>
          <w:i w:val="0"/>
          <w:sz w:val="20"/>
        </w:rPr>
        <w:t xml:space="preserve"> se reconocen sólo hasta el límite de los costos </w:t>
      </w:r>
      <w:r>
        <w:rPr>
          <w:rFonts w:ascii="Calibri" w:eastAsia="Calibri" w:hAnsi="Calibri" w:cs="Calibri"/>
          <w:b w:val="0"/>
          <w:i w:val="0"/>
          <w:color w:val="000000"/>
          <w:sz w:val="20"/>
          <w:u w:val="none"/>
        </w:rPr>
        <w:t>del</w:t>
      </w:r>
      <w:r>
        <w:rPr>
          <w:rFonts w:ascii="Calibri" w:eastAsia="Calibri" w:hAnsi="Calibri" w:cs="Calibri"/>
          <w:b w:val="0"/>
          <w:i w:val="0"/>
          <w:sz w:val="20"/>
        </w:rPr>
        <w:t xml:space="preserve"> contrato incurridos que sea probabl</w:t>
      </w:r>
      <w:r>
        <w:rPr>
          <w:rFonts w:ascii="Calibri" w:eastAsia="Calibri" w:hAnsi="Calibri" w:cs="Calibri"/>
          <w:b w:val="0"/>
          <w:i w:val="0"/>
          <w:color w:val="000000"/>
          <w:sz w:val="20"/>
          <w:u w:val="none"/>
        </w:rPr>
        <w:t>e</w:t>
      </w:r>
      <w:r>
        <w:rPr>
          <w:rFonts w:ascii="Calibri" w:eastAsia="Calibri" w:hAnsi="Calibri" w:cs="Calibri"/>
          <w:b w:val="0"/>
          <w:i w:val="0"/>
          <w:sz w:val="20"/>
        </w:rPr>
        <w:t xml:space="preserve"> que se </w:t>
      </w:r>
      <w:r>
        <w:rPr>
          <w:rFonts w:ascii="Calibri" w:eastAsia="Calibri" w:hAnsi="Calibri" w:cs="Calibri"/>
          <w:b w:val="0"/>
          <w:i w:val="0"/>
          <w:sz w:val="20"/>
        </w:rPr>
        <w:t>recuperarán</w:t>
      </w:r>
      <w:r>
        <w:rPr>
          <w:rFonts w:ascii="Calibri" w:eastAsia="Calibri" w:hAnsi="Calibri" w:cs="Calibri"/>
          <w:b w:val="0"/>
          <w:i w:val="0"/>
          <w:sz w:val="20"/>
        </w:rPr>
        <w:t xml:space="preserve">. Cuando el resultado de </w:t>
      </w:r>
      <w:r>
        <w:rPr>
          <w:rFonts w:ascii="Calibri" w:eastAsia="Calibri" w:hAnsi="Calibri" w:cs="Calibri"/>
          <w:b w:val="0"/>
          <w:i w:val="0"/>
          <w:color w:val="000000"/>
          <w:sz w:val="20"/>
          <w:u w:val="none"/>
        </w:rPr>
        <w:t>un</w:t>
      </w:r>
      <w:r>
        <w:rPr>
          <w:rFonts w:ascii="Calibri" w:eastAsia="Calibri" w:hAnsi="Calibri" w:cs="Calibri"/>
          <w:b w:val="0"/>
          <w:i w:val="0"/>
          <w:sz w:val="20"/>
        </w:rPr>
        <w:t xml:space="preserve"> contrato de construcción puede estimarse de </w:t>
      </w:r>
      <w:r>
        <w:rPr>
          <w:rFonts w:ascii="Calibri" w:eastAsia="Calibri" w:hAnsi="Calibri" w:cs="Calibri"/>
          <w:b w:val="0"/>
          <w:i w:val="0"/>
          <w:color w:val="000000"/>
          <w:sz w:val="20"/>
          <w:u w:val="none"/>
        </w:rPr>
        <w:t>forma</w:t>
      </w:r>
      <w:r>
        <w:rPr>
          <w:rFonts w:ascii="Calibri" w:eastAsia="Calibri" w:hAnsi="Calibri" w:cs="Calibri"/>
          <w:b w:val="0"/>
          <w:i w:val="0"/>
          <w:sz w:val="20"/>
        </w:rPr>
        <w:t xml:space="preserve"> fiable y es probable que el contrato </w:t>
      </w:r>
      <w:r>
        <w:rPr>
          <w:rFonts w:ascii="Calibri" w:eastAsia="Calibri" w:hAnsi="Calibri" w:cs="Calibri"/>
          <w:b w:val="0"/>
          <w:i w:val="0"/>
          <w:color w:val="000000"/>
          <w:sz w:val="20"/>
          <w:u w:val="none"/>
        </w:rPr>
        <w:t>vaya</w:t>
      </w:r>
      <w:r>
        <w:rPr>
          <w:rFonts w:ascii="Calibri" w:eastAsia="Calibri" w:hAnsi="Calibri" w:cs="Calibri"/>
          <w:b w:val="0"/>
          <w:i w:val="0"/>
          <w:sz w:val="20"/>
        </w:rPr>
        <w:t xml:space="preserve"> a ser rentable, los ingresos del contrato se reconocen durante el periodo del </w:t>
      </w:r>
      <w:r>
        <w:rPr>
          <w:rFonts w:ascii="Calibri" w:eastAsia="Calibri" w:hAnsi="Calibri" w:cs="Calibri"/>
          <w:b w:val="0"/>
          <w:i w:val="0"/>
          <w:color w:val="000000"/>
          <w:sz w:val="20"/>
          <w:u w:val="none"/>
        </w:rPr>
        <w:t>contrato</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3.19.5.-</w:t>
      </w:r>
      <w:r>
        <w:rPr>
          <w:rFonts w:ascii="Calibri" w:eastAsia="Calibri" w:hAnsi="Calibri" w:cs="Calibri"/>
          <w:b w:val="0"/>
          <w:i w:val="0"/>
          <w:sz w:val="20"/>
        </w:rPr>
        <w:tab/>
      </w:r>
      <w:r>
        <w:rPr>
          <w:rFonts w:ascii="Calibri" w:eastAsia="Calibri" w:hAnsi="Calibri" w:cs="Calibri"/>
          <w:b w:val="0"/>
          <w:i w:val="0"/>
          <w:sz w:val="20"/>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por intereses se reconocen usando el método de la tasa de interés efectiva.</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0" w:name="Section29"/>
      <w:bookmarkEnd w:id="50"/>
      <w:bookmarkStart w:id="51" w:name="33dddeeeb025496e96f3c80df7a2a998"/>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1"/>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por pagar a los accionistas de Energy Sur Ingeniería S.A.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2" w:name="Section30"/>
      <w:bookmarkEnd w:id="52"/>
      <w:bookmarkStart w:id="53" w:name="ea58ecfbc4bf484a8d6f149af7682b27"/>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las materias primas e insumos necesarios para el desarrollo de los negocios de reparación, mantención y mediciones eléctricas,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4" w:name="Section31"/>
      <w:bookmarkEnd w:id="54"/>
      <w:bookmarkStart w:id="55" w:name="f13fab7fbb9d43de9498b23e48c6a2b0"/>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5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operación: Actividades que constituyen los ingresos ordinarios de la Sociedad, así como otras actividades que no pueden ser calificadas como de inversión o financiación.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1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financiación: Actividades que producen cambios en el tamaño y composición del patr</w:t>
      </w:r>
      <w:r>
        <w:rPr>
          <w:rFonts w:ascii="Calibri" w:eastAsia="Calibri" w:hAnsi="Calibri" w:cs="Calibri"/>
          <w:b w:val="0"/>
          <w:i w:val="0"/>
          <w:color w:val="000000"/>
          <w:sz w:val="20"/>
          <w:u w:val="none"/>
        </w:rPr>
        <w:t>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Energy Sur Ingeniería S.A. no ha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56" w:name="Section32"/>
      <w:bookmarkEnd w:id="56"/>
      <w:bookmarkStart w:id="57" w:name="3f4505ba6bac49deb93e02884c3a3488"/>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7"/>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Energy Sur Ingeniería S.A. efectúa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 </w:t>
      </w:r>
    </w:p>
    <w:p>
      <w:pPr>
        <w:pStyle w:val="Normal-wk"/>
        <w:keepNext w:val="0"/>
        <w:keepLines/>
        <w:pageBreakBefore w:val="0"/>
        <w:widowControl w:val="0"/>
        <w:numPr>
          <w:ilvl w:val="0"/>
          <w:numId w:val="0"/>
        </w:numPr>
        <w:spacing w:before="0" w:after="0" w:line="240" w:lineRule="exact"/>
        <w:ind w:left="708"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8" w:name="Section33"/>
      <w:bookmarkEnd w:id="58"/>
      <w:bookmarkStart w:id="59" w:name="be279fc021024fc59b754ef507b16016"/>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determina la tasa de descuento al final de cada año que considera más apropiada de acuerdo a las condiciones de mercado a la fecha de valoración. Esta tasa de interés es la que utiliza la Sociedad para determinar el valor presente de las futuras salidas de flujos de efectivo estimadas que se prevé se requerirá para cancelar las obligaciones por planes de beneficios. Al determinar la tasa de descuento, la Sociedad considera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w:t>
      </w: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condiciones actuales del mercado.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60" w:name="Section34"/>
      <w:bookmarkEnd w:id="60"/>
      <w:bookmarkStart w:id="61" w:name="2b84001376cf487687bc8e0cf80a1c9a"/>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1"/>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factores de riesgo a los que está sometida la Sociedad son de carácter general y se enumeran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2" w:name="Section35"/>
      <w:bookmarkEnd w:id="62"/>
      <w:bookmarkStart w:id="63" w:name="471fbc18b202485d9fd0e2bab2c3194c"/>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3"/>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5.1.1.-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tipo de cambio y unidades de reajuste.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no tiene exposición al riesgo de variaciones en el tipo de cambio y unidades de reajuste entre sus flujos operacionales y de sus obligaciones financieras.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Energy Sur Ingeniería S.A. no mantiene deuda financiera denominada en moneda extranjera o unidades de reajuste.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w:t>
      </w:r>
      <w:r>
        <w:rPr>
          <w:rFonts w:ascii="Calibri" w:eastAsia="Calibri" w:hAnsi="Calibri" w:cs="Calibri"/>
          <w:b/>
          <w:i w:val="0"/>
          <w:color w:val="000000"/>
          <w:sz w:val="20"/>
          <w:u w:val="none"/>
        </w:rPr>
        <w:t xml:space="preserve">.1.2.-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w:t>
      </w:r>
      <w:r>
        <w:rPr>
          <w:rFonts w:ascii="Calibri" w:eastAsia="Calibri" w:hAnsi="Calibri" w:cs="Calibri"/>
          <w:b/>
          <w:i w:val="0"/>
          <w:color w:val="000000"/>
          <w:sz w:val="20"/>
          <w:u w:val="none"/>
        </w:rPr>
        <w:t xml:space="preserve"> de tasa de interés.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riesgo de tasa de interés es el riesgo de que flujos de instrumentos financieros fluctúen debido a cambios en las tasas de interés de mercado. La Sociedad no tiene exposición al riesgo de cambio en tasas de interés al no mantener deudas financieras al 31 de diciembre de 2025 y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5.1.3.-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de crédito deudores comerciales y otras cuentas por cobrar.</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presenta riesgo de crédito, puesto que gran parte de sus ventas son órdenes de compra de servicios, los cuales son cancelados en plazos no mayores a 40 días.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servicios y mantenciones o reparaciones están estructuradas al contado o mediante créditos de plazo no superior a sesenta días y con un nivel de incobrabilidad casi nulo.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siguiente cuadro se observa la rotación de cuentas por cobrar del grupo, que es de 1,7 meses de ventas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(2,2 meses de venta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Del mismo modo, el monto de Deudas Comerciales Vencidas y Deterioradas representa un monto del orden de 1,56% del total de Ingresos Operacionales proyectados anuales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(1,60%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operacionales (últimos 12 meses).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2.272.431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bruto.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386.784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vencidas y deterioradas.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42.229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#DIV/0!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1,7</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#DIV/0!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1,56 %</w:t>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64" w:name="Section36"/>
      <w:bookmarkEnd w:id="64"/>
      <w:bookmarkStart w:id="65" w:name="7e46881d7a54403f9ea82ff8eefa0f89"/>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65"/>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6" w:name="Section37"/>
      <w:bookmarkEnd w:id="66"/>
      <w:bookmarkStart w:id="67" w:name="85d803c6f8fa4ce9a54ea96ddfe9658f"/>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Efectivo en caja.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87.377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88.178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095"/>
        <w:gridCol w:w="1200"/>
        <w:gridCol w:w="1200"/>
      </w:tblGrid>
      <w:tr>
        <w:tblPrEx>
          <w:tblW w:w="8550" w:type="dxa"/>
          <w:tblInd w:w="1417"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5055" w:type="dxa"/>
            <w:vMerge/>
            <w:tcBorders>
              <w:top w:val="nil"/>
              <w:left w:val="single" w:sz="2" w:space="0" w:color="000000"/>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05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88.178</w:t>
            </w:r>
          </w:p>
        </w:tc>
      </w:tr>
      <w:tr>
        <w:tblPrEx>
          <w:tblW w:w="8550" w:type="dxa"/>
          <w:tblInd w:w="1417" w:type="dxa"/>
          <w:tblLayout w:type="fixed"/>
        </w:tblPrEx>
        <w:trPr>
          <w:cantSplit/>
          <w:trHeight w:hRule="auto" w:val="0"/>
        </w:trPr>
        <w:tc>
          <w:tcPr>
            <w:tcW w:w="615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88.178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tiene disponibles y no utilizadas líneas de sobregiro por M$ 10.000 y M$ 25.000,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8" w:name="Section38"/>
      <w:bookmarkEnd w:id="68"/>
      <w:bookmarkStart w:id="69" w:name="60ddadff5d0949ae9c2d74753159c542"/>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9"/>
    </w:p>
    <w:p>
      <w:pPr>
        <w:pStyle w:val="Normal-wk"/>
        <w:keepNext w:val="0"/>
        <w:keepLines/>
        <w:pageBreakBefore w:val="0"/>
        <w:widowControl w:val="0"/>
        <w:numPr>
          <w:ilvl w:val="0"/>
          <w:numId w:val="0"/>
        </w:numPr>
        <w:spacing w:before="0" w:after="0" w:line="240" w:lineRule="exact"/>
        <w:ind w:left="141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(154.358)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(multas, indemnizaciones, juicios)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(154.358)</w:t>
            </w:r>
          </w:p>
        </w:tc>
      </w:tr>
    </w:tbl>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70" w:name="Section39"/>
      <w:bookmarkEnd w:id="70"/>
      <w:bookmarkStart w:id="71" w:name="f8c1ec3851f2447d90b538c83eb539cd"/>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1"/>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2" w:name="Section40"/>
      <w:bookmarkEnd w:id="72"/>
      <w:bookmarkStart w:id="73" w:name="df4aa65c51af44bdbe04259202515d93"/>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73"/>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88.178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88.178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88.178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344.555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344.555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344.555</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63.993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63.993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496.726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496.726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496.726</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175.804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175.804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175.804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52.033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227.837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227.837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227.837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74" w:name="Section41"/>
      <w:bookmarkEnd w:id="74"/>
      <w:bookmarkStart w:id="75" w:name="7ff966eb370a4f0785e9f33e8078dc5b"/>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5"/>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6" w:name="Section42"/>
      <w:bookmarkEnd w:id="76"/>
      <w:bookmarkStart w:id="77" w:name="2dd3771c3ee446f4b32d57ee519d54c2"/>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7"/>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1418" w:right="0" w:hanging="284"/>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7845" w:type="dxa"/>
          <w:tblInd w:w="2126"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320.173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24.382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344.555</w:t>
            </w:r>
          </w:p>
        </w:tc>
      </w:tr>
    </w:tbl>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7845" w:type="dxa"/>
          <w:tblInd w:w="2126"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13.725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7.071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20.796</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documentos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7.215</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 xml:space="preserve">Provisión de deterioro.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(3.629)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3.586</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24.382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Clases de deudores comerciales y otras cuentas por cobrar, bruto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7845" w:type="dxa"/>
          <w:tblInd w:w="2126"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358.773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28.011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386.784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en libros de deudores comerciales, otras cuentas por cobrar deteriorados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(38.600)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(3.629)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(42.229)</w:t>
            </w:r>
          </w:p>
        </w:tc>
      </w:tr>
    </w:tbl>
    <w:p>
      <w:pPr>
        <w:keepNext w:val="0"/>
        <w:keepLines/>
        <w:pageBreakBefore w:val="0"/>
        <w:widowControl w:val="0"/>
        <w:numPr>
          <w:ilvl w:val="0"/>
          <w:numId w:val="0"/>
        </w:numPr>
        <w:spacing w:before="0" w:after="0" w:line="288" w:lineRule="auto"/>
        <w:ind w:left="1701" w:right="0" w:hanging="28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muestra en el siguiente cuadro:</w:t>
      </w:r>
    </w:p>
    <w:p>
      <w:pPr>
        <w:keepNext w:val="0"/>
        <w:keepLines/>
        <w:pageBreakBefore w:val="0"/>
        <w:widowControl w:val="0"/>
        <w:numPr>
          <w:ilvl w:val="0"/>
          <w:numId w:val="0"/>
        </w:numPr>
        <w:spacing w:before="0" w:after="0" w:line="264" w:lineRule="auto"/>
        <w:ind w:left="1418"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deudores comerciales y otras cuentas por cobrar vencidos y no pagados con deterioro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Saldo inicial.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(42.229)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(42.010)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Baja (reversiones) de deudores comerciales y otras cuentas por cobrar deterioradas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disminución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(42.229)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(42.229)</w:t>
            </w:r>
          </w:p>
        </w:tc>
      </w:tr>
    </w:tbl>
    <w:p>
      <w:pPr>
        <w:keepNext w:val="0"/>
        <w:keepLines/>
        <w:pageBreakBefore w:val="0"/>
        <w:widowControl w:val="0"/>
        <w:numPr>
          <w:ilvl w:val="0"/>
          <w:numId w:val="0"/>
        </w:numPr>
        <w:spacing w:before="0" w:after="0" w:line="264"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la Sociedad. no será capaz de cobrar el importe que se le adeuda, ello aún luego de aplicar las acciones de cobranza.</w:t>
      </w:r>
    </w:p>
    <w:p>
      <w:pPr>
        <w:keepNext w:val="0"/>
        <w:keepLines/>
        <w:pageBreakBefore w:val="0"/>
        <w:widowControl w:val="0"/>
        <w:numPr>
          <w:ilvl w:val="0"/>
          <w:numId w:val="0"/>
        </w:numPr>
        <w:spacing w:before="0" w:after="0" w:line="264"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64"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consideran saldos de dudoso cobro, todos aquellos que se incluyen en la matriz de cálculo de pérdida esperada basado en la experiencia histórica de pérdidas crediticias de Energy Sur Ingeniería S.A., ajustada por factores prospectivos específicos para los deudores y el entorno económico.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2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política de provisión de incobrables de Energy Sur Ingeniería S.A.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64"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castigos tributarios son realizados en la medida que las deudas son declaradas sin posibilidad alguna de recupero, de acuerdo con las normas tributarias vigentes.</w:t>
      </w:r>
    </w:p>
    <w:p>
      <w:pPr>
        <w:pStyle w:val="Normal-wk"/>
        <w:keepNext w:val="0"/>
        <w:keepLines/>
        <w:pageBreakBefore w:val="0"/>
        <w:widowControl w:val="0"/>
        <w:numPr>
          <w:ilvl w:val="0"/>
          <w:numId w:val="0"/>
        </w:numPr>
        <w:spacing w:before="0" w:after="0" w:line="264"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8" w:name="Section43"/>
      <w:bookmarkEnd w:id="78"/>
      <w:bookmarkStart w:id="79" w:name="3e918f3546de42ee97144ed3e1d1c66d"/>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7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0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005"/>
        <w:gridCol w:w="1005"/>
        <w:gridCol w:w="1005"/>
        <w:gridCol w:w="1005"/>
        <w:gridCol w:w="1005"/>
        <w:gridCol w:w="1005"/>
        <w:gridCol w:w="1005"/>
        <w:gridCol w:w="1005"/>
        <w:gridCol w:w="1005"/>
      </w:tblGrid>
      <w:tr>
        <w:tblPrEx>
          <w:tblW w:w="11040" w:type="dxa"/>
          <w:tblInd w:w="709" w:type="dxa"/>
          <w:tblLayout w:type="fixed"/>
        </w:tblPrEx>
        <w:trPr>
          <w:cantSplit/>
          <w:trHeight w:hRule="auto" w:val="0"/>
        </w:trPr>
        <w:tc>
          <w:tcPr>
            <w:tcW w:w="19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r>
      <w:tr>
        <w:tblPrEx>
          <w:tblW w:w="11040" w:type="dxa"/>
          <w:tblInd w:w="709"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tbl>
      <w:tblPr>
        <w:tblW w:w="110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005"/>
        <w:gridCol w:w="1005"/>
        <w:gridCol w:w="1005"/>
        <w:gridCol w:w="1005"/>
        <w:gridCol w:w="1005"/>
        <w:gridCol w:w="1005"/>
        <w:gridCol w:w="1005"/>
        <w:gridCol w:w="1005"/>
        <w:gridCol w:w="1005"/>
      </w:tblGrid>
      <w:tr>
        <w:tblPrEx>
          <w:tblW w:w="11040" w:type="dxa"/>
          <w:tblInd w:w="709" w:type="dxa"/>
          <w:tblLayout w:type="fixed"/>
        </w:tblPrEx>
        <w:trPr>
          <w:cantSplit/>
          <w:trHeight w:hRule="auto" w:val="0"/>
        </w:trPr>
        <w:tc>
          <w:tcPr>
            <w:tcW w:w="19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r>
      <w:tr>
        <w:tblPrEx>
          <w:tblW w:w="11040" w:type="dxa"/>
          <w:tblInd w:w="709"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259.121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49.254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41.439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358.773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358.773</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28.011</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(38.600)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(38.600)</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(3.629)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(3.629)</w:t>
            </w:r>
          </w:p>
        </w:tc>
      </w:tr>
      <w:tr>
        <w:tblPrEx>
          <w:tblW w:w="11040" w:type="dxa"/>
          <w:tblInd w:w="709"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283.503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49.254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4.235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4.724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2.839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344.555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344.555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7"/>
          <w:footerReference w:type="default" r:id="rId18"/>
          <w:type w:val="continuous"/>
          <w:pgSz w:w="16834" w:h="11909"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0" w:name="Section44"/>
      <w:bookmarkEnd w:id="80"/>
      <w:bookmarkStart w:id="81" w:name="628cd4cac67a4cb5b7e3b6b208cb27c1"/>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para el segmento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0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005"/>
        <w:gridCol w:w="1005"/>
        <w:gridCol w:w="1005"/>
        <w:gridCol w:w="1005"/>
        <w:gridCol w:w="1005"/>
      </w:tblGrid>
      <w:tr>
        <w:tblPrEx>
          <w:tblW w:w="7020" w:type="dxa"/>
          <w:tblInd w:w="1417" w:type="dxa"/>
          <w:tblLayout w:type="fixed"/>
        </w:tblPrEx>
        <w:trPr>
          <w:cantSplit/>
          <w:trHeight w:hRule="auto" w:val="0"/>
        </w:trPr>
        <w:tc>
          <w:tcPr>
            <w:tcW w:w="702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7020" w:type="dxa"/>
          <w:tblInd w:w="1417" w:type="dxa"/>
          <w:tblLayout w:type="fixed"/>
        </w:tblPrEx>
        <w:trPr>
          <w:cantSplit/>
          <w:trHeight w:hRule="auto" w:val="0"/>
        </w:trPr>
        <w:tc>
          <w:tcPr>
            <w:tcW w:w="19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020" w:type="dxa"/>
          <w:tblInd w:w="1417"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020" w:type="dxa"/>
          <w:tblInd w:w="1417" w:type="dxa"/>
          <w:tblLayout w:type="fixed"/>
        </w:tblPrEx>
        <w:trPr>
          <w:cantSplit/>
          <w:trHeight w:hRule="exact" w:val="6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7020"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(2)</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r>
      <w:tr>
        <w:tblPrEx>
          <w:tblW w:w="7020"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0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005"/>
        <w:gridCol w:w="1005"/>
        <w:gridCol w:w="1005"/>
        <w:gridCol w:w="1005"/>
        <w:gridCol w:w="1005"/>
      </w:tblGrid>
      <w:tr>
        <w:tblPrEx>
          <w:tblW w:w="7020" w:type="dxa"/>
          <w:tblInd w:w="1417" w:type="dxa"/>
          <w:tblLayout w:type="fixed"/>
        </w:tblPrEx>
        <w:trPr>
          <w:cantSplit/>
          <w:trHeight w:hRule="auto" w:val="0"/>
        </w:trPr>
        <w:tc>
          <w:tcPr>
            <w:tcW w:w="702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7020" w:type="dxa"/>
          <w:tblInd w:w="1417" w:type="dxa"/>
          <w:tblLayout w:type="fixed"/>
        </w:tblPrEx>
        <w:trPr>
          <w:cantSplit/>
          <w:trHeight w:hRule="auto" w:val="0"/>
        </w:trPr>
        <w:tc>
          <w:tcPr>
            <w:tcW w:w="19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020" w:type="dxa"/>
          <w:tblInd w:w="1417" w:type="dxa"/>
          <w:tblLayout w:type="fixed"/>
        </w:tblPrEx>
        <w:trPr>
          <w:cantSplit/>
          <w:trHeight w:hRule="auto" w:val="0"/>
        </w:trPr>
        <w:tc>
          <w:tcPr>
            <w:tcW w:w="19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020" w:type="dxa"/>
          <w:tblInd w:w="1417" w:type="dxa"/>
          <w:tblLayout w:type="fixed"/>
        </w:tblPrEx>
        <w:trPr>
          <w:cantSplit/>
          <w:trHeight w:hRule="exact" w:val="6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259.121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259.121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259.121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259.121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7020"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exact" w:val="225"/>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(2)</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49.254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41.439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41.439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99.652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99.652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r>
      <w:tr>
        <w:tblPrEx>
          <w:tblW w:w="7020" w:type="dxa"/>
          <w:tblInd w:w="1417" w:type="dxa"/>
          <w:tblLayout w:type="fixed"/>
        </w:tblPrEx>
        <w:trPr>
          <w:cantSplit/>
          <w:trHeight w:hRule="auto" w:val="0"/>
        </w:trPr>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020" w:type="dxa"/>
          <w:tblInd w:w="1417"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358.773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358.773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 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 Vencidos: Corresponde a las facturas y boletas emitidas que al cierre de los estados financieros tienen como mínimo un día de morosidad con respecto a su fecha de vencimiento.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19"/>
          <w:footerReference w:type="default" r:id="rId20"/>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82" w:name="Section45"/>
      <w:bookmarkEnd w:id="82"/>
      <w:bookmarkStart w:id="83" w:name="28b4f0fbb4814e7a8e70d32b348da1e0"/>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3"/>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las cuales forman parte de la cartera morosa: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8550" w:type="dxa"/>
            <w:gridSpan w:val="3"/>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654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8550" w:type="dxa"/>
            <w:gridSpan w:val="3"/>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654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42.229</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42.229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4" w:name="Section46"/>
      <w:bookmarkEnd w:id="84"/>
      <w:bookmarkStart w:id="85" w:name="8c260571a84e4d0d8d37f6bcb7c0f5c4"/>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8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30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6" w:name="Section47"/>
      <w:bookmarkEnd w:id="86"/>
      <w:bookmarkStart w:id="87" w:name="35f982a6fc294b1e8791915142de6cea"/>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8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de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1.031.297</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1.031.297</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88" w:name="Section48"/>
      <w:bookmarkEnd w:id="88"/>
      <w:bookmarkStart w:id="89" w:name="e8ca48187fd747d7825bf0dd6368ea7c"/>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9"/>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Energy Sur Ingeniería S.A. tiene como política informar todas las transacciones que efectúa con partes relacionadas durante el período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0" w:name="Section49"/>
      <w:bookmarkEnd w:id="90"/>
      <w:bookmarkStart w:id="91" w:name="4f812f02e68c48c7b15a215b1853926a"/>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9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0"/>
        </w:numPr>
        <w:spacing w:before="0" w:after="0" w:line="240" w:lineRule="exact"/>
        <w:ind w:left="1776" w:right="0" w:firstLine="348"/>
        <w:jc w:val="left"/>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020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040"/>
        <w:gridCol w:w="645"/>
        <w:gridCol w:w="1995"/>
        <w:gridCol w:w="1005"/>
        <w:gridCol w:w="1005"/>
        <w:gridCol w:w="705"/>
        <w:gridCol w:w="960"/>
        <w:gridCol w:w="960"/>
      </w:tblGrid>
      <w:tr>
        <w:tblPrEx>
          <w:tblW w:w="1020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0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92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1020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040"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020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040"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9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5.403</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43.111</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15.479</w:t>
            </w:r>
          </w:p>
        </w:tc>
      </w:tr>
      <w:tr>
        <w:tblPrEx>
          <w:tblW w:w="10200" w:type="dxa"/>
          <w:tblInd w:w="1417" w:type="dxa"/>
          <w:tblLayout w:type="fixed"/>
        </w:tblPrEx>
        <w:trPr>
          <w:cantSplit/>
          <w:trHeight w:hRule="auto" w:val="0"/>
        </w:trPr>
        <w:tc>
          <w:tcPr>
            <w:tcW w:w="828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63.993</w:t>
            </w:r>
          </w:p>
        </w:tc>
      </w:tr>
    </w:tbl>
    <w:p>
      <w:pPr>
        <w:keepNext w:val="0"/>
        <w:keepLines/>
        <w:pageBreakBefore w:val="0"/>
        <w:widowControl w:val="0"/>
        <w:numPr>
          <w:ilvl w:val="0"/>
          <w:numId w:val="0"/>
        </w:numPr>
        <w:spacing w:before="0" w:after="0" w:line="288" w:lineRule="auto"/>
        <w:ind w:left="0"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0"/>
        </w:numPr>
        <w:spacing w:before="0" w:after="0" w:line="240" w:lineRule="exact"/>
        <w:ind w:left="1776" w:right="0" w:firstLine="348"/>
        <w:jc w:val="left"/>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020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040"/>
        <w:gridCol w:w="645"/>
        <w:gridCol w:w="1995"/>
        <w:gridCol w:w="1005"/>
        <w:gridCol w:w="1005"/>
        <w:gridCol w:w="705"/>
        <w:gridCol w:w="960"/>
        <w:gridCol w:w="960"/>
      </w:tblGrid>
      <w:tr>
        <w:tblPrEx>
          <w:tblW w:w="1020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0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92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1020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040"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9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6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020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040"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99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materiales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3.326</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8.382</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15.070</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activo fijo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Asesorías recibidas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12.924</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6.357.359-0</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Guillermo Hayes Morales</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8.220</w:t>
            </w:r>
          </w:p>
        </w:tc>
      </w:tr>
      <w:tr>
        <w:tblPrEx>
          <w:tblW w:w="1020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5.333.806-2</w:t>
            </w:r>
          </w:p>
        </w:tc>
        <w:tc>
          <w:tcPr>
            <w:tcW w:w="20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Erich Gruttner Grimal</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4.111</w:t>
            </w:r>
          </w:p>
        </w:tc>
      </w:tr>
      <w:tr>
        <w:tblPrEx>
          <w:tblW w:w="10200" w:type="dxa"/>
          <w:tblInd w:w="1417" w:type="dxa"/>
          <w:tblLayout w:type="fixed"/>
        </w:tblPrEx>
        <w:trPr>
          <w:cantSplit/>
          <w:trHeight w:hRule="auto" w:val="0"/>
        </w:trPr>
        <w:tc>
          <w:tcPr>
            <w:tcW w:w="828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52.033</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45"/>
        <w:gridCol w:w="3135"/>
        <w:gridCol w:w="480"/>
        <w:gridCol w:w="1005"/>
        <w:gridCol w:w="3765"/>
        <w:gridCol w:w="690"/>
        <w:gridCol w:w="885"/>
        <w:gridCol w:w="885"/>
        <w:gridCol w:w="885"/>
        <w:gridCol w:w="885"/>
      </w:tblGrid>
      <w:tr>
        <w:tblPrEx>
          <w:tblW w:w="13560" w:type="dxa"/>
          <w:tblInd w:w="0" w:type="dxa"/>
          <w:tblLayout w:type="fixed"/>
        </w:tblPrEx>
        <w:trPr>
          <w:cantSplit/>
          <w:trHeight w:hRule="auto" w:val="0"/>
        </w:trPr>
        <w:tc>
          <w:tcPr>
            <w:tcW w:w="9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31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3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69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Moneda</w:t>
            </w:r>
          </w:p>
        </w:tc>
        <w:tc>
          <w:tcPr>
            <w:tcW w:w="177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77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3560" w:type="dxa"/>
          <w:tblInd w:w="0" w:type="dxa"/>
          <w:tblLayout w:type="fixed"/>
        </w:tblPrEx>
        <w:trPr>
          <w:cantSplit/>
          <w:trHeight w:hRule="auto" w:val="0"/>
        </w:trPr>
        <w:tc>
          <w:tcPr>
            <w:tcW w:w="945" w:type="dxa"/>
            <w:vMerge/>
            <w:tcBorders>
              <w:top w:val="nil"/>
              <w:left w:val="single" w:sz="2" w:space="0" w:color="000000"/>
              <w:bottom w:val="nil"/>
              <w:right w:val="nil"/>
            </w:tcBorders>
          </w:tcPr>
          <w:p>
            <w:pPr>
              <w:keepNext/>
              <w:pageBreakBefore w:val="0"/>
            </w:pPr>
          </w:p>
        </w:tc>
        <w:tc>
          <w:tcPr>
            <w:tcW w:w="313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3765" w:type="dxa"/>
            <w:vMerge/>
            <w:tcBorders>
              <w:top w:val="nil"/>
              <w:left w:val="single" w:sz="4" w:space="0" w:color="FFFFFF"/>
              <w:bottom w:val="nil"/>
              <w:right w:val="nil"/>
            </w:tcBorders>
          </w:tcPr>
          <w:p>
            <w:pPr>
              <w:keepNext/>
              <w:pageBreakBefore w:val="0"/>
            </w:pPr>
          </w:p>
        </w:tc>
        <w:tc>
          <w:tcPr>
            <w:tcW w:w="690" w:type="dxa"/>
            <w:vMerge/>
            <w:tcBorders>
              <w:top w:val="nil"/>
              <w:left w:val="single" w:sz="4" w:space="0" w:color="FFFFFF"/>
              <w:bottom w:val="nil"/>
              <w:right w:val="single" w:sz="4" w:space="0" w:color="FFFFFF"/>
            </w:tcBorders>
          </w:tcPr>
          <w:p>
            <w:pPr>
              <w:keepNext/>
              <w:pageBreakBefore w:val="0"/>
            </w:pPr>
          </w:p>
        </w:tc>
        <w:tc>
          <w:tcPr>
            <w:tcW w:w="177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77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3560" w:type="dxa"/>
          <w:tblInd w:w="0" w:type="dxa"/>
          <w:tblLayout w:type="fixed"/>
        </w:tblPrEx>
        <w:trPr>
          <w:cantSplit/>
          <w:trHeight w:hRule="auto" w:val="0"/>
        </w:trPr>
        <w:tc>
          <w:tcPr>
            <w:tcW w:w="945" w:type="dxa"/>
            <w:vMerge/>
            <w:tcBorders>
              <w:top w:val="nil"/>
              <w:left w:val="single" w:sz="2" w:space="0" w:color="000000"/>
              <w:bottom w:val="nil"/>
              <w:right w:val="nil"/>
            </w:tcBorders>
          </w:tcPr>
          <w:p>
            <w:pPr>
              <w:keepNext/>
              <w:pageBreakBefore w:val="0"/>
            </w:pPr>
          </w:p>
        </w:tc>
        <w:tc>
          <w:tcPr>
            <w:tcW w:w="313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3765" w:type="dxa"/>
            <w:vMerge/>
            <w:tcBorders>
              <w:top w:val="nil"/>
              <w:left w:val="single" w:sz="4" w:space="0" w:color="FFFFFF"/>
              <w:bottom w:val="nil"/>
              <w:right w:val="nil"/>
            </w:tcBorders>
          </w:tcPr>
          <w:p>
            <w:pPr>
              <w:keepNext/>
              <w:pageBreakBefore w:val="0"/>
            </w:pPr>
          </w:p>
        </w:tc>
        <w:tc>
          <w:tcPr>
            <w:tcW w:w="69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3560" w:type="dxa"/>
          <w:tblInd w:w="0" w:type="dxa"/>
          <w:tblLayout w:type="fixed"/>
        </w:tblPrEx>
        <w:trPr>
          <w:cantSplit/>
          <w:trHeight w:hRule="auto" w:val="0"/>
        </w:trPr>
        <w:tc>
          <w:tcPr>
            <w:tcW w:w="945" w:type="dxa"/>
            <w:vMerge/>
            <w:tcBorders>
              <w:top w:val="nil"/>
              <w:left w:val="single" w:sz="2" w:space="0" w:color="000000"/>
              <w:bottom w:val="single" w:sz="2" w:space="0" w:color="000000"/>
              <w:right w:val="nil"/>
            </w:tcBorders>
          </w:tcPr>
          <w:p>
            <w:pPr>
              <w:keepNext/>
              <w:pageBreakBefore w:val="0"/>
            </w:pPr>
          </w:p>
        </w:tc>
        <w:tc>
          <w:tcPr>
            <w:tcW w:w="3135" w:type="dxa"/>
            <w:vMerge/>
            <w:tcBorders>
              <w:top w:val="nil"/>
              <w:left w:val="single" w:sz="4" w:space="0" w:color="FFFFFF"/>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3765" w:type="dxa"/>
            <w:vMerge/>
            <w:tcBorders>
              <w:top w:val="nil"/>
              <w:left w:val="single" w:sz="4" w:space="0" w:color="FFFFFF"/>
              <w:bottom w:val="single" w:sz="2" w:space="0" w:color="000000"/>
              <w:right w:val="nil"/>
            </w:tcBorders>
          </w:tcPr>
          <w:p>
            <w:pPr>
              <w:keepNext/>
              <w:pageBreakBefore w:val="0"/>
            </w:pPr>
          </w:p>
        </w:tc>
        <w:tc>
          <w:tcPr>
            <w:tcW w:w="69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59.485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20.820</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(abonos)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210.000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Tesorería centralizada (cargos)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313.204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cobrados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3.204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3.204</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materiales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5.000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(5.000)</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recibidos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23.923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(23.923)</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Intereses pagados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86.386.700-2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Subsidiaria</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Compra de activo fijo</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 xml:space="preserve">Servicios recibidos. Consumo eléctrico </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12.751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(12.751)</w:t>
            </w: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Servicios prestados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560"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administrativos</w:t>
            </w:r>
          </w:p>
        </w:tc>
        <w:tc>
          <w:tcPr>
            <w:tcW w:w="6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2"/>
                <w:u w:val="none"/>
              </w:rPr>
              <w:t>8.067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2"/>
                <w:u w:val="none"/>
              </w:rPr>
              <w:t>8.067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21"/>
          <w:footerReference w:type="default" r:id="rId22"/>
          <w:type w:val="continuous"/>
          <w:pgSz w:w="15840" w:h="12240"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2" w:name="Section50"/>
      <w:bookmarkEnd w:id="92"/>
      <w:bookmarkStart w:id="93" w:name="a2b4e526aab74ea588db0cf3c1087565"/>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3"/>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Directorio de Energy Sur Ingeniería S.A. lo componen cinco miembros, los cuales permanecen por un período de 1 año en sus funciones, pudiendo estos reelegirse.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celebrada con fecha 21 de abril de 2025 se eligió el Directorio de Energy Sur Ingeniería S.A. el cual quedo conformado por:</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5529" w:right="0" w:hanging="311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Leonardo Lorca Muñoz</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Presidente</w:t>
      </w:r>
    </w:p>
    <w:p>
      <w:pPr>
        <w:pStyle w:val="Normal-wk"/>
        <w:keepNext w:val="0"/>
        <w:keepLines/>
        <w:pageBreakBefore w:val="0"/>
        <w:widowControl w:val="0"/>
        <w:numPr>
          <w:ilvl w:val="0"/>
          <w:numId w:val="0"/>
        </w:numPr>
        <w:tabs>
          <w:tab w:val="left" w:pos="700"/>
        </w:tabs>
        <w:spacing w:before="0" w:after="0" w:line="288" w:lineRule="auto"/>
        <w:ind w:left="5529" w:right="0" w:hanging="311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Guillermo Hayes Morales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pStyle w:val="Normal-wk"/>
        <w:keepNext w:val="0"/>
        <w:keepLines/>
        <w:pageBreakBefore w:val="0"/>
        <w:widowControl w:val="0"/>
        <w:numPr>
          <w:ilvl w:val="0"/>
          <w:numId w:val="0"/>
        </w:numPr>
        <w:tabs>
          <w:tab w:val="left" w:pos="700"/>
        </w:tabs>
        <w:spacing w:before="0" w:after="0" w:line="288" w:lineRule="auto"/>
        <w:ind w:left="5529" w:right="0" w:hanging="311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Erich Gruttner Grimal</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pStyle w:val="Normal-wk"/>
        <w:keepNext w:val="0"/>
        <w:keepLines/>
        <w:pageBreakBefore w:val="0"/>
        <w:widowControl w:val="0"/>
        <w:numPr>
          <w:ilvl w:val="0"/>
          <w:numId w:val="0"/>
        </w:numPr>
        <w:tabs>
          <w:tab w:val="left" w:pos="700"/>
        </w:tabs>
        <w:spacing w:before="0" w:after="0" w:line="288" w:lineRule="auto"/>
        <w:ind w:left="5529" w:right="0" w:hanging="311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Hernan Inostroza Godoy</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pStyle w:val="Normal-wk"/>
        <w:keepNext w:val="0"/>
        <w:keepLines/>
        <w:pageBreakBefore w:val="0"/>
        <w:widowControl w:val="0"/>
        <w:numPr>
          <w:ilvl w:val="0"/>
          <w:numId w:val="0"/>
        </w:numPr>
        <w:tabs>
          <w:tab w:val="left" w:pos="700"/>
        </w:tabs>
        <w:spacing w:before="0" w:after="0" w:line="240" w:lineRule="exact"/>
        <w:ind w:left="5529" w:right="0" w:hanging="311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Ernesto Peñafiel Morgan</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equipo gerencial de la Sociedad lo componía un Gerente General, Sr. Guillermo Hayes, y un Gerente de Operaciones, Sr. Erich Gruttner, quienes prestaron servicios a la Sociedad hasta el 30 de noviembre de 2024 y 31 de octubre de 2025, respectivamente.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1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Según lo establecido en el Artículo N° 33 de la Ley N° 18.046 sobre Sociedades Anónimas, la Junta Ordinaria de Accionistas de la Sociedad, celebrada con fecha 21 de abril de 2025, acordó no remunerar a los directores.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con cargo a resultados del equipo gerencial de la Sociedad ascienden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47.071</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firstLine="0"/>
        <w:jc w:val="both"/>
        <w:outlineLvl w:val="9"/>
        <w:sectPr>
          <w:headerReference w:type="default" r:id="rId23"/>
          <w:footerReference w:type="default" r:id="rId24"/>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4" w:name="Section51"/>
      <w:bookmarkEnd w:id="94"/>
      <w:bookmarkStart w:id="95" w:name="aa8596e2240b419e9cfa647cd0fa5105"/>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9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left"/>
            </w:pPr>
            <w:r>
              <w:rPr>
                <w:rFonts w:ascii="Calibri" w:eastAsia="Calibri" w:hAnsi="Calibri" w:cs="Calibri"/>
                <w:b w:val="0"/>
                <w:i w:val="0"/>
                <w:color w:val="000000"/>
                <w:sz w:val="16"/>
                <w:u w:val="none"/>
              </w:rPr>
              <w:t>Materias primas.</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20" w:line="240" w:lineRule="auto"/>
              <w:jc w:val="right"/>
            </w:pPr>
            <w:r>
              <w:rPr>
                <w:rFonts w:ascii="Calibri" w:eastAsia="Calibri" w:hAnsi="Calibri" w:cs="Calibri"/>
                <w:b w:val="0"/>
                <w:i w:val="0"/>
                <w:color w:val="000000"/>
                <w:sz w:val="16"/>
                <w:u w:val="none"/>
              </w:rPr>
              <w:t>0</w:t>
            </w:r>
          </w:p>
        </w:tc>
        <w:tc>
          <w:tcPr>
            <w:tcW w:w="1200"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3" w:after="20" w:line="240" w:lineRule="auto"/>
              <w:jc w:val="right"/>
            </w:pPr>
            <w:r>
              <w:rPr>
                <w:rFonts w:ascii="Calibri" w:eastAsia="Calibri" w:hAnsi="Calibri" w:cs="Calibri"/>
                <w:b w:val="0"/>
                <w:i w:val="0"/>
                <w:color w:val="000000"/>
                <w:sz w:val="16"/>
                <w:u w:val="none"/>
              </w:rPr>
              <w:t>122.546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Productos en proceso.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117.719</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25.640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265.905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inventarios pignorados en garantía del cumplimiento de deudas contraídas.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6" w:name="Section52"/>
      <w:bookmarkEnd w:id="96"/>
      <w:bookmarkStart w:id="97" w:name="525a5c8222f54d2691028305e3a21b76"/>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9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Costos de inventarios reconocidos como gastos durante 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(75.077)</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en caso de existir, están dadas por liquidaciones de inventarios y reversos de la provisión por deterioro dado por el incremento en el valor neto realizable.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8" w:name="Section53"/>
      <w:bookmarkEnd w:id="98"/>
      <w:bookmarkStart w:id="99" w:name="0fb55f81e9e14f3eb05ea29e50faf2bf"/>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99"/>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exact" w:val="255"/>
        </w:trPr>
        <w:tc>
          <w:tcPr>
            <w:tcW w:w="7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exact" w:val="255"/>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3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3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exact" w:val="255"/>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Pagos provisionales mensuales.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68.186</w:t>
            </w: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Créditos al impuesto.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2.500</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70.686</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Impuesto a la renta de primera categoría.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(17.989)</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(17.989)</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52.697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0" w:name="Section54"/>
      <w:bookmarkEnd w:id="100"/>
      <w:bookmarkStart w:id="101" w:name="12d29ad13eda43478e324ac81efc1a61"/>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1"/>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auto" w:val="0"/>
        </w:trPr>
        <w:tc>
          <w:tcPr>
            <w:tcW w:w="7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Boletas en garantía.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32.538</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32.538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pagados por anticipado corresponden principalmente a gastos activados de obras que aún no se han facturado y a garantías de trabajos en curso o terminados.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2" w:name="Section55"/>
      <w:bookmarkEnd w:id="102"/>
      <w:bookmarkStart w:id="103" w:name="bedc4165e0674fae9e816414f9e720ce"/>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3"/>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4" w:name="Section56"/>
      <w:bookmarkEnd w:id="104"/>
      <w:bookmarkStart w:id="105" w:name="8a74b5f570764773bb8ab68fe23c77bd"/>
      <w:r>
        <w:rPr>
          <w:rFonts w:ascii="Calibri" w:eastAsia="Calibri" w:hAnsi="Calibri" w:cs="Calibri"/>
          <w:b/>
          <w:i w:val="0"/>
          <w:color w:val="000000"/>
          <w:sz w:val="20"/>
          <w:u w:val="none"/>
        </w:rPr>
        <w:t>13.1.-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Energy Sur Ingeniería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67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95"/>
        <w:gridCol w:w="1005"/>
        <w:gridCol w:w="1005"/>
      </w:tblGrid>
      <w:tr>
        <w:tblPrEx>
          <w:tblW w:w="6705" w:type="dxa"/>
          <w:tblInd w:w="1417" w:type="dxa"/>
          <w:tblLayout w:type="fixed"/>
        </w:tblPrEx>
        <w:trPr>
          <w:cantSplit/>
          <w:trHeight w:hRule="auto" w:val="0"/>
        </w:trPr>
        <w:tc>
          <w:tcPr>
            <w:tcW w:w="4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6705" w:type="dxa"/>
          <w:tblInd w:w="1417" w:type="dxa"/>
          <w:tblLayout w:type="fixed"/>
        </w:tblPrEx>
        <w:trPr>
          <w:cantSplit/>
          <w:trHeight w:hRule="auto" w:val="0"/>
        </w:trPr>
        <w:tc>
          <w:tcPr>
            <w:tcW w:w="46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6705" w:type="dxa"/>
          <w:tblInd w:w="1417"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edificios.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6705" w:type="dxa"/>
          <w:tblInd w:w="1417"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instalaciones fijas y accesorios.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r>
      <w:tr>
        <w:tblPrEx>
          <w:tblW w:w="6705" w:type="dxa"/>
          <w:tblInd w:w="1417"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Vida útil para vehículos de motor.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06" w:name="Section57"/>
      <w:bookmarkEnd w:id="106"/>
      <w:bookmarkStart w:id="107" w:name="38ad5c696ec74135becbb6c857b4d769"/>
      <w:r>
        <w:rPr>
          <w:rFonts w:ascii="Calibri" w:eastAsia="Calibri" w:hAnsi="Calibri" w:cs="Calibri"/>
          <w:b/>
          <w:i w:val="0"/>
          <w:color w:val="000000"/>
          <w:sz w:val="20"/>
          <w:u w:val="none"/>
        </w:rPr>
        <w:t>13.2.-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plantas y equipos,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338.383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52.768</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248.924</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239.214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7.569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61.302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701.377</w:t>
            </w:r>
          </w:p>
        </w:tc>
      </w:tr>
    </w:tbl>
    <w:p>
      <w:pPr>
        <w:keepNext w:val="0"/>
        <w:keepLines/>
        <w:pageBreakBefore w:val="0"/>
        <w:widowControl w:val="0"/>
        <w:numPr>
          <w:ilvl w:val="0"/>
          <w:numId w:val="0"/>
        </w:numPr>
        <w:spacing w:before="0" w:after="0" w:line="288" w:lineRule="auto"/>
        <w:ind w:left="1418"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8" w:right="-1"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tabs>
          <w:tab w:val="left" w:pos="700"/>
        </w:tabs>
        <w:spacing w:before="0" w:after="0" w:line="288" w:lineRule="auto"/>
        <w:ind w:left="0" w:right="-1"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plantas y equipos,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338.383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140.824</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741.637</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664.370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16.857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60.410</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168.869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1.389.713</w:t>
            </w:r>
          </w:p>
        </w:tc>
      </w:tr>
    </w:tbl>
    <w:p>
      <w:pPr>
        <w:keepNext w:val="0"/>
        <w:keepLines/>
        <w:pageBreakBefore w:val="0"/>
        <w:widowControl w:val="0"/>
        <w:numPr>
          <w:ilvl w:val="0"/>
          <w:numId w:val="0"/>
        </w:numPr>
        <w:spacing w:before="0" w:after="0" w:line="288" w:lineRule="auto"/>
        <w:ind w:left="1418"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2" w:right="0" w:firstLine="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88.056</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492.713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425.156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14.716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52.841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107.567</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688.336</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8" w:name="Section58"/>
      <w:bookmarkEnd w:id="108"/>
      <w:bookmarkStart w:id="109" w:name="7a3315fe23754e9c819fb811c5d2fadd"/>
      <w:r>
        <w:rPr>
          <w:rFonts w:ascii="Calibri" w:eastAsia="Calibri" w:hAnsi="Calibri" w:cs="Calibri"/>
          <w:b/>
          <w:i w:val="0"/>
          <w:color w:val="000000"/>
          <w:sz w:val="20"/>
          <w:u w:val="none"/>
        </w:rPr>
        <w:t>13.3.-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9"/>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
        <w:gridCol w:w="705"/>
        <w:gridCol w:w="6000"/>
        <w:gridCol w:w="1095"/>
        <w:gridCol w:w="1095"/>
        <w:gridCol w:w="1095"/>
        <w:gridCol w:w="1095"/>
        <w:gridCol w:w="1095"/>
        <w:gridCol w:w="1095"/>
      </w:tblGrid>
      <w:tr>
        <w:tblPrEx>
          <w:tblW w:w="13515" w:type="dxa"/>
          <w:tblInd w:w="0" w:type="dxa"/>
          <w:tblLayout w:type="fixed"/>
        </w:tblPrEx>
        <w:trPr>
          <w:cantSplit/>
          <w:trHeight w:hRule="exact" w:val="195"/>
        </w:trPr>
        <w:tc>
          <w:tcPr>
            <w:tcW w:w="6945"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10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auto" w:val="0"/>
        </w:trPr>
        <w:tc>
          <w:tcPr>
            <w:tcW w:w="6945" w:type="dxa"/>
            <w:gridSpan w:val="3"/>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15" w:type="dxa"/>
          <w:tblInd w:w="0" w:type="dxa"/>
          <w:tblLayout w:type="fixed"/>
        </w:tblPrEx>
        <w:trPr>
          <w:cantSplit/>
          <w:trHeight w:hRule="exact" w:val="6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338.383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52.768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248.924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61.302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701.377</w:t>
            </w:r>
          </w:p>
        </w:tc>
      </w:tr>
      <w:tr>
        <w:tblPrEx>
          <w:tblW w:w="13515" w:type="dxa"/>
          <w:tblInd w:w="0"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exact" w:val="225"/>
        </w:trPr>
        <w:tc>
          <w:tcPr>
            <w:tcW w:w="240"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Disposiciones.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vMerge/>
            <w:tcBorders>
              <w:top w:val="nil"/>
              <w:left w:val="single" w:sz="2" w:space="0" w:color="000000"/>
              <w:bottom w:val="single" w:sz="2" w:space="0" w:color="000000"/>
              <w:right w:val="single" w:sz="2" w:space="0" w:color="000000"/>
            </w:tcBorders>
          </w:tcPr>
          <w:p>
            <w:pPr>
              <w:keepNext/>
              <w:pageBreakBefore w:val="0"/>
            </w:pP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338.383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52.768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248.924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61.302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701.377</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Movimiento al 31 de diciembre de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
        <w:gridCol w:w="705"/>
        <w:gridCol w:w="6000"/>
        <w:gridCol w:w="1095"/>
        <w:gridCol w:w="1095"/>
        <w:gridCol w:w="1095"/>
        <w:gridCol w:w="1095"/>
        <w:gridCol w:w="1095"/>
        <w:gridCol w:w="1095"/>
      </w:tblGrid>
      <w:tr>
        <w:tblPrEx>
          <w:tblW w:w="13515" w:type="dxa"/>
          <w:tblInd w:w="0" w:type="dxa"/>
          <w:tblLayout w:type="fixed"/>
        </w:tblPrEx>
        <w:trPr>
          <w:cantSplit/>
          <w:trHeight w:hRule="exact" w:val="195"/>
        </w:trPr>
        <w:tc>
          <w:tcPr>
            <w:tcW w:w="6945"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10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exact" w:val="195"/>
        </w:trPr>
        <w:tc>
          <w:tcPr>
            <w:tcW w:w="6945" w:type="dxa"/>
            <w:gridSpan w:val="3"/>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single" w:sz="2" w:space="0" w:color="000000"/>
            </w:tcBorders>
          </w:tcPr>
          <w:p>
            <w:pPr>
              <w:keepNext/>
              <w:pageBreakBefore w:val="0"/>
            </w:pPr>
          </w:p>
        </w:tc>
      </w:tr>
      <w:tr>
        <w:tblPrEx>
          <w:tblW w:w="13515" w:type="dxa"/>
          <w:tblInd w:w="0" w:type="dxa"/>
          <w:tblLayout w:type="fixed"/>
        </w:tblPrEx>
        <w:trPr>
          <w:cantSplit/>
          <w:trHeight w:hRule="auto" w:val="0"/>
        </w:trPr>
        <w:tc>
          <w:tcPr>
            <w:tcW w:w="6945" w:type="dxa"/>
            <w:gridSpan w:val="3"/>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15" w:type="dxa"/>
          <w:tblInd w:w="0" w:type="dxa"/>
          <w:tblLayout w:type="fixed"/>
        </w:tblPrEx>
        <w:trPr>
          <w:cantSplit/>
          <w:trHeight w:hRule="exact" w:val="6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338.383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48.946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214.284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74.328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675.941</w:t>
            </w:r>
          </w:p>
        </w:tc>
      </w:tr>
      <w:tr>
        <w:tblPrEx>
          <w:tblW w:w="13515" w:type="dxa"/>
          <w:tblInd w:w="0"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exact" w:val="225"/>
        </w:trPr>
        <w:tc>
          <w:tcPr>
            <w:tcW w:w="240"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88.362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96.648</w:t>
            </w:r>
          </w:p>
        </w:tc>
      </w:tr>
      <w:tr>
        <w:tblPrEx>
          <w:tblW w:w="13515" w:type="dxa"/>
          <w:tblInd w:w="0"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(52.688)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(13.026)</w:t>
            </w: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(70.178)</w:t>
            </w:r>
          </w:p>
        </w:tc>
      </w:tr>
      <w:tr>
        <w:tblPrEx>
          <w:tblW w:w="13515" w:type="dxa"/>
          <w:tblInd w:w="0"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vMerge/>
            <w:tcBorders>
              <w:top w:val="nil"/>
              <w:left w:val="single" w:sz="2" w:space="0" w:color="000000"/>
              <w:bottom w:val="single" w:sz="2" w:space="0" w:color="000000"/>
              <w:right w:val="nil"/>
            </w:tcBorders>
          </w:tcPr>
          <w:p>
            <w:pPr>
              <w:keepNext/>
              <w:pageBreakBefore w:val="0"/>
            </w:pPr>
          </w:p>
        </w:tc>
        <w:tc>
          <w:tcPr>
            <w:tcW w:w="670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15" w:type="dxa"/>
          <w:tblInd w:w="0" w:type="dxa"/>
          <w:tblLayout w:type="fixed"/>
        </w:tblPrEx>
        <w:trPr>
          <w:cantSplit/>
          <w:trHeight w:hRule="auto" w:val="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3.822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34.640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(13.026)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25.436</w:t>
            </w:r>
          </w:p>
        </w:tc>
      </w:tr>
      <w:tr>
        <w:tblPrEx>
          <w:tblW w:w="13515" w:type="dxa"/>
          <w:tblInd w:w="0" w:type="dxa"/>
          <w:tblLayout w:type="fixed"/>
        </w:tblPrEx>
        <w:trPr>
          <w:cantSplit/>
          <w:trHeight w:hRule="auto" w:val="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15" w:type="dxa"/>
          <w:tblInd w:w="0" w:type="dxa"/>
          <w:tblLayout w:type="fixed"/>
        </w:tblPrEx>
        <w:trPr>
          <w:cantSplit/>
          <w:trHeight w:hRule="auto" w:val="0"/>
        </w:trPr>
        <w:tc>
          <w:tcPr>
            <w:tcW w:w="694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338.383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52.768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248.924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61.302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701.377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25"/>
          <w:footerReference w:type="default" r:id="rId26"/>
          <w:type w:val="continuous"/>
          <w:pgSz w:w="15840" w:h="12240"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0" w:name="Section59"/>
      <w:bookmarkEnd w:id="110"/>
      <w:bookmarkStart w:id="111" w:name="2234927f4a1a4fb28c57753b3959b6e3"/>
      <w:r>
        <w:rPr>
          <w:rFonts w:ascii="Calibri" w:eastAsia="Calibri" w:hAnsi="Calibri" w:cs="Calibri"/>
          <w:b/>
          <w:i w:val="0"/>
          <w:color w:val="000000"/>
          <w:sz w:val="20"/>
          <w:u w:val="none"/>
        </w:rPr>
        <w:t>13.4.-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Energy Sur Ingeniería S.A. ha mantenido tradicionalmente una política de llevar a cabo todas las obras necesarias para satisfacer los incrementos de la demanda, adaptar el sistema productivo a los avances tecnológicos, con el objeto de cumplir cabalmente con requerimientos de clientes en tiempo y calidad.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96.648</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 y equipo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27"/>
          <w:footerReference w:type="default" r:id="rId28"/>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2" w:name="Section60"/>
      <w:bookmarkEnd w:id="112"/>
      <w:bookmarkStart w:id="113" w:name="1c32180fb4e44ec7ab3a3113fc6b0144"/>
      <w:r>
        <w:rPr>
          <w:rFonts w:ascii="Calibri" w:eastAsia="Calibri" w:hAnsi="Calibri" w:cs="Calibri"/>
          <w:b/>
          <w:i w:val="0"/>
          <w:color w:val="000000"/>
          <w:sz w:val="20"/>
          <w:u w:val="none"/>
        </w:rPr>
        <w:t>13.5.-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3"/>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no se han capitalizado intereses por no tener activos aptos para dicho efecto.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14" w:name="Section61"/>
      <w:bookmarkEnd w:id="114"/>
      <w:bookmarkStart w:id="115" w:name="44b302aa91f643b48fb735e458e76cd4"/>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5"/>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6" w:name="Section62"/>
      <w:bookmarkEnd w:id="116"/>
      <w:bookmarkStart w:id="117" w:name="dcfb5ee52d5a47d1af5a679552ab35bc"/>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plantas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101.162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11.402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15.329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140.581</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Energy Sur Ingeniería S.A.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8" w:name="Section63"/>
      <w:bookmarkEnd w:id="118"/>
      <w:bookmarkStart w:id="119" w:name="2c7b8b9fc5ad47a9b4cb4b8bb2adbc2d"/>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7.494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7.494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0" w:name="Section64"/>
      <w:bookmarkEnd w:id="120"/>
      <w:bookmarkStart w:id="121" w:name="4d4f104eff4d4835a1fb0e0cea82a03d"/>
      <w:r>
        <w:rPr>
          <w:rFonts w:ascii="Calibri" w:eastAsia="Calibri" w:hAnsi="Calibri" w:cs="Calibri"/>
          <w:b/>
          <w:i w:val="0"/>
          <w:color w:val="000000"/>
          <w:sz w:val="20"/>
          <w:u w:val="none"/>
        </w:rPr>
        <w:t>14.3.-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1"/>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140.581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139.818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(140.581)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Fusión por absorción, activos por impuestos diferidos.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pérdidas de control de subsidiaria.</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a (desde) activos no corrientes y grupos en enajenación mantenidos para la venta.</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combinaciones de negocios.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diferencias de cambio netas.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División Social, activos por impuestos diferidos.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incrementos (decrementos), activos por impuestos diferidos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(140.581)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763</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140.581</w:t>
            </w:r>
          </w:p>
        </w:tc>
      </w:tr>
    </w:tbl>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7.494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14.107</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(7.494)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(6.613)</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Fusión por absorción, pasivos por impuestos diferidos.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pérdidas de control de subsidiaria.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Disminución por transferencias a pasivos incluidos en grupos de activos para su disposición clasificados como mantenidos para la venta, otras provisiones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combinaciones de negocios.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diferencias de cambio netas.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División Social, pasivos por impuestos diferidos.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incrementos (decrementos), pasivos por impuestos diferidos.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(7.494)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(6.613)</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7.494</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2" w:name="Section65"/>
      <w:bookmarkEnd w:id="122"/>
      <w:bookmarkStart w:id="123" w:name="1c60e40445f94d5cb73b4bff59c5c52b"/>
      <w:r>
        <w:rPr>
          <w:rFonts w:ascii="Calibri" w:eastAsia="Calibri" w:hAnsi="Calibri" w:cs="Calibri"/>
          <w:b/>
          <w:i w:val="0"/>
          <w:color w:val="000000"/>
          <w:sz w:val="20"/>
          <w:u w:val="none"/>
        </w:rPr>
        <w:t>14.4.-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975"/>
        <w:gridCol w:w="975"/>
        <w:gridCol w:w="975"/>
        <w:gridCol w:w="975"/>
        <w:gridCol w:w="975"/>
        <w:gridCol w:w="975"/>
      </w:tblGrid>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9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7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7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140.581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(7.494)</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133.087</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(7.494)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7.494</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133.087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133.087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4" w:name="Section66"/>
      <w:bookmarkEnd w:id="124"/>
      <w:bookmarkStart w:id="125" w:name="7d07f6fe2e0c47aa892595e5c73d36f5"/>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5"/>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82.674</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46.994</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31.145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14.991</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175.804</w:t>
            </w:r>
          </w:p>
        </w:tc>
      </w:tr>
    </w:tbl>
    <w:p>
      <w:pPr>
        <w:keepNext w:val="0"/>
        <w:keepLines/>
        <w:pageBreakBefore w:val="0"/>
        <w:widowControl w:val="0"/>
        <w:numPr>
          <w:ilvl w:val="0"/>
          <w:numId w:val="0"/>
        </w:numPr>
        <w:spacing w:before="0" w:after="0" w:line="288" w:lineRule="auto"/>
        <w:ind w:left="1418" w:right="0" w:hanging="71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subsidiarias no tienen proveedores de importancia cuyos pasivos superen el 10% de este ítem.</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6" w:name="Section67"/>
      <w:bookmarkEnd w:id="126"/>
      <w:bookmarkStart w:id="127" w:name="4b4b85fb4dca4865a28cf2c24ff61f86"/>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7"/>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Pasivos acumulados (o devengados).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34.910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12.084</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46.994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8" w:right="0" w:hanging="710"/>
        <w:jc w:val="both"/>
        <w:outlineLvl w:val="1"/>
        <w:rPr>
          <w:rFonts w:ascii="Times New Roman" w:eastAsia="Times New Roman" w:hAnsi="Times New Roman" w:cs="Times New Roman"/>
          <w:b/>
          <w:i w:val="0"/>
          <w:color w:val="000000"/>
          <w:sz w:val="24"/>
          <w:u w:val="none"/>
        </w:rPr>
      </w:pPr>
      <w:bookmarkStart w:id="128" w:name="Section68"/>
      <w:bookmarkEnd w:id="128"/>
      <w:bookmarkStart w:id="129" w:name="191e268ed3a64b85a7d94f9ba7d66b78"/>
      <w:r>
        <w:rPr>
          <w:rFonts w:ascii="Calibri" w:eastAsia="Calibri" w:hAnsi="Calibri" w:cs="Calibri"/>
          <w:b/>
          <w:i w:val="0"/>
          <w:color w:val="000000"/>
          <w:sz w:val="20"/>
          <w:u w:val="none"/>
        </w:rPr>
        <w:t>15.2.-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9"/>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tblGrid>
      <w:tr>
        <w:tblPrEx>
          <w:tblW w:w="9255" w:type="dxa"/>
          <w:tblInd w:w="709" w:type="dxa"/>
          <w:tblLayout w:type="fixed"/>
        </w:tblPrEx>
        <w:trPr>
          <w:cantSplit/>
          <w:trHeight w:hRule="auto" w:val="0"/>
        </w:trPr>
        <w:tc>
          <w:tcPr>
            <w:tcW w:w="56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55" w:type="dxa"/>
          <w:tblInd w:w="709" w:type="dxa"/>
          <w:tblLayout w:type="fixed"/>
        </w:tblPrEx>
        <w:trPr>
          <w:cantSplit/>
          <w:trHeight w:hRule="auto" w:val="0"/>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16.996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98.469</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115.465</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1.354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14.991</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16.345</w:t>
            </w: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43.994</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43.994</w:t>
            </w:r>
          </w:p>
        </w:tc>
      </w:tr>
      <w:tr>
        <w:tblPrEx>
          <w:tblW w:w="92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18.350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157.454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175.804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no hay cuentas por pagar comerciales y otras cuentas por pagar con plazos vencidos.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30" w:name="Section69"/>
      <w:bookmarkEnd w:id="130"/>
      <w:bookmarkStart w:id="131" w:name="b222a356abfc48dfa3e9557f3dde8608"/>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1"/>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2" w:name="Section70"/>
      <w:bookmarkEnd w:id="132"/>
      <w:bookmarkStart w:id="133" w:name="80f42925adea472aba3826073ac631dc"/>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4" w:name="Section71"/>
      <w:bookmarkEnd w:id="134"/>
      <w:bookmarkStart w:id="135" w:name="4ebff00f3f504c5c83c08c46c51e571a"/>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80.407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2.353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(85.913)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(80.407)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6" w:name="Section72"/>
      <w:bookmarkEnd w:id="136"/>
      <w:bookmarkStart w:id="137" w:name="1a6421730543422fa778e29e5e94a241"/>
      <w:r>
        <w:rPr>
          <w:rFonts w:ascii="Calibri" w:eastAsia="Calibri" w:hAnsi="Calibri" w:cs="Calibri"/>
          <w:b/>
          <w:i w:val="0"/>
          <w:color w:val="000000"/>
          <w:sz w:val="20"/>
          <w:u w:val="none"/>
        </w:rPr>
        <w:t>16.3.-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8" w:name="Section73"/>
      <w:bookmarkEnd w:id="138"/>
      <w:bookmarkStart w:id="139" w:name="38e391b3746747aeb46f002b6f912cdc"/>
      <w:r>
        <w:rPr>
          <w:rFonts w:ascii="Calibri" w:eastAsia="Calibri" w:hAnsi="Calibri" w:cs="Calibri"/>
          <w:b/>
          <w:i w:val="0"/>
          <w:color w:val="000000"/>
          <w:sz w:val="20"/>
          <w:u w:val="none"/>
        </w:rPr>
        <w:t>16.4.-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9"/>
    </w:p>
    <w:tbl>
      <w:tblPr>
        <w:tblW w:w="84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95"/>
        <w:gridCol w:w="1005"/>
        <w:gridCol w:w="1005"/>
        <w:gridCol w:w="1485"/>
      </w:tblGrid>
      <w:tr>
        <w:tblPrEx>
          <w:tblW w:w="8490" w:type="dxa"/>
          <w:tblInd w:w="1417" w:type="dxa"/>
          <w:tblLayout w:type="fixed"/>
        </w:tblPrEx>
        <w:trPr>
          <w:cantSplit/>
          <w:trHeight w:hRule="auto" w:val="0"/>
        </w:trPr>
        <w:tc>
          <w:tcPr>
            <w:tcW w:w="49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Gastos reconocidos en el estado de resultados por función</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4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del estado de resultados</w:t>
            </w:r>
          </w:p>
        </w:tc>
      </w:tr>
      <w:tr>
        <w:tblPrEx>
          <w:tblW w:w="8490" w:type="dxa"/>
          <w:tblInd w:w="1417" w:type="dxa"/>
          <w:tblLayout w:type="fixed"/>
        </w:tblPrEx>
        <w:trPr>
          <w:cantSplit/>
          <w:trHeight w:hRule="auto" w:val="0"/>
        </w:trPr>
        <w:tc>
          <w:tcPr>
            <w:tcW w:w="499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485" w:type="dxa"/>
            <w:vMerge/>
            <w:tcBorders>
              <w:top w:val="nil"/>
              <w:left w:val="single" w:sz="4" w:space="0" w:color="FFFFFF"/>
              <w:bottom w:val="nil"/>
              <w:right w:val="single" w:sz="2" w:space="0" w:color="000000"/>
            </w:tcBorders>
          </w:tcPr>
          <w:p>
            <w:pPr>
              <w:keepNext/>
              <w:pageBreakBefore w:val="0"/>
            </w:pPr>
          </w:p>
        </w:tc>
      </w:tr>
      <w:tr>
        <w:tblPrEx>
          <w:tblW w:w="8490" w:type="dxa"/>
          <w:tblInd w:w="1417" w:type="dxa"/>
          <w:tblLayout w:type="fixed"/>
        </w:tblPrEx>
        <w:trPr>
          <w:cantSplit/>
          <w:trHeight w:hRule="auto" w:val="0"/>
        </w:trPr>
        <w:tc>
          <w:tcPr>
            <w:tcW w:w="499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485" w:type="dxa"/>
            <w:vMerge/>
            <w:tcBorders>
              <w:top w:val="nil"/>
              <w:left w:val="single" w:sz="4" w:space="0" w:color="FFFFFF"/>
              <w:bottom w:val="nil"/>
              <w:right w:val="single" w:sz="2" w:space="0" w:color="000000"/>
            </w:tcBorders>
          </w:tcPr>
          <w:p>
            <w:pPr>
              <w:keepNext/>
              <w:pageBreakBefore w:val="0"/>
            </w:pPr>
          </w:p>
        </w:tc>
      </w:tr>
      <w:tr>
        <w:tblPrEx>
          <w:tblW w:w="8490" w:type="dxa"/>
          <w:tblInd w:w="1417" w:type="dxa"/>
          <w:tblLayout w:type="fixed"/>
        </w:tblPrEx>
        <w:trPr>
          <w:cantSplit/>
          <w:trHeight w:hRule="auto" w:val="0"/>
        </w:trPr>
        <w:tc>
          <w:tcPr>
            <w:tcW w:w="49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485" w:type="dxa"/>
            <w:vMerge/>
            <w:tcBorders>
              <w:top w:val="nil"/>
              <w:left w:val="single" w:sz="4" w:space="0" w:color="FFFFFF"/>
              <w:bottom w:val="single" w:sz="2" w:space="0" w:color="000000"/>
              <w:right w:val="single" w:sz="2" w:space="0" w:color="000000"/>
            </w:tcBorders>
          </w:tcPr>
          <w:p>
            <w:pPr>
              <w:keepNext/>
              <w:pageBreakBefore w:val="0"/>
            </w:pPr>
          </w:p>
        </w:tc>
      </w:tr>
      <w:tr>
        <w:tblPrEx>
          <w:tblW w:w="849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 - gastos de administración.</w:t>
            </w:r>
          </w:p>
        </w:tc>
      </w:tr>
      <w:tr>
        <w:tblPrEx>
          <w:tblW w:w="849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plan de beneficios definidos.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1.206</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r>
      <w:tr>
        <w:tblPrEx>
          <w:tblW w:w="849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1.206</w:t>
            </w:r>
          </w:p>
        </w:tc>
        <w:tc>
          <w:tcPr>
            <w:tcW w:w="148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0" w:name="Section74"/>
      <w:bookmarkEnd w:id="140"/>
      <w:bookmarkStart w:id="141" w:name="594f0c1e2bc54a11b93a96c4e7e3aaa3"/>
      <w:r>
        <w:rPr>
          <w:rFonts w:ascii="Calibri" w:eastAsia="Calibri" w:hAnsi="Calibri" w:cs="Calibri"/>
          <w:b/>
          <w:i w:val="0"/>
          <w:color w:val="000000"/>
          <w:sz w:val="20"/>
          <w:u w:val="none"/>
        </w:rPr>
        <w:t>16.5.-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41"/>
    </w:p>
    <w:p>
      <w:pPr>
        <w:keepNext/>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principales hipótesis </w:t>
      </w:r>
      <w:r>
        <w:rPr>
          <w:rFonts w:ascii="Calibri" w:eastAsia="Calibri" w:hAnsi="Calibri" w:cs="Calibri"/>
          <w:b w:val="0"/>
          <w:i w:val="0"/>
          <w:color w:val="000000"/>
          <w:sz w:val="20"/>
          <w:u w:val="none"/>
        </w:rPr>
        <w:t>actuariales</w:t>
      </w:r>
      <w:r>
        <w:rPr>
          <w:rFonts w:ascii="Calibri" w:eastAsia="Calibri" w:hAnsi="Calibri" w:cs="Calibri"/>
          <w:b w:val="0"/>
          <w:i w:val="0"/>
          <w:sz w:val="20"/>
        </w:rPr>
        <w:t xml:space="preserve"> utilizadas al cierre de estos estados financieros han sido las </w:t>
      </w:r>
      <w:r>
        <w:rPr>
          <w:rFonts w:ascii="Calibri" w:eastAsia="Calibri" w:hAnsi="Calibri" w:cs="Calibri"/>
          <w:b w:val="0"/>
          <w:i w:val="0"/>
          <w:color w:val="000000"/>
          <w:sz w:val="20"/>
          <w:u w:val="none"/>
        </w:rPr>
        <w:t>siguientes</w:t>
      </w:r>
      <w:r>
        <w:rPr>
          <w:rFonts w:ascii="Calibri" w:eastAsia="Calibri" w:hAnsi="Calibri" w:cs="Calibri"/>
          <w:b w:val="0"/>
          <w:i w:val="0"/>
          <w:sz w:val="20"/>
        </w:rPr>
        <w:t>:</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945"/>
        <w:gridCol w:w="1605"/>
      </w:tblGrid>
      <w:tr>
        <w:tblPrEx>
          <w:tblW w:w="8550" w:type="dxa"/>
          <w:tblInd w:w="1417" w:type="dxa"/>
          <w:tblLayout w:type="fixed"/>
        </w:tblPrEx>
        <w:trPr>
          <w:cantSplit/>
          <w:trHeight w:hRule="auto" w:val="0"/>
        </w:trPr>
        <w:tc>
          <w:tcPr>
            <w:tcW w:w="8550"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Detalle</w:t>
            </w:r>
          </w:p>
        </w:tc>
      </w:tr>
      <w:tr>
        <w:tblPrEx>
          <w:tblW w:w="8550" w:type="dxa"/>
          <w:tblInd w:w="1417" w:type="dxa"/>
          <w:tblLayout w:type="fixed"/>
        </w:tblPrEx>
        <w:trPr>
          <w:cantSplit/>
          <w:trHeight w:hRule="auto" w:val="0"/>
        </w:trPr>
        <w:tc>
          <w:tcPr>
            <w:tcW w:w="694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p>
        </w:tc>
      </w:tr>
      <w:tr>
        <w:tblPrEx>
          <w:tblW w:w="8550" w:type="dxa"/>
          <w:tblInd w:w="1417" w:type="dxa"/>
          <w:tblLayout w:type="fixed"/>
        </w:tblPrEx>
        <w:trPr>
          <w:cantSplit/>
          <w:trHeight w:hRule="auto" w:val="0"/>
        </w:trPr>
        <w:tc>
          <w:tcPr>
            <w:tcW w:w="6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p>
        </w:tc>
      </w:tr>
      <w:tr>
        <w:tblPrEx>
          <w:tblW w:w="8550" w:type="dxa"/>
          <w:tblInd w:w="1417" w:type="dxa"/>
          <w:tblLayout w:type="fixed"/>
        </w:tblPrEx>
        <w:trPr>
          <w:cantSplit/>
          <w:trHeight w:hRule="auto" w:val="0"/>
        </w:trPr>
        <w:tc>
          <w:tcPr>
            <w:tcW w:w="6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p>
        </w:tc>
      </w:tr>
      <w:tr>
        <w:tblPrEx>
          <w:tblW w:w="8550" w:type="dxa"/>
          <w:tblInd w:w="1417" w:type="dxa"/>
          <w:tblLayout w:type="fixed"/>
        </w:tblPrEx>
        <w:trPr>
          <w:cantSplit/>
          <w:trHeight w:hRule="auto" w:val="0"/>
        </w:trPr>
        <w:tc>
          <w:tcPr>
            <w:tcW w:w="6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Los supuestos respecto a la tasa futura de mortalidad se fijan sobre la base de asesoría actuarial de acuerdo con las estadísticas publicadas y con la experiencia en Chile.</w:t>
      </w:r>
    </w:p>
    <w:p>
      <w:pPr>
        <w:keepNext/>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Para el cálculo del pasivo durante el 2025, se aplicó la misma metodología utilizada en el ejercicio anterior. Respecto a lo anterior, la Sociedad contrató a Mercer (Argentina) S.A., para la determinación de las obligaciones por beneficios definidos.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2" w:name="Section75"/>
      <w:bookmarkEnd w:id="142"/>
      <w:bookmarkStart w:id="143" w:name="612f3a1e8b8545128fdd62dff1d9405e"/>
      <w:r>
        <w:rPr>
          <w:rFonts w:ascii="Calibri" w:eastAsia="Calibri" w:hAnsi="Calibri" w:cs="Calibri"/>
          <w:b/>
          <w:i w:val="0"/>
          <w:color w:val="000000"/>
          <w:sz w:val="20"/>
          <w:u w:val="none"/>
        </w:rPr>
        <w:t>16.6.-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3"/>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31 de diciembre de 2025 no existen compromisos de flujo.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flujo previsto de prestaciones al 31 de diciembre de 2024 es como sigue: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44" w:name="Section76"/>
      <w:bookmarkEnd w:id="144"/>
      <w:bookmarkStart w:id="145" w:name="287df3ebd00a43528104faf04056a447"/>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5"/>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6" w:name="Section77"/>
      <w:bookmarkEnd w:id="146"/>
      <w:bookmarkStart w:id="147" w:name="b646d053477f4c4e8e4c9bb203f14627"/>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Energy Sur Ingeniería S.A.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Energy Sur ingeniería S.A.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Energy Sur Ingeniería S.A. ha combinado distintas fuentes de financiamiento tales como: flujos de la operación y sistema de tesorería centralizada.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8" w:name="Section78"/>
      <w:bookmarkEnd w:id="148"/>
      <w:bookmarkStart w:id="149" w:name="f040d2513e6b4ae293e228a95ed8d3f0"/>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9"/>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asciende a M$ 129.526.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spacing w:before="0" w:after="0" w:line="200" w:lineRule="exact"/>
        <w:ind w:left="720" w:right="0" w:firstLine="0"/>
        <w:jc w:val="both"/>
        <w:outlineLvl w:val="1"/>
        <w:rPr>
          <w:rFonts w:ascii="Calibri" w:eastAsia="Calibri" w:hAnsi="Calibri" w:cs="Calibri"/>
          <w:b/>
          <w:i w:val="0"/>
          <w:color w:val="000000"/>
          <w:sz w:val="20"/>
          <w:u w:val="none"/>
        </w:rPr>
      </w:pPr>
      <w:bookmarkStart w:id="150" w:name="Section79"/>
      <w:bookmarkEnd w:id="150"/>
      <w:bookmarkStart w:id="151" w:name="406a7adb571f48fcaccd55142c436111"/>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1"/>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de Energy Sur Ingeniería S.A., está representado por 10.000 acciones sin valor nominal, de un voto por acción.</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2" w:name="Section80"/>
      <w:bookmarkEnd w:id="152"/>
      <w:bookmarkStart w:id="153" w:name="34e76dbeb1654c5a9b039df2ec6f8062"/>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3"/>
    </w:p>
    <w:p>
      <w:pPr>
        <w:pStyle w:val="Normal-wk"/>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Durante el ejercicio terminado al 31 de diciembre 2025, se repartiero</w:t>
      </w:r>
      <w:r>
        <w:rPr>
          <w:rFonts w:ascii="Calibri" w:eastAsia="Calibri" w:hAnsi="Calibri" w:cs="Calibri"/>
          <w:b w:val="0"/>
          <w:i w:val="0"/>
          <w:color w:val="000000"/>
          <w:sz w:val="20"/>
          <w:highlight w:val="white"/>
          <w:u w:val="none"/>
        </w:rPr>
        <w:t>n M$ 145.300 p</w:t>
      </w:r>
      <w:r>
        <w:rPr>
          <w:rFonts w:ascii="Calibri" w:eastAsia="Calibri" w:hAnsi="Calibri" w:cs="Calibri"/>
          <w:b w:val="0"/>
          <w:i w:val="0"/>
          <w:color w:val="000000"/>
          <w:sz w:val="20"/>
          <w:u w:val="none"/>
        </w:rPr>
        <w:t>or concepto de</w:t>
      </w:r>
    </w:p>
    <w:p>
      <w:pPr>
        <w:pStyle w:val="Normal-wk"/>
        <w:keepNext w:val="0"/>
        <w:keepLines/>
        <w:pageBreakBefore w:val="0"/>
        <w:widowControl w:val="0"/>
        <w:numPr>
          <w:ilvl w:val="0"/>
          <w:numId w:val="0"/>
        </w:numPr>
        <w:spacing w:before="0" w:after="0" w:line="22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dividendos correspondien</w:t>
      </w:r>
      <w:r>
        <w:rPr>
          <w:rFonts w:ascii="Calibri" w:eastAsia="Calibri" w:hAnsi="Calibri" w:cs="Calibri"/>
          <w:b w:val="0"/>
          <w:i w:val="0"/>
          <w:color w:val="000000"/>
          <w:sz w:val="20"/>
          <w:highlight w:val="white"/>
          <w:u w:val="none"/>
        </w:rPr>
        <w:t xml:space="preserve">te al 70% </w:t>
      </w:r>
      <w:r>
        <w:rPr>
          <w:rFonts w:ascii="Calibri" w:eastAsia="Calibri" w:hAnsi="Calibri" w:cs="Calibri"/>
          <w:b w:val="0"/>
          <w:i w:val="0"/>
          <w:color w:val="000000"/>
          <w:sz w:val="20"/>
          <w:u w:val="none"/>
        </w:rPr>
        <w:t>de la utilidad neta obtenida el año 2024.</w:t>
      </w:r>
    </w:p>
    <w:p>
      <w:pPr>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Durante el ejercicio terminado al 31 de diciembre 2024, se repartieron M$ 216.080 por concepto de</w:t>
      </w:r>
    </w:p>
    <w:p>
      <w:pPr>
        <w:pStyle w:val="Normal-wk"/>
        <w:keepNext w:val="0"/>
        <w:keepLines/>
        <w:pageBreakBefore w:val="0"/>
        <w:widowControl w:val="0"/>
        <w:numPr>
          <w:ilvl w:val="0"/>
          <w:numId w:val="0"/>
        </w:numPr>
        <w:spacing w:before="0" w:after="0" w:line="22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dividendos correspondiente al 60% de la utilidad neta obtenida el año 2023.</w:t>
      </w:r>
    </w:p>
    <w:p>
      <w:pPr>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De acuerdo a la política de dividendos de la Sociedad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provisionó un dividendo equivalente al 30% sobre las utilidades del ejercicio por un monto de M$ 27.401.</w:t>
      </w:r>
    </w:p>
    <w:p>
      <w:pPr>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64" w:lineRule="auto"/>
        <w:ind w:left="0" w:right="0" w:firstLine="708"/>
        <w:jc w:val="both"/>
        <w:outlineLvl w:val="1"/>
        <w:rPr>
          <w:rFonts w:ascii="Times New Roman" w:eastAsia="Times New Roman" w:hAnsi="Times New Roman" w:cs="Times New Roman"/>
          <w:b/>
          <w:i w:val="0"/>
          <w:color w:val="000000"/>
          <w:sz w:val="24"/>
          <w:u w:val="none"/>
        </w:rPr>
      </w:pPr>
      <w:bookmarkStart w:id="154" w:name="Section81"/>
      <w:bookmarkEnd w:id="154"/>
      <w:bookmarkStart w:id="155" w:name="6b045eb958d44068afa230b224080721"/>
      <w:r>
        <w:rPr>
          <w:rFonts w:ascii="Calibri" w:eastAsia="Calibri" w:hAnsi="Calibri" w:cs="Calibri"/>
          <w:b/>
          <w:i w:val="0"/>
          <w:color w:val="000000"/>
          <w:sz w:val="20"/>
          <w:u w:val="none"/>
        </w:rPr>
        <w:t>17.5.-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5"/>
    </w:p>
    <w:p>
      <w:pPr>
        <w:pStyle w:val="Normal-wk"/>
        <w:keepNext w:val="0"/>
        <w:keepLines/>
        <w:pageBreakBefore w:val="0"/>
        <w:widowControl w:val="0"/>
        <w:numPr>
          <w:ilvl w:val="0"/>
          <w:numId w:val="0"/>
        </w:numPr>
        <w:spacing w:before="0" w:after="0" w:line="22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 la desafectación de la Revalorización del Capital Propio del ejercicio 2008 de acuerdo con la Circular N° 456 de la Comisión para el Mercado Financiero de fecha 20 de junio de 2008 incorporada en el capital emitido de acuerdo con lo establecido en la Ley         N° 18.046 artículo 10 inciso segundo por M$ 21.090.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56" w:name="Section82"/>
      <w:bookmarkEnd w:id="156"/>
      <w:bookmarkStart w:id="157" w:name="aac9747507284a268723c07e633d0c4c"/>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7"/>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158" w:name="Section83"/>
      <w:bookmarkEnd w:id="158"/>
      <w:bookmarkStart w:id="159" w:name="d427352d975f4c8dbe1ab77eab88790e"/>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Ingresos de actividades ordinarias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Ventas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77.130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mercaderías, materiales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77.130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Prestaciones de servicios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954.167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mantenimiento de equipos a clientes.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898.273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construcción de obras e instalaciones eléctricas.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55.894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1.031.297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59" w:lineRule="auto"/>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registra ventas con empresas relacionadas por M$ 254.681 que representan el 11,2% de sus ingresos ordinarios en el ejercicio terminados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En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 xml:space="preserve"> la Sociedad registra ventas con empresas relacionadas por M$ 60.260 que representen el 2,7% de sus ingresos ordinarios.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60" w:name="Section84"/>
      <w:bookmarkEnd w:id="160"/>
      <w:bookmarkStart w:id="161" w:name="c67125c3d06c4b7f9c84e7e30ea92753"/>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16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19.1, 19.2, 19.3 y 19.4.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756.386</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216.908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973.294</w:t>
            </w:r>
          </w:p>
        </w:tc>
      </w:tr>
    </w:tbl>
    <w:p>
      <w:pPr>
        <w:keepNext w:val="0"/>
        <w:keepLines/>
        <w:pageBreakBefore w:val="0"/>
        <w:widowControl w:val="0"/>
        <w:numPr>
          <w:ilvl w:val="0"/>
          <w:numId w:val="0"/>
        </w:numPr>
        <w:tabs>
          <w:tab w:val="left" w:pos="2260"/>
        </w:tabs>
        <w:spacing w:before="0" w:after="0" w:line="288" w:lineRule="auto"/>
        <w:ind w:left="1418" w:right="48"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1418" w:right="48"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2" w:name="Section85"/>
      <w:bookmarkEnd w:id="162"/>
      <w:bookmarkStart w:id="163" w:name="77a247f4b77b41ec82755de11e10269b"/>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458.245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388.809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87.632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de transformadores.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31.718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973.294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4" w:name="Section86"/>
      <w:bookmarkEnd w:id="164"/>
      <w:bookmarkStart w:id="165" w:name="6124f937e8f943e18a6032669cd4f8e5"/>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356.459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100.069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1.717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458.245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6" w:name="Section87"/>
      <w:bookmarkEnd w:id="166"/>
      <w:bookmarkStart w:id="167" w:name="83cd133ba6be449486793b9335e39ae6"/>
      <w:r>
        <w:rPr>
          <w:rFonts w:ascii="Calibri" w:eastAsia="Calibri" w:hAnsi="Calibri" w:cs="Calibri"/>
          <w:b/>
          <w:i w:val="0"/>
          <w:color w:val="000000"/>
          <w:sz w:val="20"/>
          <w:u w:val="none"/>
        </w:rPr>
        <w:t>19.3.-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29.948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31.718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8" w:name="Section88"/>
      <w:bookmarkEnd w:id="168"/>
      <w:bookmarkStart w:id="169" w:name="f14d66998eb9418dbf28b5cfe3a307ed"/>
      <w:r>
        <w:rPr>
          <w:rFonts w:ascii="Calibri" w:eastAsia="Calibri" w:hAnsi="Calibri" w:cs="Calibri"/>
          <w:b/>
          <w:i w:val="0"/>
          <w:color w:val="000000"/>
          <w:sz w:val="20"/>
          <w:u w:val="none"/>
        </w:rPr>
        <w:t>19.4.-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1.486</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0" w:name="Section89"/>
      <w:bookmarkEnd w:id="170"/>
      <w:bookmarkStart w:id="171" w:name="1ecf72c528154bed8571e7aed6be597d"/>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17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3.204</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3.204</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exact" w:val="255"/>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(3.249)</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(3.249)</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ganancias (pérdidas) de cambio en moneda extranjera (Nota 20.1)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20.2)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2.019</w:t>
            </w:r>
          </w:p>
        </w:tc>
      </w:tr>
      <w:tr>
        <w:tblPrEx>
          <w:tblW w:w="9255" w:type="dxa"/>
          <w:tblInd w:w="709" w:type="dxa"/>
          <w:tblLayout w:type="fixed"/>
        </w:tblPrEx>
        <w:trPr>
          <w:cantSplit/>
          <w:trHeight w:hRule="auto" w:val="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1.966</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El ítem otros </w:t>
      </w:r>
      <w:r>
        <w:rPr>
          <w:rFonts w:ascii="Calibri" w:eastAsia="Calibri" w:hAnsi="Calibri" w:cs="Calibri"/>
          <w:b w:val="0"/>
          <w:i w:val="0"/>
          <w:color w:val="000000"/>
          <w:sz w:val="20"/>
          <w:u w:val="none"/>
        </w:rPr>
        <w:t>gastos</w:t>
      </w:r>
      <w:r>
        <w:rPr>
          <w:rFonts w:ascii="Calibri" w:eastAsia="Calibri" w:hAnsi="Calibri" w:cs="Calibri"/>
          <w:b w:val="0"/>
          <w:i w:val="0"/>
          <w:sz w:val="20"/>
        </w:rPr>
        <w:t xml:space="preserve"> de los costos financieros al 31 de diciembre de 2025 está compuesto por costos de intereses de beneficios al personal en base a NIC 19 por M$ 2.353 y comisiones bancarias por M$ 1.920. Al 31 de diciembre de 2024 está compuesto por comisiones bancarias por M$ 2.292.</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72" w:name="Section90"/>
      <w:bookmarkEnd w:id="172"/>
      <w:bookmarkStart w:id="173" w:name="40725affa92f43428cb75e04e8556eac"/>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ganancias (pérdidas) de cambio en moneda extranjera.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74" w:name="Section91"/>
      <w:bookmarkEnd w:id="174"/>
      <w:bookmarkStart w:id="175" w:name="c566abaa88f14bcc83a61869d9694279"/>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2.019</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2.019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6" w:name="Section92"/>
      <w:bookmarkEnd w:id="176"/>
      <w:bookmarkStart w:id="177" w:name="68c7d96e2df349c0a0ff265eefba9ee7"/>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pStyle w:val="Normal-wk"/>
        <w:keepNext w:val="0"/>
        <w:keepLines/>
        <w:pageBreakBefore w:val="0"/>
        <w:widowControl w:val="0"/>
        <w:numPr>
          <w:ilvl w:val="0"/>
          <w:numId w:val="0"/>
        </w:numPr>
        <w:spacing w:before="0" w:after="0" w:line="240" w:lineRule="exact"/>
        <w:ind w:left="709" w:right="0" w:firstLine="0"/>
        <w:jc w:val="both"/>
        <w:outlineLvl w:val="9"/>
        <w:sectPr>
          <w:type w:val="continuous"/>
          <w:pgSz w:w="12240" w:h="15840"/>
          <w:pgMar w:top="1134" w:right="1134" w:bottom="1134" w:left="1134" w:header="0" w:footer="425"/>
          <w:cols w:space="708"/>
        </w:sectPr>
      </w:pPr>
    </w:p>
    <w:p>
      <w:pPr>
        <w:keepNext/>
        <w:keepLines w:val="0"/>
        <w:pageBreakBefore w:val="0"/>
        <w:widowControl/>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178" w:name="Section93"/>
      <w:bookmarkEnd w:id="178"/>
    </w:p>
    <w:p>
      <w:pPr>
        <w:pStyle w:val="Heading2-wk"/>
        <w:keepNext w:val="0"/>
        <w:keepLines w:val="0"/>
        <w:pageBreakBefore w:val="0"/>
        <w:widowControl/>
        <w:numPr>
          <w:ilvl w:val="0"/>
          <w:numId w:val="0"/>
        </w:numPr>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179" w:name="405aae9922784144960304f4728a79cb"/>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Durante el ejercicio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se originó un cargo a resultados por impuesto a las ganancias ascendente a M$ </w:t>
      </w:r>
      <w:r>
        <w:rPr>
          <w:rFonts w:ascii="Calibri" w:eastAsia="Calibri" w:hAnsi="Calibri" w:cs="Calibri"/>
          <w:b w:val="0"/>
          <w:i w:val="0"/>
          <w:color w:val="000000"/>
          <w:sz w:val="20"/>
          <w:highlight w:val="white"/>
          <w:u w:val="none"/>
        </w:rPr>
        <w:t>0</w:t>
      </w:r>
      <w:r>
        <w:rPr>
          <w:rFonts w:ascii="Calibri" w:eastAsia="Calibri" w:hAnsi="Calibri" w:cs="Calibri"/>
          <w:b w:val="0"/>
          <w:i w:val="0"/>
          <w:color w:val="000000"/>
          <w:sz w:val="20"/>
          <w:highlight w:val="white"/>
          <w:u w:val="none"/>
        </w:rPr>
        <w:t xml:space="preserve"> y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xml:space="preserve"> un cargo por M$ </w:t>
      </w:r>
      <w:r>
        <w:rPr>
          <w:rFonts w:ascii="Calibri" w:eastAsia="Calibri" w:hAnsi="Calibri" w:cs="Calibri"/>
          <w:b w:val="0"/>
          <w:i w:val="0"/>
          <w:color w:val="000000"/>
          <w:sz w:val="20"/>
          <w:highlight w:val="white"/>
          <w:u w:val="none"/>
        </w:rPr>
        <w:t>(5.253)</w:t>
      </w:r>
      <w:r>
        <w:rPr>
          <w:rFonts w:ascii="Calibri" w:eastAsia="Calibri" w:hAnsi="Calibri" w:cs="Calibri"/>
          <w:b w:val="0"/>
          <w:i w:val="0"/>
          <w:color w:val="000000"/>
          <w:sz w:val="20"/>
          <w:highlight w:val="white"/>
          <w:u w:val="none"/>
        </w:rPr>
        <w:t>,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exact" w:val="255"/>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exact" w:val="255"/>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(3.059)</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al impuesto corriente de períodos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(3.084)</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relacionado con el nacimiento y reversión de diferencias temporarias.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(2.169)</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(2.169)</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(5.253)</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0" w:name="Section94"/>
      <w:bookmarkEnd w:id="180"/>
      <w:bookmarkStart w:id="181" w:name="4433f2878ddd42b39d691cbe107c08f8"/>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Localización del efecto en resultados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exact" w:val="225"/>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extranjero y nacional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exact" w:val="225"/>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2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por impuestos corrientes, neto, nacional.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(3.084)</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(3.084)</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o Ingreso por impuestos diferidos, neto, nacional.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(2.169)</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(2.169)</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(5.253)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2" w:name="Section95"/>
      <w:bookmarkEnd w:id="182"/>
      <w:bookmarkStart w:id="183" w:name="8fed4264191f4c27a88bd7d88bd6ae0c"/>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70"/>
        <w:gridCol w:w="645"/>
        <w:gridCol w:w="645"/>
        <w:gridCol w:w="645"/>
        <w:gridCol w:w="645"/>
      </w:tblGrid>
      <w:tr>
        <w:tblPrEx>
          <w:tblW w:w="8550" w:type="dxa"/>
          <w:tblInd w:w="1417" w:type="dxa"/>
          <w:tblLayout w:type="fixed"/>
        </w:tblPrEx>
        <w:trPr>
          <w:cantSplit/>
          <w:trHeight w:hRule="auto" w:val="0"/>
        </w:trPr>
        <w:tc>
          <w:tcPr>
            <w:tcW w:w="59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Conciliación del gasto por impuestos utilizando la tasa legal con el gasto por impuestos utilizando la tasa efectiva</w:t>
            </w:r>
          </w:p>
        </w:tc>
        <w:tc>
          <w:tcPr>
            <w:tcW w:w="6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6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6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64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r>
      <w:tr>
        <w:tblPrEx>
          <w:tblW w:w="8550" w:type="dxa"/>
          <w:tblInd w:w="1417" w:type="dxa"/>
          <w:tblLayout w:type="fixed"/>
        </w:tblPrEx>
        <w:trPr>
          <w:cantSplit/>
          <w:trHeight w:hRule="auto" w:val="0"/>
        </w:trPr>
        <w:tc>
          <w:tcPr>
            <w:tcW w:w="5970" w:type="dxa"/>
            <w:vMerge/>
            <w:tcBorders>
              <w:top w:val="nil"/>
              <w:left w:val="single" w:sz="2" w:space="0" w:color="000000"/>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6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8550" w:type="dxa"/>
          <w:tblInd w:w="1417" w:type="dxa"/>
          <w:tblLayout w:type="fixed"/>
        </w:tblPrEx>
        <w:trPr>
          <w:cantSplit/>
          <w:trHeight w:hRule="auto" w:val="0"/>
        </w:trPr>
        <w:tc>
          <w:tcPr>
            <w:tcW w:w="5970" w:type="dxa"/>
            <w:vMerge/>
            <w:tcBorders>
              <w:top w:val="nil"/>
              <w:left w:val="single" w:sz="2" w:space="0" w:color="000000"/>
              <w:bottom w:val="single" w:sz="2" w:space="0" w:color="000000"/>
              <w:right w:val="nil"/>
            </w:tcBorders>
          </w:tcPr>
          <w:p>
            <w:pPr>
              <w:keepNext/>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w:t>
            </w:r>
          </w:p>
        </w:tc>
      </w:tr>
      <w:tr>
        <w:tblPrEx>
          <w:tblW w:w="8550" w:type="dxa"/>
          <w:tblInd w:w="1417" w:type="dxa"/>
          <w:tblLayout w:type="fixed"/>
        </w:tblPrEx>
        <w:trPr>
          <w:cantSplit/>
          <w:trHeight w:hRule="exact" w:val="6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Ganancia contable</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61.455</w:t>
            </w:r>
          </w:p>
        </w:tc>
        <w:tc>
          <w:tcPr>
            <w:tcW w:w="64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Total de (gasto) ingreso por impuestos a la tasa impositiva aplicable</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180"/>
              </w:tabs>
              <w:spacing w:before="0" w:after="0" w:line="240" w:lineRule="auto"/>
              <w:jc w:val="right"/>
            </w:pPr>
            <w:r>
              <w:rPr>
                <w:rFonts w:ascii="Calibri" w:eastAsia="Calibri" w:hAnsi="Calibri" w:cs="Calibri"/>
                <w:b/>
                <w:i w:val="0"/>
                <w:color w:val="FFFFFF"/>
                <w:sz w:val="10"/>
                <w:u w:val="none"/>
              </w:rPr>
              <w:tab/>
              <w:t>27,0</w:t>
              <w:tab/>
              <w:t>%</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(16.593)</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11"/>
              </w:tabs>
              <w:spacing w:before="0" w:after="0" w:line="240" w:lineRule="auto"/>
              <w:jc w:val="right"/>
            </w:pPr>
            <w:r>
              <w:rPr>
                <w:rFonts w:ascii="Calibri" w:eastAsia="Calibri" w:hAnsi="Calibri" w:cs="Calibri"/>
                <w:b/>
                <w:i w:val="0"/>
                <w:color w:val="FFFFFF"/>
                <w:sz w:val="10"/>
                <w:u w:val="none"/>
              </w:rPr>
              <w:tab/>
              <w:t>27,0</w:t>
              <w:tab/>
              <w:t>%</w:t>
            </w: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Efecto fiscal de gastos no deducibles para la determinación de la ganancia (pérdida) tributable. (*)</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#DIV/0!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11.365</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42"/>
              </w:tabs>
              <w:spacing w:before="0" w:after="0" w:line="240" w:lineRule="auto"/>
              <w:jc w:val="right"/>
            </w:pPr>
            <w:r>
              <w:rPr>
                <w:rFonts w:ascii="Calibri" w:eastAsia="Calibri" w:hAnsi="Calibri" w:cs="Calibri"/>
                <w:b w:val="0"/>
                <w:i w:val="0"/>
                <w:color w:val="000000"/>
                <w:sz w:val="10"/>
                <w:u w:val="none"/>
              </w:rPr>
              <w:tab/>
              <w:t>(18,5)</w:t>
              <w:tab/>
              <w:t>%</w:t>
            </w: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Otros efectos fiscales por conciliación entre la ganancia contable y gasto por impuestos (ingreso).</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#DIV/0!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(25)</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61"/>
              </w:tabs>
              <w:spacing w:before="0" w:after="0" w:line="240" w:lineRule="auto"/>
              <w:jc w:val="right"/>
            </w:pPr>
            <w:r>
              <w:rPr>
                <w:rFonts w:ascii="Calibri" w:eastAsia="Calibri" w:hAnsi="Calibri" w:cs="Calibri"/>
                <w:b w:val="0"/>
                <w:i w:val="0"/>
                <w:color w:val="000000"/>
                <w:sz w:val="10"/>
                <w:u w:val="none"/>
              </w:rPr>
              <w:tab/>
              <w:t>0,0</w:t>
              <w:tab/>
              <w:t>%</w:t>
            </w: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Total ajustes al gasto por impuestos utilizando la tasa legal</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#DIV/0!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11.340</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42"/>
              </w:tabs>
              <w:spacing w:before="0" w:after="0" w:line="240" w:lineRule="auto"/>
              <w:jc w:val="right"/>
            </w:pPr>
            <w:r>
              <w:rPr>
                <w:rFonts w:ascii="Calibri" w:eastAsia="Calibri" w:hAnsi="Calibri" w:cs="Calibri"/>
                <w:b/>
                <w:i w:val="0"/>
                <w:color w:val="FFFFFF"/>
                <w:sz w:val="10"/>
                <w:u w:val="none"/>
              </w:rPr>
              <w:tab/>
              <w:t>(18,5)</w:t>
              <w:tab/>
              <w:t>%</w:t>
            </w:r>
          </w:p>
        </w:tc>
      </w:tr>
      <w:tr>
        <w:tblPrEx>
          <w:tblW w:w="8550" w:type="dxa"/>
          <w:tblInd w:w="1417" w:type="dxa"/>
          <w:tblLayout w:type="fixed"/>
        </w:tblPrEx>
        <w:trPr>
          <w:cantSplit/>
          <w:trHeight w:hRule="auto" w:val="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 xml:space="preserve"> (Gasto) ingreso por impuestos a las ganancias, operaciones continuadas </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0"/>
                <w:u w:val="none"/>
              </w:rPr>
              <w:t>#DIV/0!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(5.253)</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161"/>
              </w:tabs>
              <w:spacing w:before="0" w:after="0" w:line="240" w:lineRule="auto"/>
              <w:jc w:val="right"/>
            </w:pPr>
            <w:r>
              <w:rPr>
                <w:rFonts w:ascii="Calibri" w:eastAsia="Calibri" w:hAnsi="Calibri" w:cs="Calibri"/>
                <w:b/>
                <w:i w:val="0"/>
                <w:color w:val="FFFFFF"/>
                <w:sz w:val="10"/>
                <w:u w:val="none"/>
              </w:rPr>
              <w:tab/>
              <w:t>8,5</w:t>
              <w:tab/>
              <w:t>%</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detalle </w:t>
      </w:r>
      <w:r>
        <w:rPr>
          <w:rFonts w:ascii="Calibri" w:eastAsia="Calibri" w:hAnsi="Calibri" w:cs="Calibri"/>
          <w:b w:val="0"/>
          <w:i w:val="0"/>
          <w:color w:val="000000"/>
          <w:sz w:val="20"/>
          <w:u w:val="none"/>
        </w:rPr>
        <w:t>del</w:t>
      </w:r>
      <w:r>
        <w:rPr>
          <w:rFonts w:ascii="Calibri" w:eastAsia="Calibri" w:hAnsi="Calibri" w:cs="Calibri"/>
          <w:b w:val="0"/>
          <w:i w:val="0"/>
          <w:sz w:val="20"/>
        </w:rPr>
        <w:t xml:space="preserve"> efecto fiscal </w:t>
      </w:r>
      <w:r>
        <w:rPr>
          <w:rFonts w:ascii="Calibri" w:eastAsia="Calibri" w:hAnsi="Calibri" w:cs="Calibri"/>
          <w:b w:val="0"/>
          <w:i w:val="0"/>
          <w:color w:val="000000"/>
          <w:sz w:val="20"/>
          <w:u w:val="none"/>
        </w:rPr>
        <w:t>de</w:t>
      </w:r>
      <w:r>
        <w:rPr>
          <w:rFonts w:ascii="Calibri" w:eastAsia="Calibri" w:hAnsi="Calibri" w:cs="Calibri"/>
          <w:b w:val="0"/>
          <w:i w:val="0"/>
          <w:sz w:val="20"/>
        </w:rPr>
        <w:t xml:space="preserve"> gastos no deducibles para la determinación de la ganancia (pérdida) tributable es el </w:t>
      </w:r>
      <w:r>
        <w:rPr>
          <w:rFonts w:ascii="Calibri" w:eastAsia="Calibri" w:hAnsi="Calibri" w:cs="Calibri"/>
          <w:b w:val="0"/>
          <w:i w:val="0"/>
          <w:color w:val="000000"/>
          <w:sz w:val="20"/>
          <w:u w:val="none"/>
        </w:rPr>
        <w:t>siguiente</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Efecto fiscal de gastos no deducibles para la determinación de la ganancia (pérdida) tributable.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Correcciones monetarias (Capital propio tributario - Inversiones).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11.245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diferencias permanentes.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11.365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84" w:name="Section96"/>
      <w:bookmarkEnd w:id="184"/>
      <w:bookmarkStart w:id="185" w:name="63427eb822f544b095105db58f093547"/>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Energy Sur Ingeniería S.A.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56.202</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10.000</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86" w:name="Section97"/>
      <w:bookmarkEnd w:id="186"/>
      <w:bookmarkStart w:id="187" w:name="835a47b88a334a579da24eba78f0715e"/>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7"/>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val="0"/>
        <w:keepLines w:val="0"/>
        <w:pageBreakBefore w:val="0"/>
        <w:widowControl/>
        <w:numPr>
          <w:ilvl w:val="0"/>
          <w:numId w:val="0"/>
        </w:numPr>
        <w:spacing w:before="0" w:after="0" w:line="240" w:lineRule="exact"/>
        <w:ind w:left="0" w:right="0" w:firstLine="720"/>
        <w:jc w:val="left"/>
        <w:outlineLvl w:val="1"/>
        <w:rPr>
          <w:rFonts w:ascii="Calibri" w:eastAsia="Calibri" w:hAnsi="Calibri" w:cs="Calibri"/>
          <w:b/>
          <w:i w:val="0"/>
          <w:color w:val="000000"/>
          <w:sz w:val="20"/>
          <w:u w:val="none"/>
        </w:rPr>
      </w:pPr>
      <w:bookmarkStart w:id="188" w:name="Section98"/>
      <w:bookmarkEnd w:id="188"/>
      <w:bookmarkStart w:id="189" w:name="eae9036f71134556a2995d74c67d51c9"/>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89"/>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Gerencia ha determinado los segmentos operativos sobre la base de los informes revisados por el comité ejecutivo estratégico. El comité considera el negocio desde una perspectiva asociada al tipo de servicio o producto vendido (Servicios).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segmento operativo reportable deriva sus ingresos de la mantención y comercialización de transformadores eléctricos. En relación con las características del negocio de dicho segmento (ver nota 2).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situación, estado de resultados por función y el estado de flujo de efectivo, es la siguiente:</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0" w:name="Section99"/>
      <w:bookmarkEnd w:id="190"/>
      <w:bookmarkStart w:id="191" w:name="18e1389b41a74d35b4242d7dd2905704"/>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1"/>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exact" w:val="225"/>
          <w:tblHeader/>
        </w:trPr>
        <w:tc>
          <w:tcPr>
            <w:tcW w:w="7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RESULTADOS POR FUNCIÓN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r>
      <w:tr>
        <w:tblPrEx>
          <w:tblW w:w="9255" w:type="dxa"/>
          <w:tblInd w:w="709" w:type="dxa"/>
          <w:tblLayout w:type="fixed"/>
        </w:tblPrEx>
        <w:trPr>
          <w:cantSplit/>
          <w:trHeight w:hRule="exact" w:val="225"/>
          <w:tblHeader/>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9255" w:type="dxa"/>
          <w:tblInd w:w="709" w:type="dxa"/>
          <w:tblLayout w:type="fixed"/>
        </w:tblPrEx>
        <w:trPr>
          <w:cantSplit/>
          <w:trHeight w:hRule="exact" w:val="225"/>
          <w:tblHeader/>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exact" w:val="225"/>
          <w:tblHeader/>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exact" w:val="225"/>
          <w:tblHeader/>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de actividades ordinarias.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1.031.297</w:t>
            </w:r>
          </w:p>
        </w:tc>
      </w:tr>
      <w:tr>
        <w:tblPrEx>
          <w:tblW w:w="9255" w:type="dxa"/>
          <w:tblInd w:w="709" w:type="dxa"/>
          <w:tblLayout w:type="fixed"/>
        </w:tblPrEx>
        <w:trPr>
          <w:cantSplit/>
          <w:trHeight w:hRule="exact" w:val="225"/>
          <w:tblHeader/>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(756.386)</w:t>
            </w:r>
          </w:p>
        </w:tc>
      </w:tr>
      <w:tr>
        <w:tblPrEx>
          <w:tblW w:w="9255" w:type="dxa"/>
          <w:tblInd w:w="709" w:type="dxa"/>
          <w:tblLayout w:type="fixed"/>
        </w:tblPrEx>
        <w:trPr>
          <w:cantSplit/>
          <w:trHeight w:hRule="exact" w:val="225"/>
          <w:tblHeader/>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bruta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274.911</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(216.908)</w:t>
            </w:r>
          </w:p>
        </w:tc>
      </w:tr>
      <w:tr>
        <w:tblPrEx>
          <w:tblW w:w="9255" w:type="dxa"/>
          <w:tblInd w:w="709" w:type="dxa"/>
          <w:tblLayout w:type="fixed"/>
        </w:tblPrEx>
        <w:trPr>
          <w:cantSplit/>
          <w:trHeight w:hRule="exact" w:val="34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1.486</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Ganancias (pérdidas) de actividades operacionales.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59.489</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3.204</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(3.249)</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de cambio en moneda extranjera.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Resultados por unidades de reajuste.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2.019</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antes de impuesto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61.455</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 (gasto) por impuestos a las ganancias.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(5.253)</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56.202</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0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 y retiros.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31.718</w:t>
            </w:r>
          </w:p>
        </w:tc>
      </w:tr>
      <w:tr>
        <w:tblPrEx>
          <w:tblW w:w="9255" w:type="dxa"/>
          <w:tblInd w:w="709" w:type="dxa"/>
          <w:tblLayout w:type="fixed"/>
        </w:tblPrEx>
        <w:trPr>
          <w:cantSplit/>
          <w:trHeight w:hRule="exact" w:val="22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EBITDA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91.207</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2" w:name="Section100"/>
      <w:bookmarkEnd w:id="192"/>
      <w:bookmarkStart w:id="193" w:name="db9eda08529b4d248ca3b96b5a077497"/>
      <w:r>
        <w:rPr>
          <w:rFonts w:ascii="Calibri" w:eastAsia="Calibri" w:hAnsi="Calibri" w:cs="Calibri"/>
          <w:b/>
          <w:i w:val="0"/>
          <w:color w:val="000000"/>
          <w:sz w:val="20"/>
          <w:u w:val="none"/>
        </w:rPr>
        <w:t>23.3.-</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3"/>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auto" w:val="0"/>
        </w:trPr>
        <w:tc>
          <w:tcPr>
            <w:tcW w:w="7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245.390</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(198.947)</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(145.300)</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 antes del efecto de los cambios en la tasa de cambio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(98.857)</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Efectos de la variación en la tasa de cambio sobre el 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(98.857)</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144.101</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45.244</w:t>
            </w:r>
          </w:p>
        </w:tc>
      </w:tr>
    </w:tbl>
    <w:p>
      <w:pPr>
        <w:keepNext w:val="0"/>
        <w:keepLines/>
        <w:pageBreakBefore w:val="0"/>
        <w:widowControl w:val="0"/>
        <w:numPr>
          <w:ilvl w:val="0"/>
          <w:numId w:val="0"/>
        </w:numPr>
        <w:spacing w:before="0" w:after="0" w:line="288" w:lineRule="auto"/>
        <w:ind w:left="1418" w:right="0" w:hanging="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hanging="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0"/>
        <w:jc w:val="both"/>
        <w:outlineLvl w:val="1"/>
        <w:rPr>
          <w:rFonts w:ascii="Times New Roman" w:eastAsia="Times New Roman" w:hAnsi="Times New Roman" w:cs="Times New Roman"/>
          <w:b/>
          <w:i w:val="0"/>
          <w:color w:val="000000"/>
          <w:sz w:val="24"/>
          <w:u w:val="none"/>
        </w:rPr>
      </w:pPr>
      <w:bookmarkStart w:id="194" w:name="Section101"/>
      <w:bookmarkEnd w:id="194"/>
      <w:bookmarkStart w:id="195" w:name="f6c20868e11a47a49aaec0d28d6baedf"/>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5"/>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6" w:name="Section102"/>
      <w:bookmarkEnd w:id="196"/>
      <w:bookmarkStart w:id="197" w:name="4cd615082406455fa047d0b14be2258d"/>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no tiene causas judiciales en trámite o pendientes.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5" w:right="0" w:hanging="705"/>
        <w:jc w:val="both"/>
        <w:outlineLvl w:val="0"/>
        <w:rPr>
          <w:rFonts w:ascii="Cambria" w:eastAsia="Cambria" w:hAnsi="Cambria" w:cs="Cambria"/>
          <w:b/>
          <w:i w:val="0"/>
          <w:color w:val="365F91"/>
          <w:sz w:val="28"/>
          <w:u w:val="none"/>
        </w:rPr>
      </w:pPr>
      <w:bookmarkStart w:id="198" w:name="Section103"/>
      <w:bookmarkEnd w:id="198"/>
      <w:bookmarkStart w:id="199" w:name="14e630bd59374d5ca08f923acc89437a"/>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COMPROMISOS.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bookmarkEnd w:id="19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no registran garantías materiales comprometidas con terceros.</w:t>
      </w:r>
    </w:p>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center"/>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00" w:name="Section104"/>
      <w:bookmarkEnd w:id="200"/>
      <w:bookmarkStart w:id="201" w:name="5f94c040f630401595fd2f9a0a1f4b65"/>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1"/>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Energy Sur Ingeniería S.A.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60"/>
        <w:gridCol w:w="1200"/>
        <w:gridCol w:w="1200"/>
        <w:gridCol w:w="1200"/>
        <w:gridCol w:w="1200"/>
        <w:gridCol w:w="1500"/>
      </w:tblGrid>
      <w:tr>
        <w:tblPrEx>
          <w:tblW w:w="9060" w:type="dxa"/>
          <w:tblInd w:w="709" w:type="dxa"/>
          <w:tblLayout w:type="fixed"/>
        </w:tblPrEx>
        <w:trPr>
          <w:cantSplit/>
          <w:trHeight w:hRule="auto" w:val="0"/>
        </w:trPr>
        <w:tc>
          <w:tcPr>
            <w:tcW w:w="27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80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5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060" w:type="dxa"/>
          <w:tblInd w:w="709" w:type="dxa"/>
          <w:tblLayout w:type="fixed"/>
        </w:tblPrEx>
        <w:trPr>
          <w:cantSplit/>
          <w:trHeight w:hRule="auto" w:val="0"/>
        </w:trPr>
        <w:tc>
          <w:tcPr>
            <w:tcW w:w="2760" w:type="dxa"/>
            <w:vMerge/>
            <w:tcBorders>
              <w:top w:val="nil"/>
              <w:left w:val="single" w:sz="2" w:space="0" w:color="000000"/>
              <w:bottom w:val="nil"/>
              <w:right w:val="single" w:sz="4" w:space="0" w:color="FFFFFF"/>
            </w:tcBorders>
          </w:tcPr>
          <w:p>
            <w:pPr>
              <w:keepNext/>
              <w:pageBreakBefore w:val="0"/>
            </w:pPr>
          </w:p>
        </w:tc>
        <w:tc>
          <w:tcPr>
            <w:tcW w:w="12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200"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500" w:type="dxa"/>
            <w:vMerge/>
            <w:tcBorders>
              <w:top w:val="nil"/>
              <w:left w:val="nil"/>
              <w:bottom w:val="nil"/>
              <w:right w:val="single" w:sz="2" w:space="0" w:color="000000"/>
            </w:tcBorders>
          </w:tcPr>
          <w:p>
            <w:pPr>
              <w:keepNext/>
              <w:pageBreakBefore w:val="0"/>
            </w:pPr>
          </w:p>
        </w:tc>
      </w:tr>
      <w:tr>
        <w:tblPrEx>
          <w:tblW w:w="9060" w:type="dxa"/>
          <w:tblInd w:w="709" w:type="dxa"/>
          <w:tblLayout w:type="fixed"/>
        </w:tblPrEx>
        <w:trPr>
          <w:cantSplit/>
          <w:trHeight w:hRule="auto" w:val="0"/>
        </w:trPr>
        <w:tc>
          <w:tcPr>
            <w:tcW w:w="2760" w:type="dxa"/>
            <w:vMerge/>
            <w:tcBorders>
              <w:top w:val="nil"/>
              <w:left w:val="single" w:sz="2" w:space="0" w:color="000000"/>
              <w:bottom w:val="single" w:sz="2" w:space="0" w:color="000000"/>
              <w:right w:val="single" w:sz="4" w:space="0" w:color="FFFFFF"/>
            </w:tcBorders>
          </w:tcPr>
          <w:p>
            <w:pPr>
              <w:keepNext/>
              <w:pageBreakBefore w:val="0"/>
            </w:pPr>
          </w:p>
        </w:tc>
        <w:tc>
          <w:tcPr>
            <w:tcW w:w="1200" w:type="dxa"/>
            <w:vMerge/>
            <w:tcBorders>
              <w:top w:val="nil"/>
              <w:left w:val="nil"/>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single" w:sz="4" w:space="0" w:color="FFFFFF"/>
            </w:tcBorders>
          </w:tcPr>
          <w:p>
            <w:pPr>
              <w:keepNext/>
              <w:pageBreakBefore w:val="0"/>
            </w:pPr>
          </w:p>
        </w:tc>
        <w:tc>
          <w:tcPr>
            <w:tcW w:w="1500" w:type="dxa"/>
            <w:vMerge/>
            <w:tcBorders>
              <w:top w:val="nil"/>
              <w:left w:val="nil"/>
              <w:bottom w:val="single" w:sz="2" w:space="0" w:color="000000"/>
              <w:right w:val="single" w:sz="2" w:space="0" w:color="000000"/>
            </w:tcBorders>
          </w:tcPr>
          <w:p>
            <w:pPr>
              <w:keepNext/>
              <w:pageBreakBefore w:val="0"/>
            </w:pPr>
          </w:p>
        </w:tc>
      </w:tr>
      <w:tr>
        <w:tblPrEx>
          <w:tblW w:w="9060" w:type="dxa"/>
          <w:tblInd w:w="709" w:type="dxa"/>
          <w:tblLayout w:type="fixed"/>
        </w:tblPrEx>
        <w:trPr>
          <w:cantSplit/>
          <w:trHeight w:hRule="exact" w:val="60"/>
        </w:trPr>
        <w:tc>
          <w:tcPr>
            <w:tcW w:w="27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060" w:type="dxa"/>
          <w:tblInd w:w="709" w:type="dxa"/>
          <w:tblLayout w:type="fixed"/>
        </w:tblPrEx>
        <w:trPr>
          <w:cantSplit/>
          <w:trHeight w:hRule="auto" w:val="0"/>
        </w:trPr>
        <w:tc>
          <w:tcPr>
            <w:tcW w:w="2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060" w:type="dxa"/>
          <w:tblInd w:w="709" w:type="dxa"/>
          <w:tblLayout w:type="fixed"/>
        </w:tblPrEx>
        <w:trPr>
          <w:cantSplit/>
          <w:trHeight w:hRule="auto" w:val="0"/>
        </w:trPr>
        <w:tc>
          <w:tcPr>
            <w:tcW w:w="27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060" w:type="dxa"/>
          <w:tblInd w:w="709" w:type="dxa"/>
          <w:tblLayout w:type="fixed"/>
        </w:tblPrEx>
        <w:trPr>
          <w:cantSplit/>
          <w:trHeight w:hRule="auto" w:val="0"/>
        </w:trPr>
        <w:tc>
          <w:tcPr>
            <w:tcW w:w="2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9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60"/>
        <w:gridCol w:w="1200"/>
        <w:gridCol w:w="1200"/>
        <w:gridCol w:w="1200"/>
        <w:gridCol w:w="1200"/>
        <w:gridCol w:w="1500"/>
      </w:tblGrid>
      <w:tr>
        <w:tblPrEx>
          <w:tblW w:w="9060" w:type="dxa"/>
          <w:tblInd w:w="709" w:type="dxa"/>
          <w:tblLayout w:type="fixed"/>
        </w:tblPrEx>
        <w:trPr>
          <w:cantSplit/>
          <w:trHeight w:hRule="auto" w:val="0"/>
        </w:trPr>
        <w:tc>
          <w:tcPr>
            <w:tcW w:w="27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80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5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060" w:type="dxa"/>
          <w:tblInd w:w="709" w:type="dxa"/>
          <w:tblLayout w:type="fixed"/>
        </w:tblPrEx>
        <w:trPr>
          <w:cantSplit/>
          <w:trHeight w:hRule="auto" w:val="0"/>
        </w:trPr>
        <w:tc>
          <w:tcPr>
            <w:tcW w:w="2760" w:type="dxa"/>
            <w:vMerge/>
            <w:tcBorders>
              <w:top w:val="nil"/>
              <w:left w:val="single" w:sz="2" w:space="0" w:color="000000"/>
              <w:bottom w:val="nil"/>
              <w:right w:val="single" w:sz="4" w:space="0" w:color="FFFFFF"/>
            </w:tcBorders>
          </w:tcPr>
          <w:p>
            <w:pPr>
              <w:keepNext/>
              <w:pageBreakBefore w:val="0"/>
            </w:pPr>
          </w:p>
        </w:tc>
        <w:tc>
          <w:tcPr>
            <w:tcW w:w="12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200"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500" w:type="dxa"/>
            <w:vMerge/>
            <w:tcBorders>
              <w:top w:val="nil"/>
              <w:left w:val="nil"/>
              <w:bottom w:val="nil"/>
              <w:right w:val="single" w:sz="2" w:space="0" w:color="000000"/>
            </w:tcBorders>
          </w:tcPr>
          <w:p>
            <w:pPr>
              <w:keepNext/>
              <w:pageBreakBefore w:val="0"/>
            </w:pPr>
          </w:p>
        </w:tc>
      </w:tr>
      <w:tr>
        <w:tblPrEx>
          <w:tblW w:w="9060" w:type="dxa"/>
          <w:tblInd w:w="709" w:type="dxa"/>
          <w:tblLayout w:type="fixed"/>
        </w:tblPrEx>
        <w:trPr>
          <w:cantSplit/>
          <w:trHeight w:hRule="auto" w:val="0"/>
        </w:trPr>
        <w:tc>
          <w:tcPr>
            <w:tcW w:w="2760" w:type="dxa"/>
            <w:vMerge/>
            <w:tcBorders>
              <w:top w:val="nil"/>
              <w:left w:val="single" w:sz="2" w:space="0" w:color="000000"/>
              <w:bottom w:val="single" w:sz="2" w:space="0" w:color="000000"/>
              <w:right w:val="single" w:sz="4" w:space="0" w:color="FFFFFF"/>
            </w:tcBorders>
          </w:tcPr>
          <w:p>
            <w:pPr>
              <w:keepNext/>
              <w:pageBreakBefore w:val="0"/>
            </w:pPr>
          </w:p>
        </w:tc>
        <w:tc>
          <w:tcPr>
            <w:tcW w:w="1200" w:type="dxa"/>
            <w:vMerge/>
            <w:tcBorders>
              <w:top w:val="nil"/>
              <w:left w:val="nil"/>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single" w:sz="4" w:space="0" w:color="FFFFFF"/>
            </w:tcBorders>
          </w:tcPr>
          <w:p>
            <w:pPr>
              <w:keepNext/>
              <w:pageBreakBefore w:val="0"/>
            </w:pPr>
          </w:p>
        </w:tc>
        <w:tc>
          <w:tcPr>
            <w:tcW w:w="1500" w:type="dxa"/>
            <w:vMerge/>
            <w:tcBorders>
              <w:top w:val="nil"/>
              <w:left w:val="nil"/>
              <w:bottom w:val="single" w:sz="2" w:space="0" w:color="000000"/>
              <w:right w:val="single" w:sz="2" w:space="0" w:color="000000"/>
            </w:tcBorders>
          </w:tcPr>
          <w:p>
            <w:pPr>
              <w:keepNext/>
              <w:pageBreakBefore w:val="0"/>
            </w:pPr>
          </w:p>
        </w:tc>
      </w:tr>
      <w:tr>
        <w:tblPrEx>
          <w:tblW w:w="9060" w:type="dxa"/>
          <w:tblInd w:w="709" w:type="dxa"/>
          <w:tblLayout w:type="fixed"/>
        </w:tblPrEx>
        <w:trPr>
          <w:cantSplit/>
          <w:trHeight w:hRule="exact" w:val="60"/>
        </w:trPr>
        <w:tc>
          <w:tcPr>
            <w:tcW w:w="27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060" w:type="dxa"/>
          <w:tblInd w:w="709" w:type="dxa"/>
          <w:tblLayout w:type="fixed"/>
        </w:tblPrEx>
        <w:trPr>
          <w:cantSplit/>
          <w:trHeight w:hRule="auto" w:val="0"/>
        </w:trPr>
        <w:tc>
          <w:tcPr>
            <w:tcW w:w="2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w:t>
            </w: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w:t>
            </w:r>
          </w:p>
        </w:tc>
      </w:tr>
      <w:tr>
        <w:tblPrEx>
          <w:tblW w:w="9060" w:type="dxa"/>
          <w:tblInd w:w="709" w:type="dxa"/>
          <w:tblLayout w:type="fixed"/>
        </w:tblPrEx>
        <w:trPr>
          <w:cantSplit/>
          <w:trHeight w:hRule="auto" w:val="0"/>
        </w:trPr>
        <w:tc>
          <w:tcPr>
            <w:tcW w:w="27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060" w:type="dxa"/>
          <w:tblInd w:w="709" w:type="dxa"/>
          <w:tblLayout w:type="fixed"/>
        </w:tblPrEx>
        <w:trPr>
          <w:cantSplit/>
          <w:trHeight w:hRule="auto" w:val="0"/>
        </w:trPr>
        <w:tc>
          <w:tcPr>
            <w:tcW w:w="2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02" w:name="Section105"/>
      <w:bookmarkEnd w:id="202"/>
      <w:bookmarkStart w:id="203" w:name="38c90f93438a4120b82dd9a8294381c3"/>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203"/>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participa en el mercado de la mantención, reparación y comercialización de transformadores y hace esfuerzos permanentes por mejorar su desempeño ambiental. A su vez, cumple y hace seguimiento proactivo a la normativa ambiental de manera de cumplirla cabalmente en forma sostenida. Además de lo anterior, todos los procesos productivos y de servicios en que la empresa participa cumplen con la normativa y reglamentación existente sobre la materia.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04" w:name="Section106"/>
      <w:bookmarkEnd w:id="204"/>
      <w:bookmarkStart w:id="205" w:name="ea426416338c49f29289c45d01fed4bf"/>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5"/>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y su fecha de presentación, no han ocurrido hechos significativos de carácter financiero-contable que pudieran afectar el patrimonio de la Sociedad o la interpretación de éstos.</w:t>
      </w:r>
    </w:p>
    <w:sectPr>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498.9pt;height:1.98pt">
          <v:imagedata r:id="rId1" o:title=""/>
          <o:lock v:ext="edit" aspectratio="t"/>
        </v:shape>
      </w:pict>
    </w:r>
  </w:p>
  <w:p>
    <w:pPr>
      <w:pStyle w:val="Estndar"/>
      <w:keepNext w:val="0"/>
      <w:keepLines w:val="0"/>
      <w:pageBreakBefore w:val="0"/>
      <w:widowControl/>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677.48pt;height:1.98pt">
          <v:imagedata r:id="rId1" o:title=""/>
          <o:lock v:ext="edit" aspectratio="t"/>
        </v:shape>
      </w:pict>
    </w:r>
  </w:p>
  <w:p>
    <w:pPr>
      <w:pStyle w:val="Normal-wk"/>
      <w:keepNext w:val="0"/>
      <w:keepLines/>
      <w:pageBreakBefore w:val="0"/>
      <w:widowControl w:val="0"/>
      <w:numPr>
        <w:ilvl w:val="0"/>
        <w:numId w:val="0"/>
      </w:numPr>
      <w:tabs>
        <w:tab w:val="right" w:pos="136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s>
      <w:spacing w:before="0" w:after="160" w:line="2880" w:lineRule="auto"/>
      <w:ind w:left="0" w:right="0" w:firstLine="0"/>
      <w:jc w:val="left"/>
      <w:outlineLvl w:val="0"/>
      <w:rPr>
        <w:rFonts w:ascii="Arial" w:eastAsia="Arial" w:hAnsi="Arial" w:cs="Arial"/>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r>
      <w:rPr>
        <w:rFonts w:ascii="Calibri" w:eastAsia="Calibri" w:hAnsi="Calibri" w:cs="Calibri"/>
        <w:b w:val="0"/>
        <w:i w:val="0"/>
        <w:color w:val="000000"/>
        <w:sz w:val="20"/>
        <w:u w:val="none"/>
      </w:rPr>
      <w:t xml:space="preserve">Las notas adjuntas forman parte integral de estos estados financieros.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s>
      <w:spacing w:before="0" w:after="160" w:line="2880" w:lineRule="auto"/>
      <w:ind w:left="0" w:right="0" w:firstLine="0"/>
      <w:jc w:val="right"/>
      <w:outlineLvl w:val="0"/>
      <w:rPr>
        <w:rFonts w:ascii="Arial" w:eastAsia="Arial" w:hAnsi="Arial" w:cs="Arial"/>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38</w:t>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39</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41</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both"/>
      <w:outlineLvl w:val="1"/>
      <w:rPr>
        <w:rFonts w:ascii="Calibri" w:eastAsia="Calibri" w:hAnsi="Calibri" w:cs="Calibri"/>
        <w:b w:val="0"/>
        <w:i w:val="0"/>
        <w:color w:val="000000"/>
        <w:sz w:val="20"/>
        <w:u w:val="none"/>
      </w:rPr>
    </w:pP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43</w:t>
    </w:r>
    <w:r>
      <w:rPr>
        <w:rFonts w:ascii="Calibri" w:eastAsia="Calibri" w:hAnsi="Calibri" w:cs="Calibri"/>
        <w:b w:val="0"/>
        <w:i w:val="0"/>
        <w:sz w:val="20"/>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79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46</w:t>
    </w:r>
    <w:r>
      <w:rPr>
        <w:rFonts w:ascii="Calibri" w:eastAsia="Calibri" w:hAnsi="Calibri" w:cs="Calibri"/>
        <w:b w:val="0"/>
        <w:i w:val="0"/>
        <w:sz w:val="20"/>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47</w:t>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59</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center"/>
      <w:outlineLvl w:val="9"/>
      <w:rPr>
        <w:rFonts w:ascii="Arial" w:eastAsia="Arial" w:hAnsi="Arial" w:cs="Arial"/>
        <w:b w:val="0"/>
        <w:i w:val="0"/>
        <w:color w:val="000000"/>
        <w:sz w:val="22"/>
        <w:u w:val="non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right"/>
      <w:outlineLvl w:val="9"/>
      <w:rPr>
        <w:rFonts w:ascii="Arial" w:eastAsia="Arial" w:hAnsi="Arial" w:cs="Arial"/>
        <w:b w:val="0"/>
        <w:i w:val="0"/>
        <w:color w:val="000000"/>
        <w:sz w:val="22"/>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3">
    <w:nsid w:val="00000004"/>
    <w:multiLevelType w:val="multilevel"/>
    <w:tmpl w:val="00000004"/>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4">
    <w:nsid w:val="00000005"/>
    <w:multiLevelType w:val="multilevel"/>
    <w:tmpl w:val="00000005"/>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5">
    <w:nsid w:val="00000006"/>
    <w:multiLevelType w:val="multilevel"/>
    <w:tmpl w:val="00000006"/>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6">
    <w:nsid w:val="00000007"/>
    <w:multiLevelType w:val="multilevel"/>
    <w:tmpl w:val="00000007"/>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7">
    <w:nsid w:val="00000008"/>
    <w:multiLevelType w:val="multilevel"/>
    <w:tmpl w:val="00000008"/>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8">
    <w:nsid w:val="00000009"/>
    <w:multiLevelType w:val="multilevel"/>
    <w:tmpl w:val="00000003"/>
    <w:lvl w:ilvl="0">
      <w:start w:val="1"/>
      <w:numFmt w:val="upperRoman"/>
      <w:lvlText w:val="%1."/>
      <w:lvlJc w:val="left"/>
      <w:pPr>
        <w:tabs>
          <w:tab w:val="num" w:pos="720"/>
        </w:tabs>
        <w:ind w:left="720" w:hanging="360"/>
      </w:pPr>
      <w:rPr>
        <w:rFonts w:ascii="Calibri" w:eastAsia="Calibri" w:hAnsi="Calibri" w:cs="Calibri"/>
        <w:b/>
        <w:i w:val="0"/>
        <w:strike w:val="0"/>
        <w:color w:val="000000"/>
        <w:sz w:val="22"/>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9">
    <w:nsid w:val="0000000A"/>
    <w:multiLevelType w:val="hybridMultilevel"/>
    <w:tmpl w:val="0000000A"/>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ul1">
    <w:name w:val="oul1"/>
    <w:pPr>
      <w:numPr>
        <w:numId w:val="3"/>
      </w:numPr>
    </w:pPr>
  </w:style>
  <w:style w:type="numbering" w:customStyle="1" w:styleId="outlinearabic">
    <w:name w:val="outline.arabic"/>
    <w:pPr>
      <w:numPr>
        <w:numId w:val="4"/>
      </w:numPr>
    </w:pPr>
  </w:style>
  <w:style w:type="numbering" w:customStyle="1" w:styleId="ul1">
    <w:name w:val="ul1"/>
    <w:pPr>
      <w:numPr>
        <w:numId w:val="5"/>
      </w:numPr>
    </w:pPr>
  </w:style>
  <w:style w:type="numbering" w:customStyle="1" w:styleId="ul2">
    <w:name w:val="ul2"/>
    <w:pPr>
      <w:numPr>
        <w:numId w:val="6"/>
      </w:numPr>
    </w:pPr>
  </w:style>
  <w:style w:type="numbering" w:customStyle="1" w:styleId="ul3">
    <w:name w:val="ul3"/>
    <w:pPr>
      <w:numPr>
        <w:numId w:val="7"/>
      </w:numPr>
    </w:pPr>
  </w:style>
  <w:style w:type="numbering" w:customStyle="1" w:styleId="ul4">
    <w:name w:val="ul4"/>
    <w:pPr>
      <w:numPr>
        <w:numId w:val="8"/>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Char">
    <w:name w:val="Car Car Char"/>
    <w:qFormat/>
    <w:pPr>
      <w:keepNext w:val="0"/>
      <w:keepLines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1">
    <w:name w:val="Car Car1"/>
    <w:qFormat/>
    <w:pPr>
      <w:keepNext w:val="0"/>
      <w:keepLines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2">
    <w:name w:val="Car Car2"/>
    <w:qFormat/>
    <w:pPr>
      <w:keepNext w:val="0"/>
      <w:keepLines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3">
    <w:name w:val="Car Car3"/>
    <w:qFormat/>
    <w:pPr>
      <w:keepNext w:val="0"/>
      <w:keepLines w:val="0"/>
      <w:spacing w:before="0" w:after="160" w:line="288" w:lineRule="auto"/>
      <w:ind w:left="0" w:firstLine="0"/>
      <w:jc w:val="left"/>
    </w:pPr>
    <w:rPr>
      <w:rFonts w:ascii="Arial" w:eastAsia="Arial" w:hAnsi="Arial" w:cs="Arial"/>
      <w:b w:val="0"/>
      <w:i w:val="0"/>
      <w:color w:val="000000"/>
      <w:spacing w:val="0"/>
      <w:sz w:val="20"/>
    </w:rPr>
  </w:style>
  <w:style w:type="paragraph" w:customStyle="1" w:styleId="Estndar">
    <w:name w:val="Estándar"/>
    <w:qFormat/>
    <w:pPr>
      <w:keepNext w:val="0"/>
      <w:keepLines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Header">
    <w:name w:val="header"/>
    <w:basedOn w:val="Normal"/>
    <w:link w:val="HeaderChar"/>
    <w:uiPriority w:val="99"/>
    <w:rsid w:val="00583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2BD"/>
  </w:style>
  <w:style w:type="paragraph" w:customStyle="1" w:styleId="Header-wk">
    <w:name w:val="Header-wk"/>
    <w:qFormat/>
    <w:pPr>
      <w:keepNext w:val="0"/>
      <w:keepLines w:val="0"/>
      <w:spacing w:before="0" w:after="0" w:line="240" w:lineRule="auto"/>
      <w:ind w:left="0" w:firstLine="0"/>
      <w:jc w:val="left"/>
    </w:pPr>
    <w:rPr>
      <w:rFonts w:ascii="Arial" w:eastAsia="Arial" w:hAnsi="Arial" w:cs="Arial"/>
      <w:b w:val="0"/>
      <w:i w:val="0"/>
      <w:color w:val="000000"/>
      <w:spacing w:val="0"/>
      <w:sz w:val="22"/>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keepLines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keepLines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keepLines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keepLines w:val="0"/>
      <w:spacing w:before="0" w:after="0" w:line="240" w:lineRule="auto"/>
      <w:ind w:left="720" w:firstLine="0"/>
      <w:jc w:val="left"/>
    </w:pPr>
    <w:rPr>
      <w:rFonts w:ascii="Arial" w:eastAsia="Arial" w:hAnsi="Arial" w:cs="Arial"/>
      <w:b w:val="0"/>
      <w:i w:val="0"/>
      <w:color w:val="000000"/>
      <w:spacing w:val="0"/>
      <w:sz w:val="22"/>
    </w:rPr>
  </w:style>
  <w:style w:type="paragraph" w:styleId="TOC1">
    <w:name w:val="toc 1"/>
    <w:basedOn w:val="Normal"/>
    <w:next w:val="Normal"/>
    <w:autoRedefine/>
    <w:uiPriority w:val="39"/>
    <w:rsid w:val="000F3DF7"/>
    <w:pPr>
      <w:spacing w:after="100"/>
    </w:pPr>
  </w:style>
  <w:style w:type="paragraph" w:customStyle="1" w:styleId="TOC1-wk">
    <w:name w:val="TOC 1-wk"/>
    <w:qFormat/>
    <w:pPr>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3.xml" /><Relationship Id="rId12" Type="http://schemas.openxmlformats.org/officeDocument/2006/relationships/footer" Target="footer4.xml" /><Relationship Id="rId13" Type="http://schemas.openxmlformats.org/officeDocument/2006/relationships/header" Target="header4.xml" /><Relationship Id="rId14" Type="http://schemas.openxmlformats.org/officeDocument/2006/relationships/footer" Target="footer5.xml" /><Relationship Id="rId15" Type="http://schemas.openxmlformats.org/officeDocument/2006/relationships/header" Target="header5.xml" /><Relationship Id="rId16" Type="http://schemas.openxmlformats.org/officeDocument/2006/relationships/footer" Target="footer6.xml" /><Relationship Id="rId17" Type="http://schemas.openxmlformats.org/officeDocument/2006/relationships/header" Target="header6.xml" /><Relationship Id="rId18" Type="http://schemas.openxmlformats.org/officeDocument/2006/relationships/footer" Target="footer7.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header" Target="header8.xml" /><Relationship Id="rId22" Type="http://schemas.openxmlformats.org/officeDocument/2006/relationships/footer" Target="footer9.xml" /><Relationship Id="rId23" Type="http://schemas.openxmlformats.org/officeDocument/2006/relationships/header" Target="header9.xml" /><Relationship Id="rId24" Type="http://schemas.openxmlformats.org/officeDocument/2006/relationships/footer" Target="footer10.xml" /><Relationship Id="rId25" Type="http://schemas.openxmlformats.org/officeDocument/2006/relationships/header" Target="header10.xml" /><Relationship Id="rId26" Type="http://schemas.openxmlformats.org/officeDocument/2006/relationships/footer" Target="footer11.xml" /><Relationship Id="rId27" Type="http://schemas.openxmlformats.org/officeDocument/2006/relationships/header" Target="header11.xml" /><Relationship Id="rId28" Type="http://schemas.openxmlformats.org/officeDocument/2006/relationships/footer" Target="footer1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image" Target="media/image2.png"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61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E244 (ESP) - EE.FF 06-2026 - Energy Sur Ingeniería S.A.</dc:title>
  <cp:revision>1</cp:revision>
</cp:coreProperties>
</file>