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Start w:id="0" w:name="Section1"/>
      <w:bookmarkEnd w:id="0"/>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RESUMIDOS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SITUACIÓN FINANCIERA CLASIFICADO.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RESULTADOS POR FUNCIÓN.</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RESULTADO INTEGRAL.</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CAMBIOS EN EL PATRIMONIO NETO.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RESUMIDOS CONSOLIDADOS.</w:t>
      </w: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EUR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Euro.</w:t>
      </w:r>
    </w:p>
    <w:p w:rsidR="00A77B3E">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709"/>
        <w:jc w:val="both"/>
        <w:outlineLvl w:val="9"/>
        <w:sectPr>
          <w:headerReference w:type="default" r:id="rId4"/>
          <w:footerReference w:type="default" r:id="rId5"/>
          <w:headerReference w:type="first" r:id="rId6"/>
          <w:footerReference w:type="first" r:id="rId7"/>
          <w:type w:val="continuous"/>
          <w:pgSz w:w="12240" w:h="15840"/>
          <w:pgMar w:top="1134" w:right="1134" w:bottom="1134" w:left="1134" w:header="560" w:footer="425" w:gutter="0"/>
          <w:cols w:space="708"/>
          <w:titlePg/>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val="0"/>
          <w:i w:val="0"/>
          <w:color w:val="000000"/>
          <w:sz w:val="30"/>
          <w:u w:val="none"/>
        </w:rPr>
        <w:t>Estados Financieros Resumidos Consolidados</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0"/>
          <w:u w:val="none"/>
        </w:rPr>
        <w:t>TRANSFORMADORES TUSAN S.A. Y SUBSIDIARIA</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r>
        <w:rPr>
          <w:rFonts w:ascii="Arial" w:eastAsia="Arial" w:hAnsi="Arial" w:cs="Arial"/>
          <w:b w:val="0"/>
          <w:i w:val="0"/>
          <w:color w:val="000000"/>
          <w:sz w:val="30"/>
          <w:u w:val="none"/>
        </w:rPr>
        <w:t>30 de junio de 2026 y 2025</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30"/>
        </w:rPr>
      </w:pPr>
    </w:p>
    <w:p>
      <w:pPr>
        <w:keepNext w:val="0"/>
        <w:keepLines/>
        <w:pageBreakBefore w:val="0"/>
        <w:widowControl w:val="0"/>
        <w:numPr>
          <w:ilvl w:val="0"/>
          <w:numId w:val="0"/>
        </w:numPr>
        <w:spacing w:before="0" w:after="0" w:line="288" w:lineRule="auto"/>
        <w:ind w:left="0" w:right="0" w:firstLine="0"/>
        <w:jc w:val="center"/>
        <w:outlineLvl w:val="9"/>
        <w:sectPr>
          <w:footerReference w:type="default" r:id="rId8"/>
          <w:pgSz w:w="12240" w:h="15840"/>
          <w:pgMar w:top="1134" w:right="1134" w:bottom="1134" w:left="1134" w:header="560" w:footer="0"/>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48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787.831</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42.363</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4.334.868</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4.994.080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14.061.757</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24.220.899</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53.552</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6.094.410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316.763</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6.464.725</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30.685.624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48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7.167.136</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7.290.626</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497.700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14.955.462</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923.945</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923.945</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15.879.407</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3.333.729</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11.320.179</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Primas de emisión.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(503.167)</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14.151.695</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654.522</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14.806.217</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30.685.624</w:t>
            </w:r>
          </w:p>
        </w:tc>
      </w:tr>
    </w:tbl>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RESULTADOS POR FUNCIÓN</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9" o:title=""/>
            <o:lock v:ext="edit" aspectratio="t"/>
          </v:shape>
        </w:pict>
      </w:r>
    </w:p>
    <w:p>
      <w:pPr>
        <w:keepNext/>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color w:val="000000"/>
          <w:sz w:val="18"/>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480" w:type="dxa"/>
          <w:tblInd w:w="0" w:type="dxa"/>
          <w:tblLayout w:type="fixed"/>
        </w:tblPrEx>
        <w:trPr>
          <w:cantSplit/>
          <w:trHeight w:hRule="exact" w:val="255"/>
        </w:trPr>
        <w:tc>
          <w:tcPr>
            <w:tcW w:w="708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480" w:type="dxa"/>
          <w:tblInd w:w="0" w:type="dxa"/>
          <w:tblLayout w:type="fixed"/>
        </w:tblPrEx>
        <w:trPr>
          <w:cantSplit/>
          <w:trHeight w:hRule="exact" w:val="225"/>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26.343.149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(21.606.077)</w:t>
            </w:r>
          </w:p>
        </w:tc>
      </w:tr>
      <w:tr>
        <w:tblPrEx>
          <w:tblW w:w="948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4.737.072</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(2.194.505)</w:t>
            </w:r>
          </w:p>
        </w:tc>
      </w:tr>
      <w:tr>
        <w:tblPrEx>
          <w:tblW w:w="948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5.626</w:t>
            </w: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2.548.193</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24.323</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(355.713)</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(6.300)</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w:t>
            </w: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2.212.182</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(441.963)</w:t>
            </w: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60"/>
        </w:trPr>
        <w:tc>
          <w:tcPr>
            <w:tcW w:w="7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1.744.928</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25.291</w:t>
            </w: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48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120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17.449.280,00</w:t>
            </w:r>
          </w:p>
        </w:tc>
      </w:tr>
      <w:tr>
        <w:tblPrEx>
          <w:tblW w:w="9480" w:type="dxa"/>
          <w:tblInd w:w="0" w:type="dxa"/>
          <w:tblLayout w:type="fixed"/>
        </w:tblPrEx>
        <w:trPr>
          <w:cantSplit/>
          <w:trHeight w:hRule="exact" w:val="28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17.449.280,00</w:t>
            </w:r>
          </w:p>
        </w:tc>
      </w:tr>
    </w:tbl>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RESULTADO INTEGRAL</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79.226</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que no se reclasificarán al resultado del período, antes de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79.226</w:t>
            </w:r>
          </w:p>
        </w:tc>
      </w:tr>
      <w:tr>
        <w:tblPrEx>
          <w:tblW w:w="9480" w:type="dxa"/>
          <w:tblInd w:w="0" w:type="dxa"/>
          <w:tblLayout w:type="fixed"/>
        </w:tblPrEx>
        <w:trPr>
          <w:cantSplit/>
          <w:trHeight w:hRule="auto" w:val="0"/>
        </w:trPr>
        <w:tc>
          <w:tcPr>
            <w:tcW w:w="7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Otro resultado integral que se reclasificará al resultado de periodo, antes de impuestos.</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nil"/>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79.226</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 a las ganancias relacionado con componentes de otro resultado integral que no se reclasificarán a resultado del período.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(21.391)</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a las ganancias relativos a componentes de otro resultado integral que no se reclasificará al resultado del periodo.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(21.391)</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Impuestos a las ganancias relativos a la participación de otro resultado integral de asociadas y negocios conjuntos contabilizados utilizando el método de la participación que no se reclasificará al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a las ganancias relativos a componentes de otro resultado integral que se reclasificará al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diferencias de cambio de conversión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coberturas de flujos de efectivo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relativos a coberturas de inversiones netas en negocios en el extranjero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relativos a la participación de otro resultado integral de asociadas y negocios conjuntos contabilizados utilizando el método de la participación que se reclasificará al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57.835</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1.828.054</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1.802.763</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25.291</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1.828.054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0"/>
          <w:footerReference w:type="default" r:id="rId11"/>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9"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4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tblGrid>
      <w:tr>
        <w:tblPrEx>
          <w:tblW w:w="12465"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2465"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2465"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(230.713)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(503.167)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11.320.179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14.151.695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651.041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14.802.736</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(12.373)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(12.373)</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(12.373)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(4.173)</w:t>
            </w:r>
          </w:p>
        </w:tc>
      </w:tr>
      <w:tr>
        <w:tblPrEx>
          <w:tblW w:w="12465"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465"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(222.513)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(494.967)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11.320.179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14.159.895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638.668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14.798.563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r>
        <w:rPr>
          <w:rFonts w:ascii="Calibri" w:eastAsia="Calibri" w:hAnsi="Calibri" w:cs="Calibri"/>
          <w:b/>
          <w:i w:val="0"/>
          <w:sz w:val="20"/>
        </w:rPr>
        <w:t>(Expresados en miles de pesos chilenos (M$))</w:t>
      </w:r>
      <w:r>
        <w:pict>
          <v:shape id="_x0000_i1030"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Primas de emisión</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(289.435)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(561.889)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9.622.714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12.395.508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663.113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13.058.621</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1.744.928</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1.744.928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25.291</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1.770.219</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1.744.928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1.802.763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25.291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1.828.054</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(760.577)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(760.577)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(37.364)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(797.940)</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984.351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1.042.186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(12.073)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1.030.114</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(231.600)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(504.054)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10.607.065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13.437.694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651.041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14.088.735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
        </w:rPr>
        <w:sectPr>
          <w:headerReference w:type="default" r:id="rId12"/>
          <w:footerReference w:type="default" r:id="rId13"/>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FLUJOS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auto" w:val="0"/>
          <w:tblHeader/>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1200"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nil"/>
              <w:right w:val="nil"/>
            </w:tcBorders>
          </w:tcPr>
          <w:p>
            <w:pPr>
              <w:keepNext/>
              <w:pageBreakBefore w:val="0"/>
            </w:pPr>
          </w:p>
        </w:tc>
        <w:tc>
          <w:tcPr>
            <w:tcW w:w="120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34.085.762</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(23.671.153)</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(3.057.357)</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(1.275.563)</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(258.168)</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5.823.181</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(679.104)</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23.243</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(5.610.269)</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(8.834)</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(1.966.685)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(297.002)</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(2.919)</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(2.275.293)</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(2.062.381)</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(20.454)</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(2.082.835)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3.324.140</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1.241.305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4"/>
          <w:footerReference w:type="default" r:id="rId15"/>
          <w:headerReference w:type="first" r:id="rId16"/>
          <w:footerReference w:type="first" r:id="rId17"/>
          <w:pgSz w:w="12240" w:h="15840"/>
          <w:pgMar w:top="1412" w:right="1134" w:bottom="1412" w:left="1134" w:header="0" w:footer="425"/>
          <w:cols w:space="708"/>
          <w:titlePg/>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RESUMIDOS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9"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14001873134203b5625ccb0ec9a856"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14001873134203b5625ccb0ec9a856" w:history="1">
              <w:r>
                <w:rPr>
                  <w:rFonts w:ascii="Calibri" w:eastAsia="Calibri" w:hAnsi="Calibri" w:cs="Calibri"/>
                  <w:b w:val="0"/>
                  <w:i w:val="0"/>
                  <w:color w:val="000000"/>
                  <w:sz w:val="20"/>
                  <w:u w:val="none"/>
                  <w:shd w:val="clear" w:color="auto" w:fill="auto"/>
                </w:rPr>
                <w:t>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6b939398f144ae8bb6bfb60faad2670" w:history="1">
              <w:r>
                <w:rPr>
                  <w:rFonts w:ascii="Calibri" w:eastAsia="Calibri" w:hAnsi="Calibri" w:cs="Calibri"/>
                  <w:b w:val="0"/>
                  <w:i w:val="0"/>
                  <w:color w:val="000000"/>
                  <w:sz w:val="20"/>
                  <w:u w:val="none"/>
                  <w:shd w:val="clear" w:color="auto" w:fill="auto"/>
                </w:rPr>
                <w:t>2.-</w:t>
                <w:tab/>
                <w:t>DESCRIPCIÓN DE LOS SECTORES DONDE PARTICIPA TRANSFORMADORES TUSAN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6b939398f144ae8bb6bfb60faad2670" w:history="1">
              <w:r>
                <w:rPr>
                  <w:rFonts w:ascii="Calibri" w:eastAsia="Calibri" w:hAnsi="Calibri" w:cs="Calibri"/>
                  <w:b w:val="0"/>
                  <w:i w:val="0"/>
                  <w:color w:val="000000"/>
                  <w:sz w:val="20"/>
                  <w:u w:val="none"/>
                  <w:shd w:val="clear" w:color="auto" w:fill="auto"/>
                </w:rPr>
                <w:t>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ad6eb67e124beb8c27c4bd75cdeb1b" w:history="1">
              <w:r>
                <w:rPr>
                  <w:rFonts w:ascii="Calibri" w:eastAsia="Calibri" w:hAnsi="Calibri" w:cs="Calibri"/>
                  <w:b w:val="0"/>
                  <w:i w:val="0"/>
                  <w:color w:val="000000"/>
                  <w:sz w:val="20"/>
                  <w:u w:val="none"/>
                  <w:shd w:val="clear" w:color="auto" w:fill="auto"/>
                </w:rPr>
                <w:t>2.1.-</w:t>
                <w:tab/>
                <w:t>Transformadores Tusan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ad6eb67e124beb8c27c4bd75cdeb1b" w:history="1">
              <w:r>
                <w:rPr>
                  <w:rFonts w:ascii="Calibri" w:eastAsia="Calibri" w:hAnsi="Calibri" w:cs="Calibri"/>
                  <w:b w:val="0"/>
                  <w:i w:val="0"/>
                  <w:color w:val="000000"/>
                  <w:sz w:val="20"/>
                  <w:u w:val="none"/>
                  <w:shd w:val="clear" w:color="auto" w:fill="auto"/>
                </w:rPr>
                <w:t>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1604aa72429424a9b4c75670ce73b19" w:history="1">
              <w:r>
                <w:rPr>
                  <w:rFonts w:ascii="Calibri" w:eastAsia="Calibri" w:hAnsi="Calibri" w:cs="Calibri"/>
                  <w:b w:val="0"/>
                  <w:i w:val="0"/>
                  <w:color w:val="000000"/>
                  <w:sz w:val="20"/>
                  <w:u w:val="none"/>
                  <w:shd w:val="clear" w:color="auto" w:fill="auto"/>
                </w:rPr>
                <w:t>2.2.-</w:t>
                <w:tab/>
                <w:t>Energy Sur Ingeniería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1604aa72429424a9b4c75670ce73b19"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345755d6a394ee3b54c0cc21a9d8a9e"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345755d6a394ee3b54c0cc21a9d8a9e"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1ffa032dac04e1c99062d855859147e" w:history="1">
              <w:r>
                <w:rPr>
                  <w:rFonts w:ascii="Calibri" w:eastAsia="Calibri" w:hAnsi="Calibri" w:cs="Calibri"/>
                  <w:b w:val="0"/>
                  <w:i w:val="0"/>
                  <w:color w:val="000000"/>
                  <w:sz w:val="20"/>
                  <w:u w:val="none"/>
                  <w:shd w:val="clear" w:color="auto" w:fill="auto"/>
                </w:rPr>
                <w:t>3.1.-</w:t>
                <w:tab/>
                <w:t xml:space="preserve">Bases de preparación de los estados financieros consolidados.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1ffa032dac04e1c99062d855859147e"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ebf22eb2b46492a969f75f88522e3f4" w:history="1">
              <w:r>
                <w:rPr>
                  <w:rFonts w:ascii="Calibri" w:eastAsia="Calibri" w:hAnsi="Calibri" w:cs="Calibri"/>
                  <w:b w:val="0"/>
                  <w:i w:val="0"/>
                  <w:color w:val="000000"/>
                  <w:sz w:val="20"/>
                  <w:u w:val="none"/>
                  <w:shd w:val="clear" w:color="auto" w:fill="auto"/>
                </w:rPr>
                <w:t>3.2.-</w:t>
                <w:tab/>
                <w:t>Nuevos estándares, interpretaciones y enmiendas adoptadas por Transformadores Tusan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ebf22eb2b46492a969f75f88522e3f4"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766c3cd89b14489aeab72d9d8a02ca0"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766c3cd89b14489aeab72d9d8a02ca0"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2261254656745b5b462c52b8ba502d0"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2261254656745b5b462c52b8ba502d0" w:history="1">
              <w:r>
                <w:rPr>
                  <w:rFonts w:ascii="Calibri" w:eastAsia="Calibri" w:hAnsi="Calibri" w:cs="Calibri"/>
                  <w:b w:val="0"/>
                  <w:i w:val="0"/>
                  <w:color w:val="000000"/>
                  <w:sz w:val="20"/>
                  <w:u w:val="none"/>
                  <w:shd w:val="clear" w:color="auto" w:fill="auto"/>
                </w:rPr>
                <w:t>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f52dacaf79404b99028141ac8a605c"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f52dacaf79404b99028141ac8a605c"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0e629eba5f4863be8d4e5f008bb780"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0e629eba5f4863be8d4e5f008bb780"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972cf56ab2d4beb98e2b2a8eac5fc09"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972cf56ab2d4beb98e2b2a8eac5fc09"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12ce9ae92844d9fad7b21e063c51f38"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12ce9ae92844d9fad7b21e063c51f38"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e8097c507c3433eb17941b79ca35f64" w:history="1">
              <w:r>
                <w:rPr>
                  <w:rFonts w:ascii="Calibri" w:eastAsia="Calibri" w:hAnsi="Calibri" w:cs="Calibri"/>
                  <w:b w:val="0"/>
                  <w:i w:val="0"/>
                  <w:color w:val="000000"/>
                  <w:sz w:val="20"/>
                  <w:u w:val="none"/>
                  <w:shd w:val="clear" w:color="auto" w:fill="auto"/>
                </w:rPr>
                <w:t>3.9.-</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e8097c507c3433eb17941b79ca35f64"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44dc3a06bd41488fd77a36d7827e5c" w:history="1">
              <w:r>
                <w:rPr>
                  <w:rFonts w:ascii="Calibri" w:eastAsia="Calibri" w:hAnsi="Calibri" w:cs="Calibri"/>
                  <w:b w:val="0"/>
                  <w:i w:val="0"/>
                  <w:color w:val="000000"/>
                  <w:sz w:val="20"/>
                  <w:u w:val="none"/>
                  <w:shd w:val="clear" w:color="auto" w:fill="auto"/>
                </w:rPr>
                <w:t>3.10.-</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44dc3a06bd41488fd77a36d7827e5c"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734722212c34b2e96dce50aa1737e1a" w:history="1">
              <w:r>
                <w:rPr>
                  <w:rFonts w:ascii="Calibri" w:eastAsia="Calibri" w:hAnsi="Calibri" w:cs="Calibri"/>
                  <w:b w:val="0"/>
                  <w:i w:val="0"/>
                  <w:color w:val="000000"/>
                  <w:sz w:val="20"/>
                  <w:u w:val="none"/>
                  <w:shd w:val="clear" w:color="auto" w:fill="auto"/>
                </w:rPr>
                <w:t>3.11.-</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734722212c34b2e96dce50aa1737e1a"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c3edea054145f4ab49b21efeecb6a0" w:history="1">
              <w:r>
                <w:rPr>
                  <w:rFonts w:ascii="Calibri" w:eastAsia="Calibri" w:hAnsi="Calibri" w:cs="Calibri"/>
                  <w:b w:val="0"/>
                  <w:i w:val="0"/>
                  <w:color w:val="000000"/>
                  <w:sz w:val="20"/>
                  <w:u w:val="none"/>
                  <w:shd w:val="clear" w:color="auto" w:fill="auto"/>
                </w:rPr>
                <w:t>3.12.-</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c3edea054145f4ab49b21efeecb6a0"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d52196d5274cfca4f92868a7fc42cf" w:history="1">
              <w:r>
                <w:rPr>
                  <w:rFonts w:ascii="Calibri" w:eastAsia="Calibri" w:hAnsi="Calibri" w:cs="Calibri"/>
                  <w:b w:val="0"/>
                  <w:i w:val="0"/>
                  <w:color w:val="000000"/>
                  <w:sz w:val="20"/>
                  <w:u w:val="none"/>
                  <w:shd w:val="clear" w:color="auto" w:fill="auto"/>
                </w:rPr>
                <w:t>3.13.-</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d52196d5274cfca4f92868a7fc42cf"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ec265ebdfee43e29df6b7d3dc5915c9" w:history="1">
              <w:r>
                <w:rPr>
                  <w:rFonts w:ascii="Calibri" w:eastAsia="Calibri" w:hAnsi="Calibri" w:cs="Calibri"/>
                  <w:b w:val="0"/>
                  <w:i w:val="0"/>
                  <w:color w:val="000000"/>
                  <w:sz w:val="20"/>
                  <w:u w:val="none"/>
                  <w:shd w:val="clear" w:color="auto" w:fill="auto"/>
                </w:rPr>
                <w:t>3.14.-</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ec265ebdfee43e29df6b7d3dc5915c9"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c82184041945a2b3d3b633e5d2e70f" w:history="1">
              <w:r>
                <w:rPr>
                  <w:rFonts w:ascii="Calibri" w:eastAsia="Calibri" w:hAnsi="Calibri" w:cs="Calibri"/>
                  <w:b w:val="0"/>
                  <w:i w:val="0"/>
                  <w:color w:val="000000"/>
                  <w:sz w:val="20"/>
                  <w:u w:val="none"/>
                  <w:shd w:val="clear" w:color="auto" w:fill="auto"/>
                </w:rPr>
                <w:t>3.15.-</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c82184041945a2b3d3b633e5d2e70f"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190429784eb4b199aa1b5397ffb1d9b" w:history="1">
              <w:r>
                <w:rPr>
                  <w:rFonts w:ascii="Calibri" w:eastAsia="Calibri" w:hAnsi="Calibri" w:cs="Calibri"/>
                  <w:b w:val="0"/>
                  <w:i w:val="0"/>
                  <w:color w:val="000000"/>
                  <w:sz w:val="20"/>
                  <w:u w:val="none"/>
                  <w:shd w:val="clear" w:color="auto" w:fill="auto"/>
                </w:rPr>
                <w:t>3.16.-</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190429784eb4b199aa1b5397ffb1d9b"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89d513537964f4fb4379a939ce6e2af" w:history="1">
              <w:r>
                <w:rPr>
                  <w:rFonts w:ascii="Calibri" w:eastAsia="Calibri" w:hAnsi="Calibri" w:cs="Calibri"/>
                  <w:b w:val="0"/>
                  <w:i w:val="0"/>
                  <w:color w:val="000000"/>
                  <w:sz w:val="20"/>
                  <w:u w:val="none"/>
                  <w:shd w:val="clear" w:color="auto" w:fill="auto"/>
                </w:rPr>
                <w:t>3.17.-</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89d513537964f4fb4379a939ce6e2af"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52e995243ac489ab45f36a8fed9b260" w:history="1">
              <w:r>
                <w:rPr>
                  <w:rFonts w:ascii="Calibri" w:eastAsia="Calibri" w:hAnsi="Calibri" w:cs="Calibri"/>
                  <w:b w:val="0"/>
                  <w:i w:val="0"/>
                  <w:color w:val="000000"/>
                  <w:sz w:val="20"/>
                  <w:u w:val="none"/>
                  <w:shd w:val="clear" w:color="auto" w:fill="auto"/>
                </w:rPr>
                <w:t>3.18.-</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52e995243ac489ab45f36a8fed9b260"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84b0ad3de34aea978d19e84dbbaf00" w:history="1">
              <w:r>
                <w:rPr>
                  <w:rFonts w:ascii="Calibri" w:eastAsia="Calibri" w:hAnsi="Calibri" w:cs="Calibri"/>
                  <w:b w:val="0"/>
                  <w:i w:val="0"/>
                  <w:color w:val="000000"/>
                  <w:sz w:val="20"/>
                  <w:u w:val="none"/>
                  <w:shd w:val="clear" w:color="auto" w:fill="auto"/>
                </w:rPr>
                <w:t>3.19.-</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84b0ad3de34aea978d19e84dbbaf00"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81dfcfe171e4ca4aaef3b815026a26c" w:history="1">
              <w:r>
                <w:rPr>
                  <w:rFonts w:ascii="Calibri" w:eastAsia="Calibri" w:hAnsi="Calibri" w:cs="Calibri"/>
                  <w:b w:val="0"/>
                  <w:i w:val="0"/>
                  <w:color w:val="000000"/>
                  <w:sz w:val="20"/>
                  <w:u w:val="none"/>
                  <w:shd w:val="clear" w:color="auto" w:fill="auto"/>
                </w:rPr>
                <w:t>3.20.-</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81dfcfe171e4ca4aaef3b815026a26c"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33339eedb44d6d9e7921328964236d" w:history="1">
              <w:r>
                <w:rPr>
                  <w:rFonts w:ascii="Calibri" w:eastAsia="Calibri" w:hAnsi="Calibri" w:cs="Calibri"/>
                  <w:b w:val="0"/>
                  <w:i w:val="0"/>
                  <w:color w:val="000000"/>
                  <w:sz w:val="20"/>
                  <w:u w:val="none"/>
                  <w:shd w:val="clear" w:color="auto" w:fill="auto"/>
                </w:rPr>
                <w:t>3.21.-</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33339eedb44d6d9e7921328964236d"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96d5d5c75343dcbe024ae398391c94" w:history="1">
              <w:r>
                <w:rPr>
                  <w:rFonts w:ascii="Calibri" w:eastAsia="Calibri" w:hAnsi="Calibri" w:cs="Calibri"/>
                  <w:b w:val="0"/>
                  <w:i w:val="0"/>
                  <w:color w:val="000000"/>
                  <w:sz w:val="20"/>
                  <w:u w:val="none"/>
                  <w:shd w:val="clear" w:color="auto" w:fill="auto"/>
                </w:rPr>
                <w:t>3.22.-</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96d5d5c75343dcbe024ae398391c94"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c8a3646e574ed4bb55efc3c5566330" w:history="1">
              <w:r>
                <w:rPr>
                  <w:rFonts w:ascii="Calibri" w:eastAsia="Calibri" w:hAnsi="Calibri" w:cs="Calibri"/>
                  <w:b w:val="0"/>
                  <w:i w:val="0"/>
                  <w:color w:val="000000"/>
                  <w:sz w:val="20"/>
                  <w:u w:val="none"/>
                  <w:shd w:val="clear" w:color="auto" w:fill="auto"/>
                </w:rPr>
                <w:t>3.23.-</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c8a3646e574ed4bb55efc3c5566330"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871f499e9e84486b80af655f0c0d38b" w:history="1">
              <w:r>
                <w:rPr>
                  <w:rFonts w:ascii="Calibri" w:eastAsia="Calibri" w:hAnsi="Calibri" w:cs="Calibri"/>
                  <w:b w:val="0"/>
                  <w:i w:val="0"/>
                  <w:color w:val="000000"/>
                  <w:sz w:val="20"/>
                  <w:u w:val="none"/>
                  <w:shd w:val="clear" w:color="auto" w:fill="auto"/>
                </w:rPr>
                <w:t>3.24.-</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871f499e9e84486b80af655f0c0d38b"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3515f3407745be9da62e2f17f7b469" w:history="1">
              <w:r>
                <w:rPr>
                  <w:rFonts w:ascii="Calibri" w:eastAsia="Calibri" w:hAnsi="Calibri" w:cs="Calibri"/>
                  <w:b w:val="0"/>
                  <w:i w:val="0"/>
                  <w:color w:val="000000"/>
                  <w:sz w:val="20"/>
                  <w:u w:val="none"/>
                  <w:shd w:val="clear" w:color="auto" w:fill="auto"/>
                </w:rPr>
                <w:t>3.25.-</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3515f3407745be9da62e2f17f7b469"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b0e2f6c8f84bfcba32b75197e86afd" w:history="1">
              <w:r>
                <w:rPr>
                  <w:rFonts w:ascii="Calibri" w:eastAsia="Calibri" w:hAnsi="Calibri" w:cs="Calibri"/>
                  <w:b w:val="0"/>
                  <w:i w:val="0"/>
                  <w:color w:val="000000"/>
                  <w:sz w:val="20"/>
                  <w:u w:val="none"/>
                  <w:shd w:val="clear" w:color="auto" w:fill="auto"/>
                </w:rPr>
                <w:t>3.26.-</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b0e2f6c8f84bfcba32b75197e86afd"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f21018b02a43e49074a56b2d292e92" w:history="1">
              <w:r>
                <w:rPr>
                  <w:rFonts w:ascii="Calibri" w:eastAsia="Calibri" w:hAnsi="Calibri" w:cs="Calibri"/>
                  <w:b w:val="0"/>
                  <w:i w:val="0"/>
                  <w:color w:val="000000"/>
                  <w:sz w:val="20"/>
                  <w:u w:val="none"/>
                  <w:shd w:val="clear" w:color="auto" w:fill="auto"/>
                </w:rPr>
                <w:t>3.27.-</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f21018b02a43e49074a56b2d292e92"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ed46ce31a5b4412897a507db8b14a12" w:history="1">
              <w:r>
                <w:rPr>
                  <w:rFonts w:ascii="Calibri" w:eastAsia="Calibri" w:hAnsi="Calibri" w:cs="Calibri"/>
                  <w:b w:val="0"/>
                  <w:i w:val="0"/>
                  <w:color w:val="000000"/>
                  <w:sz w:val="20"/>
                  <w:u w:val="none"/>
                  <w:shd w:val="clear" w:color="auto" w:fill="auto"/>
                </w:rPr>
                <w:t>4.-</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ed46ce31a5b4412897a507db8b14a12"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45f45a67fc74544913d4925b6ae91f3" w:history="1">
              <w:r>
                <w:rPr>
                  <w:rFonts w:ascii="Calibri" w:eastAsia="Calibri" w:hAnsi="Calibri" w:cs="Calibri"/>
                  <w:b w:val="0"/>
                  <w:i w:val="0"/>
                  <w:color w:val="000000"/>
                  <w:sz w:val="20"/>
                  <w:u w:val="none"/>
                  <w:shd w:val="clear" w:color="auto" w:fill="auto"/>
                </w:rPr>
                <w:t>4.1.-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45f45a67fc74544913d4925b6ae91f3"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30df90b4f1453e94efb33b59c32c65" w:history="1">
              <w:r>
                <w:rPr>
                  <w:rFonts w:ascii="Calibri" w:eastAsia="Calibri" w:hAnsi="Calibri" w:cs="Calibri"/>
                  <w:b w:val="0"/>
                  <w:i w:val="0"/>
                  <w:color w:val="000000"/>
                  <w:sz w:val="20"/>
                  <w:u w:val="none"/>
                  <w:shd w:val="clear" w:color="auto" w:fill="auto"/>
                </w:rPr>
                <w:t>4.2.-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30df90b4f1453e94efb33b59c32c65" w:history="1">
              <w:r>
                <w:rPr>
                  <w:rFonts w:ascii="Calibri" w:eastAsia="Calibri" w:hAnsi="Calibri" w:cs="Calibri"/>
                  <w:b w:val="0"/>
                  <w:i w:val="0"/>
                  <w:color w:val="000000"/>
                  <w:sz w:val="20"/>
                  <w:u w:val="none"/>
                  <w:shd w:val="clear" w:color="auto" w:fill="auto"/>
                </w:rPr>
                <w:t>30</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RESUMIDOS CONSOLIDADOS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r>
        <w:pict>
          <v:shape id="_x0000_i1033"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8"/>
          <w:footerReference w:type="default" r:id="rId19"/>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6" w:name="Section7"/>
      <w:bookmarkEnd w:id="6"/>
      <w:bookmarkStart w:id="7" w:name="2614001873134203b5625ccb0ec9a856"/>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
    </w:p>
    <w:p>
      <w:pPr>
        <w:pStyle w:val="Normal-wk"/>
        <w:keepNext w:val="0"/>
        <w:keepLines/>
        <w:pageBreakBefore w:val="0"/>
        <w:widowControl w:val="0"/>
        <w:numPr>
          <w:ilvl w:val="0"/>
          <w:numId w:val="0"/>
        </w:numPr>
        <w:tabs>
          <w:tab w:val="left" w:pos="700"/>
        </w:tabs>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(en adelante la “Sociedad”), Rut 86.386.700-2, es una empresa subsidiaria de CGE Transmisión S.A.</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es una sociedad anónima cerrada, tiene su domicilio social en Avenida Gladys Marín Nº 6030 en la ciudad de Santiago, República de Chile.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12 de noviembre de 2004, se efectuó cambio de tipo de Sociedad, de responsabilidad limitada a Sociedad Anónima Cerrada, de conformidad a los artículos Nº 96, Nº 97 y Nº 98 de la Ley Nº 18.046.</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tiene como objeto social principal la fabricación y comercialización de transformadores eléctricos, proporcionar asesorías y servicios a terceros incluyendo mantención, reparación, transporte y montaje de transformadores y además, prestar servicios de verificación, calibración, sellado, certificación, mantenimiento, reparación, lectura y registro de toda clase de equipos de medición.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accionistas de Transformadores Tusan S.A. son los siguientes: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3402" w:right="0" w:hanging="269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99,07%</w:t>
      </w:r>
    </w:p>
    <w:p>
      <w:pPr>
        <w:pStyle w:val="Normal-wk"/>
        <w:keepNext w:val="0"/>
        <w:keepLines/>
        <w:pageBreakBefore w:val="0"/>
        <w:widowControl w:val="0"/>
        <w:numPr>
          <w:ilvl w:val="0"/>
          <w:numId w:val="0"/>
        </w:numPr>
        <w:tabs>
          <w:tab w:val="left" w:pos="700"/>
        </w:tabs>
        <w:spacing w:before="0" w:after="0" w:line="288" w:lineRule="auto"/>
        <w:ind w:left="3402" w:right="0" w:hanging="269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Servicios S.A.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0,93%</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CGE Transmisión S.A. es State Grid Chile Electricity SpA., miembro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consolidados correspondientes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en Directorio de fecha 12</w:t>
      </w:r>
      <w:r>
        <w:rPr>
          <w:rFonts w:ascii="Calibri" w:eastAsia="Calibri" w:hAnsi="Calibri" w:cs="Calibri"/>
          <w:b w:val="0"/>
          <w:i w:val="0"/>
          <w:color w:val="000000"/>
          <w:sz w:val="20"/>
          <w:highlight w:val="white"/>
          <w:u w:val="none"/>
        </w:rPr>
        <w:t xml:space="preserve"> de marzo</w:t>
      </w:r>
      <w:r>
        <w:rPr>
          <w:rFonts w:ascii="Calibri" w:eastAsia="Calibri" w:hAnsi="Calibri" w:cs="Calibri"/>
          <w:b w:val="0"/>
          <w:i w:val="0"/>
          <w:color w:val="000000"/>
          <w:sz w:val="20"/>
          <w:u w:val="none"/>
        </w:rPr>
        <w:t xml:space="preserve"> de 2026, quien con dicha fecha autorizó además su publicación.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8" w:name="Section8"/>
      <w:bookmarkEnd w:id="8"/>
      <w:bookmarkStart w:id="9" w:name="46b939398f144ae8bb6bfb60faad2670"/>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 LOS SECTORES DONDE PARTICIPA TRANSFORMADORES TUSAN S.A. Y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 w:name="Section9"/>
      <w:bookmarkEnd w:id="10"/>
      <w:bookmarkStart w:id="11" w:name="62ad6eb67e124beb8c27c4bd75cdeb1b"/>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Transformadores Tusan S.A.</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bookmarkEnd w:id="1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es uno de los tres principales fabricantes de transformadores eléctricos en Chile. Produce y comercializa desde equipos monofásicos de 3 kVA hasta transformadores de poder trifásicos de clase 154 kV y 60 MVA. La Sociedad también ofrece subestaciones: unitarias, del tipo pad-mounted, encapsuladas, transportables, etc., y proporciona asesoría y servicios a terceros en el área de ingeniería eléctrica de potencia, incluyendo mantención, reparación, transporte y montaje de transformadores.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presta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Además, ha innovado en nuevas líneas de negocios como la comercialización de productos desde China y la reparación de transformadores de distribución.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Entre los clientes a los cuales la Sociedad realizó suministro de productos y/o servicios durante el ejercicio podemos mencionar a: Compañía General de Electricidad S.A., Sociedad Austral de Electricidad S.A., Cooperativas Eléctricas (Charrua, Los Ángeles, Río Bueno), Comercial Aragón Ltda., SQM S.A., Eaton Industries Chile SpA. y Empresa Eléctrica de Magallanes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 w:name="Section10"/>
      <w:bookmarkEnd w:id="12"/>
      <w:bookmarkStart w:id="13" w:name="d1604aa72429424a9b4c75670ce73b19"/>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Energy Sur Ingeniería S.A., participa en el mercado eléctrico mediante la reparación y mantención de transformadores eléctricos, como también proporciona asesoría en el área de la ingeniería eléctrica, realizando mediciones de diversa índole, y montaje de proyectos de ingeniería.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 w:name="Section11"/>
      <w:bookmarkEnd w:id="14"/>
      <w:bookmarkStart w:id="15" w:name="9345755d6a394ee3b54c0cc21a9d8a9e"/>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se detallan a continuación. Tal como lo requiere la Norma de Carácter General N° 30, Sección II.2.1 párrafo A.4.2, emitida por la Comisión para el Mercado Financiero, se presentan las notas “criterios contables” y “transacciones con partes relacionadas”.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 w:name="Section12"/>
      <w:bookmarkEnd w:id="16"/>
      <w:bookmarkStart w:id="17" w:name="b1ffa032dac04e1c99062d855859147e"/>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consolidados.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de 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han sido preparados de acuerdo con el principio de costo.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consolidados se han utilizado estimaciones contables críticas para cuantificar algunos activos, pasivos, ingresos y gastos.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8" w:name="Section13"/>
      <w:bookmarkEnd w:id="18"/>
      <w:bookmarkStart w:id="19" w:name="4ebf22eb2b46492a969f75f88522e3f4"/>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Transformadores Tusan S.A. y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entran en </w:t>
      </w:r>
      <w:r>
        <w:rPr>
          <w:rFonts w:ascii="Calibri" w:eastAsia="Calibri" w:hAnsi="Calibri" w:cs="Calibri"/>
          <w:b w:val="0"/>
          <w:i w:val="0"/>
          <w:color w:val="000000"/>
          <w:sz w:val="20"/>
          <w:u w:val="none"/>
        </w:rPr>
        <w:t>vigencia</w:t>
      </w:r>
      <w:r>
        <w:rPr>
          <w:rFonts w:ascii="Calibri" w:eastAsia="Calibri" w:hAnsi="Calibri" w:cs="Calibri"/>
          <w:b w:val="0"/>
          <w:i w:val="0"/>
          <w:sz w:val="20"/>
        </w:rPr>
        <w:t xml:space="preserve">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adopción de esta norma y su enmienda no generó impactos en los estados financieros consolidados del Grupo en la fecha de aplicación inicial.</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20" w:name="Section14"/>
      <w:bookmarkEnd w:id="20"/>
      <w:bookmarkStart w:id="21" w:name="8766c3cd89b14489aeab72d9d8a02ca0"/>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21"/>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w:t>
      </w:r>
      <w:r>
        <w:rPr>
          <w:rFonts w:ascii="Calibri" w:eastAsia="Calibri" w:hAnsi="Calibri" w:cs="Calibri"/>
          <w:b w:val="0"/>
          <w:i w:val="0"/>
          <w:sz w:val="20"/>
        </w:rPr>
        <w:t xml:space="preserve">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cómo evaluar las características del flujo de efectivo contractual de los activos financieros que incluyen características ambientales, sociales y de gobernanza (ASG) y otras características contingentes similares.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el tratamiento de los activos sin recurso y los instrumentos vinculados contractualmente.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3.3.2.-</w:t>
      </w:r>
      <w:r>
        <w:rPr>
          <w:rFonts w:ascii="Calibri" w:eastAsia="Calibri" w:hAnsi="Calibri" w:cs="Calibri"/>
          <w:b w:val="0"/>
          <w:i w:val="0"/>
          <w:sz w:val="20"/>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76" w:lineRule="auto"/>
        <w:ind w:left="0" w:right="0" w:firstLine="2551"/>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 xml:space="preserve">En abril de 2024, el IASB emitió la NIIF 18 “Presentación e Información a Revelar en los Estados Financieros”, que sustituye a la </w:t>
      </w:r>
      <w:r>
        <w:rPr>
          <w:rFonts w:ascii="Calibri" w:eastAsia="Calibri" w:hAnsi="Calibri" w:cs="Calibri"/>
          <w:b w:val="0"/>
          <w:i w:val="0"/>
          <w:color w:val="000000"/>
          <w:sz w:val="20"/>
          <w:u w:val="none"/>
        </w:rPr>
        <w:t>NIC</w:t>
      </w:r>
      <w:r>
        <w:rPr>
          <w:rFonts w:ascii="Calibri" w:eastAsia="Calibri" w:hAnsi="Calibri" w:cs="Calibri"/>
          <w:b w:val="0"/>
          <w:i w:val="0"/>
          <w:sz w:val="20"/>
        </w:rPr>
        <w:t xml:space="preserve">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19 entrará en vigor para los </w:t>
      </w:r>
      <w:r>
        <w:rPr>
          <w:rFonts w:ascii="Calibri" w:eastAsia="Calibri" w:hAnsi="Calibri" w:cs="Calibri"/>
          <w:b w:val="0"/>
          <w:i w:val="0"/>
          <w:sz w:val="20"/>
        </w:rPr>
        <w:t>períodos</w:t>
      </w:r>
      <w:r>
        <w:rPr>
          <w:rFonts w:ascii="Calibri" w:eastAsia="Calibri" w:hAnsi="Calibri" w:cs="Calibri"/>
          <w:b w:val="0"/>
          <w:i w:val="0"/>
          <w:sz w:val="20"/>
        </w:rPr>
        <w:t xml:space="preserve"> sobre los que se informa que comiencen a partir del 1 de enero de 2027, permitiéndose su aplicación anticipada. </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 xml:space="preserve">En noviembre de 2025, el IASB emitió “Conversión a una Moneda de Presentación Hiperinflacionaria - </w:t>
      </w:r>
      <w:r>
        <w:rPr>
          <w:rFonts w:ascii="Calibri" w:eastAsia="Calibri" w:hAnsi="Calibri" w:cs="Calibri"/>
          <w:b w:val="0"/>
          <w:i w:val="0"/>
          <w:color w:val="000000"/>
          <w:sz w:val="20"/>
          <w:u w:val="none"/>
        </w:rPr>
        <w:t>Enmiendas</w:t>
      </w:r>
      <w:r>
        <w:rPr>
          <w:rFonts w:ascii="Calibri" w:eastAsia="Calibri" w:hAnsi="Calibri" w:cs="Calibri"/>
          <w:b w:val="0"/>
          <w:i w:val="0"/>
          <w:sz w:val="20"/>
        </w:rPr>
        <w:t xml:space="preserve">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3.3.7.-</w:t>
      </w:r>
      <w:r>
        <w:rPr>
          <w:rFonts w:ascii="Calibri" w:eastAsia="Calibri" w:hAnsi="Calibri" w:cs="Calibri"/>
          <w:b w:val="0"/>
          <w:i w:val="0"/>
          <w:color w:val="000000"/>
          <w:sz w:val="20"/>
          <w:u w:val="none"/>
        </w:rPr>
        <w:tab/>
      </w:r>
      <w:r>
        <w:rPr>
          <w:rFonts w:ascii="Calibri" w:eastAsia="Calibri" w:hAnsi="Calibri" w:cs="Calibri"/>
          <w:b w:val="0"/>
          <w:i w:val="0"/>
          <w:sz w:val="20"/>
        </w:rPr>
        <w:t xml:space="preserve">En noviembre de 2025, el IASB emitió las Enmiendas a los Ejemplos Ilustrativos de las NIIF 7, NIIF 18, NIC 1, NIC 8, NIC 36 y NIC 37 – Revelaciones sobre </w:t>
      </w:r>
      <w:r>
        <w:rPr>
          <w:rFonts w:ascii="Calibri" w:eastAsia="Calibri" w:hAnsi="Calibri" w:cs="Calibri"/>
          <w:b w:val="0"/>
          <w:i w:val="0"/>
          <w:color w:val="000000"/>
          <w:sz w:val="20"/>
          <w:u w:val="none"/>
        </w:rPr>
        <w:t>Incertidumbres</w:t>
      </w:r>
      <w:r>
        <w:rPr>
          <w:rFonts w:ascii="Calibri" w:eastAsia="Calibri" w:hAnsi="Calibri" w:cs="Calibri"/>
          <w:b w:val="0"/>
          <w:i w:val="0"/>
          <w:sz w:val="20"/>
        </w:rPr>
        <w:t xml:space="preserve">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Los ejemplos tienen </w:t>
      </w:r>
      <w:r>
        <w:rPr>
          <w:rFonts w:ascii="Calibri" w:eastAsia="Calibri" w:hAnsi="Calibri" w:cs="Calibri"/>
          <w:b w:val="0"/>
          <w:i w:val="0"/>
          <w:sz w:val="20"/>
        </w:rPr>
        <w:t>como</w:t>
      </w:r>
      <w:r>
        <w:rPr>
          <w:rFonts w:ascii="Calibri" w:eastAsia="Calibri" w:hAnsi="Calibri" w:cs="Calibri"/>
          <w:b w:val="0"/>
          <w:i w:val="0"/>
          <w:sz w:val="20"/>
        </w:rPr>
        <w:t xml:space="preserve">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3.3.8.-</w:t>
      </w:r>
      <w:r>
        <w:rPr>
          <w:rFonts w:ascii="Calibri" w:eastAsia="Calibri" w:hAnsi="Calibri" w:cs="Calibri"/>
          <w:b w:val="0"/>
          <w:i w:val="0"/>
          <w:color w:val="000000"/>
          <w:sz w:val="20"/>
          <w:u w:val="none"/>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Administración Transformadores Tusan S.A. y subsidiaria estima que la adopción de las Normas, Enmiendas e Interpretaciones  que pudiesen aplicar al Grupo, no tendrán un impacto significativo en los estados financieros consolidados en el ejercicio de su  primera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22" w:name="Section15"/>
      <w:bookmarkEnd w:id="22"/>
      <w:bookmarkStart w:id="23" w:name="c2261254656745b5b462c52b8ba502d0"/>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3"/>
    </w:p>
    <w:p>
      <w:pPr>
        <w:pStyle w:val="Normal-wk"/>
        <w:keepNext w:val="0"/>
        <w:keepLines/>
        <w:pageBreakBefore w:val="0"/>
        <w:widowControl w:val="0"/>
        <w:numPr>
          <w:ilvl w:val="0"/>
          <w:numId w:val="0"/>
        </w:numPr>
        <w:tabs>
          <w:tab w:val="left" w:pos="700"/>
        </w:tabs>
        <w:spacing w:before="0" w:after="0" w:line="259"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59"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Transformadores Tusan S.A. tiene el control. Se considera que se mantiene control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Transformadores Tusan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fecha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Transformadores Tusan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eliminan las transacciones intercompañías,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Transformadores Tusan S.A., se modifican las políticas contables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Transformadores Tusan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Asociadas o coligadas.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Transformadores Tusan S.A.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Transformadores Tusan S.A.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participación de Transformadores Tusan S.A.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consolidado de resultados integral).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Transformadores Tusan S.A. en las pérdidas de una coligada o asociada es igual o superior a su participación en la misma, incluida cualquier otra cuenta a cobrar no asegurada, Transformadores Tusan S.A. no reconoce pérdidas adicionales, a no ser que haya incurrido en obligaciones o realizados pagos en nombre de la coligada o asociada.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no realizadas por transacciones entre Transformadores Tusan S.A. y sus coligadas o asociadas se eliminan en función del porcentaje de participación de la Sociedad en éstas.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de dilución en coligadas o asociadas se reconocen en el estado de resultados consolidado.</w:t>
      </w:r>
    </w:p>
    <w:p>
      <w:pPr>
        <w:pStyle w:val="Normal-wk"/>
        <w:keepNext w:val="0"/>
        <w:keepLines/>
        <w:pageBreakBefore w:val="0"/>
        <w:widowControl w:val="0"/>
        <w:numPr>
          <w:ilvl w:val="0"/>
          <w:numId w:val="0"/>
        </w:numPr>
        <w:spacing w:before="0" w:after="0" w:line="240" w:lineRule="exact"/>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 w:name="Section16"/>
      <w:bookmarkEnd w:id="24"/>
      <w:bookmarkStart w:id="25" w:name="83f52dacaf79404b99028141ac8a605c"/>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5"/>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75"/>
        <w:gridCol w:w="2070"/>
        <w:gridCol w:w="645"/>
        <w:gridCol w:w="3345"/>
        <w:gridCol w:w="765"/>
        <w:gridCol w:w="900"/>
        <w:gridCol w:w="900"/>
        <w:gridCol w:w="900"/>
        <w:gridCol w:w="945"/>
      </w:tblGrid>
      <w:tr>
        <w:tblPrEx>
          <w:tblW w:w="11445" w:type="dxa"/>
          <w:tblInd w:w="2126" w:type="dxa"/>
          <w:tblLayout w:type="fixed"/>
        </w:tblPrEx>
        <w:trPr>
          <w:cantSplit/>
          <w:trHeight w:hRule="auto" w:val="0"/>
        </w:trPr>
        <w:tc>
          <w:tcPr>
            <w:tcW w:w="9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207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33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subsidiaria</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3645"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Porcentaje de participación en el capital </w:t>
            </w:r>
            <w:r>
              <w:br/>
            </w:r>
            <w:r>
              <w:rPr>
                <w:rFonts w:ascii="Calibri" w:eastAsia="Calibri" w:hAnsi="Calibri" w:cs="Calibri"/>
                <w:b/>
                <w:i w:val="0"/>
                <w:color w:val="FFFFFF"/>
                <w:sz w:val="16"/>
                <w:u w:val="none"/>
              </w:rPr>
              <w:t>y en los votos</w:t>
            </w:r>
          </w:p>
        </w:tc>
      </w:tr>
      <w:tr>
        <w:tblPrEx>
          <w:tblW w:w="11445" w:type="dxa"/>
          <w:tblInd w:w="2126" w:type="dxa"/>
          <w:tblLayout w:type="fixed"/>
        </w:tblPrEx>
        <w:trPr>
          <w:cantSplit/>
          <w:trHeight w:hRule="auto" w:val="0"/>
        </w:trPr>
        <w:tc>
          <w:tcPr>
            <w:tcW w:w="975" w:type="dxa"/>
            <w:vMerge/>
            <w:tcBorders>
              <w:top w:val="nil"/>
              <w:left w:val="single" w:sz="2" w:space="0" w:color="000000"/>
              <w:bottom w:val="nil"/>
              <w:right w:val="nil"/>
            </w:tcBorders>
          </w:tcPr>
          <w:p>
            <w:pPr>
              <w:keepNext/>
              <w:pageBreakBefore w:val="0"/>
            </w:pPr>
          </w:p>
        </w:tc>
        <w:tc>
          <w:tcPr>
            <w:tcW w:w="2070"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334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45"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975" w:type="dxa"/>
            <w:vMerge/>
            <w:tcBorders>
              <w:top w:val="nil"/>
              <w:left w:val="single" w:sz="2" w:space="0" w:color="000000"/>
              <w:bottom w:val="single" w:sz="2" w:space="0" w:color="000000"/>
              <w:right w:val="nil"/>
            </w:tcBorders>
          </w:tcPr>
          <w:p>
            <w:pPr>
              <w:keepNext/>
              <w:pageBreakBefore w:val="0"/>
            </w:pPr>
          </w:p>
        </w:tc>
        <w:tc>
          <w:tcPr>
            <w:tcW w:w="2070"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334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94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1445" w:type="dxa"/>
          <w:tblInd w:w="2126" w:type="dxa"/>
          <w:tblLayout w:type="fixed"/>
        </w:tblPrEx>
        <w:trPr>
          <w:cantSplit/>
          <w:trHeight w:hRule="auto" w:val="0"/>
        </w:trPr>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78.512.190-2</w:t>
            </w:r>
          </w:p>
        </w:tc>
        <w:tc>
          <w:tcPr>
            <w:tcW w:w="20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Chile</w:t>
            </w:r>
          </w:p>
        </w:tc>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Calle Local 55, San Pedro de la Paz , Concepción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577"/>
              </w:tabs>
              <w:spacing w:before="0" w:after="0" w:line="240" w:lineRule="auto"/>
              <w:jc w:val="right"/>
            </w:pPr>
            <w:r>
              <w:rPr>
                <w:rFonts w:ascii="Calibri" w:eastAsia="Calibri" w:hAnsi="Calibri" w:cs="Calibri"/>
                <w:b w:val="0"/>
                <w:i w:val="0"/>
                <w:color w:val="000000"/>
                <w:sz w:val="16"/>
                <w:u w:val="none"/>
              </w:rPr>
              <w:tab/>
              <w:t>0,00000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existen cambios en el perímetro de consolidación para el ejercicio terminado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0"/>
          <w:footerReference w:type="default" r:id="rId2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6" w:name="Section17"/>
      <w:bookmarkEnd w:id="26"/>
      <w:bookmarkStart w:id="27" w:name="4c0e629eba5f4863be8d4e5f008bb780"/>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Transformadores Tusan S.A. y subsidiaria.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05"/>
        <w:gridCol w:w="1560"/>
        <w:gridCol w:w="1560"/>
        <w:gridCol w:w="1560"/>
        <w:gridCol w:w="1560"/>
      </w:tblGrid>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EUR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CNH $</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1.066,58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129,76</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613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Peso chileno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Dólar estadounidense</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Unidades de fomento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Euro</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CNH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Yuan chino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2"/>
          <w:footerReference w:type="default" r:id="rId23"/>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8" w:name="Section18"/>
      <w:bookmarkEnd w:id="28"/>
      <w:bookmarkStart w:id="29" w:name="2972cf56ab2d4beb98e2b2a8eac5fc09"/>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Servicios, para los que se toman las decisiones estratégicas.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30" w:name="Section19"/>
      <w:bookmarkEnd w:id="30"/>
      <w:bookmarkStart w:id="31" w:name="012ce9ae92844d9fad7b21e063c51f38"/>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ejercicio o periodo en el que se incurren.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en caso de existir, incluyen los siguientes conceptos devengados únicamente durante el periodo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2" w:name="Section20"/>
      <w:bookmarkEnd w:id="32"/>
      <w:bookmarkStart w:id="33" w:name="4e8097c507c3433eb17941b79ca35f64"/>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3"/>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3.9.1.-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Transformadores Tusan S.A.,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3.9.2.-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de investigación y desarrollo.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de investigación se reconocen como un gasto cuando se incurre en ellos. Los costos incurridos en proyectos de desarrollo se reconocen como activo intangible cuando se cumplen los siguientes requisitos: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Técnicamente, es posible completar la producción del activo intangible de forma que pueda estar disponible para su utilización o su venta;</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tiene intención de completar el activo intangible en cuestión, para usarlo o venderlo;</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la capacidad para utilizar o vender el activo intangible;</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demostrar la forma en que el activo intangible vaya a generar probables beneficios económicos en el futuro;</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disponibilidad de los adecuados recursos técnicos, financieros o de otro tipo, para completar el desarrollo y para utilizar o vender el activo intangible; y</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valorar, de forma fiable, el desembolso atribuible al activo intangible durante su desarrollo.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gastos de desarrollo se reconocen como gasto cuando se incurre en ellos. Los costos de desarrollo previamente reconocidos como un gasto no se reconocen como un activo en un ejercicio o período posterior. Los costos de desarrollo con una vida útil finita que se capitalizan se amortizan desde su utilización de manera lineal durante el período en que se espera que generen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4" w:name="Section21"/>
      <w:bookmarkEnd w:id="34"/>
      <w:bookmarkStart w:id="35" w:name="5144dc3a06bd41488fd77a36d7827e5c"/>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6" w:name="Section22"/>
      <w:bookmarkEnd w:id="36"/>
      <w:bookmarkStart w:id="37" w:name="b734722212c34b2e96dce50aa1737e1a"/>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8" w:name="Section23"/>
      <w:bookmarkEnd w:id="38"/>
      <w:bookmarkStart w:id="39" w:name="c1c3edea054145f4ab49b21efeecb6a0"/>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3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miden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Transformadores Tusan S.A. y subsidiaria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la Sociedad y subsidiaria tienen la intención de mantener en el futuro previsible y que Transformadores Tusan S.A. y subsidiaria han elegido irrevocablemente para clasificarlos en el reconocimiento inicial o la transición. Transformadores Tusan S.A. clasifica sus instrumentos de patrimonio no cotizados como instrumentos de patrimonio en otro resultado integral,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no ha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Transformadores Tusan S.A. y subsidiaria.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Transformadores Tusan S.A. y subsidiaria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han establecido una matriz de provisiones que se basa en la experiencia histórica de pérdidas crediticias,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0" w:name="Section24"/>
      <w:bookmarkEnd w:id="40"/>
      <w:bookmarkStart w:id="41" w:name="52d52196d5274cfca4f92868a7fc42cf"/>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al método de precio medio ponderado (PMP).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los productos terminados, de los productos en proceso, como los costos de construcción de transformadores y el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2" w:name="Section25"/>
      <w:bookmarkEnd w:id="42"/>
      <w:bookmarkStart w:id="43" w:name="0ec265ebdfee43e29df6b7d3dc5915c9"/>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60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4" w:name="Section26"/>
      <w:bookmarkEnd w:id="44"/>
      <w:bookmarkStart w:id="45" w:name="65c82184041945a2b3d3b633e5d2e70f"/>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5"/>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6" w:name="Section27"/>
      <w:bookmarkEnd w:id="46"/>
      <w:bookmarkStart w:id="47" w:name="3190429784eb4b199aa1b5397ffb1d9b"/>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7"/>
    </w:p>
    <w:p>
      <w:pPr>
        <w:pStyle w:val="Normal-wk"/>
        <w:keepNext w:val="0"/>
        <w:keepLines/>
        <w:pageBreakBefore w:val="0"/>
        <w:widowControl w:val="0"/>
        <w:numPr>
          <w:ilvl w:val="0"/>
          <w:numId w:val="0"/>
        </w:numPr>
        <w:spacing w:before="0" w:after="0" w:line="240" w:lineRule="exact"/>
        <w:ind w:left="1416" w:right="0" w:firstLine="1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8" w:name="Section28"/>
      <w:bookmarkEnd w:id="48"/>
      <w:bookmarkStart w:id="49" w:name="a89d513537964f4fb4379a939ce6e2af"/>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0" w:name="Section29"/>
      <w:bookmarkEnd w:id="50"/>
      <w:bookmarkStart w:id="51" w:name="852e995243ac489ab45f36a8fed9b260"/>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obligaciones financieras se clasifican como pasivos corrientes a menos que la sociedad tenga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20"/>
        <w:jc w:val="both"/>
        <w:outlineLvl w:val="1"/>
        <w:rPr>
          <w:rFonts w:ascii="Times New Roman" w:eastAsia="Times New Roman" w:hAnsi="Times New Roman" w:cs="Times New Roman"/>
          <w:b/>
          <w:i w:val="0"/>
          <w:color w:val="000000"/>
          <w:sz w:val="24"/>
          <w:u w:val="none"/>
        </w:rPr>
      </w:pPr>
      <w:bookmarkStart w:id="52" w:name="Section30"/>
      <w:bookmarkEnd w:id="52"/>
      <w:bookmarkStart w:id="53" w:name="8d84b0ad3de34aea978d19e84dbbaf00"/>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 Sociedad y subsidiaria.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4" w:name="Section31"/>
      <w:bookmarkEnd w:id="54"/>
      <w:bookmarkStart w:id="55" w:name="d81dfcfe171e4ca4aaef3b815026a26c"/>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5"/>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constituyen pasivos por obligaciones por indemnizaciones por cese de servicios, en base a lo estipulado en los contratos colectivos e individuales del personal. Si este beneficio se encuentra pactado, la obligación se trata de acuerdo con NIC 19,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períodos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beneficios por cese que no califican con lo descrito en el punto 3.20.2.-se pagan cuando la relación laboral se interrumpe antes de la fecha normal de retiro o cuando un empleado acepta voluntariamente el cese a cambio de estos beneficios. Transformadores Tusan S.A. y subsidiaria reconocen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A poner fin a la relación laboral de empleados de acuerdo a un plan formal detallado sin posibilidad de renuncia;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tienen pactado en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ejercicios en los cuales ocurren. No son reciclados posteriormente.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56" w:name="Section32"/>
      <w:bookmarkEnd w:id="56"/>
      <w:bookmarkStart w:id="57" w:name="0533339eedb44d6d9e7921328964236d"/>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una provisión cuando está obligado contractualmente o cuando existe una práctica del pasado que ha creado una obligación asumida.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w:t>
      </w:r>
      <w:r>
        <w:rPr>
          <w:rFonts w:ascii="Calibri" w:eastAsia="Calibri" w:hAnsi="Calibri" w:cs="Calibri"/>
          <w:b w:val="0"/>
          <w:i w:val="0"/>
          <w:color w:val="000000"/>
          <w:sz w:val="20"/>
          <w:u w:val="none"/>
        </w:rPr>
        <w:t>litigios</w:t>
      </w:r>
      <w:r>
        <w:rPr>
          <w:rFonts w:ascii="Calibri" w:eastAsia="Calibri" w:hAnsi="Calibri" w:cs="Calibri"/>
          <w:b w:val="0"/>
          <w:i w:val="0"/>
          <w:color w:val="000000"/>
          <w:sz w:val="20"/>
          <w:u w:val="none"/>
        </w:rPr>
        <w:t xml:space="preserve">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tienen una obligación presente, ya sea legal o constructiva, como resultado de sucesos pasados;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 probable que vaya a ser necesaria una salida de recursos para liquidar la obligación;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7"/>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Transformadores Tusan S.A. y subsidiaria.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8" w:name="Section33"/>
      <w:bookmarkEnd w:id="58"/>
      <w:bookmarkStart w:id="59" w:name="3396d5d5c75343dcbe024ae398391c94"/>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0" w:name="Section34"/>
      <w:bookmarkEnd w:id="60"/>
      <w:bookmarkStart w:id="61" w:name="d3c8a3646e574ed4bb55efc3c5566330"/>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los ingresos cuando se han cumplido satisfactoriamente los pasos establecidos en la norma y es probable que los beneficios económicos futuros vayan a fluir a la entidad y se cumplen las condiciones específicas para cada una de las actividades de Transformadores Tusan S.A. y subsidiaria,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bienes incluyen por lo general una obligación de desempeño, por lo que el ingreso por ventas de bienes se registra en base a la facturación efectiva.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servicios de mantenimiento de equipos a clientes.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ingreso por servicios de mantenimiento de equipo a clientes consiste en la prestación de los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Estos servicios incluyen una obligación de desempeño, por lo que el ingreso por ventas se registra en base a la prestación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genera sus ingresos mediante la reparación y mantención de transformadores eléctricos, como también proporciona asesoría en el área de la ingeniería eléctrica, realizando mediciones de diversa índole, y montaje de proyectos de ingeniería. Estos servicios incluyen una obligación de desempeño, por lo que el ingreso por ventas de estos servicios se registra en base a la prestación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2" w:name="Section35"/>
      <w:bookmarkEnd w:id="62"/>
      <w:bookmarkStart w:id="63" w:name="d871f499e9e84486b80af655f0c0d38b"/>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3"/>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sz w:val="20"/>
        </w:rPr>
      </w:pPr>
      <w:r>
        <w:rPr>
          <w:rFonts w:ascii="Calibri" w:eastAsia="Calibri" w:hAnsi="Calibri" w:cs="Calibri"/>
          <w:b w:val="0"/>
          <w:i w:val="0"/>
          <w:sz w:val="20"/>
        </w:rPr>
        <w:t>3.24.1.-</w:t>
      </w:r>
      <w:r>
        <w:rPr>
          <w:rFonts w:ascii="Calibri" w:eastAsia="Calibri" w:hAnsi="Calibri" w:cs="Calibri"/>
          <w:b w:val="0"/>
          <w:i w:val="0"/>
          <w:sz w:val="20"/>
        </w:rPr>
        <w:tab/>
      </w:r>
      <w:r>
        <w:rPr>
          <w:rFonts w:ascii="Calibri" w:eastAsia="Calibri" w:hAnsi="Calibri" w:cs="Calibri"/>
          <w:b w:val="0"/>
          <w:i w:val="0"/>
          <w:color w:val="000000"/>
          <w:sz w:val="20"/>
          <w:u w:val="none"/>
        </w:rPr>
        <w:t>Cuando</w:t>
      </w:r>
      <w:r>
        <w:rPr>
          <w:rFonts w:ascii="Calibri" w:eastAsia="Calibri" w:hAnsi="Calibri" w:cs="Calibri"/>
          <w:b w:val="0"/>
          <w:i w:val="0"/>
          <w:sz w:val="20"/>
        </w:rPr>
        <w:t xml:space="preserve"> una entidad de Transformadores Tusan S.A. es el arrendatario.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Para los arrendamien</w:t>
      </w:r>
      <w:r>
        <w:rPr>
          <w:rFonts w:ascii="Calibri" w:eastAsia="Calibri" w:hAnsi="Calibri" w:cs="Calibri"/>
          <w:b w:val="0"/>
          <w:i w:val="0"/>
          <w:color w:val="000000"/>
          <w:sz w:val="20"/>
          <w:u w:val="none"/>
        </w:rPr>
        <w:t>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período de arrendamiento de forma que se obtenga una tasa periódica constante de interés sobre el saldo restante del pasivo para cada período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Transformadores Tusan S.A.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y subsidiaria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caso de los arrendamientos operativos, los pagos por arrendamiento se reconocen como ingreso de forma lineal durante el plazo del mismo.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Arriendos de ciertos elementos de propiedad, planta y equipo a sus clientes,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arrendados a terceros bajo contratos de arrendamiento operativo se incluyen dentro del rubro de propiedades, planta y equipos o en propiedades de inversión según corresponda.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4" w:name="Section36"/>
      <w:bookmarkEnd w:id="64"/>
      <w:bookmarkStart w:id="65" w:name="453515f3407745be9da62e2f17f7b469"/>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dividendos a pagar a los accionistas de Transformadores Tusan S.A. y subsidiaria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6" w:name="Section37"/>
      <w:bookmarkEnd w:id="66"/>
      <w:bookmarkStart w:id="67" w:name="42b0e2f6c8f84bfcba32b75197e86afd"/>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ventas incluyen el costo de adquisición de las materias primas, insumos y servicios necesarios para el desarrollo de los negocios de fabricación, reparación, mantención de transformadores y servicios de verificación, calibración y lectura de toda clase de equipos de medición,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8" w:name="Section38"/>
      <w:bookmarkEnd w:id="68"/>
      <w:bookmarkStart w:id="69" w:name="30f21018b02a43e49074a56b2d292e92"/>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bookmarkEnd w:id="6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y subsidiaria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pStyle w:val="Normal-wk"/>
        <w:keepNext w:val="0"/>
        <w:keepLines/>
        <w:pageBreakBefore w:val="0"/>
        <w:widowControl w:val="0"/>
        <w:numPr>
          <w:ilvl w:val="0"/>
          <w:numId w:val="0"/>
        </w:numPr>
        <w:spacing w:before="0" w:after="0" w:line="240" w:lineRule="exact"/>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70" w:name="Section39"/>
      <w:bookmarkEnd w:id="70"/>
      <w:bookmarkStart w:id="71" w:name="1ed46ce31a5b4412897a507db8b14a12"/>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1"/>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29 de agosto de 2024, la Sociedad firmó un contrato de crédito con el controlador CGE Transmisión S.A. Mediante este contrato el acreedor puso a disposición de la sociedad un préstamo intercompañía por un monto de M$ 9.000.000, el cual devengará una tasa de interés anual equivalente a la TAB nominal de 90 días más un spread de 119 bps. La tasa de interés se ajustará trimestralmente. Los intereses ordinarios devengados se pagarán trimestralmente los días 10 de noviembre, 10 de febrero, 10 de mayo y 10 de agosto de cada año. El préstamo tiene fecha de vencimiento el 10 de agosto de 2026. Con fecha 11 de agosto de 2025 se amortizó capital por M$ 3.000.000.</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tiene como política informar todas las transacciones que efectúa con partes relacionadas durante el período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pStyle w:val="Normal-wk"/>
        <w:keepNext w:val="0"/>
        <w:keepLines/>
        <w:pageBreakBefore w:val="0"/>
        <w:widowControl w:val="0"/>
        <w:numPr>
          <w:ilvl w:val="0"/>
          <w:numId w:val="0"/>
        </w:numPr>
        <w:spacing w:before="0" w:after="0" w:line="240" w:lineRule="exact"/>
        <w:ind w:left="709"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2" w:name="Section40"/>
      <w:bookmarkEnd w:id="72"/>
      <w:bookmarkStart w:id="73" w:name="f45f45a67fc74544913d4925b6ae91f3"/>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3"/>
    </w:p>
    <w:p>
      <w:pPr>
        <w:pStyle w:val="Normal-wk"/>
        <w:keepNext w:val="0"/>
        <w:keepLines/>
        <w:pageBreakBefore w:val="0"/>
        <w:widowControl w:val="0"/>
        <w:numPr>
          <w:ilvl w:val="0"/>
          <w:numId w:val="0"/>
        </w:numPr>
        <w:tabs>
          <w:tab w:val="left" w:pos="700"/>
        </w:tabs>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ab/>
      </w:r>
      <w:r>
        <w:rPr>
          <w:rFonts w:ascii="Calibri" w:eastAsia="Calibri" w:hAnsi="Calibri" w:cs="Calibri"/>
          <w:b w:val="0"/>
          <w:i w:val="0"/>
          <w:color w:val="000000"/>
          <w:sz w:val="20"/>
          <w:u w:val="none"/>
        </w:rPr>
        <w:t>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355"/>
        <w:gridCol w:w="600"/>
        <w:gridCol w:w="1905"/>
        <w:gridCol w:w="1095"/>
        <w:gridCol w:w="100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35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35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342.111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3.094.590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1.413.066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 xml:space="preserve">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38.173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57.529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10.906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4.994.080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776" w:right="0" w:hanging="35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325"/>
        <w:gridCol w:w="600"/>
        <w:gridCol w:w="1905"/>
        <w:gridCol w:w="1095"/>
        <w:gridCol w:w="1005"/>
        <w:gridCol w:w="705"/>
        <w:gridCol w:w="900"/>
        <w:gridCol w:w="900"/>
        <w:gridCol w:w="900"/>
        <w:gridCol w:w="900"/>
      </w:tblGrid>
      <w:tr>
        <w:tblPrEx>
          <w:tblW w:w="1212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2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32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2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32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1.043.650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propiedades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Obligaciones en relacionada CP</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Mas de un año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6.052.346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19.834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9.797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Asesorías recibidas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146.235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6.357.359-0</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Guillermo Hayes Morales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Más de 120 días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5.333.806-2</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Erich Gruttner Grimal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Más de 120 días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52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7.290.626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pStyle w:val="Normal-wk"/>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95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400"/>
        <w:gridCol w:w="825"/>
        <w:gridCol w:w="1005"/>
        <w:gridCol w:w="1995"/>
        <w:gridCol w:w="705"/>
        <w:gridCol w:w="1005"/>
        <w:gridCol w:w="1005"/>
        <w:gridCol w:w="1005"/>
        <w:gridCol w:w="1005"/>
      </w:tblGrid>
      <w:tr>
        <w:tblPrEx>
          <w:tblW w:w="11955" w:type="dxa"/>
          <w:tblInd w:w="1417" w:type="dxa"/>
          <w:tblLayout w:type="fixed"/>
        </w:tblPrEx>
        <w:trPr>
          <w:cantSplit/>
          <w:trHeight w:hRule="auto" w:val="0"/>
          <w:tblHeader/>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8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201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201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82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99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810.929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810.929</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préstamo recibido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294.385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(294.385)</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Préstamo recibido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Obligaciones en Relacionadas CP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19.615.412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19.615.412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(cargos)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8.835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(abonos)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pagados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cobrados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23.243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23.243</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(15.211)</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recibidos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(11.999)</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Arriendos de oficinas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23.182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(23.182)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Prestamos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recibidos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164.742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164.742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Asociada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Asesorías recibidas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110.403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(110.403)</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Arriendos de oficina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24"/>
          <w:footerReference w:type="default" r:id="rId25"/>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4" w:name="Section41"/>
      <w:bookmarkEnd w:id="74"/>
      <w:bookmarkStart w:id="75" w:name="9530df90b4f1453e94efb33b59c32c65"/>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5"/>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de Transformadores Tusan S.A. lo componen tres miembros, los cuales permanecen por un período de 3 años en sus funciones, pudiendo estos reelegirse.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0" w:right="0" w:firstLine="0"/>
        <w:jc w:val="both"/>
        <w:outlineLvl w:val="9"/>
        <w:rPr>
          <w:rFonts w:ascii="Times New Roman" w:eastAsia="Times New Roman" w:hAnsi="Times New Roman" w:cs="Times New Roman"/>
          <w:b w:val="0"/>
          <w:i w:val="0"/>
          <w:color w:val="000000"/>
          <w:sz w:val="24"/>
          <w:u w:val="none"/>
        </w:rPr>
      </w:pPr>
      <w:r>
        <w:rPr>
          <w:rFonts w:ascii="Calibri" w:eastAsia="Calibri" w:hAnsi="Calibri" w:cs="Calibri"/>
          <w:b w:val="0"/>
          <w:i w:val="0"/>
          <w:sz w:val="20"/>
        </w:rPr>
        <w:t>Con fecha 28 de febrero de 2024, renuncia como director el señor Álvaro Castillo Aguilera. En su reemplazo asume el señor Eduardo Guerra Bahamondes.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sz w:val="20"/>
        </w:rPr>
      </w:pPr>
      <w:r>
        <w:rPr>
          <w:rFonts w:ascii="Calibri" w:eastAsia="Calibri" w:hAnsi="Calibri" w:cs="Calibri"/>
          <w:b w:val="0"/>
          <w:i w:val="0"/>
          <w:sz w:val="20"/>
        </w:rPr>
        <w:t>Con fecha 25 abril de 2025 asumió como director el señor Oscar Facusse.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al 31 de diciembre de 2024 se componía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tbl>
      <w:tblPr>
        <w:tblW w:w="6690"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555"/>
        <w:gridCol w:w="435"/>
        <w:gridCol w:w="2700"/>
      </w:tblGrid>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Matías Hepp Valenzuela</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Eduardo Guerra Bahamondes</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Huang Chunguang</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bl>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al 31 de diciembre de 2025 se compone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tbl>
      <w:tblPr>
        <w:tblW w:w="6690"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555"/>
        <w:gridCol w:w="435"/>
        <w:gridCol w:w="2700"/>
      </w:tblGrid>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Zhang Zhengkai</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Matías Hepp Valenzuela</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Vicepresidente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Oscar Facusse Ledermann</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bl>
    <w:p>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equipo gerencial de la Sociedad lo componen un Gerente General, un Gerente de Operaciones y un Subgerente de Certificación.</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Según lo establecido en el Artículo N° 33 de la Ley N° 18.046 sobre Sociedades Anónimas, la Junta Ordinaria de Accionistas de la Sociedad, celebrada con fecha 11 de abril de 2021 acordó no remunerar a los directores de la Sociedad. La Junta de Accionistas de la subsidiaria también toma el mismo acuerdo de no remunerar a sus directores.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con cargo a resultados del equipo gerencial de la sociedad ascienden a     M$ 472.265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M$ 543.240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sectPr>
      <w:headerReference w:type="default" r:id="rId26"/>
      <w:footerReference w:type="default" r:id="rId27"/>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400"/>
      </w:tabs>
      <w:spacing w:before="0" w:after="0" w:line="240" w:lineRule="exact"/>
      <w:ind w:left="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notas adjuntas forman parte integral de estos estados financieros resumidos consolidados.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resumidos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4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resumidos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15</w:t>
    </w:r>
    <w:r>
      <w:rPr>
        <w:rFonts w:ascii="Calibri" w:eastAsia="Calibri" w:hAnsi="Calibri" w:cs="Calibri"/>
        <w:b w:val="0"/>
        <w:i w:val="0"/>
        <w:color w:val="000000"/>
        <w:sz w:val="20"/>
        <w:u w:val="none"/>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16</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277" w:right="277" w:firstLine="72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27</w:t>
    </w:r>
    <w:r>
      <w:rPr>
        <w:rFonts w:ascii="Calibri" w:eastAsia="Calibri" w:hAnsi="Calibri" w:cs="Calibri"/>
        <w:b w:val="0"/>
        <w:i w:val="0"/>
        <w:color w:val="000000"/>
        <w:sz w:val="20"/>
        <w:u w:val="none"/>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29</w:t>
    </w:r>
    <w:r>
      <w:rPr>
        <w:rFonts w:ascii="Calibri" w:eastAsia="Calibri" w:hAnsi="Calibri" w:cs="Calibri"/>
        <w:b w:val="0"/>
        <w:i w:val="0"/>
        <w:color w:val="000000"/>
        <w:sz w:val="20"/>
        <w:u w:val="none"/>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30</w:t>
    </w:r>
    <w:r>
      <w:rPr>
        <w:rFonts w:ascii="Calibri" w:eastAsia="Calibri" w:hAnsi="Calibri" w:cs="Calibri"/>
        <w:b w:val="0"/>
        <w:i w:val="0"/>
        <w:color w:val="000000"/>
        <w:sz w:val="20"/>
        <w:u w:val="none"/>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3600" w:right="0" w:firstLine="72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47.38pt;height:59.53pt">
          <v:imagedata r:id="rId1" o:title=""/>
          <o:lock v:ext="edit" aspectratio="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9.xml" /><Relationship Id="rId22" Type="http://schemas.openxmlformats.org/officeDocument/2006/relationships/header" Target="header9.xml" /><Relationship Id="rId23" Type="http://schemas.openxmlformats.org/officeDocument/2006/relationships/footer" Target="footer10.xml" /><Relationship Id="rId24" Type="http://schemas.openxmlformats.org/officeDocument/2006/relationships/header" Target="header10.xml" /><Relationship Id="rId25" Type="http://schemas.openxmlformats.org/officeDocument/2006/relationships/footer" Target="footer11.xml" /><Relationship Id="rId26" Type="http://schemas.openxmlformats.org/officeDocument/2006/relationships/header" Target="header11.xml" /><Relationship Id="rId27" Type="http://schemas.openxmlformats.org/officeDocument/2006/relationships/footer" Target="footer12.xml"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image" Target="media/image2.png"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32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E514 (ESP) - EE.FF 06-2026  - Transformadores Tusan S.A. Resumido Final</dc:title>
  <cp:revision>1</cp:revision>
</cp:coreProperties>
</file>