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bookmarkStart w:id="0" w:name="Section1"/>
      <w:bookmarkEnd w:id="0"/>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rsidR="00A77B3E">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i w:val="0"/>
          <w:color w:val="000000"/>
          <w:sz w:val="28"/>
          <w:u w:val="none"/>
        </w:rPr>
        <w:t>CONTENIDO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Normal-wk"/>
        <w:keepNext w:val="0"/>
        <w:keepLines/>
        <w:pageBreakBefore w:val="0"/>
        <w:widowControl w:val="0"/>
        <w:numPr>
          <w:ilvl w:val="0"/>
          <w:numId w:val="13"/>
        </w:numPr>
        <w:spacing w:before="0" w:after="0" w:line="288" w:lineRule="auto"/>
        <w:ind w:left="720"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ESTADOS FINANCIEROS CONSOLIDADOS.</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spacing w:before="0" w:after="0" w:line="240" w:lineRule="exact"/>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SITUACIÓN FINANCIERA CLASIFICADO.</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y pasivos.</w:t>
      </w:r>
    </w:p>
    <w:p w:rsidR="00A77B3E">
      <w:pPr>
        <w:pStyle w:val="Normal-wk"/>
        <w:keepNext w:val="0"/>
        <w:keepLines/>
        <w:pageBreakBefore w:val="0"/>
        <w:widowControl w:val="0"/>
        <w:numPr>
          <w:ilvl w:val="0"/>
          <w:numId w:val="0"/>
        </w:numPr>
        <w:spacing w:before="0" w:after="0" w:line="240" w:lineRule="exact"/>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RESULTADOS POR FUNCIÓN.</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RESULTADO INTEGRAL.</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CAMBIOS EN EL PATRIMONIO NETO.</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FLUJO DE EFECTIVO DIRECTO.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3"/>
        </w:numPr>
        <w:spacing w:before="0" w:after="0" w:line="288" w:lineRule="auto"/>
        <w:ind w:left="720"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NOTAS A LOS ESTADOS FINANCIEROS CONSOLIDADOS.</w:t>
      </w:r>
    </w:p>
    <w:p w:rsidR="00A77B3E">
      <w:pPr>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4"/>
          <w:u w:val="none"/>
        </w:rPr>
      </w:pPr>
    </w:p>
    <w:p w:rsidR="00A77B3E">
      <w:pPr>
        <w:pStyle w:val="Normal-wk"/>
        <w:keepNext w:val="0"/>
        <w:keepLines/>
        <w:pageBreakBefore w:val="0"/>
        <w:widowControl w:val="0"/>
        <w:numPr>
          <w:ilvl w:val="0"/>
          <w:numId w:val="0"/>
        </w:numPr>
        <w:tabs>
          <w:tab w:val="left" w:pos="700"/>
        </w:tabs>
        <w:spacing w:before="0" w:after="0" w:line="288" w:lineRule="auto"/>
        <w:ind w:left="108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4"/>
          <w:u w:val="none"/>
        </w:rPr>
        <w:tab/>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rsidR="00A77B3E">
      <w:pPr>
        <w:pStyle w:val="Normal-wk"/>
        <w:keepNext w:val="0"/>
        <w:keepLines/>
        <w:pageBreakBefore w:val="0"/>
        <w:widowControl w:val="0"/>
        <w:numPr>
          <w:ilvl w:val="0"/>
          <w:numId w:val="0"/>
        </w:numPr>
        <w:tabs>
          <w:tab w:val="left" w:pos="700"/>
        </w:tabs>
        <w:spacing w:before="0" w:after="0" w:line="240" w:lineRule="exact"/>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EUR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Euro.</w:t>
      </w:r>
    </w:p>
    <w:p w:rsidR="00A77B3E">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709"/>
        <w:jc w:val="both"/>
        <w:outlineLvl w:val="9"/>
        <w:sectPr>
          <w:headerReference w:type="default" r:id="rId4"/>
          <w:footerReference w:type="default" r:id="rId5"/>
          <w:headerReference w:type="first" r:id="rId6"/>
          <w:footerReference w:type="first" r:id="rId7"/>
          <w:type w:val="continuous"/>
          <w:pgSz w:w="12240" w:h="15840"/>
          <w:pgMar w:top="1134" w:right="1134" w:bottom="1134" w:left="1134" w:header="560" w:footer="425" w:gutter="0"/>
          <w:cols w:space="708"/>
          <w:titlePg/>
          <w:docGrid w:linePitch="360"/>
        </w:sect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bookmarkStart w:id="1" w:name="Section2"/>
      <w:bookmarkEnd w:id="1"/>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val="0"/>
          <w:i w:val="0"/>
          <w:color w:val="000000"/>
          <w:sz w:val="30"/>
          <w:u w:val="none"/>
        </w:rPr>
        <w:t>Estados Financieros Consolidados</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30"/>
          <w:u w:val="none"/>
        </w:rPr>
        <w:t>TRANSFORMADORES TUSAN S.A. Y SUBSIDIARIA</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r>
        <w:rPr>
          <w:rFonts w:ascii="Arial" w:eastAsia="Arial" w:hAnsi="Arial" w:cs="Arial"/>
          <w:b w:val="0"/>
          <w:i w:val="0"/>
          <w:color w:val="000000"/>
          <w:sz w:val="30"/>
          <w:u w:val="none"/>
        </w:rPr>
        <w:t>30 de junio de 2026 y 2025</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center"/>
        <w:outlineLvl w:val="9"/>
        <w:rPr>
          <w:rFonts w:ascii="Arial" w:eastAsia="Arial" w:hAnsi="Arial" w:cs="Arial"/>
          <w:b w:val="0"/>
          <w:i w:val="0"/>
          <w:sz w:val="30"/>
        </w:rPr>
      </w:pPr>
    </w:p>
    <w:p>
      <w:pPr>
        <w:keepNext w:val="0"/>
        <w:keepLines/>
        <w:pageBreakBefore w:val="0"/>
        <w:widowControl w:val="0"/>
        <w:numPr>
          <w:ilvl w:val="0"/>
          <w:numId w:val="0"/>
        </w:numPr>
        <w:spacing w:before="0" w:after="0" w:line="288" w:lineRule="auto"/>
        <w:ind w:left="0" w:right="0" w:firstLine="0"/>
        <w:jc w:val="center"/>
        <w:outlineLvl w:val="9"/>
        <w:sectPr>
          <w:footerReference w:type="default" r:id="rId8"/>
          <w:pgSz w:w="12240" w:h="15840"/>
          <w:pgMar w:top="1134" w:right="1134" w:bottom="1134" w:left="1134" w:header="560" w:footer="0"/>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787.831</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42.363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4.334.868</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4.994.080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14.061.757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24.220.899</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53.552</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6.094.410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316.763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6.464.725</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30.685.624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SITUACIÓN FINANCIERA CLASIFICADO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9"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7.167.136</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7.290.626</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497.700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14.955.462</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923.945</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923.945</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15.879.407</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3.333.729</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11.320.179</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Primas de emisión.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954</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(503.167)</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atribuible a los propietarios de la controladora.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14.151.695</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Participaciones no controladoras.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654.522</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14.806.217</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30.685.624</w:t>
            </w:r>
          </w:p>
        </w:tc>
      </w:tr>
    </w:tbl>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RESULTADOS POR FUNCIÓN</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9" o:title=""/>
            <o:lock v:ext="edit" aspectratio="t"/>
          </v:shape>
        </w:pict>
      </w:r>
    </w:p>
    <w:p>
      <w:pPr>
        <w:keepNext/>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55"/>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4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exact" w:val="255"/>
        </w:trPr>
        <w:tc>
          <w:tcPr>
            <w:tcW w:w="7080" w:type="dxa"/>
            <w:vMerge/>
            <w:tcBorders>
              <w:top w:val="nil"/>
              <w:left w:val="single" w:sz="2" w:space="0" w:color="000000"/>
              <w:bottom w:val="nil"/>
              <w:right w:val="nil"/>
            </w:tcBorders>
          </w:tcPr>
          <w:p>
            <w:pPr>
              <w:keepNext/>
              <w:pageBreakBefore w:val="0"/>
            </w:pPr>
          </w:p>
        </w:tc>
        <w:tc>
          <w:tcPr>
            <w:tcW w:w="4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25"/>
        </w:trPr>
        <w:tc>
          <w:tcPr>
            <w:tcW w:w="7080" w:type="dxa"/>
            <w:vMerge/>
            <w:tcBorders>
              <w:top w:val="nil"/>
              <w:left w:val="single" w:sz="2" w:space="0" w:color="000000"/>
              <w:bottom w:val="single" w:sz="2" w:space="0" w:color="000000"/>
              <w:right w:val="nil"/>
            </w:tcBorders>
          </w:tcPr>
          <w:p>
            <w:pPr>
              <w:keepNext/>
              <w:pageBreakBefore w:val="0"/>
            </w:pPr>
          </w:p>
        </w:tc>
        <w:tc>
          <w:tcPr>
            <w:tcW w:w="4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26.343.149</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(21.606.077)</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4.737.072</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(2.194.505)</w:t>
            </w:r>
          </w:p>
        </w:tc>
      </w:tr>
      <w:tr>
        <w:tblPrEx>
          <w:tblW w:w="996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5.626</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2.548.193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24.323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(355.713)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(6.300)</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1.679</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2.212.182</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(441.963)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1.770.219</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 los propietarios de la controladora.</w:t>
            </w:r>
          </w:p>
        </w:tc>
        <w:tc>
          <w:tcPr>
            <w:tcW w:w="48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1.744.928</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atribuible a participaciones no controladoras.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25.291</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1.770.219</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por acción</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17.449.280,00</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17.449.280,00</w:t>
            </w:r>
          </w:p>
        </w:tc>
      </w:tr>
    </w:tbl>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tabs>
          <w:tab w:val="left" w:pos="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RESULTADO INTEGRAL</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9"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auto" w:val="0"/>
          <w:tblHeader/>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4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80" w:type="dxa"/>
            <w:vMerge/>
            <w:tcBorders>
              <w:top w:val="nil"/>
              <w:left w:val="single" w:sz="2" w:space="0" w:color="000000"/>
              <w:bottom w:val="nil"/>
              <w:right w:val="nil"/>
            </w:tcBorders>
          </w:tcPr>
          <w:p>
            <w:pPr>
              <w:keepNext/>
              <w:pageBreakBefore w:val="0"/>
            </w:pPr>
          </w:p>
        </w:tc>
        <w:tc>
          <w:tcPr>
            <w:tcW w:w="4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80" w:type="dxa"/>
            <w:vMerge/>
            <w:tcBorders>
              <w:top w:val="nil"/>
              <w:left w:val="single" w:sz="2" w:space="0" w:color="000000"/>
              <w:bottom w:val="single" w:sz="2" w:space="0" w:color="000000"/>
              <w:right w:val="nil"/>
            </w:tcBorders>
          </w:tcPr>
          <w:p>
            <w:pPr>
              <w:keepNext/>
              <w:pageBreakBefore w:val="0"/>
            </w:pPr>
          </w:p>
        </w:tc>
        <w:tc>
          <w:tcPr>
            <w:tcW w:w="4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1.770.219</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79.226</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 que no se reclasificarán al resultado del período, antes de impuestos.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79.226</w:t>
            </w:r>
          </w:p>
        </w:tc>
      </w:tr>
      <w:tr>
        <w:tblPrEx>
          <w:tblW w:w="9960" w:type="dxa"/>
          <w:tblInd w:w="0" w:type="dxa"/>
          <w:tblLayout w:type="fixed"/>
        </w:tblPrEx>
        <w:trPr>
          <w:cantSplit/>
          <w:trHeight w:hRule="auto" w:val="0"/>
        </w:trPr>
        <w:tc>
          <w:tcPr>
            <w:tcW w:w="7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 antes de impuestos, coberturas de inversiones netas en negocios en el extranjero.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nil"/>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Participación de otro resultado integral de asociadas y negocios conjuntos contabilizados utilizando el método de la participación que se reclasificará al resultado del periodo, antes de impuestos.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Otro resultado integral que se reclasificará al resultado de periodo, antes de impuestos.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componentes de otro resultado integral, antes de impuestos.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79.226</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 a las ganancias relacionado con componentes de otro resultado integral que no se reclasificarán a resultado del período.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(21.391)</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Impuestos a las ganancias relativos a componentes de otro resultado integral que no se reclasificará al resultado del periodo.</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(21.391)</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Impuestos a las ganancias relativos a la participación de otro resultado integral de asociadas y negocios conjuntos contabilizados utilizando el método de la participación que no se reclasificará al resultado del periodo.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Impuestos a las ganancias relativos a componentes de otro resultado integral que se reclasificará al resultado del periodo.</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diferencias de cambio de conversión de otro resultado integral.</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coberturas de flujos de efectivo de otro resultado integral.</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relativos a coberturas de inversiones netas en negocios en el extranjero de otro resultado integral.</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se reclasificará al resultado del periodo.</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relativos a la participación de otro resultado integral de asociadas y negocios conjuntos contabilizados utilizando el método de la participación que se reclasificará al resultado del periodo.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57.835</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1.828.054</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 los propietarios de la controladora.</w:t>
            </w:r>
          </w:p>
        </w:tc>
        <w:tc>
          <w:tcPr>
            <w:tcW w:w="48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1.802.763</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 integral atribuible a participaciones no controladoras.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25.291</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resultado integral.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1.828.054</w:t>
            </w:r>
          </w:p>
        </w:tc>
      </w:tr>
    </w:tbl>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0"/>
          <w:footerReference w:type="default" r:id="rId11"/>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 id="_x0000_i1029" type="#_x0000_t75" style="width:677.48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gridCol w:w="1095"/>
      </w:tblGrid>
      <w:tr>
        <w:tblPrEx>
          <w:tblW w:w="13560"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Primas de emisión</w:t>
            </w:r>
          </w:p>
        </w:tc>
        <w:tc>
          <w:tcPr>
            <w:tcW w:w="328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560"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560"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3.333.729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(230.713)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(272.454)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(503.167)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11.320.179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14.151.695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651.041</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14.802.736</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(12.373)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(12.373)</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(12.373)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(4.173)</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3.333.729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(222.513)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(272.454)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(494.967)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11.320.179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14.159.895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638.668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14.798.563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r>
        <w:rPr>
          <w:rFonts w:ascii="Calibri" w:eastAsia="Calibri" w:hAnsi="Calibri" w:cs="Calibri"/>
          <w:b/>
          <w:i w:val="0"/>
          <w:sz w:val="20"/>
        </w:rPr>
        <w:t>(Expresados en miles de pesos chilenos (M$))</w:t>
      </w:r>
      <w:r>
        <w:pict>
          <v:shape id="_x0000_i1030" type="#_x0000_t75" style="width:677.48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gridCol w:w="1095"/>
      </w:tblGrid>
      <w:tr>
        <w:tblPrEx>
          <w:tblW w:w="13560"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Primas de emisión</w:t>
            </w:r>
          </w:p>
        </w:tc>
        <w:tc>
          <w:tcPr>
            <w:tcW w:w="328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560"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560"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3.333.729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(289.435)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(272.454)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(561.889)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9.622.714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12.395.508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663.113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13.058.621</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1.744.928</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1.744.928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25.291</w:t>
            </w: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1.770.219</w:t>
            </w: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57.835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1.744.928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1.802.763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25.291</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1.828.054</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(760.577)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(760.577)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(37.364)</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(797.940)</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57.835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984.351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1.042.186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(12.073)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1.030.114</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3.333.729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(231.600)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(272.454)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(504.054)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10.607.065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13.437.694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651.041</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14.088.735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
        </w:rPr>
        <w:sectPr>
          <w:headerReference w:type="default" r:id="rId12"/>
          <w:footerReference w:type="default" r:id="rId13"/>
          <w:type w:val="continuous"/>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FLUJOS DE EFECTIVO DIRECTO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35"/>
        <w:gridCol w:w="525"/>
        <w:gridCol w:w="1200"/>
        <w:gridCol w:w="1200"/>
      </w:tblGrid>
      <w:tr>
        <w:tblPrEx>
          <w:tblW w:w="9960" w:type="dxa"/>
          <w:tblInd w:w="0" w:type="dxa"/>
          <w:tblLayout w:type="fixed"/>
        </w:tblPrEx>
        <w:trPr>
          <w:cantSplit/>
          <w:trHeight w:hRule="auto" w:val="0"/>
          <w:tblHeader/>
        </w:trPr>
        <w:tc>
          <w:tcPr>
            <w:tcW w:w="70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5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35" w:type="dxa"/>
            <w:vMerge/>
            <w:tcBorders>
              <w:top w:val="nil"/>
              <w:left w:val="single" w:sz="2" w:space="0" w:color="000000"/>
              <w:bottom w:val="nil"/>
              <w:right w:val="nil"/>
            </w:tcBorders>
          </w:tcPr>
          <w:p>
            <w:pPr>
              <w:keepNext/>
              <w:pageBreakBefore w:val="0"/>
            </w:pPr>
          </w:p>
        </w:tc>
        <w:tc>
          <w:tcPr>
            <w:tcW w:w="5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35" w:type="dxa"/>
            <w:vMerge/>
            <w:tcBorders>
              <w:top w:val="nil"/>
              <w:left w:val="single" w:sz="2" w:space="0" w:color="000000"/>
              <w:bottom w:val="single" w:sz="2" w:space="0" w:color="000000"/>
              <w:right w:val="nil"/>
            </w:tcBorders>
          </w:tcPr>
          <w:p>
            <w:pPr>
              <w:keepNext/>
              <w:pageBreakBefore w:val="0"/>
            </w:pPr>
          </w:p>
        </w:tc>
        <w:tc>
          <w:tcPr>
            <w:tcW w:w="5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52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34.085.762</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cobros por actividades de operación.</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(23.671.153)</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(3.057.357)</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(1.275.563)</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(258.168)</w:t>
            </w:r>
          </w:p>
        </w:tc>
      </w:tr>
      <w:tr>
        <w:tblPrEx>
          <w:tblW w:w="9960" w:type="dxa"/>
          <w:tblInd w:w="0" w:type="dxa"/>
          <w:tblLayout w:type="fixed"/>
        </w:tblPrEx>
        <w:trPr>
          <w:cantSplit/>
          <w:trHeight w:hRule="exact" w:val="255"/>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(340)</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5.823.181</w:t>
            </w:r>
          </w:p>
        </w:tc>
      </w:tr>
      <w:tr>
        <w:tblPrEx>
          <w:tblW w:w="9960" w:type="dxa"/>
          <w:tblInd w:w="0" w:type="dxa"/>
          <w:tblLayout w:type="fixed"/>
        </w:tblPrEx>
        <w:trPr>
          <w:cantSplit/>
          <w:trHeight w:hRule="auto" w:val="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(679.104)</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23.243</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(5.610.269)</w:t>
            </w:r>
          </w:p>
        </w:tc>
      </w:tr>
      <w:tr>
        <w:tblPrEx>
          <w:tblW w:w="9960" w:type="dxa"/>
          <w:tblInd w:w="0" w:type="dxa"/>
          <w:tblLayout w:type="fixed"/>
        </w:tblPrEx>
        <w:trPr>
          <w:cantSplit/>
          <w:trHeight w:hRule="auto" w:val="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de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147</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préstamos de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(8.834)</w:t>
            </w:r>
          </w:p>
        </w:tc>
      </w:tr>
      <w:tr>
        <w:tblPrEx>
          <w:tblW w:w="9960" w:type="dxa"/>
          <w:tblInd w:w="0" w:type="dxa"/>
          <w:tblLayout w:type="fixed"/>
        </w:tblPrEx>
        <w:trPr>
          <w:cantSplit/>
          <w:trHeight w:hRule="exact" w:val="255"/>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(1.966.685)</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(297.002)</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(2.919)</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5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(2.275.293)</w:t>
            </w:r>
          </w:p>
        </w:tc>
      </w:tr>
      <w:tr>
        <w:tblPrEx>
          <w:tblW w:w="9960" w:type="dxa"/>
          <w:tblInd w:w="0" w:type="dxa"/>
          <w:tblLayout w:type="fixed"/>
        </w:tblPrEx>
        <w:trPr>
          <w:cantSplit/>
          <w:trHeight w:hRule="auto" w:val="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 antes del efecto de los cambios en la tasa de cambio</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(2.062.381)</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Efectos de la variación en la tasa de cambio sobre el efectivo y equivalentes al efectivo.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(20.454)</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(2.082.835)</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3.324.140</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1.241.305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4"/>
          <w:footerReference w:type="default" r:id="rId15"/>
          <w:headerReference w:type="first" r:id="rId16"/>
          <w:footerReference w:type="first" r:id="rId17"/>
          <w:pgSz w:w="12240" w:h="15840"/>
          <w:pgMar w:top="1412" w:right="1134" w:bottom="1412" w:left="1134" w:header="0" w:footer="425"/>
          <w:cols w:space="708"/>
          <w:titlePg/>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ÍNDICE A LAS NOTAS DE LOS ESTADOS FINANCIEROS CONSOLIDADOS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9" o:title=""/>
            <o:lock v:ext="edit" aspectratio="t"/>
          </v:shape>
        </w:pict>
      </w: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ff641262a0f4c3b85a2fc2cd47f6b1e"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ff641262a0f4c3b85a2fc2cd47f6b1e"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1f277b8df0846a0ac10680d7ce6ce7c" w:history="1">
              <w:r>
                <w:rPr>
                  <w:rFonts w:ascii="Calibri" w:eastAsia="Calibri" w:hAnsi="Calibri" w:cs="Calibri"/>
                  <w:b w:val="0"/>
                  <w:i w:val="0"/>
                  <w:color w:val="000000"/>
                  <w:sz w:val="20"/>
                  <w:u w:val="none"/>
                  <w:shd w:val="clear" w:color="auto" w:fill="auto"/>
                </w:rPr>
                <w:t>2.-</w:t>
                <w:tab/>
                <w:t>DESCRIPCIÓN DE LOS SECTORES DONDE PARTICIPA TRANSFORMADORES TUSAN S.A. Y SUBSIDIARIA.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1f277b8df0846a0ac10680d7ce6ce7c"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50e26e169c44c3b9f242bbf54ffdca5" w:history="1">
              <w:r>
                <w:rPr>
                  <w:rFonts w:ascii="Calibri" w:eastAsia="Calibri" w:hAnsi="Calibri" w:cs="Calibri"/>
                  <w:b w:val="0"/>
                  <w:i w:val="0"/>
                  <w:color w:val="000000"/>
                  <w:sz w:val="20"/>
                  <w:u w:val="none"/>
                  <w:shd w:val="clear" w:color="auto" w:fill="auto"/>
                </w:rPr>
                <w:t>2.1.-</w:t>
                <w:tab/>
                <w:t>Transformadores Tusan S.A.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50e26e169c44c3b9f242bbf54ffdca5"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cff659c751f4c529bcc8ceb714e51f1" w:history="1">
              <w:r>
                <w:rPr>
                  <w:rFonts w:ascii="Calibri" w:eastAsia="Calibri" w:hAnsi="Calibri" w:cs="Calibri"/>
                  <w:b w:val="0"/>
                  <w:i w:val="0"/>
                  <w:color w:val="000000"/>
                  <w:sz w:val="20"/>
                  <w:u w:val="none"/>
                  <w:shd w:val="clear" w:color="auto" w:fill="auto"/>
                </w:rPr>
                <w:t>2.2.-</w:t>
                <w:tab/>
                <w:t>Energy Sur Ingeniería S.A.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cff659c751f4c529bcc8ceb714e51f1"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7a0b407e546493ea0d7582e133b88dc" w:history="1">
              <w:r>
                <w:rPr>
                  <w:rFonts w:ascii="Calibri" w:eastAsia="Calibri" w:hAnsi="Calibri" w:cs="Calibri"/>
                  <w:b w:val="0"/>
                  <w:i w:val="0"/>
                  <w:color w:val="000000"/>
                  <w:sz w:val="20"/>
                  <w:u w:val="none"/>
                  <w:shd w:val="clear" w:color="auto" w:fill="auto"/>
                </w:rPr>
                <w:t>3.-</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7a0b407e546493ea0d7582e133b88dc"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f450bfdd7e24ec695c2aa856f0b0beb" w:history="1">
              <w:r>
                <w:rPr>
                  <w:rFonts w:ascii="Calibri" w:eastAsia="Calibri" w:hAnsi="Calibri" w:cs="Calibri"/>
                  <w:b w:val="0"/>
                  <w:i w:val="0"/>
                  <w:color w:val="000000"/>
                  <w:sz w:val="20"/>
                  <w:u w:val="none"/>
                  <w:shd w:val="clear" w:color="auto" w:fill="auto"/>
                </w:rPr>
                <w:t>3.1.-</w:t>
                <w:tab/>
                <w:t xml:space="preserve">Bases de preparación de los estados financieros consolidados.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f450bfdd7e24ec695c2aa856f0b0beb"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c512984655a46b8847d7f3161556740" w:history="1">
              <w:r>
                <w:rPr>
                  <w:rFonts w:ascii="Calibri" w:eastAsia="Calibri" w:hAnsi="Calibri" w:cs="Calibri"/>
                  <w:b w:val="0"/>
                  <w:i w:val="0"/>
                  <w:color w:val="000000"/>
                  <w:sz w:val="20"/>
                  <w:u w:val="none"/>
                  <w:shd w:val="clear" w:color="auto" w:fill="auto"/>
                </w:rPr>
                <w:t>3.2.-</w:t>
                <w:tab/>
                <w:t>Nuevos estándares, interpretaciones y enmiendas adoptadas por Transformadores Tusan S.A. y subsidiaria.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c512984655a46b8847d7f3161556740"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6f2783adb714709b327c7fcf65275e3" w:history="1">
              <w:r>
                <w:rPr>
                  <w:rFonts w:ascii="Calibri" w:eastAsia="Calibri" w:hAnsi="Calibri" w:cs="Calibri"/>
                  <w:b w:val="0"/>
                  <w:i w:val="0"/>
                  <w:color w:val="000000"/>
                  <w:sz w:val="20"/>
                  <w:u w:val="none"/>
                  <w:shd w:val="clear" w:color="auto" w:fill="auto"/>
                </w:rPr>
                <w:t>3.3.-</w:t>
                <w:tab/>
                <w:t>Nuevas normas, interpretaciones y enmiendas emitidas, no vigentes para el ejercicio 2025,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6f2783adb714709b327c7fcf65275e3"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fe629776b3f48099a894ef96b8b309e" w:history="1">
              <w:r>
                <w:rPr>
                  <w:rFonts w:ascii="Calibri" w:eastAsia="Calibri" w:hAnsi="Calibri" w:cs="Calibri"/>
                  <w:b w:val="0"/>
                  <w:i w:val="0"/>
                  <w:color w:val="000000"/>
                  <w:sz w:val="20"/>
                  <w:u w:val="none"/>
                  <w:shd w:val="clear" w:color="auto" w:fill="auto"/>
                </w:rPr>
                <w:t>3.4.-</w:t>
                <w:tab/>
                <w:t>Bases de consolidación.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fe629776b3f48099a894ef96b8b309e"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c579320722249dcbece0b30b8b365ea" w:history="1">
              <w:r>
                <w:rPr>
                  <w:rFonts w:ascii="Calibri" w:eastAsia="Calibri" w:hAnsi="Calibri" w:cs="Calibri"/>
                  <w:b w:val="0"/>
                  <w:i w:val="0"/>
                  <w:color w:val="000000"/>
                  <w:sz w:val="20"/>
                  <w:u w:val="none"/>
                  <w:shd w:val="clear" w:color="auto" w:fill="auto"/>
                </w:rPr>
                <w:t>3.5.-</w:t>
                <w:tab/>
                <w:t>Entidades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c579320722249dcbece0b30b8b365ea"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1c160d3e41540dcbcc87a12ad21d1f4" w:history="1">
              <w:r>
                <w:rPr>
                  <w:rFonts w:ascii="Calibri" w:eastAsia="Calibri" w:hAnsi="Calibri" w:cs="Calibri"/>
                  <w:b w:val="0"/>
                  <w:i w:val="0"/>
                  <w:color w:val="000000"/>
                  <w:sz w:val="20"/>
                  <w:u w:val="none"/>
                  <w:shd w:val="clear" w:color="auto" w:fill="auto"/>
                </w:rPr>
                <w:t>3.6.-</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1c160d3e41540dcbcc87a12ad21d1f4"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8715819a70f4e7e8e0051072db9ab72" w:history="1">
              <w:r>
                <w:rPr>
                  <w:rFonts w:ascii="Calibri" w:eastAsia="Calibri" w:hAnsi="Calibri" w:cs="Calibri"/>
                  <w:b w:val="0"/>
                  <w:i w:val="0"/>
                  <w:color w:val="000000"/>
                  <w:sz w:val="20"/>
                  <w:u w:val="none"/>
                  <w:shd w:val="clear" w:color="auto" w:fill="auto"/>
                </w:rPr>
                <w:t>3.7.-</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8715819a70f4e7e8e0051072db9ab72"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fd8d96d458a493086bc7db5dc7fa5f7" w:history="1">
              <w:r>
                <w:rPr>
                  <w:rFonts w:ascii="Calibri" w:eastAsia="Calibri" w:hAnsi="Calibri" w:cs="Calibri"/>
                  <w:b w:val="0"/>
                  <w:i w:val="0"/>
                  <w:color w:val="000000"/>
                  <w:sz w:val="20"/>
                  <w:u w:val="none"/>
                  <w:shd w:val="clear" w:color="auto" w:fill="auto"/>
                </w:rPr>
                <w:t>3.8.-</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fd8d96d458a493086bc7db5dc7fa5f7"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78ff089c9645489c0d0bf27f02f560" w:history="1">
              <w:r>
                <w:rPr>
                  <w:rFonts w:ascii="Calibri" w:eastAsia="Calibri" w:hAnsi="Calibri" w:cs="Calibri"/>
                  <w:b w:val="0"/>
                  <w:i w:val="0"/>
                  <w:color w:val="000000"/>
                  <w:sz w:val="20"/>
                  <w:u w:val="none"/>
                  <w:shd w:val="clear" w:color="auto" w:fill="auto"/>
                </w:rPr>
                <w:t>3.9.-</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78ff089c9645489c0d0bf27f02f560"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5a5f7c0b9e14ac5885615f763f6f009" w:history="1">
              <w:r>
                <w:rPr>
                  <w:rFonts w:ascii="Calibri" w:eastAsia="Calibri" w:hAnsi="Calibri" w:cs="Calibri"/>
                  <w:b w:val="0"/>
                  <w:i w:val="0"/>
                  <w:color w:val="000000"/>
                  <w:sz w:val="20"/>
                  <w:u w:val="none"/>
                  <w:shd w:val="clear" w:color="auto" w:fill="auto"/>
                </w:rPr>
                <w:t>3.10.-</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5a5f7c0b9e14ac5885615f763f6f009"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9e8eaf0b0f0428a80d4837ea2f978e5" w:history="1">
              <w:r>
                <w:rPr>
                  <w:rFonts w:ascii="Calibri" w:eastAsia="Calibri" w:hAnsi="Calibri" w:cs="Calibri"/>
                  <w:b w:val="0"/>
                  <w:i w:val="0"/>
                  <w:color w:val="000000"/>
                  <w:sz w:val="20"/>
                  <w:u w:val="none"/>
                  <w:shd w:val="clear" w:color="auto" w:fill="auto"/>
                </w:rPr>
                <w:t>3.11.-</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9e8eaf0b0f0428a80d4837ea2f978e5"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142d8e115c44fd69d4665caacdd3fe0" w:history="1">
              <w:r>
                <w:rPr>
                  <w:rFonts w:ascii="Calibri" w:eastAsia="Calibri" w:hAnsi="Calibri" w:cs="Calibri"/>
                  <w:b w:val="0"/>
                  <w:i w:val="0"/>
                  <w:color w:val="000000"/>
                  <w:sz w:val="20"/>
                  <w:u w:val="none"/>
                  <w:shd w:val="clear" w:color="auto" w:fill="auto"/>
                </w:rPr>
                <w:t>3.12.-</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142d8e115c44fd69d4665caacdd3fe0"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470f46e33a04b8992492faf7d3c3d43" w:history="1">
              <w:r>
                <w:rPr>
                  <w:rFonts w:ascii="Calibri" w:eastAsia="Calibri" w:hAnsi="Calibri" w:cs="Calibri"/>
                  <w:b w:val="0"/>
                  <w:i w:val="0"/>
                  <w:color w:val="000000"/>
                  <w:sz w:val="20"/>
                  <w:u w:val="none"/>
                  <w:shd w:val="clear" w:color="auto" w:fill="auto"/>
                </w:rPr>
                <w:t>3.13.-</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470f46e33a04b8992492faf7d3c3d43"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1a9f2b12f0941e4b03dee4534b3533e" w:history="1">
              <w:r>
                <w:rPr>
                  <w:rFonts w:ascii="Calibri" w:eastAsia="Calibri" w:hAnsi="Calibri" w:cs="Calibri"/>
                  <w:b w:val="0"/>
                  <w:i w:val="0"/>
                  <w:color w:val="000000"/>
                  <w:sz w:val="20"/>
                  <w:u w:val="none"/>
                  <w:shd w:val="clear" w:color="auto" w:fill="auto"/>
                </w:rPr>
                <w:t>3.14.-</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1a9f2b12f0941e4b03dee4534b3533e"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7313b4c0de14aa2902ab9b9f2d958bc" w:history="1">
              <w:r>
                <w:rPr>
                  <w:rFonts w:ascii="Calibri" w:eastAsia="Calibri" w:hAnsi="Calibri" w:cs="Calibri"/>
                  <w:b w:val="0"/>
                  <w:i w:val="0"/>
                  <w:color w:val="000000"/>
                  <w:sz w:val="20"/>
                  <w:u w:val="none"/>
                  <w:shd w:val="clear" w:color="auto" w:fill="auto"/>
                </w:rPr>
                <w:t>3.15.-</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7313b4c0de14aa2902ab9b9f2d958bc"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aa1995af65b4b54ac6b216f53598347" w:history="1">
              <w:r>
                <w:rPr>
                  <w:rFonts w:ascii="Calibri" w:eastAsia="Calibri" w:hAnsi="Calibri" w:cs="Calibri"/>
                  <w:b w:val="0"/>
                  <w:i w:val="0"/>
                  <w:color w:val="000000"/>
                  <w:sz w:val="20"/>
                  <w:u w:val="none"/>
                  <w:shd w:val="clear" w:color="auto" w:fill="auto"/>
                </w:rPr>
                <w:t>3.16.-</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aa1995af65b4b54ac6b216f53598347"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571e5906dea4ca5ac29f85e727e2e33" w:history="1">
              <w:r>
                <w:rPr>
                  <w:rFonts w:ascii="Calibri" w:eastAsia="Calibri" w:hAnsi="Calibri" w:cs="Calibri"/>
                  <w:b w:val="0"/>
                  <w:i w:val="0"/>
                  <w:color w:val="000000"/>
                  <w:sz w:val="20"/>
                  <w:u w:val="none"/>
                  <w:shd w:val="clear" w:color="auto" w:fill="auto"/>
                </w:rPr>
                <w:t>3.17.-</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571e5906dea4ca5ac29f85e727e2e33"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009ca1c38464caa85fa95d1efa97d41" w:history="1">
              <w:r>
                <w:rPr>
                  <w:rFonts w:ascii="Calibri" w:eastAsia="Calibri" w:hAnsi="Calibri" w:cs="Calibri"/>
                  <w:b w:val="0"/>
                  <w:i w:val="0"/>
                  <w:color w:val="000000"/>
                  <w:sz w:val="20"/>
                  <w:u w:val="none"/>
                  <w:shd w:val="clear" w:color="auto" w:fill="auto"/>
                </w:rPr>
                <w:t>3.18.-</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009ca1c38464caa85fa95d1efa97d41"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b4a9bb5bafb40a59d2c0904803622b4" w:history="1">
              <w:r>
                <w:rPr>
                  <w:rFonts w:ascii="Calibri" w:eastAsia="Calibri" w:hAnsi="Calibri" w:cs="Calibri"/>
                  <w:b w:val="0"/>
                  <w:i w:val="0"/>
                  <w:color w:val="000000"/>
                  <w:sz w:val="20"/>
                  <w:u w:val="none"/>
                  <w:shd w:val="clear" w:color="auto" w:fill="auto"/>
                </w:rPr>
                <w:t>3.19.-</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b4a9bb5bafb40a59d2c0904803622b4"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dfde5165ac34f79b1e17a884649c604" w:history="1">
              <w:r>
                <w:rPr>
                  <w:rFonts w:ascii="Calibri" w:eastAsia="Calibri" w:hAnsi="Calibri" w:cs="Calibri"/>
                  <w:b w:val="0"/>
                  <w:i w:val="0"/>
                  <w:color w:val="000000"/>
                  <w:sz w:val="20"/>
                  <w:u w:val="none"/>
                  <w:shd w:val="clear" w:color="auto" w:fill="auto"/>
                </w:rPr>
                <w:t>3.20.-</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dfde5165ac34f79b1e17a884649c604"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9459433386f45bc9a7387cf8e048e1f" w:history="1">
              <w:r>
                <w:rPr>
                  <w:rFonts w:ascii="Calibri" w:eastAsia="Calibri" w:hAnsi="Calibri" w:cs="Calibri"/>
                  <w:b w:val="0"/>
                  <w:i w:val="0"/>
                  <w:color w:val="000000"/>
                  <w:sz w:val="20"/>
                  <w:u w:val="none"/>
                  <w:shd w:val="clear" w:color="auto" w:fill="auto"/>
                </w:rPr>
                <w:t>3.21.-</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9459433386f45bc9a7387cf8e048e1f"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dc6a758596e441d9b070c81a234b71d" w:history="1">
              <w:r>
                <w:rPr>
                  <w:rFonts w:ascii="Calibri" w:eastAsia="Calibri" w:hAnsi="Calibri" w:cs="Calibri"/>
                  <w:b w:val="0"/>
                  <w:i w:val="0"/>
                  <w:color w:val="000000"/>
                  <w:sz w:val="20"/>
                  <w:u w:val="none"/>
                  <w:shd w:val="clear" w:color="auto" w:fill="auto"/>
                </w:rPr>
                <w:t>3.22.-</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dc6a758596e441d9b070c81a234b71d"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4f0030d33c14cd3bd5f5074170e70a2" w:history="1">
              <w:r>
                <w:rPr>
                  <w:rFonts w:ascii="Calibri" w:eastAsia="Calibri" w:hAnsi="Calibri" w:cs="Calibri"/>
                  <w:b w:val="0"/>
                  <w:i w:val="0"/>
                  <w:color w:val="000000"/>
                  <w:sz w:val="20"/>
                  <w:u w:val="none"/>
                  <w:shd w:val="clear" w:color="auto" w:fill="auto"/>
                </w:rPr>
                <w:t>3.23.-</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4f0030d33c14cd3bd5f5074170e70a2"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086165043d8436e87ec2d2611ff811d" w:history="1">
              <w:r>
                <w:rPr>
                  <w:rFonts w:ascii="Calibri" w:eastAsia="Calibri" w:hAnsi="Calibri" w:cs="Calibri"/>
                  <w:b w:val="0"/>
                  <w:i w:val="0"/>
                  <w:color w:val="000000"/>
                  <w:sz w:val="20"/>
                  <w:u w:val="none"/>
                  <w:shd w:val="clear" w:color="auto" w:fill="auto"/>
                </w:rPr>
                <w:t>3.24.-</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086165043d8436e87ec2d2611ff811d"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cbd5cae0e8f4029a851434e4250cb9c" w:history="1">
              <w:r>
                <w:rPr>
                  <w:rFonts w:ascii="Calibri" w:eastAsia="Calibri" w:hAnsi="Calibri" w:cs="Calibri"/>
                  <w:b w:val="0"/>
                  <w:i w:val="0"/>
                  <w:color w:val="000000"/>
                  <w:sz w:val="20"/>
                  <w:u w:val="none"/>
                  <w:shd w:val="clear" w:color="auto" w:fill="auto"/>
                </w:rPr>
                <w:t>3.25.-</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cbd5cae0e8f4029a851434e4250cb9c"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29459e9148641578fd9b0c85798a73b" w:history="1">
              <w:r>
                <w:rPr>
                  <w:rFonts w:ascii="Calibri" w:eastAsia="Calibri" w:hAnsi="Calibri" w:cs="Calibri"/>
                  <w:b w:val="0"/>
                  <w:i w:val="0"/>
                  <w:color w:val="000000"/>
                  <w:sz w:val="20"/>
                  <w:u w:val="none"/>
                  <w:shd w:val="clear" w:color="auto" w:fill="auto"/>
                </w:rPr>
                <w:t>3.26.-</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29459e9148641578fd9b0c85798a73b"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7d415b9b3664e7199272ed46258581f" w:history="1">
              <w:r>
                <w:rPr>
                  <w:rFonts w:ascii="Calibri" w:eastAsia="Calibri" w:hAnsi="Calibri" w:cs="Calibri"/>
                  <w:b w:val="0"/>
                  <w:i w:val="0"/>
                  <w:color w:val="000000"/>
                  <w:sz w:val="20"/>
                  <w:u w:val="none"/>
                  <w:shd w:val="clear" w:color="auto" w:fill="auto"/>
                </w:rPr>
                <w:t>3.27.-</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7d415b9b3664e7199272ed46258581f"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1a17519ef44412e91d627bc71a510b2" w:history="1">
              <w:r>
                <w:rPr>
                  <w:rFonts w:ascii="Calibri" w:eastAsia="Calibri" w:hAnsi="Calibri" w:cs="Calibri"/>
                  <w:b w:val="0"/>
                  <w:i w:val="0"/>
                  <w:color w:val="000000"/>
                  <w:sz w:val="20"/>
                  <w:u w:val="none"/>
                  <w:shd w:val="clear" w:color="auto" w:fill="auto"/>
                </w:rPr>
                <w:t>4.-</w:t>
                <w:tab/>
                <w:t>ESTIMACIONES Y JUICIOS O CRITERIOS CRÍTICOS DE LA ADMINISTRACIÓN.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1a17519ef44412e91d627bc71a510b2"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49c5cfc9bac47ada0b1a76d3c678479" w:history="1">
              <w:r>
                <w:rPr>
                  <w:rFonts w:ascii="Calibri" w:eastAsia="Calibri" w:hAnsi="Calibri" w:cs="Calibri"/>
                  <w:b w:val="0"/>
                  <w:i w:val="0"/>
                  <w:color w:val="000000"/>
                  <w:sz w:val="20"/>
                  <w:u w:val="none"/>
                  <w:shd w:val="clear" w:color="auto" w:fill="auto"/>
                </w:rPr>
                <w:t>4.1.-</w:t>
                <w:tab/>
                <w:t>Beneficios por Indemnizaciones por cese pactadas (PIAS) y premios por antigüedad.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49c5cfc9bac47ada0b1a76d3c678479"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55dcc258b344121bc7ffaaa1857b851" w:history="1">
              <w:r>
                <w:rPr>
                  <w:rFonts w:ascii="Calibri" w:eastAsia="Calibri" w:hAnsi="Calibri" w:cs="Calibri"/>
                  <w:b w:val="0"/>
                  <w:i w:val="0"/>
                  <w:color w:val="000000"/>
                  <w:sz w:val="20"/>
                  <w:u w:val="none"/>
                  <w:shd w:val="clear" w:color="auto" w:fill="auto"/>
                </w:rPr>
                <w:t>5.-</w:t>
                <w:tab/>
                <w:t>POLÍTICA DE GESTIÓN DE RIESGOS.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55dcc258b344121bc7ffaaa1857b851"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2333078fd5a47cea0c924cf5b620b47" w:history="1">
              <w:r>
                <w:rPr>
                  <w:rFonts w:ascii="Calibri" w:eastAsia="Calibri" w:hAnsi="Calibri" w:cs="Calibri"/>
                  <w:b w:val="0"/>
                  <w:i w:val="0"/>
                  <w:color w:val="000000"/>
                  <w:sz w:val="20"/>
                  <w:u w:val="none"/>
                  <w:shd w:val="clear" w:color="auto" w:fill="auto"/>
                </w:rPr>
                <w:t>5.1.-</w:t>
                <w:tab/>
                <w:t xml:space="preserve">Riesgo financiero.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2333078fd5a47cea0c924cf5b620b47"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5b5bf73791d4734a18520a3418c8e90" w:history="1">
              <w:r>
                <w:rPr>
                  <w:rFonts w:ascii="Calibri" w:eastAsia="Calibri" w:hAnsi="Calibri" w:cs="Calibri"/>
                  <w:b w:val="0"/>
                  <w:i w:val="0"/>
                  <w:color w:val="000000"/>
                  <w:sz w:val="20"/>
                  <w:u w:val="none"/>
                  <w:shd w:val="clear" w:color="auto" w:fill="auto"/>
                </w:rPr>
                <w:t>6.-</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5b5bf73791d4734a18520a3418c8e90"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dd53234b13489286145f0da7565df4" w:history="1">
              <w:r>
                <w:rPr>
                  <w:rFonts w:ascii="Calibri" w:eastAsia="Calibri" w:hAnsi="Calibri" w:cs="Calibri"/>
                  <w:b w:val="0"/>
                  <w:i w:val="0"/>
                  <w:color w:val="000000"/>
                  <w:sz w:val="20"/>
                  <w:u w:val="none"/>
                  <w:shd w:val="clear" w:color="auto" w:fill="auto"/>
                </w:rPr>
                <w:t>6.1.-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dd53234b13489286145f0da7565df4"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2d1ec0721f149a3a4f8e7ad69d376d0" w:history="1">
              <w:r>
                <w:rPr>
                  <w:rFonts w:ascii="Calibri" w:eastAsia="Calibri" w:hAnsi="Calibri" w:cs="Calibri"/>
                  <w:b w:val="0"/>
                  <w:i w:val="0"/>
                  <w:color w:val="000000"/>
                  <w:sz w:val="20"/>
                  <w:u w:val="none"/>
                  <w:shd w:val="clear" w:color="auto" w:fill="auto"/>
                </w:rPr>
                <w:t>6.2.-</w:t>
                <w:tab/>
                <w:t>Detalles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2d1ec0721f149a3a4f8e7ad69d376d0"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2d3b1052c5f4b04b273bf9c024b9efb" w:history="1">
              <w:r>
                <w:rPr>
                  <w:rFonts w:ascii="Calibri" w:eastAsia="Calibri" w:hAnsi="Calibri" w:cs="Calibri"/>
                  <w:b w:val="0"/>
                  <w:i w:val="0"/>
                  <w:color w:val="000000"/>
                  <w:sz w:val="20"/>
                  <w:u w:val="none"/>
                  <w:shd w:val="clear" w:color="auto" w:fill="auto"/>
                </w:rPr>
                <w:t>6.3.-</w:t>
                <w:tab/>
                <w:t>Conciliación de los pasivos que surgen de las actividades de financiamiento.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2d3b1052c5f4b04b273bf9c024b9efb"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0144e5eaff8477dadf89da7fecd3530" w:history="1">
              <w:r>
                <w:rPr>
                  <w:rFonts w:ascii="Calibri" w:eastAsia="Calibri" w:hAnsi="Calibri" w:cs="Calibri"/>
                  <w:b w:val="0"/>
                  <w:i w:val="0"/>
                  <w:color w:val="000000"/>
                  <w:sz w:val="20"/>
                  <w:u w:val="none"/>
                  <w:shd w:val="clear" w:color="auto" w:fill="auto"/>
                </w:rPr>
                <w:t>7.-</w:t>
                <w:tab/>
                <w:t>OTROS 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0144e5eaff8477dadf89da7fecd3530"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2c875a4739848bba5c5c33acffe126d" w:history="1">
              <w:r>
                <w:rPr>
                  <w:rFonts w:ascii="Calibri" w:eastAsia="Calibri" w:hAnsi="Calibri" w:cs="Calibri"/>
                  <w:b w:val="0"/>
                  <w:i w:val="0"/>
                  <w:color w:val="000000"/>
                  <w:sz w:val="20"/>
                  <w:u w:val="none"/>
                  <w:shd w:val="clear" w:color="auto" w:fill="auto"/>
                </w:rPr>
                <w:t>7.1.-</w:t>
                <w:tab/>
                <w:t>Categorías de 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2c875a4739848bba5c5c33acffe126d"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4f72f5bf42f42cb86a708a501bbe616" w:history="1">
              <w:r>
                <w:rPr>
                  <w:rFonts w:ascii="Calibri" w:eastAsia="Calibri" w:hAnsi="Calibri" w:cs="Calibri"/>
                  <w:b w:val="0"/>
                  <w:i w:val="0"/>
                  <w:color w:val="000000"/>
                  <w:sz w:val="20"/>
                  <w:u w:val="none"/>
                  <w:shd w:val="clear" w:color="auto" w:fill="auto"/>
                </w:rPr>
                <w:t>8.-</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4f72f5bf42f42cb86a708a501bbe616"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ebc164905e94578be9af02e87065e5e" w:history="1">
              <w:r>
                <w:rPr>
                  <w:rFonts w:ascii="Calibri" w:eastAsia="Calibri" w:hAnsi="Calibri" w:cs="Calibri"/>
                  <w:b w:val="0"/>
                  <w:i w:val="0"/>
                  <w:color w:val="000000"/>
                  <w:sz w:val="20"/>
                  <w:u w:val="none"/>
                  <w:shd w:val="clear" w:color="auto" w:fill="auto"/>
                </w:rPr>
                <w:t>8.1.-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ebc164905e94578be9af02e87065e5e"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92d92a847404f168ad5bd65d627233d" w:history="1">
              <w:r>
                <w:rPr>
                  <w:rFonts w:ascii="Calibri" w:eastAsia="Calibri" w:hAnsi="Calibri" w:cs="Calibri"/>
                  <w:b w:val="0"/>
                  <w:i w:val="0"/>
                  <w:color w:val="000000"/>
                  <w:sz w:val="20"/>
                  <w:u w:val="none"/>
                  <w:shd w:val="clear" w:color="auto" w:fill="auto"/>
                </w:rPr>
                <w:t>8.2.-</w:t>
                <w:tab/>
                <w:t>Estratificación de la cartera.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92d92a847404f168ad5bd65d627233d"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81fd326273d4ac789a6fd4e9278271e" w:history="1">
              <w:r>
                <w:rPr>
                  <w:rFonts w:ascii="Calibri" w:eastAsia="Calibri" w:hAnsi="Calibri" w:cs="Calibri"/>
                  <w:b w:val="0"/>
                  <w:i w:val="0"/>
                  <w:color w:val="000000"/>
                  <w:sz w:val="20"/>
                  <w:u w:val="none"/>
                  <w:shd w:val="clear" w:color="auto" w:fill="auto"/>
                </w:rPr>
                <w:t>8.3.-</w:t>
                <w:tab/>
                <w:t>Resumen de estratificación de la cartera deudores comerciales.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81fd326273d4ac789a6fd4e9278271e"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e215a1969ab44668ff0e0d1715e43f2" w:history="1">
              <w:r>
                <w:rPr>
                  <w:rFonts w:ascii="Calibri" w:eastAsia="Calibri" w:hAnsi="Calibri" w:cs="Calibri"/>
                  <w:b w:val="0"/>
                  <w:i w:val="0"/>
                  <w:color w:val="000000"/>
                  <w:sz w:val="20"/>
                  <w:u w:val="none"/>
                  <w:shd w:val="clear" w:color="auto" w:fill="auto"/>
                </w:rPr>
                <w:t>8.4.-</w:t>
                <w:tab/>
                <w:t>Cartera protestada y en cobranza judicial.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e215a1969ab44668ff0e0d1715e43f2"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7fa1337d2e84bd39fa231622773a4a2" w:history="1">
              <w:r>
                <w:rPr>
                  <w:rFonts w:ascii="Calibri" w:eastAsia="Calibri" w:hAnsi="Calibri" w:cs="Calibri"/>
                  <w:b w:val="0"/>
                  <w:i w:val="0"/>
                  <w:color w:val="000000"/>
                  <w:sz w:val="20"/>
                  <w:u w:val="none"/>
                  <w:shd w:val="clear" w:color="auto" w:fill="auto"/>
                </w:rPr>
                <w:t xml:space="preserve">8.5.- </w:t>
                <w:tab/>
                <w:t>Provisión y castigos.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7fa1337d2e84bd39fa231622773a4a2"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871f2dbf4c345e1a95d6054a9ca58a2" w:history="1">
              <w:r>
                <w:rPr>
                  <w:rFonts w:ascii="Calibri" w:eastAsia="Calibri" w:hAnsi="Calibri" w:cs="Calibri"/>
                  <w:b w:val="0"/>
                  <w:i w:val="0"/>
                  <w:color w:val="000000"/>
                  <w:sz w:val="20"/>
                  <w:u w:val="none"/>
                  <w:shd w:val="clear" w:color="auto" w:fill="auto"/>
                </w:rPr>
                <w:t xml:space="preserve">8.6.- </w:t>
                <w:tab/>
                <w:t>Número y monto de operaciones.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871f2dbf4c345e1a95d6054a9ca58a2"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f6283bee3754f63941ff741fdc8076d" w:history="1">
              <w:r>
                <w:rPr>
                  <w:rFonts w:ascii="Calibri" w:eastAsia="Calibri" w:hAnsi="Calibri" w:cs="Calibri"/>
                  <w:b w:val="0"/>
                  <w:i w:val="0"/>
                  <w:color w:val="000000"/>
                  <w:sz w:val="20"/>
                  <w:u w:val="none"/>
                  <w:shd w:val="clear" w:color="auto" w:fill="auto"/>
                </w:rPr>
                <w:t>9.-</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f6283bee3754f63941ff741fdc8076d"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8505c5c7e98486d9341fd41a02f8a5d" w:history="1">
              <w:r>
                <w:rPr>
                  <w:rFonts w:ascii="Calibri" w:eastAsia="Calibri" w:hAnsi="Calibri" w:cs="Calibri"/>
                  <w:b w:val="0"/>
                  <w:i w:val="0"/>
                  <w:color w:val="000000"/>
                  <w:sz w:val="20"/>
                  <w:u w:val="none"/>
                  <w:shd w:val="clear" w:color="auto" w:fill="auto"/>
                </w:rPr>
                <w:t>9.1.-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8505c5c7e98486d9341fd41a02f8a5d"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6bfeb83893047229d758f3989aecac9" w:history="1">
              <w:r>
                <w:rPr>
                  <w:rFonts w:ascii="Calibri" w:eastAsia="Calibri" w:hAnsi="Calibri" w:cs="Calibri"/>
                  <w:b w:val="0"/>
                  <w:i w:val="0"/>
                  <w:color w:val="000000"/>
                  <w:sz w:val="20"/>
                  <w:u w:val="none"/>
                  <w:shd w:val="clear" w:color="auto" w:fill="auto"/>
                </w:rPr>
                <w:t>9.2.-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6bfeb83893047229d758f3989aecac9"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b57be09d711486591eb3838c5fb5e91" w:history="1">
              <w:r>
                <w:rPr>
                  <w:rFonts w:ascii="Calibri" w:eastAsia="Calibri" w:hAnsi="Calibri" w:cs="Calibri"/>
                  <w:b w:val="0"/>
                  <w:i w:val="0"/>
                  <w:color w:val="000000"/>
                  <w:sz w:val="20"/>
                  <w:u w:val="none"/>
                  <w:shd w:val="clear" w:color="auto" w:fill="auto"/>
                </w:rPr>
                <w:t>10.-</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b57be09d711486591eb3838c5fb5e91"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3aa68732e9b47bea164d10b9f1b150f" w:history="1">
              <w:r>
                <w:rPr>
                  <w:rFonts w:ascii="Calibri" w:eastAsia="Calibri" w:hAnsi="Calibri" w:cs="Calibri"/>
                  <w:b w:val="0"/>
                  <w:i w:val="0"/>
                  <w:color w:val="000000"/>
                  <w:sz w:val="20"/>
                  <w:u w:val="none"/>
                  <w:shd w:val="clear" w:color="auto" w:fill="auto"/>
                </w:rPr>
                <w:t>10.1.-</w:t>
                <w:tab/>
                <w:t>Información adicional de 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3aa68732e9b47bea164d10b9f1b150f"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e7e8bce0f7044a6a03e859c340ec376" w:history="1">
              <w:r>
                <w:rPr>
                  <w:rFonts w:ascii="Calibri" w:eastAsia="Calibri" w:hAnsi="Calibri" w:cs="Calibri"/>
                  <w:b w:val="0"/>
                  <w:i w:val="0"/>
                  <w:color w:val="000000"/>
                  <w:sz w:val="20"/>
                  <w:u w:val="none"/>
                  <w:shd w:val="clear" w:color="auto" w:fill="auto"/>
                </w:rPr>
                <w:t>11.-</w:t>
                <w:tab/>
                <w:t>ACTIVOS, PASIVOS POR IMPUESTOS.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e7e8bce0f7044a6a03e859c340ec376"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68beeee645141de864bcd7833c4f951" w:history="1">
              <w:r>
                <w:rPr>
                  <w:rFonts w:ascii="Calibri" w:eastAsia="Calibri" w:hAnsi="Calibri" w:cs="Calibri"/>
                  <w:b w:val="0"/>
                  <w:i w:val="0"/>
                  <w:color w:val="000000"/>
                  <w:sz w:val="20"/>
                  <w:u w:val="none"/>
                  <w:shd w:val="clear" w:color="auto" w:fill="auto"/>
                </w:rPr>
                <w:t>12.-</w:t>
                <w:tab/>
                <w:t>OTROS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68beeee645141de864bcd7833c4f951"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3232b1403024fffafcce4fea1d5fc49" w:history="1">
              <w:r>
                <w:rPr>
                  <w:rFonts w:ascii="Calibri" w:eastAsia="Calibri" w:hAnsi="Calibri" w:cs="Calibri"/>
                  <w:b w:val="0"/>
                  <w:i w:val="0"/>
                  <w:color w:val="000000"/>
                  <w:sz w:val="20"/>
                  <w:u w:val="none"/>
                  <w:shd w:val="clear" w:color="auto" w:fill="auto"/>
                </w:rPr>
                <w:t>13.-</w:t>
                <w:tab/>
                <w:t>INVERSIONES CONTABILIZADAS UTILIZANDO EL MÉTODO DE LA PARTICIPACIÓN.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3232b1403024fffafcce4fea1d5fc49"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57c5750c70d43b680b695ac43ea3a26" w:history="1">
              <w:r>
                <w:rPr>
                  <w:rFonts w:ascii="Calibri" w:eastAsia="Calibri" w:hAnsi="Calibri" w:cs="Calibri"/>
                  <w:b w:val="0"/>
                  <w:i w:val="0"/>
                  <w:color w:val="000000"/>
                  <w:sz w:val="20"/>
                  <w:u w:val="none"/>
                  <w:shd w:val="clear" w:color="auto" w:fill="auto"/>
                </w:rPr>
                <w:t xml:space="preserve">13.1.- </w:t>
                <w:tab/>
                <w:t>Inversiones en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57c5750c70d43b680b695ac43ea3a26"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579968b913549c9aabddedf17541c63" w:history="1">
              <w:r>
                <w:rPr>
                  <w:rFonts w:ascii="Calibri" w:eastAsia="Calibri" w:hAnsi="Calibri" w:cs="Calibri"/>
                  <w:b w:val="0"/>
                  <w:i w:val="0"/>
                  <w:color w:val="000000"/>
                  <w:sz w:val="20"/>
                  <w:u w:val="none"/>
                  <w:shd w:val="clear" w:color="auto" w:fill="auto"/>
                </w:rPr>
                <w:t>14.-</w:t>
                <w:tab/>
                <w:t>ACTIVOS INTANGIBLES DISTINTO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579968b913549c9aabddedf17541c63"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4bb8eb82049484e936ceb9834ff2795" w:history="1">
              <w:r>
                <w:rPr>
                  <w:rFonts w:ascii="Calibri" w:eastAsia="Calibri" w:hAnsi="Calibri" w:cs="Calibri"/>
                  <w:b w:val="0"/>
                  <w:i w:val="0"/>
                  <w:color w:val="000000"/>
                  <w:sz w:val="20"/>
                  <w:u w:val="none"/>
                  <w:shd w:val="clear" w:color="auto" w:fill="auto"/>
                </w:rPr>
                <w:t>14.1.-</w:t>
                <w:tab/>
                <w:t>Composición y movimientos de los activos intangibles.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4bb8eb82049484e936ceb9834ff2795"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afd25f4351a4050bfc1ba885194ab62" w:history="1">
              <w:r>
                <w:rPr>
                  <w:rFonts w:ascii="Calibri" w:eastAsia="Calibri" w:hAnsi="Calibri" w:cs="Calibri"/>
                  <w:b w:val="0"/>
                  <w:i w:val="0"/>
                  <w:color w:val="000000"/>
                  <w:sz w:val="20"/>
                  <w:u w:val="none"/>
                  <w:shd w:val="clear" w:color="auto" w:fill="auto"/>
                </w:rPr>
                <w:t>15.-</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afd25f4351a4050bfc1ba885194ab62"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fa106a1612489ba14878c7c4f07ffc" w:history="1">
              <w:r>
                <w:rPr>
                  <w:rFonts w:ascii="Calibri" w:eastAsia="Calibri" w:hAnsi="Calibri" w:cs="Calibri"/>
                  <w:b w:val="0"/>
                  <w:i w:val="0"/>
                  <w:color w:val="000000"/>
                  <w:sz w:val="20"/>
                  <w:u w:val="none"/>
                  <w:shd w:val="clear" w:color="auto" w:fill="auto"/>
                </w:rPr>
                <w:t>15.1.-</w:t>
                <w:tab/>
                <w:t>Vidas útiles.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fa106a1612489ba14878c7c4f07ffc"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3a368771a87474c905e68ed7173ba78" w:history="1">
              <w:r>
                <w:rPr>
                  <w:rFonts w:ascii="Calibri" w:eastAsia="Calibri" w:hAnsi="Calibri" w:cs="Calibri"/>
                  <w:b w:val="0"/>
                  <w:i w:val="0"/>
                  <w:color w:val="000000"/>
                  <w:sz w:val="20"/>
                  <w:u w:val="none"/>
                  <w:shd w:val="clear" w:color="auto" w:fill="auto"/>
                </w:rPr>
                <w:t>15.2.-</w:t>
                <w:tab/>
                <w:t>Detalle de los rubros.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3a368771a87474c905e68ed7173ba78"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337faab909344cfb497f35635021ed7" w:history="1">
              <w:r>
                <w:rPr>
                  <w:rFonts w:ascii="Calibri" w:eastAsia="Calibri" w:hAnsi="Calibri" w:cs="Calibri"/>
                  <w:b w:val="0"/>
                  <w:i w:val="0"/>
                  <w:color w:val="000000"/>
                  <w:sz w:val="20"/>
                  <w:u w:val="none"/>
                  <w:shd w:val="clear" w:color="auto" w:fill="auto"/>
                </w:rPr>
                <w:t>15.3.-</w:t>
                <w:tab/>
                <w:t>Reconciliación de cambios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337faab909344cfb497f35635021ed7" w:history="1">
              <w:r>
                <w:rPr>
                  <w:rFonts w:ascii="Calibri" w:eastAsia="Calibri" w:hAnsi="Calibri" w:cs="Calibri"/>
                  <w:b w:val="0"/>
                  <w:i w:val="0"/>
                  <w:color w:val="000000"/>
                  <w:sz w:val="20"/>
                  <w:u w:val="none"/>
                  <w:shd w:val="clear" w:color="auto" w:fill="auto"/>
                </w:rPr>
                <w:t>50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92d8fd9fcca4ca881e63f8b56454d7e" w:history="1">
              <w:r>
                <w:rPr>
                  <w:rFonts w:ascii="Calibri" w:eastAsia="Calibri" w:hAnsi="Calibri" w:cs="Calibri"/>
                  <w:b w:val="0"/>
                  <w:i w:val="0"/>
                  <w:color w:val="000000"/>
                  <w:sz w:val="20"/>
                  <w:u w:val="none"/>
                  <w:shd w:val="clear" w:color="auto" w:fill="auto"/>
                </w:rPr>
                <w:t>15.4.-</w:t>
                <w:tab/>
                <w:t>Política de inversiones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92d8fd9fcca4ca881e63f8b56454d7e"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d2317ad49eb43dda77fcaf2e750c1d8" w:history="1">
              <w:r>
                <w:rPr>
                  <w:rFonts w:ascii="Calibri" w:eastAsia="Calibri" w:hAnsi="Calibri" w:cs="Calibri"/>
                  <w:b w:val="0"/>
                  <w:i w:val="0"/>
                  <w:color w:val="000000"/>
                  <w:sz w:val="20"/>
                  <w:u w:val="none"/>
                  <w:shd w:val="clear" w:color="auto" w:fill="auto"/>
                </w:rPr>
                <w:t>15.5.-</w:t>
                <w:tab/>
                <w:t>Costo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d2317ad49eb43dda77fcaf2e750c1d8"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fef564265e4bd9aefba4e08843adf8" w:history="1">
              <w:r>
                <w:rPr>
                  <w:rFonts w:ascii="Calibri" w:eastAsia="Calibri" w:hAnsi="Calibri" w:cs="Calibri"/>
                  <w:b w:val="0"/>
                  <w:i w:val="0"/>
                  <w:color w:val="000000"/>
                  <w:sz w:val="20"/>
                  <w:u w:val="none"/>
                  <w:shd w:val="clear" w:color="auto" w:fill="auto"/>
                </w:rPr>
                <w:t>16.-</w:t>
                <w:tab/>
                <w:t>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fef564265e4bd9aefba4e08843adf8"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2389065a3c84eb6b8d0aed1ad0fc644" w:history="1">
              <w:r>
                <w:rPr>
                  <w:rFonts w:ascii="Calibri" w:eastAsia="Calibri" w:hAnsi="Calibri" w:cs="Calibri"/>
                  <w:b w:val="0"/>
                  <w:i w:val="0"/>
                  <w:color w:val="000000"/>
                  <w:sz w:val="20"/>
                  <w:u w:val="none"/>
                  <w:shd w:val="clear" w:color="auto" w:fill="auto"/>
                </w:rPr>
                <w:t>16.1.-</w:t>
                <w:tab/>
                <w:t>Activos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2389065a3c84eb6b8d0aed1ad0fc644"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15fe64e0a6a4b1c8f8e562c40f2c7df" w:history="1">
              <w:r>
                <w:rPr>
                  <w:rFonts w:ascii="Calibri" w:eastAsia="Calibri" w:hAnsi="Calibri" w:cs="Calibri"/>
                  <w:b w:val="0"/>
                  <w:i w:val="0"/>
                  <w:color w:val="000000"/>
                  <w:sz w:val="20"/>
                  <w:u w:val="none"/>
                  <w:shd w:val="clear" w:color="auto" w:fill="auto"/>
                </w:rPr>
                <w:t>16.2.-</w:t>
                <w:tab/>
                <w:t>Pasivos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15fe64e0a6a4b1c8f8e562c40f2c7df"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b8203e2bb6b40cb9f3a3406787ee87f" w:history="1">
              <w:r>
                <w:rPr>
                  <w:rFonts w:ascii="Calibri" w:eastAsia="Calibri" w:hAnsi="Calibri" w:cs="Calibri"/>
                  <w:b w:val="0"/>
                  <w:i w:val="0"/>
                  <w:color w:val="000000"/>
                  <w:sz w:val="20"/>
                  <w:u w:val="none"/>
                  <w:shd w:val="clear" w:color="auto" w:fill="auto"/>
                </w:rPr>
                <w:t>16.3.-</w:t>
                <w:tab/>
                <w:t>Movimientos de impuesto diferido del estado de situación financiera.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b8203e2bb6b40cb9f3a3406787ee87f" w:history="1">
              <w:r>
                <w:rPr>
                  <w:rFonts w:ascii="Calibri" w:eastAsia="Calibri" w:hAnsi="Calibri" w:cs="Calibri"/>
                  <w:b w:val="0"/>
                  <w:i w:val="0"/>
                  <w:color w:val="000000"/>
                  <w:sz w:val="20"/>
                  <w:u w:val="none"/>
                  <w:shd w:val="clear" w:color="auto" w:fill="auto"/>
                </w:rPr>
                <w:t>53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01de095d8b6443f9abd9b9530626f34" w:history="1">
              <w:r>
                <w:rPr>
                  <w:rFonts w:ascii="Calibri" w:eastAsia="Calibri" w:hAnsi="Calibri" w:cs="Calibri"/>
                  <w:b w:val="0"/>
                  <w:i w:val="0"/>
                  <w:color w:val="000000"/>
                  <w:sz w:val="20"/>
                  <w:u w:val="none"/>
                  <w:shd w:val="clear" w:color="auto" w:fill="auto"/>
                </w:rPr>
                <w:t>16.4.-</w:t>
                <w:tab/>
                <w:t>Compensación de partidas.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01de095d8b6443f9abd9b9530626f34" w:history="1">
              <w:r>
                <w:rPr>
                  <w:rFonts w:ascii="Calibri" w:eastAsia="Calibri" w:hAnsi="Calibri" w:cs="Calibri"/>
                  <w:b w:val="0"/>
                  <w:i w:val="0"/>
                  <w:color w:val="000000"/>
                  <w:sz w:val="20"/>
                  <w:u w:val="none"/>
                  <w:shd w:val="clear" w:color="auto" w:fill="auto"/>
                </w:rPr>
                <w:t>53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e7393e85d0f487ca1972f8975885ca6" w:history="1">
              <w:r>
                <w:rPr>
                  <w:rFonts w:ascii="Calibri" w:eastAsia="Calibri" w:hAnsi="Calibri" w:cs="Calibri"/>
                  <w:b w:val="0"/>
                  <w:i w:val="0"/>
                  <w:color w:val="000000"/>
                  <w:sz w:val="20"/>
                  <w:u w:val="none"/>
                  <w:shd w:val="clear" w:color="auto" w:fill="auto"/>
                </w:rPr>
                <w:t>17.-</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e7393e85d0f487ca1972f8975885ca6"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00ae261336643db82669fcc01588b3a" w:history="1">
              <w:r>
                <w:rPr>
                  <w:rFonts w:ascii="Calibri" w:eastAsia="Calibri" w:hAnsi="Calibri" w:cs="Calibri"/>
                  <w:b w:val="0"/>
                  <w:i w:val="0"/>
                  <w:color w:val="000000"/>
                  <w:sz w:val="20"/>
                  <w:u w:val="none"/>
                  <w:shd w:val="clear" w:color="auto" w:fill="auto"/>
                </w:rPr>
                <w:t>17.1.-</w:t>
                <w:tab/>
                <w:t>Pasivos acumulados (o devengados).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00ae261336643db82669fcc01588b3a"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dcabb0c40b9453b986c5efcb6e60415" w:history="1">
              <w:r>
                <w:rPr>
                  <w:rFonts w:ascii="Calibri" w:eastAsia="Calibri" w:hAnsi="Calibri" w:cs="Calibri"/>
                  <w:b w:val="0"/>
                  <w:i w:val="0"/>
                  <w:color w:val="000000"/>
                  <w:sz w:val="20"/>
                  <w:u w:val="none"/>
                  <w:shd w:val="clear" w:color="auto" w:fill="auto"/>
                </w:rPr>
                <w:t>18.-</w:t>
                <w:tab/>
                <w:t>PROVISIONES POR BENEFICIOS A LOS EMPLEADOS.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dcabb0c40b9453b986c5efcb6e60415"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4566c97b8b244e288a5b5610b301d0f" w:history="1">
              <w:r>
                <w:rPr>
                  <w:rFonts w:ascii="Calibri" w:eastAsia="Calibri" w:hAnsi="Calibri" w:cs="Calibri"/>
                  <w:b w:val="0"/>
                  <w:i w:val="0"/>
                  <w:color w:val="000000"/>
                  <w:sz w:val="20"/>
                  <w:u w:val="none"/>
                  <w:shd w:val="clear" w:color="auto" w:fill="auto"/>
                </w:rPr>
                <w:t>18.1.-</w:t>
                <w:tab/>
                <w:t>Detalle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4566c97b8b244e288a5b5610b301d0f"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9c24096de7a4d6b9695ccbbb8d3fe2d" w:history="1">
              <w:r>
                <w:rPr>
                  <w:rFonts w:ascii="Calibri" w:eastAsia="Calibri" w:hAnsi="Calibri" w:cs="Calibri"/>
                  <w:b w:val="0"/>
                  <w:i w:val="0"/>
                  <w:color w:val="000000"/>
                  <w:sz w:val="20"/>
                  <w:u w:val="none"/>
                  <w:shd w:val="clear" w:color="auto" w:fill="auto"/>
                </w:rPr>
                <w:t>18.2.-</w:t>
                <w:tab/>
                <w:t>Detalle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9c24096de7a4d6b9695ccbbb8d3fe2d"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235a6cd2faa4e55ac9989bd77109326" w:history="1">
              <w:r>
                <w:rPr>
                  <w:rFonts w:ascii="Calibri" w:eastAsia="Calibri" w:hAnsi="Calibri" w:cs="Calibri"/>
                  <w:b w:val="0"/>
                  <w:i w:val="0"/>
                  <w:color w:val="000000"/>
                  <w:sz w:val="20"/>
                  <w:u w:val="none"/>
                  <w:shd w:val="clear" w:color="auto" w:fill="auto"/>
                </w:rPr>
                <w:t>18.3.-</w:t>
                <w:tab/>
                <w:t>Balance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235a6cd2faa4e55ac9989bd77109326"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ca15890c98f4fb2963652a94cdc8283" w:history="1">
              <w:r>
                <w:rPr>
                  <w:rFonts w:ascii="Calibri" w:eastAsia="Calibri" w:hAnsi="Calibri" w:cs="Calibri"/>
                  <w:b w:val="0"/>
                  <w:i w:val="0"/>
                  <w:color w:val="000000"/>
                  <w:sz w:val="20"/>
                  <w:u w:val="none"/>
                  <w:shd w:val="clear" w:color="auto" w:fill="auto"/>
                </w:rPr>
                <w:t>18.4.-</w:t>
                <w:tab/>
                <w:t>Gastos reconocidos en el estado de resultados.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ca15890c98f4fb2963652a94cdc8283"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953c93fd5564807aeafdc69331137bf" w:history="1">
              <w:r>
                <w:rPr>
                  <w:rFonts w:ascii="Calibri" w:eastAsia="Calibri" w:hAnsi="Calibri" w:cs="Calibri"/>
                  <w:b w:val="0"/>
                  <w:i w:val="0"/>
                  <w:color w:val="000000"/>
                  <w:sz w:val="20"/>
                  <w:u w:val="none"/>
                  <w:shd w:val="clear" w:color="auto" w:fill="auto"/>
                </w:rPr>
                <w:t>18.5.-</w:t>
                <w:tab/>
                <w:t>Hipótesis actuariales.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953c93fd5564807aeafdc69331137bf"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195ecff9752457bb511caddc4e6fc36" w:history="1">
              <w:r>
                <w:rPr>
                  <w:rFonts w:ascii="Calibri" w:eastAsia="Calibri" w:hAnsi="Calibri" w:cs="Calibri"/>
                  <w:b w:val="0"/>
                  <w:i w:val="0"/>
                  <w:color w:val="000000"/>
                  <w:sz w:val="20"/>
                  <w:u w:val="none"/>
                  <w:shd w:val="clear" w:color="auto" w:fill="auto"/>
                </w:rPr>
                <w:t>18.6.-</w:t>
                <w:tab/>
                <w:t>Flujo y plazo de los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195ecff9752457bb511caddc4e6fc36"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876b8c0edcb407c934b6bd1ec129a41" w:history="1">
              <w:r>
                <w:rPr>
                  <w:rFonts w:ascii="Calibri" w:eastAsia="Calibri" w:hAnsi="Calibri" w:cs="Calibri"/>
                  <w:b w:val="0"/>
                  <w:i w:val="0"/>
                  <w:color w:val="000000"/>
                  <w:sz w:val="20"/>
                  <w:u w:val="none"/>
                  <w:shd w:val="clear" w:color="auto" w:fill="auto"/>
                </w:rPr>
                <w:t>19.-</w:t>
                <w:tab/>
                <w:t>PATRIMONIO NETO.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876b8c0edcb407c934b6bd1ec129a41"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de5e04e5d924c7c88fe92c6e95d93a4" w:history="1">
              <w:r>
                <w:rPr>
                  <w:rFonts w:ascii="Calibri" w:eastAsia="Calibri" w:hAnsi="Calibri" w:cs="Calibri"/>
                  <w:b w:val="0"/>
                  <w:i w:val="0"/>
                  <w:color w:val="000000"/>
                  <w:sz w:val="20"/>
                  <w:u w:val="none"/>
                  <w:shd w:val="clear" w:color="auto" w:fill="auto"/>
                </w:rPr>
                <w:t>19.1.-</w:t>
                <w:tab/>
                <w:t>Gestión de capital.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de5e04e5d924c7c88fe92c6e95d93a4"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eef6c19921841f29d910d2220b0cdac" w:history="1">
              <w:r>
                <w:rPr>
                  <w:rFonts w:ascii="Calibri" w:eastAsia="Calibri" w:hAnsi="Calibri" w:cs="Calibri"/>
                  <w:b w:val="0"/>
                  <w:i w:val="0"/>
                  <w:color w:val="000000"/>
                  <w:sz w:val="20"/>
                  <w:u w:val="none"/>
                  <w:shd w:val="clear" w:color="auto" w:fill="auto"/>
                </w:rPr>
                <w:t>19.2.-</w:t>
                <w:tab/>
                <w:t>Capital suscrito y pagado.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eef6c19921841f29d910d2220b0cdac"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eaca5b3589f46df8ce891267f429925" w:history="1">
              <w:r>
                <w:rPr>
                  <w:rFonts w:ascii="Calibri" w:eastAsia="Calibri" w:hAnsi="Calibri" w:cs="Calibri"/>
                  <w:b w:val="0"/>
                  <w:i w:val="0"/>
                  <w:color w:val="000000"/>
                  <w:sz w:val="20"/>
                  <w:u w:val="none"/>
                  <w:shd w:val="clear" w:color="auto" w:fill="auto"/>
                </w:rPr>
                <w:t>19.3.-</w:t>
                <w:tab/>
                <w:t>Número de acciones suscritas y pagadas.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eaca5b3589f46df8ce891267f429925"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b467888c9ae49b5b4b1a7a0fc816533" w:history="1">
              <w:r>
                <w:rPr>
                  <w:rFonts w:ascii="Calibri" w:eastAsia="Calibri" w:hAnsi="Calibri" w:cs="Calibri"/>
                  <w:b w:val="0"/>
                  <w:i w:val="0"/>
                  <w:color w:val="000000"/>
                  <w:sz w:val="20"/>
                  <w:u w:val="none"/>
                  <w:shd w:val="clear" w:color="auto" w:fill="auto"/>
                </w:rPr>
                <w:t>19.4.-</w:t>
                <w:tab/>
                <w:t>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b467888c9ae49b5b4b1a7a0fc816533"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c8eec64bb15488fb4cfd512c828909d" w:history="1">
              <w:r>
                <w:rPr>
                  <w:rFonts w:ascii="Calibri" w:eastAsia="Calibri" w:hAnsi="Calibri" w:cs="Calibri"/>
                  <w:b w:val="0"/>
                  <w:i w:val="0"/>
                  <w:color w:val="000000"/>
                  <w:sz w:val="20"/>
                  <w:u w:val="none"/>
                  <w:shd w:val="clear" w:color="auto" w:fill="auto"/>
                </w:rPr>
                <w:t>19.5.-</w:t>
                <w:tab/>
                <w:t>Reservas.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c8eec64bb15488fb4cfd512c828909d"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3564f383b6c4aa29aafc43b9c680b30" w:history="1">
              <w:r>
                <w:rPr>
                  <w:rFonts w:ascii="Calibri" w:eastAsia="Calibri" w:hAnsi="Calibri" w:cs="Calibri"/>
                  <w:b w:val="0"/>
                  <w:i w:val="0"/>
                  <w:color w:val="000000"/>
                  <w:sz w:val="20"/>
                  <w:u w:val="none"/>
                  <w:shd w:val="clear" w:color="auto" w:fill="auto"/>
                </w:rPr>
                <w:t>19.6.-</w:t>
                <w:tab/>
                <w:t>Participaciones no controladoras.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3564f383b6c4aa29aafc43b9c680b30" w:history="1">
              <w:r>
                <w:rPr>
                  <w:rFonts w:ascii="Calibri" w:eastAsia="Calibri" w:hAnsi="Calibri" w:cs="Calibri"/>
                  <w:b w:val="0"/>
                  <w:i w:val="0"/>
                  <w:color w:val="000000"/>
                  <w:sz w:val="20"/>
                  <w:u w:val="none"/>
                  <w:shd w:val="clear" w:color="auto" w:fill="auto"/>
                </w:rPr>
                <w:t>58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b312d4d7a3c4b7183f7347217dab445" w:history="1">
              <w:r>
                <w:rPr>
                  <w:rFonts w:ascii="Calibri" w:eastAsia="Calibri" w:hAnsi="Calibri" w:cs="Calibri"/>
                  <w:b w:val="0"/>
                  <w:i w:val="0"/>
                  <w:color w:val="000000"/>
                  <w:sz w:val="20"/>
                  <w:u w:val="none"/>
                  <w:shd w:val="clear" w:color="auto" w:fill="auto"/>
                </w:rPr>
                <w:t>19.7.-</w:t>
                <w:tab/>
                <w:t>Transacciones con participaciones no controladoras.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b312d4d7a3c4b7183f7347217dab445" w:history="1">
              <w:r>
                <w:rPr>
                  <w:rFonts w:ascii="Calibri" w:eastAsia="Calibri" w:hAnsi="Calibri" w:cs="Calibri"/>
                  <w:b w:val="0"/>
                  <w:i w:val="0"/>
                  <w:color w:val="000000"/>
                  <w:sz w:val="20"/>
                  <w:u w:val="none"/>
                  <w:shd w:val="clear" w:color="auto" w:fill="auto"/>
                </w:rPr>
                <w:t>59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ec6e421ea6d48d4b53c29be19f7d990" w:history="1">
              <w:r>
                <w:rPr>
                  <w:rFonts w:ascii="Calibri" w:eastAsia="Calibri" w:hAnsi="Calibri" w:cs="Calibri"/>
                  <w:b w:val="0"/>
                  <w:i w:val="0"/>
                  <w:color w:val="000000"/>
                  <w:sz w:val="20"/>
                  <w:u w:val="none"/>
                  <w:shd w:val="clear" w:color="auto" w:fill="auto"/>
                </w:rPr>
                <w:t>19.8.-</w:t>
                <w:tab/>
                <w:t>Reconciliación del movimiento en reservas de los otros resultados integrales.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ec6e421ea6d48d4b53c29be19f7d990" w:history="1">
              <w:r>
                <w:rPr>
                  <w:rFonts w:ascii="Calibri" w:eastAsia="Calibri" w:hAnsi="Calibri" w:cs="Calibri"/>
                  <w:b w:val="0"/>
                  <w:i w:val="0"/>
                  <w:color w:val="000000"/>
                  <w:sz w:val="20"/>
                  <w:u w:val="none"/>
                  <w:shd w:val="clear" w:color="auto" w:fill="auto"/>
                </w:rPr>
                <w:t>59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7723ecb9fd34e33bf371a2029714ff4" w:history="1">
              <w:r>
                <w:rPr>
                  <w:rFonts w:ascii="Calibri" w:eastAsia="Calibri" w:hAnsi="Calibri" w:cs="Calibri"/>
                  <w:b w:val="0"/>
                  <w:i w:val="0"/>
                  <w:color w:val="000000"/>
                  <w:sz w:val="20"/>
                  <w:u w:val="none"/>
                  <w:shd w:val="clear" w:color="auto" w:fill="auto"/>
                </w:rPr>
                <w:t>20.-</w:t>
                <w:tab/>
                <w:t>INGRESOS DE ACTIVIDADES ORDINARIAS.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7723ecb9fd34e33bf371a2029714ff4" w:history="1">
              <w:r>
                <w:rPr>
                  <w:rFonts w:ascii="Calibri" w:eastAsia="Calibri" w:hAnsi="Calibri" w:cs="Calibri"/>
                  <w:b w:val="0"/>
                  <w:i w:val="0"/>
                  <w:color w:val="000000"/>
                  <w:sz w:val="20"/>
                  <w:u w:val="none"/>
                  <w:shd w:val="clear" w:color="auto" w:fill="auto"/>
                </w:rPr>
                <w:t>59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74fbf3599ab4253a10c1979e6591858" w:history="1">
              <w:r>
                <w:rPr>
                  <w:rFonts w:ascii="Calibri" w:eastAsia="Calibri" w:hAnsi="Calibri" w:cs="Calibri"/>
                  <w:b w:val="0"/>
                  <w:i w:val="0"/>
                  <w:color w:val="000000"/>
                  <w:sz w:val="20"/>
                  <w:u w:val="none"/>
                  <w:shd w:val="clear" w:color="auto" w:fill="auto"/>
                </w:rPr>
                <w:t>20.1.-</w:t>
                <w:tab/>
                <w:t>Ingresos ordinarios.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74fbf3599ab4253a10c1979e6591858" w:history="1">
              <w:r>
                <w:rPr>
                  <w:rFonts w:ascii="Calibri" w:eastAsia="Calibri" w:hAnsi="Calibri" w:cs="Calibri"/>
                  <w:b w:val="0"/>
                  <w:i w:val="0"/>
                  <w:color w:val="000000"/>
                  <w:sz w:val="20"/>
                  <w:u w:val="none"/>
                  <w:shd w:val="clear" w:color="auto" w:fill="auto"/>
                </w:rPr>
                <w:t>59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644fbf59464e3b826d53eb1e6b6246" w:history="1">
              <w:r>
                <w:rPr>
                  <w:rFonts w:ascii="Calibri" w:eastAsia="Calibri" w:hAnsi="Calibri" w:cs="Calibri"/>
                  <w:b w:val="0"/>
                  <w:i w:val="0"/>
                  <w:color w:val="000000"/>
                  <w:sz w:val="20"/>
                  <w:u w:val="none"/>
                  <w:shd w:val="clear" w:color="auto" w:fill="auto"/>
                </w:rPr>
                <w:t>21.-</w:t>
                <w:tab/>
                <w:t>COMPOSICIÓN DE RESULTADOS RELEVANTES.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644fbf59464e3b826d53eb1e6b6246"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0a54454c84d4405b08a935c05c8bdfa" w:history="1">
              <w:r>
                <w:rPr>
                  <w:rFonts w:ascii="Calibri" w:eastAsia="Calibri" w:hAnsi="Calibri" w:cs="Calibri"/>
                  <w:b w:val="0"/>
                  <w:i w:val="0"/>
                  <w:color w:val="000000"/>
                  <w:sz w:val="20"/>
                  <w:u w:val="none"/>
                  <w:shd w:val="clear" w:color="auto" w:fill="auto"/>
                </w:rPr>
                <w:t>21.1.-</w:t>
                <w:tab/>
                <w:t>Gastos por naturaleza.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0a54454c84d4405b08a935c05c8bdfa"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582e335877a409eb25bb8290384c3e1" w:history="1">
              <w:r>
                <w:rPr>
                  <w:rFonts w:ascii="Calibri" w:eastAsia="Calibri" w:hAnsi="Calibri" w:cs="Calibri"/>
                  <w:b w:val="0"/>
                  <w:i w:val="0"/>
                  <w:color w:val="000000"/>
                  <w:sz w:val="20"/>
                  <w:u w:val="none"/>
                  <w:shd w:val="clear" w:color="auto" w:fill="auto"/>
                </w:rPr>
                <w:t>21.2.-</w:t>
                <w:tab/>
                <w:t>Gastos de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582e335877a409eb25bb8290384c3e1"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966bc508a7a4e8eac4de4935d8dda37" w:history="1">
              <w:r>
                <w:rPr>
                  <w:rFonts w:ascii="Calibri" w:eastAsia="Calibri" w:hAnsi="Calibri" w:cs="Calibri"/>
                  <w:b w:val="0"/>
                  <w:i w:val="0"/>
                  <w:color w:val="000000"/>
                  <w:sz w:val="20"/>
                  <w:u w:val="none"/>
                  <w:shd w:val="clear" w:color="auto" w:fill="auto"/>
                </w:rPr>
                <w:t>21.3.-</w:t>
                <w:tab/>
                <w:t>Depreciación y amortización.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966bc508a7a4e8eac4de4935d8dda37"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12d2c3a45f54d48ada835b979fd5d7e" w:history="1">
              <w:r>
                <w:rPr>
                  <w:rFonts w:ascii="Calibri" w:eastAsia="Calibri" w:hAnsi="Calibri" w:cs="Calibri"/>
                  <w:b w:val="0"/>
                  <w:i w:val="0"/>
                  <w:color w:val="000000"/>
                  <w:sz w:val="20"/>
                  <w:u w:val="none"/>
                  <w:shd w:val="clear" w:color="auto" w:fill="auto"/>
                </w:rPr>
                <w:t>21.4.-</w:t>
                <w:tab/>
                <w:t>Otras ganancias (pérdidas).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12d2c3a45f54d48ada835b979fd5d7e" w:history="1">
              <w:r>
                <w:rPr>
                  <w:rFonts w:ascii="Calibri" w:eastAsia="Calibri" w:hAnsi="Calibri" w:cs="Calibri"/>
                  <w:b w:val="0"/>
                  <w:i w:val="0"/>
                  <w:color w:val="000000"/>
                  <w:sz w:val="20"/>
                  <w:u w:val="none"/>
                  <w:shd w:val="clear" w:color="auto" w:fill="auto"/>
                </w:rPr>
                <w:t>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9ec37b79ac441c887e807befd1d6ecb" w:history="1">
              <w:r>
                <w:rPr>
                  <w:rFonts w:ascii="Calibri" w:eastAsia="Calibri" w:hAnsi="Calibri" w:cs="Calibri"/>
                  <w:b w:val="0"/>
                  <w:i w:val="0"/>
                  <w:color w:val="000000"/>
                  <w:sz w:val="20"/>
                  <w:u w:val="none"/>
                  <w:shd w:val="clear" w:color="auto" w:fill="auto"/>
                </w:rPr>
                <w:t>22.-</w:t>
                <w:tab/>
                <w:t>RESULTADO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9ec37b79ac441c887e807befd1d6ecb" w:history="1">
              <w:r>
                <w:rPr>
                  <w:rFonts w:ascii="Calibri" w:eastAsia="Calibri" w:hAnsi="Calibri" w:cs="Calibri"/>
                  <w:b w:val="0"/>
                  <w:i w:val="0"/>
                  <w:color w:val="000000"/>
                  <w:sz w:val="20"/>
                  <w:u w:val="none"/>
                  <w:shd w:val="clear" w:color="auto" w:fill="auto"/>
                </w:rPr>
                <w:t>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a3df06b308d457f899e5dbddd8c83a6" w:history="1">
              <w:r>
                <w:rPr>
                  <w:rFonts w:ascii="Calibri" w:eastAsia="Calibri" w:hAnsi="Calibri" w:cs="Calibri"/>
                  <w:b w:val="0"/>
                  <w:i w:val="0"/>
                  <w:color w:val="000000"/>
                  <w:sz w:val="20"/>
                  <w:u w:val="none"/>
                  <w:shd w:val="clear" w:color="auto" w:fill="auto"/>
                </w:rPr>
                <w:t>22.1.-</w:t>
                <w:tab/>
                <w:t xml:space="preserve">Composición ganancias (pérdidas) de cambio en moneda extranjera.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a3df06b308d457f899e5dbddd8c83a6"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a7331a521b7420e9cf6c0416c7b40d4" w:history="1">
              <w:r>
                <w:rPr>
                  <w:rFonts w:ascii="Calibri" w:eastAsia="Calibri" w:hAnsi="Calibri" w:cs="Calibri"/>
                  <w:b w:val="0"/>
                  <w:i w:val="0"/>
                  <w:color w:val="000000"/>
                  <w:sz w:val="20"/>
                  <w:u w:val="none"/>
                  <w:shd w:val="clear" w:color="auto" w:fill="auto"/>
                </w:rPr>
                <w:t>22.2.-</w:t>
                <w:tab/>
                <w:t xml:space="preserve">Composición unidades de reajuste.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a7331a521b7420e9cf6c0416c7b40d4"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2dfdc9b474e462799dde9353e7cb825" w:history="1">
              <w:r>
                <w:rPr>
                  <w:rFonts w:ascii="Calibri" w:eastAsia="Calibri" w:hAnsi="Calibri" w:cs="Calibri"/>
                  <w:b w:val="0"/>
                  <w:i w:val="0"/>
                  <w:color w:val="000000"/>
                  <w:sz w:val="20"/>
                  <w:u w:val="none"/>
                  <w:shd w:val="clear" w:color="auto" w:fill="auto"/>
                </w:rPr>
                <w:t>23.-</w:t>
                <w:tab/>
                <w:t>GASTO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2dfdc9b474e462799dde9353e7cb825"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80e88a500b34e1eaf3795f2ba34605e" w:history="1">
              <w:r>
                <w:rPr>
                  <w:rFonts w:ascii="Calibri" w:eastAsia="Calibri" w:hAnsi="Calibri" w:cs="Calibri"/>
                  <w:b w:val="0"/>
                  <w:i w:val="0"/>
                  <w:color w:val="000000"/>
                  <w:sz w:val="20"/>
                  <w:u w:val="none"/>
                  <w:shd w:val="clear" w:color="auto" w:fill="auto"/>
                </w:rPr>
                <w:t>23.1.-</w:t>
                <w:tab/>
                <w:t>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80e88a500b34e1eaf3795f2ba34605e"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95ed92da6fa4835b32cc9ea6290f2f9" w:history="1">
              <w:r>
                <w:rPr>
                  <w:rFonts w:ascii="Calibri" w:eastAsia="Calibri" w:hAnsi="Calibri" w:cs="Calibri"/>
                  <w:b w:val="0"/>
                  <w:i w:val="0"/>
                  <w:color w:val="000000"/>
                  <w:sz w:val="20"/>
                  <w:u w:val="none"/>
                  <w:shd w:val="clear" w:color="auto" w:fill="auto"/>
                </w:rPr>
                <w:t>23.2.-</w:t>
                <w:tab/>
                <w:t>Localización del 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95ed92da6fa4835b32cc9ea6290f2f9" w:history="1">
              <w:r>
                <w:rPr>
                  <w:rFonts w:ascii="Calibri" w:eastAsia="Calibri" w:hAnsi="Calibri" w:cs="Calibri"/>
                  <w:b w:val="0"/>
                  <w:i w:val="0"/>
                  <w:color w:val="000000"/>
                  <w:sz w:val="20"/>
                  <w:u w:val="none"/>
                  <w:shd w:val="clear" w:color="auto" w:fill="auto"/>
                </w:rPr>
                <w:t>63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3387462c64444c295964bfc6d1da68f" w:history="1">
              <w:r>
                <w:rPr>
                  <w:rFonts w:ascii="Calibri" w:eastAsia="Calibri" w:hAnsi="Calibri" w:cs="Calibri"/>
                  <w:b w:val="0"/>
                  <w:i w:val="0"/>
                  <w:color w:val="000000"/>
                  <w:sz w:val="20"/>
                  <w:u w:val="none"/>
                  <w:shd w:val="clear" w:color="auto" w:fill="auto"/>
                </w:rPr>
                <w:t>23.3.-</w:t>
                <w:tab/>
                <w:t>Conciliación entre el resultado por impuestos a las ganancias contabilizado y la tasa efectiva.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3387462c64444c295964bfc6d1da68f" w:history="1">
              <w:r>
                <w:rPr>
                  <w:rFonts w:ascii="Calibri" w:eastAsia="Calibri" w:hAnsi="Calibri" w:cs="Calibri"/>
                  <w:b w:val="0"/>
                  <w:i w:val="0"/>
                  <w:color w:val="000000"/>
                  <w:sz w:val="20"/>
                  <w:u w:val="none"/>
                  <w:shd w:val="clear" w:color="auto" w:fill="auto"/>
                </w:rPr>
                <w:t>63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1991283e1004223813326bc7ddd719e" w:history="1">
              <w:r>
                <w:rPr>
                  <w:rFonts w:ascii="Calibri" w:eastAsia="Calibri" w:hAnsi="Calibri" w:cs="Calibri"/>
                  <w:b w:val="0"/>
                  <w:i w:val="0"/>
                  <w:color w:val="000000"/>
                  <w:sz w:val="20"/>
                  <w:u w:val="none"/>
                  <w:shd w:val="clear" w:color="auto" w:fill="auto"/>
                </w:rPr>
                <w:t>23.4.-</w:t>
                <w:tab/>
                <w:t>Efecto en los resultados integrales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1991283e1004223813326bc7ddd719e" w:history="1">
              <w:r>
                <w:rPr>
                  <w:rFonts w:ascii="Calibri" w:eastAsia="Calibri" w:hAnsi="Calibri" w:cs="Calibri"/>
                  <w:b w:val="0"/>
                  <w:i w:val="0"/>
                  <w:color w:val="000000"/>
                  <w:sz w:val="20"/>
                  <w:u w:val="none"/>
                  <w:shd w:val="clear" w:color="auto" w:fill="auto"/>
                </w:rPr>
                <w:t>63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70c3122c9c64e7abbe702eaaaac8455" w:history="1">
              <w:r>
                <w:rPr>
                  <w:rFonts w:ascii="Calibri" w:eastAsia="Calibri" w:hAnsi="Calibri" w:cs="Calibri"/>
                  <w:b w:val="0"/>
                  <w:i w:val="0"/>
                  <w:color w:val="000000"/>
                  <w:sz w:val="20"/>
                  <w:u w:val="none"/>
                  <w:shd w:val="clear" w:color="auto" w:fill="auto"/>
                </w:rPr>
                <w:t>24.-</w:t>
                <w:tab/>
                <w:t>GANANCIAS POR ACCIÓN.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70c3122c9c64e7abbe702eaaaac8455" w:history="1">
              <w:r>
                <w:rPr>
                  <w:rFonts w:ascii="Calibri" w:eastAsia="Calibri" w:hAnsi="Calibri" w:cs="Calibri"/>
                  <w:b w:val="0"/>
                  <w:i w:val="0"/>
                  <w:color w:val="000000"/>
                  <w:sz w:val="20"/>
                  <w:u w:val="none"/>
                  <w:shd w:val="clear" w:color="auto" w:fill="auto"/>
                </w:rPr>
                <w:t>64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b852cfbd9d4459a8c05e1456ab516ff" w:history="1">
              <w:r>
                <w:rPr>
                  <w:rFonts w:ascii="Calibri" w:eastAsia="Calibri" w:hAnsi="Calibri" w:cs="Calibri"/>
                  <w:b w:val="0"/>
                  <w:i w:val="0"/>
                  <w:color w:val="000000"/>
                  <w:sz w:val="20"/>
                  <w:u w:val="none"/>
                  <w:shd w:val="clear" w:color="auto" w:fill="auto"/>
                </w:rPr>
                <w:t>25.-</w:t>
                <w:tab/>
                <w:t>INFORMACIÓN POR SEGMENTO.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b852cfbd9d4459a8c05e1456ab516ff" w:history="1">
              <w:r>
                <w:rPr>
                  <w:rFonts w:ascii="Calibri" w:eastAsia="Calibri" w:hAnsi="Calibri" w:cs="Calibri"/>
                  <w:b w:val="0"/>
                  <w:i w:val="0"/>
                  <w:color w:val="000000"/>
                  <w:sz w:val="20"/>
                  <w:u w:val="none"/>
                  <w:shd w:val="clear" w:color="auto" w:fill="auto"/>
                </w:rPr>
                <w:t>64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dff53dc0eb1457e9ec4ccc3d0434749" w:history="1">
              <w:r>
                <w:rPr>
                  <w:rFonts w:ascii="Calibri" w:eastAsia="Calibri" w:hAnsi="Calibri" w:cs="Calibri"/>
                  <w:b w:val="0"/>
                  <w:i w:val="0"/>
                  <w:color w:val="000000"/>
                  <w:sz w:val="20"/>
                  <w:u w:val="none"/>
                  <w:shd w:val="clear" w:color="auto" w:fill="auto"/>
                </w:rPr>
                <w:t>25.1.-</w:t>
                <w:tab/>
                <w:t>Criterios de segmentación.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dff53dc0eb1457e9ec4ccc3d0434749" w:history="1">
              <w:r>
                <w:rPr>
                  <w:rFonts w:ascii="Calibri" w:eastAsia="Calibri" w:hAnsi="Calibri" w:cs="Calibri"/>
                  <w:b w:val="0"/>
                  <w:i w:val="0"/>
                  <w:color w:val="000000"/>
                  <w:sz w:val="20"/>
                  <w:u w:val="none"/>
                  <w:shd w:val="clear" w:color="auto" w:fill="auto"/>
                </w:rPr>
                <w:t>64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bad75d7771f4e59a7984b530129ff6b" w:history="1">
              <w:r>
                <w:rPr>
                  <w:rFonts w:ascii="Calibri" w:eastAsia="Calibri" w:hAnsi="Calibri" w:cs="Calibri"/>
                  <w:b w:val="0"/>
                  <w:i w:val="0"/>
                  <w:color w:val="000000"/>
                  <w:sz w:val="20"/>
                  <w:u w:val="none"/>
                  <w:shd w:val="clear" w:color="auto" w:fill="auto"/>
                </w:rPr>
                <w:t>25.2.-</w:t>
                <w:tab/>
                <w:t>Cuadros patrimoniales.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bad75d7771f4e59a7984b530129ff6b" w:history="1">
              <w:r>
                <w:rPr>
                  <w:rFonts w:ascii="Calibri" w:eastAsia="Calibri" w:hAnsi="Calibri" w:cs="Calibri"/>
                  <w:b w:val="0"/>
                  <w:i w:val="0"/>
                  <w:color w:val="000000"/>
                  <w:sz w:val="20"/>
                  <w:u w:val="none"/>
                  <w:shd w:val="clear" w:color="auto" w:fill="auto"/>
                </w:rPr>
                <w:t>65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445eabea8b647578781d579cf254a1f" w:history="1">
              <w:r>
                <w:rPr>
                  <w:rFonts w:ascii="Calibri" w:eastAsia="Calibri" w:hAnsi="Calibri" w:cs="Calibri"/>
                  <w:b w:val="0"/>
                  <w:i w:val="0"/>
                  <w:color w:val="000000"/>
                  <w:sz w:val="20"/>
                  <w:u w:val="none"/>
                  <w:shd w:val="clear" w:color="auto" w:fill="auto"/>
                </w:rPr>
                <w:t>25.3.-</w:t>
                <w:tab/>
                <w:t>Cuadros de resultados por segmentos.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445eabea8b647578781d579cf254a1f"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ec641c399fe4bd1837e6ec425140229" w:history="1">
              <w:r>
                <w:rPr>
                  <w:rFonts w:ascii="Calibri" w:eastAsia="Calibri" w:hAnsi="Calibri" w:cs="Calibri"/>
                  <w:b w:val="0"/>
                  <w:i w:val="0"/>
                  <w:color w:val="000000"/>
                  <w:sz w:val="20"/>
                  <w:u w:val="none"/>
                  <w:shd w:val="clear" w:color="auto" w:fill="auto"/>
                </w:rPr>
                <w:t>25.4.-</w:t>
                <w:tab/>
                <w:t>Flujos de efectivo por segmento por método directo.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ec641c399fe4bd1837e6ec425140229" w:history="1">
              <w:r>
                <w:rPr>
                  <w:rFonts w:ascii="Calibri" w:eastAsia="Calibri" w:hAnsi="Calibri" w:cs="Calibri"/>
                  <w:b w:val="0"/>
                  <w:i w:val="0"/>
                  <w:color w:val="000000"/>
                  <w:sz w:val="20"/>
                  <w:u w:val="none"/>
                  <w:shd w:val="clear" w:color="auto" w:fill="auto"/>
                </w:rPr>
                <w:t>68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e14e48d306242a9833beb431a3263e2" w:history="1">
              <w:r>
                <w:rPr>
                  <w:rFonts w:ascii="Calibri" w:eastAsia="Calibri" w:hAnsi="Calibri" w:cs="Calibri"/>
                  <w:b w:val="0"/>
                  <w:i w:val="0"/>
                  <w:color w:val="000000"/>
                  <w:sz w:val="20"/>
                  <w:u w:val="none"/>
                  <w:shd w:val="clear" w:color="auto" w:fill="auto"/>
                </w:rPr>
                <w:t>26.-</w:t>
                <w:tab/>
                <w:t>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e14e48d306242a9833beb431a3263e2" w:history="1">
              <w:r>
                <w:rPr>
                  <w:rFonts w:ascii="Calibri" w:eastAsia="Calibri" w:hAnsi="Calibri" w:cs="Calibri"/>
                  <w:b w:val="0"/>
                  <w:i w:val="0"/>
                  <w:color w:val="000000"/>
                  <w:sz w:val="20"/>
                  <w:u w:val="none"/>
                  <w:shd w:val="clear" w:color="auto" w:fill="auto"/>
                </w:rPr>
                <w:t>68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ad0b7f238fd4c56ba561ebe5132be2f" w:history="1">
              <w:r>
                <w:rPr>
                  <w:rFonts w:ascii="Calibri" w:eastAsia="Calibri" w:hAnsi="Calibri" w:cs="Calibri"/>
                  <w:b w:val="0"/>
                  <w:i w:val="0"/>
                  <w:color w:val="000000"/>
                  <w:sz w:val="20"/>
                  <w:u w:val="none"/>
                  <w:shd w:val="clear" w:color="auto" w:fill="auto"/>
                </w:rPr>
                <w:t>26.1.-</w:t>
                <w:tab/>
                <w:t>Resumen de 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ad0b7f238fd4c56ba561ebe5132be2f" w:history="1">
              <w:r>
                <w:rPr>
                  <w:rFonts w:ascii="Calibri" w:eastAsia="Calibri" w:hAnsi="Calibri" w:cs="Calibri"/>
                  <w:b w:val="0"/>
                  <w:i w:val="0"/>
                  <w:color w:val="000000"/>
                  <w:sz w:val="20"/>
                  <w:u w:val="none"/>
                  <w:shd w:val="clear" w:color="auto" w:fill="auto"/>
                </w:rPr>
                <w:t>68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c0603455c7b41e2bae0359a7ec6da31" w:history="1">
              <w:r>
                <w:rPr>
                  <w:rFonts w:ascii="Calibri" w:eastAsia="Calibri" w:hAnsi="Calibri" w:cs="Calibri"/>
                  <w:b w:val="0"/>
                  <w:i w:val="0"/>
                  <w:color w:val="000000"/>
                  <w:sz w:val="20"/>
                  <w:u w:val="none"/>
                  <w:shd w:val="clear" w:color="auto" w:fill="auto"/>
                </w:rPr>
                <w:t>26.2.-</w:t>
                <w:tab/>
                <w:t>Saldos en moneda extranjera,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c0603455c7b41e2bae0359a7ec6da31" w:history="1">
              <w:r>
                <w:rPr>
                  <w:rFonts w:ascii="Calibri" w:eastAsia="Calibri" w:hAnsi="Calibri" w:cs="Calibri"/>
                  <w:b w:val="0"/>
                  <w:i w:val="0"/>
                  <w:color w:val="000000"/>
                  <w:sz w:val="20"/>
                  <w:u w:val="none"/>
                  <w:shd w:val="clear" w:color="auto" w:fill="auto"/>
                </w:rPr>
                <w:t>69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b1fde03c842420a88f9e60ab6558789" w:history="1">
              <w:r>
                <w:rPr>
                  <w:rFonts w:ascii="Calibri" w:eastAsia="Calibri" w:hAnsi="Calibri" w:cs="Calibri"/>
                  <w:b w:val="0"/>
                  <w:i w:val="0"/>
                  <w:color w:val="000000"/>
                  <w:sz w:val="20"/>
                  <w:u w:val="none"/>
                  <w:shd w:val="clear" w:color="auto" w:fill="auto"/>
                </w:rPr>
                <w:t>26.3.-</w:t>
                <w:tab/>
                <w:t>Saldos en moneda extranjera, pasivos.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b1fde03c842420a88f9e60ab6558789"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e54849c00ed48e0b686e11bdb6e7422" w:history="1">
              <w:r>
                <w:rPr>
                  <w:rFonts w:ascii="Calibri" w:eastAsia="Calibri" w:hAnsi="Calibri" w:cs="Calibri"/>
                  <w:b w:val="0"/>
                  <w:i w:val="0"/>
                  <w:color w:val="000000"/>
                  <w:sz w:val="20"/>
                  <w:u w:val="none"/>
                  <w:shd w:val="clear" w:color="auto" w:fill="auto"/>
                </w:rPr>
                <w:t>27.-</w:t>
                <w:tab/>
                <w:t>CONTINGENCIAS, JUICIOS Y OTROS.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e54849c00ed48e0b686e11bdb6e7422" w:history="1">
              <w:r>
                <w:rPr>
                  <w:rFonts w:ascii="Calibri" w:eastAsia="Calibri" w:hAnsi="Calibri" w:cs="Calibri"/>
                  <w:b w:val="0"/>
                  <w:i w:val="0"/>
                  <w:color w:val="000000"/>
                  <w:sz w:val="20"/>
                  <w:u w:val="none"/>
                  <w:shd w:val="clear" w:color="auto" w:fill="auto"/>
                </w:rPr>
                <w:t>71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290b62138c74aa3a2f17ad127b9b17d" w:history="1">
              <w:r>
                <w:rPr>
                  <w:rFonts w:ascii="Calibri" w:eastAsia="Calibri" w:hAnsi="Calibri" w:cs="Calibri"/>
                  <w:b w:val="0"/>
                  <w:i w:val="0"/>
                  <w:color w:val="000000"/>
                  <w:sz w:val="20"/>
                  <w:u w:val="none"/>
                  <w:shd w:val="clear" w:color="auto" w:fill="auto"/>
                </w:rPr>
                <w:t>27.1.-</w:t>
                <w:tab/>
                <w:t>Juicios y otras acciones legales.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290b62138c74aa3a2f17ad127b9b17d" w:history="1">
              <w:r>
                <w:rPr>
                  <w:rFonts w:ascii="Calibri" w:eastAsia="Calibri" w:hAnsi="Calibri" w:cs="Calibri"/>
                  <w:b w:val="0"/>
                  <w:i w:val="0"/>
                  <w:color w:val="000000"/>
                  <w:sz w:val="20"/>
                  <w:u w:val="none"/>
                  <w:shd w:val="clear" w:color="auto" w:fill="auto"/>
                </w:rPr>
                <w:t>71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0db7c3d1cd84941987b1533d2b16466" w:history="1">
              <w:r>
                <w:rPr>
                  <w:rFonts w:ascii="Calibri" w:eastAsia="Calibri" w:hAnsi="Calibri" w:cs="Calibri"/>
                  <w:b w:val="0"/>
                  <w:i w:val="0"/>
                  <w:color w:val="000000"/>
                  <w:sz w:val="20"/>
                  <w:u w:val="none"/>
                  <w:shd w:val="clear" w:color="auto" w:fill="auto"/>
                </w:rPr>
                <w:t>28.-</w:t>
                <w:tab/>
                <w:t>GARANTÍAS COMPROMETIDAS CON TERCEROS, OTROS ACTIVOS Y PASIVOS CONTINGENTES Y OTROS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0db7c3d1cd84941987b1533d2b16466" w:history="1">
              <w:r>
                <w:rPr>
                  <w:rFonts w:ascii="Calibri" w:eastAsia="Calibri" w:hAnsi="Calibri" w:cs="Calibri"/>
                  <w:b w:val="0"/>
                  <w:i w:val="0"/>
                  <w:color w:val="000000"/>
                  <w:sz w:val="20"/>
                  <w:u w:val="none"/>
                  <w:shd w:val="clear" w:color="auto" w:fill="auto"/>
                </w:rPr>
                <w:t>71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17d4819a4f84cca8f289dd528301e64" w:history="1">
              <w:r>
                <w:rPr>
                  <w:rFonts w:ascii="Calibri" w:eastAsia="Calibri" w:hAnsi="Calibri" w:cs="Calibri"/>
                  <w:b w:val="0"/>
                  <w:i w:val="0"/>
                  <w:color w:val="000000"/>
                  <w:sz w:val="20"/>
                  <w:u w:val="none"/>
                  <w:shd w:val="clear" w:color="auto" w:fill="auto"/>
                </w:rPr>
                <w:t>29.-</w:t>
                <w:tab/>
                <w:t>DISTRIBUCIÓN DEL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17d4819a4f84cca8f289dd528301e64" w:history="1">
              <w:r>
                <w:rPr>
                  <w:rFonts w:ascii="Calibri" w:eastAsia="Calibri" w:hAnsi="Calibri" w:cs="Calibri"/>
                  <w:b w:val="0"/>
                  <w:i w:val="0"/>
                  <w:color w:val="000000"/>
                  <w:sz w:val="20"/>
                  <w:u w:val="none"/>
                  <w:shd w:val="clear" w:color="auto" w:fill="auto"/>
                </w:rPr>
                <w:t>72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d41b5564e0c4e7b9cf4df71889ac099" w:history="1">
              <w:r>
                <w:rPr>
                  <w:rFonts w:ascii="Calibri" w:eastAsia="Calibri" w:hAnsi="Calibri" w:cs="Calibri"/>
                  <w:b w:val="0"/>
                  <w:i w:val="0"/>
                  <w:color w:val="000000"/>
                  <w:sz w:val="20"/>
                  <w:u w:val="none"/>
                  <w:shd w:val="clear" w:color="auto" w:fill="auto"/>
                </w:rPr>
                <w:t>30.-</w:t>
                <w:tab/>
                <w:t>MEDIO AMBIENTE.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d41b5564e0c4e7b9cf4df71889ac099" w:history="1">
              <w:r>
                <w:rPr>
                  <w:rFonts w:ascii="Calibri" w:eastAsia="Calibri" w:hAnsi="Calibri" w:cs="Calibri"/>
                  <w:b w:val="0"/>
                  <w:i w:val="0"/>
                  <w:color w:val="000000"/>
                  <w:sz w:val="20"/>
                  <w:u w:val="none"/>
                  <w:shd w:val="clear" w:color="auto" w:fill="auto"/>
                </w:rPr>
                <w:t>72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51756c39db443c4abeba445ec442494" w:history="1">
              <w:r>
                <w:rPr>
                  <w:rFonts w:ascii="Calibri" w:eastAsia="Calibri" w:hAnsi="Calibri" w:cs="Calibri"/>
                  <w:b w:val="0"/>
                  <w:i w:val="0"/>
                  <w:color w:val="000000"/>
                  <w:sz w:val="20"/>
                  <w:u w:val="none"/>
                  <w:shd w:val="clear" w:color="auto" w:fill="auto"/>
                </w:rPr>
                <w:t>31.-</w:t>
                <w:tab/>
                <w:t>HECHOS POSTERIORES.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51756c39db443c4abeba445ec442494" w:history="1">
              <w:r>
                <w:rPr>
                  <w:rFonts w:ascii="Calibri" w:eastAsia="Calibri" w:hAnsi="Calibri" w:cs="Calibri"/>
                  <w:b w:val="0"/>
                  <w:i w:val="0"/>
                  <w:color w:val="000000"/>
                  <w:sz w:val="20"/>
                  <w:u w:val="none"/>
                  <w:shd w:val="clear" w:color="auto" w:fill="auto"/>
                </w:rPr>
                <w:t>72</w:t>
              </w:r>
            </w:hyperlink>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TRANSFORMADORES TUSAN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 CONSOLIDADOS</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r>
        <w:pict>
          <v:shape id="_x0000_i1033"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8"/>
          <w:footerReference w:type="default" r:id="rId19"/>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6" w:name="Section7"/>
      <w:bookmarkEnd w:id="6"/>
      <w:bookmarkStart w:id="7" w:name="4ff641262a0f4c3b85a2fc2cd47f6b1e"/>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7"/>
    </w:p>
    <w:p>
      <w:pPr>
        <w:pStyle w:val="Normal-wk"/>
        <w:keepNext w:val="0"/>
        <w:keepLines/>
        <w:pageBreakBefore w:val="0"/>
        <w:widowControl w:val="0"/>
        <w:numPr>
          <w:ilvl w:val="0"/>
          <w:numId w:val="0"/>
        </w:numPr>
        <w:tabs>
          <w:tab w:val="left" w:pos="700"/>
        </w:tabs>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(en adelante la “Sociedad”), Rut 86.386.700-2, es una empresa subsidiaria de CGE Transmisión S.A.</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Transformadores Tusan S.A. es una sociedad anónima cerrada, tiene su domicilio social en Avenida Gladys Marín Nº 6030 en la ciudad de Santiago, República de Chile.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12 de noviembre de 2004, se efectuó cambio de tipo de Sociedad, de responsabilidad limitada a Sociedad Anónima Cerrada, de conformidad a los artículos Nº 96, Nº 97 y Nº 98 de la Ley Nº 18.046.</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tiene como objeto social principal la fabricación y comercialización de transformadores eléctricos, proporcionar asesorías y servicios a terceros incluyendo mantención, reparación, transporte y montaje de transformadores y además, prestar servicios de verificación, calibración, sellado, certificación, mantenimiento, reparación, lectura y registro de toda clase de equipos de medición.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accionistas de Transformadores Tusan S.A. son los siguientes: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3402" w:right="0" w:hanging="269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99,07%</w:t>
      </w:r>
    </w:p>
    <w:p>
      <w:pPr>
        <w:pStyle w:val="Normal-wk"/>
        <w:keepNext w:val="0"/>
        <w:keepLines/>
        <w:pageBreakBefore w:val="0"/>
        <w:widowControl w:val="0"/>
        <w:numPr>
          <w:ilvl w:val="0"/>
          <w:numId w:val="0"/>
        </w:numPr>
        <w:tabs>
          <w:tab w:val="left" w:pos="700"/>
        </w:tabs>
        <w:spacing w:before="0" w:after="0" w:line="288" w:lineRule="auto"/>
        <w:ind w:left="3402" w:right="0" w:hanging="269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Servicios S.A.</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0,93%</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el accionista propietario del 97,145% de las acciones de CGE Transmisión S.A. es State Grid Chile Electricity SpA., miembro del Grupo State Grid Corporation of China, cuya matriz final es dicha sociedad.</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emisión de estos estados financieros consolidados correspondientes al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ha sido aprobada en Directorio de fecha 12</w:t>
      </w:r>
      <w:r>
        <w:rPr>
          <w:rFonts w:ascii="Calibri" w:eastAsia="Calibri" w:hAnsi="Calibri" w:cs="Calibri"/>
          <w:b w:val="0"/>
          <w:i w:val="0"/>
          <w:color w:val="000000"/>
          <w:sz w:val="20"/>
          <w:highlight w:val="white"/>
          <w:u w:val="none"/>
        </w:rPr>
        <w:t xml:space="preserve"> de marzo</w:t>
      </w:r>
      <w:r>
        <w:rPr>
          <w:rFonts w:ascii="Calibri" w:eastAsia="Calibri" w:hAnsi="Calibri" w:cs="Calibri"/>
          <w:b w:val="0"/>
          <w:i w:val="0"/>
          <w:color w:val="000000"/>
          <w:sz w:val="20"/>
          <w:u w:val="none"/>
        </w:rPr>
        <w:t xml:space="preserve"> de 2026, quien con dicha fecha autorizó además su publicación.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8" w:name="Section8"/>
      <w:bookmarkEnd w:id="8"/>
      <w:bookmarkStart w:id="9" w:name="71f277b8df0846a0ac10680d7ce6ce7c"/>
      <w:r>
        <w:rPr>
          <w:rFonts w:ascii="Calibri" w:eastAsia="Calibri" w:hAnsi="Calibri" w:cs="Calibri"/>
          <w:b/>
          <w:i w:val="0"/>
          <w:color w:val="000000"/>
          <w:sz w:val="20"/>
          <w:u w:val="none"/>
        </w:rPr>
        <w:t>2.-</w:t>
      </w:r>
      <w:r>
        <w:rPr>
          <w:rFonts w:ascii="Calibri" w:eastAsia="Calibri" w:hAnsi="Calibri" w:cs="Calibri"/>
          <w:b/>
          <w:i w:val="0"/>
          <w:color w:val="000000"/>
          <w:sz w:val="20"/>
          <w:u w:val="none"/>
        </w:rPr>
        <w:tab/>
      </w:r>
      <w:r>
        <w:rPr>
          <w:rFonts w:ascii="Calibri" w:eastAsia="Calibri" w:hAnsi="Calibri" w:cs="Calibri"/>
          <w:b/>
          <w:i w:val="0"/>
          <w:color w:val="000000"/>
          <w:sz w:val="20"/>
          <w:u w:val="none"/>
        </w:rPr>
        <w:t>DESCRIPCIÓN DE LOS SECTORES DONDE PARTICIPA TRANSFORMADORES TUSAN S.A. Y SUBSIDIARIA.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9"/>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0" w:name="Section9"/>
      <w:bookmarkEnd w:id="10"/>
      <w:bookmarkStart w:id="11" w:name="350e26e169c44c3b9f242bbf54ffdca5"/>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Transformadores Tusan S.A.</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bookmarkEnd w:id="1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es uno de los tres principales fabricantes de transformadores eléctricos en Chile. Produce y comercializa desde equipos monofásicos de 3 kVA hasta transformadores de poder trifásicos de clase 154 kV y 60 MVA. La Sociedad también ofrece subestaciones: unitarias, del tipo pad-mounted, encapsuladas, transportables, etc., y proporciona asesoría y servicios a terceros en el área de ingeniería eléctrica de potencia, incluyendo mantención, reparación, transporte y montaje de transformadores.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Adicionalmente presta servicios de verificación, calibración, sellado, certificación, mantenimiento, reparación, lectura y registro de toda clase de equipos de medición, especialmente de la electricidad, el gas, el agua y toda clase de fluidos; la prestación de servicios de medición y registro de variables eléctricas, para determinar la calidad del suministro eléctrico en las instalaciones de suministradores, transportistas, distribuidores y usuarios, actuando como organismo de medición autorizado -OMA- u organismo o laboratorio de certificación autorizado -OLCA. Además, ha innovado en nuevas líneas de negocios como la comercialización de productos desde China y la reparación de transformadores de distribución.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Entre los clientes a los cuales la Sociedad realizó suministro de productos y/o servicios durante el ejercicio podemos mencionar a: Compañía General de Electricidad S.A., Sociedad Austral de Electricidad S.A., Cooperativas Eléctricas (Charrua, Los Ángeles, Río Bueno), Comercial Aragón Ltda., SQM S.A., Eaton Industries Chile SpA. y Empresa Eléctrica de Magallanes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 w:name="Section10"/>
      <w:bookmarkEnd w:id="12"/>
      <w:bookmarkStart w:id="13" w:name="7cff659c751f4c529bcc8ceb714e51f1"/>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Energy Sur Ingeniería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subsidiaria Energy Sur Ingeniería S.A., participa en el mercado eléctrico mediante la reparación y mantención de transformadores eléctricos, como también proporciona asesoría en el área de la ingeniería eléctrica, realizando mediciones de diversa índole, y montaje de proyectos de ingeniería.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4" w:name="Section11"/>
      <w:bookmarkEnd w:id="14"/>
      <w:bookmarkStart w:id="15" w:name="77a0b407e546493ea0d7582e133b88dc"/>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consolidados se detallan a continuación. Estas políticas han sido aplicadas uniformemente en todos los ejercicios presentados, a menos que se indique lo contrario.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6" w:name="Section12"/>
      <w:bookmarkEnd w:id="16"/>
      <w:bookmarkStart w:id="17" w:name="df450bfdd7e24ec695c2aa856f0b0beb"/>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consolidados.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consolidados de la Sociedad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preparados de acuerdo con Normas de Contabilidad de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consolidados han sido preparados de acuerdo con el principio de costo.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se han utilizado las políticas emanadas desde State Grid Chile Electricity SpA. para todas las subsidiarias incluidas en la consolidación.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se han utilizado estimaciones contables críticas para cuantificar algunos activos, pasivos, ingresos y gastos. Las áreas que involucran un mayor grado de juicio o complejidad o áreas en las que los supuestos y estimaciones son significativos para los estados financieros consolidados se describen en Nota 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18" w:name="Section13"/>
      <w:bookmarkEnd w:id="18"/>
      <w:bookmarkStart w:id="19" w:name="5c512984655a46b8847d7f3161556740"/>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Transformadores Tusan S.A. y subsidiaria.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siguientes estándares, interpretaciones y enmiendas son obligatorios por primera vez para el ejercicio 2025.</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 agosto de 2023, el IASB emitió enmiendas a la NIC 21 “Efectos de las Variaciones en las Tasas de Cambio”, ellas especifican cómo una entidad debe evaluar si una moneda es convertible y cómo debe determinar un tipo de cambio al contado cuando no existe convertibilidad. Las enmiendas también exigen la revelación de información que permita a los usuarios de sus estados financieros comprender cómo la falta de convertibilidad de una moneda a otra afecta, o se espera que afecte, el rendimiento financiero, la situación financiera y los flujos de efectivo de la entidad.</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entran en </w:t>
      </w:r>
      <w:r>
        <w:rPr>
          <w:rFonts w:ascii="Calibri" w:eastAsia="Calibri" w:hAnsi="Calibri" w:cs="Calibri"/>
          <w:b w:val="0"/>
          <w:i w:val="0"/>
          <w:color w:val="000000"/>
          <w:sz w:val="20"/>
          <w:u w:val="none"/>
        </w:rPr>
        <w:t>vigencia</w:t>
      </w:r>
      <w:r>
        <w:rPr>
          <w:rFonts w:ascii="Calibri" w:eastAsia="Calibri" w:hAnsi="Calibri" w:cs="Calibri"/>
          <w:b w:val="0"/>
          <w:i w:val="0"/>
          <w:sz w:val="20"/>
        </w:rPr>
        <w:t xml:space="preserve"> para los ejercicios anuales que comiencen a partir del 1 de enero de 2025. Al aplicar las enmiendas, no está permitido reexpresar la información comparativa.</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adopción de esta norma y su enmienda no generó impactos en los estados financieros consolidados del Grupo en la fecha de aplicación inicial.</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1417" w:right="0" w:hanging="709"/>
        <w:jc w:val="both"/>
        <w:outlineLvl w:val="9"/>
        <w:rPr>
          <w:rFonts w:ascii="Times New Roman" w:eastAsia="Times New Roman" w:hAnsi="Times New Roman" w:cs="Times New Roman"/>
          <w:b/>
          <w:i w:val="0"/>
          <w:color w:val="000000"/>
          <w:sz w:val="24"/>
          <w:u w:val="none"/>
        </w:rPr>
      </w:pPr>
      <w:bookmarkStart w:id="20" w:name="Section14"/>
      <w:bookmarkEnd w:id="20"/>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Heading2-wk"/>
        <w:keepNext w:val="0"/>
        <w:keepLines/>
        <w:pageBreakBefore w:val="0"/>
        <w:widowControl w:val="0"/>
        <w:numPr>
          <w:ilvl w:val="0"/>
          <w:numId w:val="0"/>
        </w:numPr>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21" w:name="56f2783adb714709b327c7fcf65275e3"/>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2025, para las cuales no se ha efectuado adopción anticipada de las mismas.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bookmarkEnd w:id="21"/>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w:t>
      </w:r>
      <w:r>
        <w:rPr>
          <w:rFonts w:ascii="Calibri" w:eastAsia="Calibri" w:hAnsi="Calibri" w:cs="Calibri"/>
          <w:b w:val="0"/>
          <w:i w:val="0"/>
          <w:sz w:val="20"/>
        </w:rPr>
        <w:t xml:space="preserve"> mayo de 2024, el IASB emitió enmiendas a la NIIF 9 y NIIF 7 “Clasificación y Medición de los Instrumentos Financieros“, enmiendas que:</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 </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Clarifican cómo evaluar las características del flujo de efectivo contractual de los activos financieros que incluyen características ambientales, sociales y de gobernanza (ASG) y otras características contingentes similares. </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Clarifican el tratamiento de los activos sin recurso y los instrumentos vinculados contractualmente. </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 enmiendas serán efectivas para los períodos anuales que comiencen a partir del 1 de enero de 2026. Las entidades pueden adoptar anticipadamente las modificaciones que se relacionan con la clasificación de activos financieros más las revelaciones relacionadas y aplicar las otras modificaciones más adelante.</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nuevos requisitos se aplicarán retrospectivamente con un ajuste en el saldo de apertura de los resultados acumulados. No es necesario reexpresar períodos anteriores. Además, se requiere que una entidad revele información sobre los activos financieros que cambian su categoría de medición debido a las modificaciones.</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3.3.2.-</w:t>
      </w:r>
      <w:r>
        <w:rPr>
          <w:rFonts w:ascii="Calibri" w:eastAsia="Calibri" w:hAnsi="Calibri" w:cs="Calibri"/>
          <w:b w:val="0"/>
          <w:i w:val="0"/>
          <w:sz w:val="20"/>
        </w:rPr>
        <w:tab/>
      </w:r>
      <w:r>
        <w:rPr>
          <w:rFonts w:ascii="Calibri" w:eastAsia="Calibri" w:hAnsi="Calibri" w:cs="Calibri"/>
          <w:b w:val="0"/>
          <w:i w:val="0"/>
          <w:sz w:val="20"/>
        </w:rPr>
        <w:t>En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Estas enmiendas aplican para los períodos de presentación de informes anuales que comiencen a partir del 1 de enero de 2026. Se permite su aplicación anticipada.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3.3.3.-</w:t>
      </w:r>
      <w:r>
        <w:rPr>
          <w:rFonts w:ascii="Calibri" w:eastAsia="Calibri" w:hAnsi="Calibri" w:cs="Calibri"/>
          <w:b w:val="0"/>
          <w:i w:val="0"/>
          <w:color w:val="000000"/>
          <w:sz w:val="20"/>
          <w:u w:val="none"/>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Permiten la contabilidad de cobertura si estos contratos se utilizan como instrumentos de </w:t>
      </w:r>
    </w:p>
    <w:p>
      <w:pPr>
        <w:keepNext w:val="0"/>
        <w:keepLines/>
        <w:pageBreakBefore w:val="0"/>
        <w:widowControl w:val="0"/>
        <w:numPr>
          <w:ilvl w:val="0"/>
          <w:numId w:val="0"/>
        </w:numPr>
        <w:spacing w:before="0" w:after="0" w:line="276" w:lineRule="auto"/>
        <w:ind w:left="0" w:right="0" w:firstLine="2551"/>
        <w:jc w:val="both"/>
        <w:outlineLvl w:val="9"/>
        <w:rPr>
          <w:rFonts w:ascii="Aptos" w:eastAsia="Aptos" w:hAnsi="Aptos" w:cs="Aptos"/>
          <w:b w:val="0"/>
          <w:i w:val="0"/>
          <w:sz w:val="24"/>
        </w:rPr>
      </w:pPr>
      <w:r>
        <w:rPr>
          <w:rFonts w:ascii="Calibri" w:eastAsia="Calibri" w:hAnsi="Calibri" w:cs="Calibri"/>
          <w:b w:val="0"/>
          <w:i w:val="0"/>
          <w:sz w:val="20"/>
        </w:rPr>
        <w:t>cobertura.</w:t>
      </w:r>
    </w:p>
    <w:p>
      <w:pPr>
        <w:keepNext w:val="0"/>
        <w:keepLines/>
        <w:pageBreakBefore w:val="0"/>
        <w:widowControl w:val="0"/>
        <w:numPr>
          <w:ilvl w:val="0"/>
          <w:numId w:val="0"/>
        </w:numPr>
        <w:spacing w:before="0" w:after="0" w:line="276" w:lineRule="auto"/>
        <w:ind w:left="0" w:right="0" w:firstLine="2551"/>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 enmiendas entrarán en vigencia para los períodos de presentación de informes anuales que comiencen el 1 de enero de 2026 o después. Se permite la adopción anticipada, pero la misma debe ser revelada. 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3.3.4.-</w:t>
      </w:r>
      <w:r>
        <w:rPr>
          <w:rFonts w:ascii="Calibri" w:eastAsia="Calibri" w:hAnsi="Calibri" w:cs="Calibri"/>
          <w:b w:val="0"/>
          <w:i w:val="0"/>
          <w:color w:val="000000"/>
          <w:sz w:val="20"/>
          <w:u w:val="none"/>
        </w:rPr>
        <w:tab/>
      </w:r>
      <w:r>
        <w:rPr>
          <w:rFonts w:ascii="Calibri" w:eastAsia="Calibri" w:hAnsi="Calibri" w:cs="Calibri"/>
          <w:b w:val="0"/>
          <w:i w:val="0"/>
          <w:sz w:val="20"/>
        </w:rPr>
        <w:t xml:space="preserve">En abril de 2024, el IASB emitió la NIIF 18 “Presentación e Información a Revelar en los Estados Financieros”, que sustituye a la </w:t>
      </w:r>
      <w:r>
        <w:rPr>
          <w:rFonts w:ascii="Calibri" w:eastAsia="Calibri" w:hAnsi="Calibri" w:cs="Calibri"/>
          <w:b w:val="0"/>
          <w:i w:val="0"/>
          <w:color w:val="000000"/>
          <w:sz w:val="20"/>
          <w:u w:val="none"/>
        </w:rPr>
        <w:t>NIC</w:t>
      </w:r>
      <w:r>
        <w:rPr>
          <w:rFonts w:ascii="Calibri" w:eastAsia="Calibri" w:hAnsi="Calibri" w:cs="Calibri"/>
          <w:b w:val="0"/>
          <w:i w:val="0"/>
          <w:sz w:val="20"/>
        </w:rPr>
        <w:t xml:space="preserve"> 1. Si bien se han incorporado varias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NIIF 18 y todas las modificaciones consiguientes entran en vigor para los ejercicios que comiencen a partir del 1 de enero de 2027, permitiéndose su aplicación anticipada. Se requiere su aplicación retroactiva.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3.3.5.-</w:t>
      </w:r>
      <w:r>
        <w:rPr>
          <w:rFonts w:ascii="Calibri" w:eastAsia="Calibri" w:hAnsi="Calibri" w:cs="Calibri"/>
          <w:b w:val="0"/>
          <w:i w:val="0"/>
          <w:color w:val="000000"/>
          <w:sz w:val="20"/>
          <w:u w:val="none"/>
        </w:rPr>
        <w:tab/>
      </w:r>
      <w:r>
        <w:rPr>
          <w:rFonts w:ascii="Calibri" w:eastAsia="Calibri" w:hAnsi="Calibri" w:cs="Calibri"/>
          <w:b w:val="0"/>
          <w:i w:val="0"/>
          <w:sz w:val="20"/>
        </w:rPr>
        <w:t>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NIIF 19 entrará en vigor para los </w:t>
      </w:r>
      <w:r>
        <w:rPr>
          <w:rFonts w:ascii="Calibri" w:eastAsia="Calibri" w:hAnsi="Calibri" w:cs="Calibri"/>
          <w:b w:val="0"/>
          <w:i w:val="0"/>
          <w:sz w:val="20"/>
        </w:rPr>
        <w:t>períodos</w:t>
      </w:r>
      <w:r>
        <w:rPr>
          <w:rFonts w:ascii="Calibri" w:eastAsia="Calibri" w:hAnsi="Calibri" w:cs="Calibri"/>
          <w:b w:val="0"/>
          <w:i w:val="0"/>
          <w:sz w:val="20"/>
        </w:rPr>
        <w:t xml:space="preserve"> sobre los que se informa que comiencen a partir del 1 de enero de 2027, permitiéndose su aplicación anticipada. </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3.3.6.-</w:t>
      </w:r>
      <w:r>
        <w:rPr>
          <w:rFonts w:ascii="Calibri" w:eastAsia="Calibri" w:hAnsi="Calibri" w:cs="Calibri"/>
          <w:b w:val="0"/>
          <w:i w:val="0"/>
          <w:color w:val="000000"/>
          <w:sz w:val="20"/>
          <w:u w:val="none"/>
        </w:rPr>
        <w:tab/>
      </w:r>
      <w:r>
        <w:rPr>
          <w:rFonts w:ascii="Calibri" w:eastAsia="Calibri" w:hAnsi="Calibri" w:cs="Calibri"/>
          <w:b w:val="0"/>
          <w:i w:val="0"/>
          <w:sz w:val="20"/>
        </w:rPr>
        <w:t xml:space="preserve">En noviembre de 2025, el IASB emitió “Conversión a una Moneda de Presentación Hiperinflacionaria - </w:t>
      </w:r>
      <w:r>
        <w:rPr>
          <w:rFonts w:ascii="Calibri" w:eastAsia="Calibri" w:hAnsi="Calibri" w:cs="Calibri"/>
          <w:b w:val="0"/>
          <w:i w:val="0"/>
          <w:color w:val="000000"/>
          <w:sz w:val="20"/>
          <w:u w:val="none"/>
        </w:rPr>
        <w:t>Enmiendas</w:t>
      </w:r>
      <w:r>
        <w:rPr>
          <w:rFonts w:ascii="Calibri" w:eastAsia="Calibri" w:hAnsi="Calibri" w:cs="Calibri"/>
          <w:b w:val="0"/>
          <w:i w:val="0"/>
          <w:sz w:val="20"/>
        </w:rPr>
        <w:t xml:space="preserve">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3.3.7.-</w:t>
      </w:r>
      <w:r>
        <w:rPr>
          <w:rFonts w:ascii="Calibri" w:eastAsia="Calibri" w:hAnsi="Calibri" w:cs="Calibri"/>
          <w:b w:val="0"/>
          <w:i w:val="0"/>
          <w:color w:val="000000"/>
          <w:sz w:val="20"/>
          <w:u w:val="none"/>
        </w:rPr>
        <w:tab/>
      </w:r>
      <w:r>
        <w:rPr>
          <w:rFonts w:ascii="Calibri" w:eastAsia="Calibri" w:hAnsi="Calibri" w:cs="Calibri"/>
          <w:b w:val="0"/>
          <w:i w:val="0"/>
          <w:sz w:val="20"/>
        </w:rPr>
        <w:t xml:space="preserve">En noviembre de 2025, el IASB emitió las Enmiendas a los Ejemplos Ilustrativos de las NIIF 7, NIIF 18, NIC 1, NIC 8, NIC 36 y NIC 37 – Revelaciones sobre </w:t>
      </w:r>
      <w:r>
        <w:rPr>
          <w:rFonts w:ascii="Calibri" w:eastAsia="Calibri" w:hAnsi="Calibri" w:cs="Calibri"/>
          <w:b w:val="0"/>
          <w:i w:val="0"/>
          <w:color w:val="000000"/>
          <w:sz w:val="20"/>
          <w:u w:val="none"/>
        </w:rPr>
        <w:t>Incertidumbres</w:t>
      </w:r>
      <w:r>
        <w:rPr>
          <w:rFonts w:ascii="Calibri" w:eastAsia="Calibri" w:hAnsi="Calibri" w:cs="Calibri"/>
          <w:b w:val="0"/>
          <w:i w:val="0"/>
          <w:sz w:val="20"/>
        </w:rPr>
        <w:t xml:space="preserve"> en los Estados Financieros (“los ejemplos”), que agregaron ejemplos ilustrativos a varias normas contables NIIF.</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Los ejemplos tienen </w:t>
      </w:r>
      <w:r>
        <w:rPr>
          <w:rFonts w:ascii="Calibri" w:eastAsia="Calibri" w:hAnsi="Calibri" w:cs="Calibri"/>
          <w:b w:val="0"/>
          <w:i w:val="0"/>
          <w:sz w:val="20"/>
        </w:rPr>
        <w:t>como</w:t>
      </w:r>
      <w:r>
        <w:rPr>
          <w:rFonts w:ascii="Calibri" w:eastAsia="Calibri" w:hAnsi="Calibri" w:cs="Calibri"/>
          <w:b w:val="0"/>
          <w:i w:val="0"/>
          <w:sz w:val="20"/>
        </w:rPr>
        <w:t xml:space="preserve">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88" w:lineRule="auto"/>
        <w:ind w:left="2126" w:right="0" w:firstLine="0"/>
        <w:jc w:val="both"/>
        <w:outlineLvl w:val="9"/>
        <w:rPr>
          <w:rFonts w:ascii="Aptos" w:eastAsia="Aptos" w:hAnsi="Aptos" w:cs="Aptos"/>
          <w:b w:val="0"/>
          <w:i w:val="0"/>
          <w:sz w:val="24"/>
        </w:rPr>
      </w:pPr>
      <w:r>
        <w:rPr>
          <w:rFonts w:ascii="Calibri" w:eastAsia="Calibri" w:hAnsi="Calibri" w:cs="Calibri"/>
          <w:b w:val="0"/>
          <w:i w:val="0"/>
          <w:sz w:val="20"/>
        </w:rPr>
        <w:t>Estos ejemplos ilustran requerimientos existentes en las normas contables NIIF. No agregan ni modifican los requerimientos vigentes.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Juicios relacionados con la materialidad.</w:t>
      </w: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generales.</w:t>
      </w: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Riesgo de crédito.</w:t>
      </w: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3.3.8.-</w:t>
      </w:r>
      <w:r>
        <w:rPr>
          <w:rFonts w:ascii="Calibri" w:eastAsia="Calibri" w:hAnsi="Calibri" w:cs="Calibri"/>
          <w:b w:val="0"/>
          <w:i w:val="0"/>
          <w:color w:val="000000"/>
          <w:sz w:val="20"/>
          <w:u w:val="none"/>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tabs>
          <w:tab w:val="left" w:pos="700"/>
        </w:tabs>
        <w:spacing w:before="0" w:after="0" w:line="288"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Administración Transformadores Tusan S.A. y subsidiaria estima que la adopción de las Normas, Enmiendas e Interpretaciones que pudiesen aplicar al Grupo, no tendrán un impacto significativo en los estados financieros consolidados en el ejercicio de su primera aplicación.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0"/>
          <w:u w:val="none"/>
        </w:rPr>
      </w:pPr>
      <w:bookmarkStart w:id="22" w:name="Section15"/>
      <w:bookmarkEnd w:id="22"/>
      <w:bookmarkStart w:id="23" w:name="efe629776b3f48099a894ef96b8b309e"/>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Bases de consolidación.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3"/>
    </w:p>
    <w:p>
      <w:pPr>
        <w:pStyle w:val="Normal-wk"/>
        <w:keepNext w:val="0"/>
        <w:keepLines/>
        <w:pageBreakBefore w:val="0"/>
        <w:widowControl w:val="0"/>
        <w:numPr>
          <w:ilvl w:val="0"/>
          <w:numId w:val="0"/>
        </w:numPr>
        <w:tabs>
          <w:tab w:val="left" w:pos="700"/>
        </w:tabs>
        <w:spacing w:before="0" w:after="0" w:line="259"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Subsidiarias o filiales.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59"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Subsidiarias o filiales son todas las entidades (incluidas las entidades de cometido especial) sobre las que Transformadores Tusan S.A. tiene el control. Se considera que se mantiene control cuando: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tiene el poder sobre la entidad;</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está expuesto, o tiene derecho, a retornos variables procedentes de su implicación en las sociedades.</w:t>
      </w: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tiene la capacidad de afectar los retornos mediante su poder sobre la entidad.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que Transformadores Tusan S.A. tiene poder sobre una entidad, cuando tiene derechos existentes que le otorgan la capacidad presente de dirigir las actividades relevantes, eso es, las actividades que afectan de manera significativa los retornos de la entidad. El poder sobre sus subsidiarias se deriva de la posesión de la mayoría de los derechos de voto otorgados por instrumentos de capital de las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hora de evaluar si la Sociedad controla otra entidad, se considera la existencia y el efecto de los derechos potenciales de voto que sean actualmente ejercibles o convertibles. Las subsidiarias se consolidan a partir de la fecha en que se transfiere el control y se excluyen de la consolidación en la fecha en que cesa el mismo.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contabilizar la adquisición de subsidiarias se utiliza el método de adquisición. El costo de adquisición es el valor razonable de los activos entregados, de los instrumentos de patrimonio emitidos y de los pasivos incurridos o asumidos en la fecha de intercambio. El precio pagado determinado incluye el valor justo de activos o pasivos resultantes de cualquier acuerdo contingente de precio. Los costos relacionados con la adquisición son cargados a resultados tan pronto son incurridos. Los activos identificables adquiridos y los pasivos y contingencias identificables asumidos en una combinación de negocios se valoran inicialmente por su valor razonable a la fecha de adquisición, con independencia del alcance de las participaciones no controladoras, el cual incluiría cualquier activo o pasivo contingente a su valor justo. Según cada adquisición, Transformadores Tusan S.A. reconoce el interés no controlador a su valor razonable o al valor proporcional del interés no controlante sobre el valor justo de los activos netos adquiridos. El exceso del costo de adquisición sobre el valor razonable de la participación de la Sociedad en los activos netos identificables adquiridos se reconoce como menor valor o plusvalía comprada (goodwill). Si el costo de adquisición es menor que el valor razonable de los activos netos de la subsidiaria adquirida, la diferencia se reconoce directamente en el estado de resultados.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eliminan las transacciones intercompañías, los saldos y las ganancias no realizadas por transacciones entre entidades relacionadas. Las pérdidas no realizadas también se eliminan, a menos que la transacción proporcione evidencia de una pérdida por deterioro del activo transferido. Cuando es necesario, para asegurar su uniformidad con las políticas adoptadas por Transformadores Tusan S.A., se modifican las políticas contables de las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trata las transacciones con las participaciones no controladoras como si fueran transacciones con accionistas del grupo. En el caso de adquisiciones de participaciones no controladoras, la diferencia entre cualquier retribución pagada y la correspondiente participación en el valor en libros de los activos netos adquiridos de la subsidiaria se reconoce en el patrimonio. Las ganancias y pérdidas por bajas a favor de la participación no controladora, mientras se mantenga el control, también se reconocen en el patrimonio.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Transformadores Tusan S.A. deja de tener control o influencia significativa, cualquier interés retenido en la entidad es remedido a valor razonable con impacto en resultados. El valor razonable es el valor inicial para propósitos de su contabilización posterior como asociada, negocio conjunto o activo financiero. Los importes correspondientes previamente reconocidos en Otros Resultados Integrales son reclasificados a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Asociadas o coligadas.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Asociadas o coligadas son todas las entidades sobre las que Transformadores Tusan S.A. ejerce influencia significativa pero no tiene control, lo cual generalmente está acompañado por una participación de entre un 20% y un 50% de los derechos de voto. Las inversiones en asociadas o coligadas se contabilizan por el método de participación e inicialmente se reconocen por su costo. La inversión de Transformadores Tusan S.A. en asociadas o coligadas incluye el menor valor (goodwill o plusvalía comprada) identificada en la adquisición, neto de cualquier pérdida por deterioro acumulada.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participación de Transformadores Tusan S.A. en las pérdidas o ganancias posteriores a la adquisición de sus coligadas o asociadas se reconoce en resultados, y su participación en los movimientos patrimoniales posteriores a la adquisición que no constituyen resultados, se imputan a las correspondientes reservas de patrimonio (y se reflejan según corresponda en el estado consolidado de resultados integral).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participación de Transformadores Tusan S.A. en las pérdidas de una coligada o asociada es igual o superior a su participación en la misma, incluida cualquier otra cuenta a cobrar no asegurada, Transformadores Tusan S.A. no reconoce pérdidas adicionales, a no ser que haya incurrido en obligaciones o realizados pagos en nombre de la coligada o asociada.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no realizadas por transacciones entre Transformadores Tusan S.A. y sus coligadas o asociadas se eliminan en función del porcentaje de participación de la Sociedad en éstas.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se eliminan las pérdidas no realizadas, excepto si la transacción proporciona evidencia de pérdida por deterioro del activo que se transfiere. Cuando es necesario para asegurar su uniformidad con las políticas adoptadas por la Sociedad, se modifican las políticas contables de las asociadas.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o pérdidas de dilución en coligadas o asociadas se reconocen en el estado de resultados consolidado.</w:t>
      </w:r>
    </w:p>
    <w:p>
      <w:pPr>
        <w:pStyle w:val="Normal-wk"/>
        <w:keepNext w:val="0"/>
        <w:keepLines/>
        <w:pageBreakBefore w:val="0"/>
        <w:widowControl w:val="0"/>
        <w:numPr>
          <w:ilvl w:val="0"/>
          <w:numId w:val="0"/>
        </w:numPr>
        <w:spacing w:before="0" w:after="0" w:line="240" w:lineRule="exact"/>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4" w:name="Section16"/>
      <w:bookmarkEnd w:id="24"/>
      <w:bookmarkStart w:id="25" w:name="4c579320722249dcbece0b30b8b365ea"/>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Entidades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5"/>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directa.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75"/>
        <w:gridCol w:w="2070"/>
        <w:gridCol w:w="645"/>
        <w:gridCol w:w="3345"/>
        <w:gridCol w:w="765"/>
        <w:gridCol w:w="900"/>
        <w:gridCol w:w="900"/>
        <w:gridCol w:w="900"/>
        <w:gridCol w:w="945"/>
      </w:tblGrid>
      <w:tr>
        <w:tblPrEx>
          <w:tblW w:w="11445" w:type="dxa"/>
          <w:tblInd w:w="2126" w:type="dxa"/>
          <w:tblLayout w:type="fixed"/>
        </w:tblPrEx>
        <w:trPr>
          <w:cantSplit/>
          <w:trHeight w:hRule="auto" w:val="0"/>
        </w:trPr>
        <w:tc>
          <w:tcPr>
            <w:tcW w:w="9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Rut</w:t>
            </w:r>
          </w:p>
        </w:tc>
        <w:tc>
          <w:tcPr>
            <w:tcW w:w="207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Nombre 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País</w:t>
            </w:r>
          </w:p>
        </w:tc>
        <w:tc>
          <w:tcPr>
            <w:tcW w:w="33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Domicilio subsidiaria</w:t>
            </w:r>
          </w:p>
        </w:tc>
        <w:tc>
          <w:tcPr>
            <w:tcW w:w="76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 funcional</w:t>
            </w:r>
          </w:p>
        </w:tc>
        <w:tc>
          <w:tcPr>
            <w:tcW w:w="3645"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Porcentaje de participación en el capital </w:t>
            </w:r>
            <w:r>
              <w:br/>
            </w:r>
            <w:r>
              <w:rPr>
                <w:rFonts w:ascii="Calibri" w:eastAsia="Calibri" w:hAnsi="Calibri" w:cs="Calibri"/>
                <w:b/>
                <w:i w:val="0"/>
                <w:color w:val="FFFFFF"/>
                <w:sz w:val="16"/>
                <w:u w:val="none"/>
              </w:rPr>
              <w:t>y en los votos</w:t>
            </w:r>
          </w:p>
        </w:tc>
      </w:tr>
      <w:tr>
        <w:tblPrEx>
          <w:tblW w:w="11445" w:type="dxa"/>
          <w:tblInd w:w="2126" w:type="dxa"/>
          <w:tblLayout w:type="fixed"/>
        </w:tblPrEx>
        <w:trPr>
          <w:cantSplit/>
          <w:trHeight w:hRule="auto" w:val="0"/>
        </w:trPr>
        <w:tc>
          <w:tcPr>
            <w:tcW w:w="975" w:type="dxa"/>
            <w:vMerge/>
            <w:tcBorders>
              <w:top w:val="nil"/>
              <w:left w:val="single" w:sz="2" w:space="0" w:color="000000"/>
              <w:bottom w:val="nil"/>
              <w:right w:val="nil"/>
            </w:tcBorders>
          </w:tcPr>
          <w:p>
            <w:pPr>
              <w:keepNext/>
              <w:pageBreakBefore w:val="0"/>
            </w:pPr>
          </w:p>
        </w:tc>
        <w:tc>
          <w:tcPr>
            <w:tcW w:w="2070"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334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single" w:sz="4" w:space="0" w:color="FFFFFF"/>
            </w:tcBorders>
          </w:tcPr>
          <w:p>
            <w:pPr>
              <w:keepNext/>
              <w:pageBreakBefore w:val="0"/>
            </w:pPr>
          </w:p>
        </w:tc>
        <w:tc>
          <w:tcPr>
            <w:tcW w:w="270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45" w:type="dxa"/>
            <w:tcBorders>
              <w:top w:val="single" w:sz="4" w:space="0" w:color="FFFFFF"/>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1445" w:type="dxa"/>
          <w:tblInd w:w="2126" w:type="dxa"/>
          <w:tblLayout w:type="fixed"/>
        </w:tblPrEx>
        <w:trPr>
          <w:cantSplit/>
          <w:trHeight w:hRule="auto" w:val="0"/>
        </w:trPr>
        <w:tc>
          <w:tcPr>
            <w:tcW w:w="975" w:type="dxa"/>
            <w:vMerge/>
            <w:tcBorders>
              <w:top w:val="nil"/>
              <w:left w:val="single" w:sz="2" w:space="0" w:color="000000"/>
              <w:bottom w:val="single" w:sz="2" w:space="0" w:color="000000"/>
              <w:right w:val="nil"/>
            </w:tcBorders>
          </w:tcPr>
          <w:p>
            <w:pPr>
              <w:keepNext/>
              <w:pageBreakBefore w:val="0"/>
            </w:pPr>
          </w:p>
        </w:tc>
        <w:tc>
          <w:tcPr>
            <w:tcW w:w="2070"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3345"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94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1445" w:type="dxa"/>
          <w:tblInd w:w="2126" w:type="dxa"/>
          <w:tblLayout w:type="fixed"/>
        </w:tblPrEx>
        <w:trPr>
          <w:cantSplit/>
          <w:trHeight w:hRule="auto" w:val="0"/>
        </w:trPr>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78.512.190-2</w:t>
            </w:r>
          </w:p>
        </w:tc>
        <w:tc>
          <w:tcPr>
            <w:tcW w:w="20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Energy Sur Ingeniería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Chile</w:t>
            </w:r>
          </w:p>
        </w:tc>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xml:space="preserve">  Calle Local 55, San Pedro de la Paz , Concepción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658"/>
              </w:tabs>
              <w:spacing w:before="0" w:after="0" w:line="240" w:lineRule="auto"/>
              <w:jc w:val="right"/>
            </w:pPr>
            <w:r>
              <w:rPr>
                <w:rFonts w:ascii="Calibri" w:eastAsia="Calibri" w:hAnsi="Calibri" w:cs="Calibri"/>
                <w:b w:val="0"/>
                <w:i w:val="0"/>
                <w:color w:val="000000"/>
                <w:sz w:val="16"/>
                <w:u w:val="none"/>
              </w:rPr>
              <w:tab/>
              <w:t>55,00000</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577"/>
              </w:tabs>
              <w:spacing w:before="0" w:after="0" w:line="240" w:lineRule="auto"/>
              <w:jc w:val="right"/>
            </w:pPr>
            <w:r>
              <w:rPr>
                <w:rFonts w:ascii="Calibri" w:eastAsia="Calibri" w:hAnsi="Calibri" w:cs="Calibri"/>
                <w:b w:val="0"/>
                <w:i w:val="0"/>
                <w:color w:val="000000"/>
                <w:sz w:val="16"/>
                <w:u w:val="none"/>
              </w:rPr>
              <w:tab/>
              <w:t>0,00000</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658"/>
              </w:tabs>
              <w:spacing w:before="0" w:after="0" w:line="240" w:lineRule="auto"/>
              <w:jc w:val="right"/>
            </w:pPr>
            <w:r>
              <w:rPr>
                <w:rFonts w:ascii="Calibri" w:eastAsia="Calibri" w:hAnsi="Calibri" w:cs="Calibri"/>
                <w:b w:val="0"/>
                <w:i w:val="0"/>
                <w:color w:val="000000"/>
                <w:sz w:val="16"/>
                <w:u w:val="none"/>
              </w:rPr>
              <w:tab/>
              <w:t>55,00000</w:t>
              <w:tab/>
              <w:t>%</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658"/>
              </w:tabs>
              <w:spacing w:before="0" w:after="0" w:line="240" w:lineRule="auto"/>
              <w:jc w:val="right"/>
            </w:pPr>
            <w:r>
              <w:rPr>
                <w:rFonts w:ascii="Calibri" w:eastAsia="Calibri" w:hAnsi="Calibri" w:cs="Calibri"/>
                <w:b w:val="0"/>
                <w:i w:val="0"/>
                <w:color w:val="000000"/>
                <w:sz w:val="16"/>
                <w:u w:val="none"/>
              </w:rPr>
              <w:tab/>
              <w:t>55,00000</w:t>
              <w:tab/>
              <w:t>%</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Cambios en el perímetro de consolidación.</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existen cambios en el perímetro de consolidación para el ejercicio terminado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0"/>
          <w:footerReference w:type="default" r:id="rId21"/>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6" w:name="Section17"/>
      <w:bookmarkEnd w:id="26"/>
      <w:bookmarkStart w:id="27" w:name="a1c160d3e41540dcbcc87a12ad21d1f4"/>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cada una de las entidades de la Sociedad se valoran utilizando la moneda del entorno económico principal en que la entidad opera (“moneda funcional”). La moneda funcional de Transformadores Tusan S.A. y subsidiaria. es el Peso chileno, que constituye además la moneda de presentación de los estados financieros consolidados.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 en caso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05"/>
        <w:gridCol w:w="1560"/>
        <w:gridCol w:w="1560"/>
        <w:gridCol w:w="1560"/>
        <w:gridCol w:w="1560"/>
      </w:tblGrid>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EUR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c>
          <w:tcPr>
            <w:tcW w:w="15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CNH $</w:t>
            </w: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31-12-2025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907,13</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1.066,58</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39.727,96</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129,76</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613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415"/>
        <w:gridCol w:w="720"/>
        <w:gridCol w:w="2280"/>
      </w:tblGrid>
      <w:tr>
        <w:tblPrEx>
          <w:tblW w:w="6135" w:type="dxa"/>
          <w:tblInd w:w="2126"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CL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Peso chileno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US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Dólar estadounidense</w:t>
            </w:r>
          </w:p>
        </w:tc>
      </w:tr>
      <w:tr>
        <w:tblPrEx>
          <w:tblW w:w="6135" w:type="dxa"/>
          <w:tblInd w:w="2126"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U.F.</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Unidades de fomento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EUR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Euro</w:t>
            </w:r>
          </w:p>
        </w:tc>
      </w:tr>
      <w:tr>
        <w:tblPrEx>
          <w:tblW w:w="6135" w:type="dxa"/>
          <w:tblInd w:w="2126"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CNH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Yuan chino</w:t>
            </w:r>
          </w:p>
        </w:tc>
        <w:tc>
          <w:tcPr>
            <w:tcW w:w="7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28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2"/>
          <w:footerReference w:type="default" r:id="rId23"/>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8" w:name="Section18"/>
      <w:bookmarkEnd w:id="28"/>
      <w:bookmarkStart w:id="29" w:name="48715819a70f4e7e8e0051072db9ab72"/>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Servicios, para los que se toman las decisiones estratégicas. Esta información se detalla en Nota 25.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1417" w:right="0" w:hanging="709"/>
        <w:jc w:val="both"/>
        <w:outlineLvl w:val="1"/>
        <w:rPr>
          <w:rFonts w:ascii="Times New Roman" w:eastAsia="Times New Roman" w:hAnsi="Times New Roman" w:cs="Times New Roman"/>
          <w:b/>
          <w:i w:val="0"/>
          <w:color w:val="000000"/>
          <w:sz w:val="24"/>
          <w:u w:val="none"/>
        </w:rPr>
      </w:pPr>
      <w:bookmarkStart w:id="30" w:name="Section19"/>
      <w:bookmarkEnd w:id="30"/>
      <w:bookmarkStart w:id="31" w:name="8fd8d96d458a493086bc7db5dc7fa5f7"/>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ejercicio o periodo en el que se incurren.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en caso de existir, incluyen los siguientes conceptos devengados únicamente durante el periodo de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financieros relativos a la financiación externa que sean directamente atribuibles a las construcciones, tanto si es de carácter específica como genérica. En relación con la financiación genérica, los gastos financieros activados se obtienen aplicando el costo promedio ponderado de financiación de largo plazo a la inversión promedio acumulada susceptible de activación no financiada específicamente.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relacionado en forma directa y otros de naturaleza operativa, atribuibles a la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se traspasan a activos en explotación una vez terminado el periodo de prueba, cuando se encuentran disponibles para su uso, a partir de ese momento comienza su depreciación.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y ganancias por la venta de una propiedad, planta y equipo se calculan comparando los ingresos obtenidos con el valor en libros y se incluyen en el estado de resultados.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2" w:name="Section20"/>
      <w:bookmarkEnd w:id="32"/>
      <w:bookmarkStart w:id="33" w:name="d378ff089c9645489c0d0bf27f02f560"/>
      <w:r>
        <w:rPr>
          <w:rFonts w:ascii="Calibri" w:eastAsia="Calibri" w:hAnsi="Calibri" w:cs="Calibri"/>
          <w:b/>
          <w:i w:val="0"/>
          <w:color w:val="000000"/>
          <w:sz w:val="20"/>
          <w:u w:val="none"/>
        </w:rPr>
        <w:t>3.9.-</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3"/>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3.9.1.-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relacionados con el desarrollo o mantenimiento de programas informáticos se reconocen como gasto cuando se incurre en ellos. Los costos directamente relacionados con la producción de programas informáticos únicos e identificables controlados por Transformadores Tusan S.A., y que es probable que vayan a generar beneficios económicos superiores a los costos durante más de un año, se reconocen como activos intangibles. Los costos directos incluyen los gastos del personal que desarrolla los 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Después del reconocimiento inicial, los gastos de desarrollo se miden al costo menos la amortización acumulada y cualquier pérdida por deterioro acumulada.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métodos de amortización, las vidas útiles y los valores residuales de se revisan en cada fecha de presentación y se ajustan si corresponde.</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3.9.2.-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Gastos de investigación y desarrollo.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de investigación se reconocen como un gasto cuando se incurre en ellos. Los costos incurridos en proyectos de desarrollo se reconocen como activo intangible cuando se cumplen los siguientes requisitos: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Técnicamente, es posible completar la producción del activo intangible de forma que pueda estar disponible para su utilización o su venta;</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administración tiene intención de completar el activo intangible en cuestión, para usarlo o venderlo;</w:t>
      </w: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Existe la capacidad para utilizar o vender el activo intangible;</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posible demostrar la forma en que el activo intangible vaya a generar probables beneficios económicos en el futuro;</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Existe disponibilidad de los adecuados recursos técnicos, financieros o de otro tipo, para completar el desarrollo y para utilizar o vender el activo intangible; y</w:t>
      </w: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posible valorar, de forma fiable, el desembolso atribuible al activo intangible durante su desarrollo.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gastos de desarrollo se reconocen como gasto cuando se incurre en ellos. Los costos de desarrollo previamente reconocidos como un gasto no se reconocen como un activo en un ejercicio o período posterior. Los costos de desarrollo con una vida útil finita que se capitalizan se amortizan desde su utilización de manera lineal durante el período en que se espera que generen beneficios.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4" w:name="Section21"/>
      <w:bookmarkEnd w:id="34"/>
      <w:bookmarkStart w:id="35" w:name="a5a5f7c0b9e14ac5885615f763f6f009"/>
      <w:r>
        <w:rPr>
          <w:rFonts w:ascii="Calibri" w:eastAsia="Calibri" w:hAnsi="Calibri" w:cs="Calibri"/>
          <w:b/>
          <w:i w:val="0"/>
          <w:color w:val="000000"/>
          <w:sz w:val="20"/>
          <w:u w:val="none"/>
        </w:rPr>
        <w:t>3.10.-</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both"/>
        <w:outlineLvl w:val="9"/>
        <w:rPr>
          <w:rFonts w:ascii="Calibri" w:eastAsia="Calibri" w:hAnsi="Calibri" w:cs="Calibri"/>
          <w:b w:val="0"/>
          <w:i w:val="0"/>
          <w:color w:val="000000"/>
          <w:sz w:val="20"/>
          <w:u w:val="none"/>
        </w:rPr>
      </w:pPr>
      <w:bookmarkEnd w:id="3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por intereses incurridos para la construcción de cualquier activo apto se capitalizan durante el periodo de tiempo que es necesario para completar y preparar el activo para el uso que se pretende. Otros costos por intereses se registran en resultados (costos financieros). Se entiende por activo apto aquel que requiere de un periodo sustancial antes de estar listo para el uso a que está destinado o para la venta.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6" w:name="Section22"/>
      <w:bookmarkEnd w:id="36"/>
      <w:bookmarkStart w:id="37" w:name="d9e8eaf0b0f0428a80d4837ea2f978e5"/>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se reconocen en resultados del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8" w:name="Section23"/>
      <w:bookmarkEnd w:id="38"/>
      <w:bookmarkStart w:id="39" w:name="8142d8e115c44fd69d4665caacdd3fe0"/>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3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miden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 Transformadores Tusan S.A. y subsidiaria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Instrumentos de deuda en otro resultado integral, con ganancias o pérdidas recicladas a resultados en el momento de su realización. Los activos financieros en esta categoría son los instrumentos de deuda cotizados del Grupo que cumplen con el criterio SPPI y se mantienen dentro de un modelo comercial tanto para cobrar los flujos de efectivo como para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capital en otro resultado integral, sin reciclaje de ganancias o pérdidas a resultados en el momento de su realización. Esta categoría solo incluye los instrumentos de capital, que la Sociedad y subsidiaria tienen la intención de mantener en el futuro previsible y que Transformadores Tusan S.A. y subsidiaria han elegido irrevocablemente para clasificarlos en el reconocimiento inicial o la transición. Transformadores Tusan S.A. clasifica sus instrumentos de patrimonio no cotizados como instrumentos de patrimonio en otro resultado integral, en caso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financieros a valor razonable con cambios en resultados comprenden instrumentos derivados e instrumentos de capital cotizados que no ha elegido irrevocablemente, en el reconocimiento inicial o transición, para clasificar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 Transformadores Tusan S.A. y subsidiaria.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NIIF 9 requiere que Transformadores Tusan S.A. y subsidiaria registren las pérdidas crediticias esperadas de todos sus títulos de deuda, préstamos y deudores comerciales, ya sea sobre una base de 12 meses o de por vida.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han establecido una matriz de provisiones que se basa en la experiencia histórica de pérdidas crediticias, ajustada por factores prospectivos específicos para los deudores y el entorno económico.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0" w:name="Section24"/>
      <w:bookmarkEnd w:id="40"/>
      <w:bookmarkStart w:id="41" w:name="3470f46e33a04b8992492faf7d3c3d43"/>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existencias se valorizan a su costo o a su valor neto realizable, el menor de los dos. El costo se determina de acuerdo al método de precio medio ponderado (PMP).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los productos terminados, de los productos en proceso, como los costos de construcción de transformadores y el de construcción de obras eléctricas para terceros, incluyen los costos de diseño, los materiales eléctricos, la mano de obra directa propia y de terceros y otros costos directos e indirectos de existir, los cuales no incluyen costos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2" w:name="Section25"/>
      <w:bookmarkEnd w:id="42"/>
      <w:bookmarkStart w:id="43" w:name="11a9f2b12f0941e4b03dee4534b3533e"/>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60 días desde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4" w:name="Section26"/>
      <w:bookmarkEnd w:id="44"/>
      <w:bookmarkStart w:id="45" w:name="d7313b4c0de14aa2902ab9b9f2d958bc"/>
      <w:r>
        <w:rPr>
          <w:rFonts w:ascii="Calibri" w:eastAsia="Calibri" w:hAnsi="Calibri" w:cs="Calibri"/>
          <w:b/>
          <w:i w:val="0"/>
          <w:color w:val="000000"/>
          <w:sz w:val="20"/>
          <w:u w:val="none"/>
        </w:rPr>
        <w:t>3.15.-</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5"/>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1416"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1"/>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6" w:name="Section27"/>
      <w:bookmarkEnd w:id="46"/>
      <w:bookmarkStart w:id="47" w:name="aaa1995af65b4b54ac6b216f53598347"/>
      <w:r>
        <w:rPr>
          <w:rFonts w:ascii="Calibri" w:eastAsia="Calibri" w:hAnsi="Calibri" w:cs="Calibri"/>
          <w:b/>
          <w:i w:val="0"/>
          <w:color w:val="000000"/>
          <w:sz w:val="20"/>
          <w:u w:val="none"/>
        </w:rPr>
        <w:t>3.16.-</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7"/>
    </w:p>
    <w:p>
      <w:pPr>
        <w:pStyle w:val="Normal-wk"/>
        <w:keepNext w:val="0"/>
        <w:keepLines/>
        <w:pageBreakBefore w:val="0"/>
        <w:widowControl w:val="0"/>
        <w:numPr>
          <w:ilvl w:val="0"/>
          <w:numId w:val="0"/>
        </w:numPr>
        <w:spacing w:before="0" w:after="0" w:line="240" w:lineRule="exact"/>
        <w:ind w:left="1416" w:right="0" w:firstLine="1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8" w:name="Section28"/>
      <w:bookmarkEnd w:id="48"/>
      <w:bookmarkStart w:id="49" w:name="2571e5906dea4ca5ac29f85e727e2e33"/>
      <w:r>
        <w:rPr>
          <w:rFonts w:ascii="Calibri" w:eastAsia="Calibri" w:hAnsi="Calibri" w:cs="Calibri"/>
          <w:b/>
          <w:i w:val="0"/>
          <w:color w:val="000000"/>
          <w:sz w:val="20"/>
          <w:u w:val="none"/>
        </w:rPr>
        <w:t>3.17.-</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4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0" w:name="Section29"/>
      <w:bookmarkEnd w:id="50"/>
      <w:bookmarkStart w:id="51" w:name="d009ca1c38464caa85fa95d1efa97d41"/>
      <w:r>
        <w:rPr>
          <w:rFonts w:ascii="Calibri" w:eastAsia="Calibri" w:hAnsi="Calibri" w:cs="Calibri"/>
          <w:b/>
          <w:i w:val="0"/>
          <w:color w:val="000000"/>
          <w:sz w:val="20"/>
          <w:u w:val="none"/>
        </w:rPr>
        <w:t>3.18.-</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préstamos y pasivos financieros de naturaleza similar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obligaciones financieras se clasifican como pasivos corrientes a menos que la sociedad tenga un derecho incondicional a diferir su liquidación durante al menos 12 meses después de la fecha de los estados de situación financiera.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20"/>
        <w:jc w:val="both"/>
        <w:outlineLvl w:val="1"/>
        <w:rPr>
          <w:rFonts w:ascii="Times New Roman" w:eastAsia="Times New Roman" w:hAnsi="Times New Roman" w:cs="Times New Roman"/>
          <w:b/>
          <w:i w:val="0"/>
          <w:color w:val="000000"/>
          <w:sz w:val="24"/>
          <w:u w:val="none"/>
        </w:rPr>
      </w:pPr>
      <w:bookmarkStart w:id="52" w:name="Section30"/>
      <w:bookmarkEnd w:id="52"/>
      <w:bookmarkStart w:id="53" w:name="5b4a9bb5bafb40a59d2c0904803622b4"/>
      <w:r>
        <w:rPr>
          <w:rFonts w:ascii="Calibri" w:eastAsia="Calibri" w:hAnsi="Calibri" w:cs="Calibri"/>
          <w:b/>
          <w:i w:val="0"/>
          <w:color w:val="000000"/>
          <w:sz w:val="20"/>
          <w:u w:val="none"/>
        </w:rPr>
        <w:t>3.19.-</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gasto por impuesto a las ganancias del ejercicio comprende al impuesto a la renta corriente y al impuesto diferido. El impuesto se reconoce en el estado de resultados, excepto cuando se trata de partidas que se reconocen directamente en el patrimonio, en otros resultados integral o provienen de una combinación de negocios.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por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de la Sociedad y subsidiaria.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diferido se reconoce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4" w:name="Section31"/>
      <w:bookmarkEnd w:id="54"/>
      <w:bookmarkStart w:id="55" w:name="4dfde5165ac34f79b1e17a884649c604"/>
      <w:r>
        <w:rPr>
          <w:rFonts w:ascii="Calibri" w:eastAsia="Calibri" w:hAnsi="Calibri" w:cs="Calibri"/>
          <w:b/>
          <w:i w:val="0"/>
          <w:color w:val="000000"/>
          <w:sz w:val="20"/>
          <w:u w:val="none"/>
        </w:rPr>
        <w:t>3.20.-</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5"/>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3.20.1.-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reconocen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3.20.2.-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Indemnizaciones por años de servicio (PIAS).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constituyen pasivos por obligaciones por indemnizaciones por cese de servicios, en base a lo estipulado en los contratos colectivos e individuales del personal. Si este beneficio se encuentra pactado, la obligación se trata de acuerdo con NIC 19,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otros resultados integrales en los períodos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3.20.3.-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beneficios por cese que no califican con lo descrito en el punto 3.20.2.- se pagan cuando la relación laboral se interrumpe antes de la fecha normal de retiro o cuando un empleado acepta voluntariamente el cese a cambio de estos beneficios. Transformadores Tusan S.A. y subsidiaria reconocen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A poner fin a la relación laboral de empleados de acuerdo a un plan formal detallado sin posibilidad de renuncia;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proporcionar beneficios por cese como resultado de una oferta hecha para incentivar el retiro voluntario. Los beneficios que vencen en más de 12 meses después de la fecha del estado de situación financiera, de existir, se descuentan a su valor presente.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3.20.4.-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Premios de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tienen pactado en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otros resultados integrales en los ejercicios en los cuales ocurren. No son reciclados posteriormente.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20" w:right="0" w:firstLine="0"/>
        <w:jc w:val="both"/>
        <w:outlineLvl w:val="1"/>
        <w:rPr>
          <w:rFonts w:ascii="Times New Roman" w:eastAsia="Times New Roman" w:hAnsi="Times New Roman" w:cs="Times New Roman"/>
          <w:b/>
          <w:i w:val="0"/>
          <w:color w:val="000000"/>
          <w:sz w:val="24"/>
          <w:u w:val="none"/>
        </w:rPr>
      </w:pPr>
      <w:bookmarkStart w:id="56" w:name="Section32"/>
      <w:bookmarkEnd w:id="56"/>
      <w:bookmarkStart w:id="57" w:name="69459433386f45bc9a7387cf8e048e1f"/>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reconocen una provisión cuando está obligado contractualmente o cuando existe una práctica del pasado que ha creado una obligación asumida.</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provisiones para contratos onerosos, </w:t>
      </w:r>
      <w:r>
        <w:rPr>
          <w:rFonts w:ascii="Calibri" w:eastAsia="Calibri" w:hAnsi="Calibri" w:cs="Calibri"/>
          <w:b w:val="0"/>
          <w:i w:val="0"/>
          <w:color w:val="000000"/>
          <w:sz w:val="20"/>
          <w:u w:val="none"/>
        </w:rPr>
        <w:t>litigios</w:t>
      </w:r>
      <w:r>
        <w:rPr>
          <w:rFonts w:ascii="Calibri" w:eastAsia="Calibri" w:hAnsi="Calibri" w:cs="Calibri"/>
          <w:b w:val="0"/>
          <w:i w:val="0"/>
          <w:color w:val="000000"/>
          <w:sz w:val="20"/>
          <w:u w:val="none"/>
        </w:rPr>
        <w:t xml:space="preserve"> y otras contingencias se reconocen cuando: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tienen una obligación presente, ya sea legal o constructiva, como resultado de sucesos pasados;</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6"/>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Es probable que vaya a ser necesaria una salida de recursos para liquidar la obligación; </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7"/>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importe puede ser estimado de forma fiable. </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provisiones se valoran por el valor actual de los desembolsos que se espera que sean necesarios para liquidar la obligación usando la mejor estimación de Transformadores Tusan S.A. y subsidiaria.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8" w:name="Section33"/>
      <w:bookmarkEnd w:id="58"/>
      <w:bookmarkStart w:id="59" w:name="adc6a758596e441d9b070c81a234b71d"/>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período.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0" w:name="Section34"/>
      <w:bookmarkEnd w:id="60"/>
      <w:bookmarkStart w:id="61" w:name="54f0030d33c14cd3bd5f5074170e70a2"/>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reconocen los ingresos cuando se han cumplido satisfactoriamente los pasos establecidos en la norma y es probable que los beneficios económicos futuros vayan a fluir a la entidad y se cumplen las condiciones específicas para cada una de las actividades de Transformadores Tusan S.A. y subsidiaria, tal y como se describe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ventas de bienes incluyen por lo general una obligación de desempeño, por lo que el ingreso por ventas de bienes se registra en base a la facturación efectiva.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servicios de mantenimiento de equipos a clientes.</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ingreso por servicios de mantenimiento de equipo a clientes consiste en la prestación de los servicios de verificación, calibración, sellado, certificación, mantenimiento, reparación, lectura y registro de toda clase de equipos de medición, especialmente de la electricidad, el gas, el agua y toda clase de fluidos; la prestación de servicios de medición y registro de variables eléctricas, para determinar la calidad del suministro eléctrico en las instalaciones de suministradores, transportistas, distribuidores y usuarios, actuando como organismo de medición autorizado (OMA) u organismo o laboratorio de certificación autorizado (OLCA).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Estos servicios incluyen una obligación de desempeño, por lo que el ingreso por ventas se registra en base a la prestación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Energy Sur Ingeniería S.A. genera sus ingresos mediante la reparación y mantención de transformadores eléctricos, como también proporciona asesoría en el área de la ingeniería eléctrica, realizando mediciones de diversa índole, y montaje de proyectos de ingeniería. Estos servicios incluyen una obligación de desempeño, por lo que el ingreso por ventas de estos servicios se registra en base a la prestación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2" w:name="Section35"/>
      <w:bookmarkEnd w:id="62"/>
      <w:bookmarkStart w:id="63" w:name="f086165043d8436e87ec2d2611ff811d"/>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3"/>
    </w:p>
    <w:p>
      <w:pPr>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sz w:val="20"/>
        </w:rPr>
      </w:pPr>
      <w:r>
        <w:rPr>
          <w:rFonts w:ascii="Calibri" w:eastAsia="Calibri" w:hAnsi="Calibri" w:cs="Calibri"/>
          <w:b w:val="0"/>
          <w:i w:val="0"/>
          <w:sz w:val="20"/>
        </w:rPr>
        <w:t>3.24.1.-</w:t>
      </w:r>
      <w:r>
        <w:rPr>
          <w:rFonts w:ascii="Calibri" w:eastAsia="Calibri" w:hAnsi="Calibri" w:cs="Calibri"/>
          <w:b w:val="0"/>
          <w:i w:val="0"/>
          <w:sz w:val="20"/>
        </w:rPr>
        <w:tab/>
      </w:r>
      <w:r>
        <w:rPr>
          <w:rFonts w:ascii="Calibri" w:eastAsia="Calibri" w:hAnsi="Calibri" w:cs="Calibri"/>
          <w:b w:val="0"/>
          <w:i w:val="0"/>
          <w:color w:val="000000"/>
          <w:sz w:val="20"/>
          <w:u w:val="none"/>
        </w:rPr>
        <w:t>Cuando</w:t>
      </w:r>
      <w:r>
        <w:rPr>
          <w:rFonts w:ascii="Calibri" w:eastAsia="Calibri" w:hAnsi="Calibri" w:cs="Calibri"/>
          <w:b w:val="0"/>
          <w:i w:val="0"/>
          <w:sz w:val="20"/>
        </w:rPr>
        <w:t xml:space="preserve"> una entidad de Transformadores Tusan S.A. es el arrendatario.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Para los arrendamien</w:t>
      </w:r>
      <w:r>
        <w:rPr>
          <w:rFonts w:ascii="Calibri" w:eastAsia="Calibri" w:hAnsi="Calibri" w:cs="Calibri"/>
          <w:b w:val="0"/>
          <w:i w:val="0"/>
          <w:color w:val="000000"/>
          <w:sz w:val="20"/>
          <w:u w:val="none"/>
        </w:rPr>
        <w:t>tos donde la Sociedad tiene sustancialmente todos los riesgos y beneficios inherentes a la propiedad, la Sociedad reconoce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Cada pago por arrendamiento se distribuye entre el pasivo y las cargas financieras para obtener una tasa de interés constante sobre el saldo pendiente de la deuda. Las correspondientes obligaciones por arrendamiento, netas de cargas financieras, se incluyen como pasivos por arrendamientos. El elemento de interés del costo financiero se carga en el estado de resultados durante el período de arrendamiento de forma que se obtenga una tasa periódica constante de interés sobre el saldo restante del pasivo para cada período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una entidad de Transformadores Tusan S.A. es el arrendador.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Sociedad y subsidiaria actúan como arrendador, clasifica al inicio del acuerdo si el arrendamiento es operativo o financiero, en base a la esencia de la transacción. Los arrendamientos en los que se transfieren sustancialmente todos los riesgos y beneficios inherentes a la propiedad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caso de los arrendamientos operativos, los pagos por arrendamiento se reconocen como ingreso de forma lineal durante el plazo del mismo.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Arriendos de ciertos elementos de propiedad, planta y equipo a sus clientes,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arrendados a terceros bajo contratos de arrendamiento operativo se incluyen dentro del rubro de propiedades, planta y equipos o en propiedades de inversión según corresponda.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4" w:name="Section36"/>
      <w:bookmarkEnd w:id="64"/>
      <w:bookmarkStart w:id="65" w:name="5cbd5cae0e8f4029a851434e4250cb9c"/>
      <w:r>
        <w:rPr>
          <w:rFonts w:ascii="Calibri" w:eastAsia="Calibri" w:hAnsi="Calibri" w:cs="Calibri"/>
          <w:b/>
          <w:i w:val="0"/>
          <w:color w:val="000000"/>
          <w:sz w:val="20"/>
          <w:u w:val="none"/>
        </w:rPr>
        <w:t>3.25.-</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dividendos a pagar a los accionistas de Transformadores Tusan S.A. y subsidiaria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6" w:name="Section37"/>
      <w:bookmarkEnd w:id="66"/>
      <w:bookmarkStart w:id="67" w:name="529459e9148641578fd9b0c85798a73b"/>
      <w:r>
        <w:rPr>
          <w:rFonts w:ascii="Calibri" w:eastAsia="Calibri" w:hAnsi="Calibri" w:cs="Calibri"/>
          <w:b/>
          <w:i w:val="0"/>
          <w:color w:val="000000"/>
          <w:sz w:val="20"/>
          <w:u w:val="none"/>
        </w:rPr>
        <w:t>3.26.-</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6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ventas incluyen el costo de adquisición de las materias primas, insumos y servicios necesarios para el desarrollo de los negocios de fabricación, reparación, mantención de transformadores y servicios de verificación, calibración y lectura de toda clase de equipos de medición,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8" w:name="Section38"/>
      <w:bookmarkEnd w:id="68"/>
      <w:bookmarkStart w:id="69" w:name="a7d415b9b3664e7199272ed46258581f"/>
      <w:r>
        <w:rPr>
          <w:rFonts w:ascii="Calibri" w:eastAsia="Calibri" w:hAnsi="Calibri" w:cs="Calibri"/>
          <w:b/>
          <w:i w:val="0"/>
          <w:color w:val="000000"/>
          <w:sz w:val="20"/>
          <w:u w:val="none"/>
        </w:rPr>
        <w:t>3.27.-</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bookmarkEnd w:id="69"/>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Consolidado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operación: Actividades que constituyen los ingresos ordinarios del grupo, así como otras actividades que no pueden ser calificadas como de inversión o financiación.</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Transformadores Tusan S.A. y subsidiaria no han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A la fecha no existen restricciones sobre el efectivo y equivalentes al efectivo.</w:t>
      </w:r>
    </w:p>
    <w:p>
      <w:pPr>
        <w:pStyle w:val="Normal-wk"/>
        <w:keepNext w:val="0"/>
        <w:keepLines/>
        <w:pageBreakBefore w:val="0"/>
        <w:widowControl w:val="0"/>
        <w:numPr>
          <w:ilvl w:val="0"/>
          <w:numId w:val="0"/>
        </w:numPr>
        <w:spacing w:before="0" w:after="0" w:line="240" w:lineRule="exact"/>
        <w:ind w:left="14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70" w:name="Section39"/>
      <w:bookmarkEnd w:id="70"/>
      <w:bookmarkStart w:id="71" w:name="91a17519ef44412e91d627bc71a510b2"/>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ESTIMACIONES Y JUICIOS O CRITERIOS CRÍTICOS DE LA ADMINISTRACIÓN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1"/>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estimaciones y criterios usados son continuamente evaluados y se basan en la experiencia histórica y otros factores, incluyendo la expectativa de ocurrencia de eventos futuros que se consideran razonables de acuerdo con las circunstancias.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Transformadores Tusan S.A. y subsidiaria efectúan estimaciones y supuestos respecto del futuro. Las estimaciones contables resultantes por definición muy pocas veces serán iguales a los resultados reales. Las estimaciones y supuestos que tienen un riesgo significativo de causar un ajuste material a los saldos de los activos y pasivos en el próximo ejercicio se presentan a continuación: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2" w:name="Section40"/>
      <w:bookmarkEnd w:id="72"/>
      <w:bookmarkStart w:id="73" w:name="849c5cfc9bac47ada0b1a76d3c678479"/>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Beneficios por Indemnizaciones por cese pactadas (PIAS) y premios por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presente de las obligaciones por indemnizaciones por años de servicio pactadas y premios por antigüedad (“los beneficios”) depende de un número de factores que se determinan sobre bases actuariales usando un número de supuestos. Los supuestos usados al determinar el costo neto por los beneficios incluyen la tasa de descuento. Cualquier cambio en estos supuestos tendrá impacto en el valor en libros de la obligación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y subsidiaria determinan la tasa de descuento al final de cada año que considera más apropiada de acuerdo a las condiciones de mercado a la fecha de valoración. Esta tasa de interés es la que utiliza la sociedad para determinar el valor presente de las futuras salidas de flujos de efectivo estimadas que se prevé se requerirá para cancelar las obligaciones por planes de beneficios. Al determinar la tasa de descuento, Transformadores Tusan S.A. y subsidiaria consideran las tasas de interés de mercado de bonos que se denominan en la moneda en la que los beneficios se pagarán y que tienen plazos de vencimiento similares o que se aproximan a los plazos de las respectivas obligaciones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supuestos claves para establecer las obligaciones por planes de beneficios se basan en parte en las condiciones actuales del mercado. En la Nota 18.5 se presenta información adicional al respecto.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3"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referida metodología utiliza supuestos críticos vinculados con tasa de interés, factores de reajustes e indexación y estimaciones de permanencia futura, cuya variación pueden generar modificaciones significativas sobre los estados financieros consolidados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74" w:name="Section41"/>
      <w:bookmarkEnd w:id="74"/>
      <w:bookmarkStart w:id="75" w:name="d55dcc258b344121bc7ffaaa1857b851"/>
      <w:r>
        <w:rPr>
          <w:rFonts w:ascii="Calibri" w:eastAsia="Calibri" w:hAnsi="Calibri" w:cs="Calibri"/>
          <w:b/>
          <w:i w:val="0"/>
          <w:color w:val="000000"/>
          <w:sz w:val="20"/>
          <w:u w:val="none"/>
        </w:rPr>
        <w:t>5.-</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GESTIÓN DE RIESGOS.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factores de riesgo a los que están sometidas Transformadores Tusan S.A. y subsidiaria son de carácter general y se enumeran a continuación: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6" w:name="Section42"/>
      <w:bookmarkEnd w:id="76"/>
      <w:bookmarkStart w:id="77" w:name="72333078fd5a47cea0c924cf5b620b47"/>
      <w:r>
        <w:rPr>
          <w:rFonts w:ascii="Calibri" w:eastAsia="Calibri" w:hAnsi="Calibri" w:cs="Calibri"/>
          <w:b/>
          <w:i w:val="0"/>
          <w:color w:val="000000"/>
          <w:sz w:val="20"/>
          <w:u w:val="none"/>
        </w:rPr>
        <w:t>5.1.-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financiero.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7"/>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5.1.1.- </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tipo de cambio y unidades de reajuste.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Debido a que los negocios en que participan Transformadores Tusan S.A. y subsidiaria son fundamentalmente en pesos y unidades de fomento (UF), se ha determinado como política minimizar la exposición al riesgo de variaciones en el tipo de cambio y unidades de reajuste entre sus flujos operacionales y de sus obligaciones financieras.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Transformadores Tusan S.A. y subsidiaria mantienen deuda en moneda extranjera con proveedores por un monto de MUS$ 35 (MUS$ 18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del dólar estadounidense al 31 de diciembre de 2025 se ubicó en $ 907,13 lo que representa una disminución de 8,96% en comparación con el valor de cierre del 31 de diciembre de 2024, fecha en que alcanzó un valor de $ 996,46.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2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 xml:space="preserve">Variación % </w:t>
            </w:r>
          </w:p>
        </w:tc>
        <w:tc>
          <w:tcPr>
            <w:tcW w:w="1005" w:type="dxa"/>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t/c</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Efecto t/c</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t/c</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30 de junio de 2026</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FFFFFF"/>
                <w:sz w:val="16"/>
                <w:u w:val="none"/>
              </w:rPr>
              <w:t>0,00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#DIV/0!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898,06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r>
      <w:tr>
        <w:tblPrEx>
          <w:tblW w:w="7845" w:type="dxa"/>
          <w:tblInd w:w="2126" w:type="dxa"/>
          <w:tblLayout w:type="fixed"/>
        </w:tblPrEx>
        <w:trPr>
          <w:cantSplit/>
          <w:trHeight w:hRule="auto" w:val="0"/>
        </w:trPr>
        <w:tc>
          <w:tcPr>
            <w:tcW w:w="28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916,20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2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Variación %</w:t>
            </w:r>
          </w:p>
        </w:tc>
        <w:tc>
          <w:tcPr>
            <w:tcW w:w="1005" w:type="dxa"/>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t/c</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Efecto t/c</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t/c</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30 de junio de 2025</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FFFFFF"/>
                <w:sz w:val="16"/>
                <w:u w:val="none"/>
              </w:rPr>
              <w:t>996,46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17.567</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986,50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17.391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176</w:t>
            </w:r>
          </w:p>
        </w:tc>
      </w:tr>
      <w:tr>
        <w:tblPrEx>
          <w:tblW w:w="7845" w:type="dxa"/>
          <w:tblInd w:w="2126" w:type="dxa"/>
          <w:tblLayout w:type="fixed"/>
        </w:tblPrEx>
        <w:trPr>
          <w:cantSplit/>
          <w:trHeight w:hRule="auto" w:val="0"/>
        </w:trPr>
        <w:tc>
          <w:tcPr>
            <w:tcW w:w="28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1.006,42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17.743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(176)</w:t>
            </w:r>
          </w:p>
        </w:tc>
      </w:tr>
    </w:tbl>
    <w:p>
      <w:pPr>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estima que el impacto de un alza de un 1% en la tasa de cambio del peso chileno con respecto al dólar estadounidense habría generado un impacto negativo en</w:t>
      </w:r>
      <w:r>
        <w:rPr>
          <w:rFonts w:ascii="Calibri" w:eastAsia="Calibri" w:hAnsi="Calibri" w:cs="Calibri"/>
          <w:b w:val="0"/>
          <w:i w:val="0"/>
          <w:color w:val="000000"/>
          <w:sz w:val="20"/>
          <w:highlight w:val="white"/>
          <w:u w:val="none"/>
        </w:rPr>
        <w:t xml:space="preserve"> M$ 317 </w:t>
      </w:r>
      <w:r>
        <w:rPr>
          <w:rFonts w:ascii="Calibri" w:eastAsia="Calibri" w:hAnsi="Calibri" w:cs="Calibri"/>
          <w:b w:val="0"/>
          <w:i w:val="0"/>
          <w:color w:val="000000"/>
          <w:sz w:val="20"/>
          <w:u w:val="none"/>
        </w:rPr>
        <w:t>en el resultado financiero de Transformadores Tusan S.A. al cierre del ejercicio terminado el 31 de diciembre de 2025, y de M$ 176 al 31 de diciembre de 2024. Así mismo, se estima un impacto positivo de la misma magnitud ante una disminución del tipo de cambio.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Transformadores Tusan S.A. y subsidiaria no presentan deuda en unidad de fomento, y por lo tanto no se encuentra afecta al riesgo de variación de unidad de fomento.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CarCar3"/>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5.1.2.- </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tasa de interés.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riesgo de tasa de interés es el riesgo de que flujos de instrumentos financieros fluctúen debido a cambios en las tasas de interés de mercado.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 subsidiaria no tienen deudas de préstamos bancarios y no están expuestas a este riesgo.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CarCar3"/>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5.1.3.- </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 de crédito deudores comerciales y otras cuentas por cobrar.</w:t>
      </w:r>
    </w:p>
    <w:p>
      <w:pPr>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no presenta riesgo de crédito, puesto que gran parte de sus ventas son los servicios que prestan las brigadas ademas de órdenes de compra de construcción de transformadores especiales, los cuales son cancelados de contado. Las ventas de transformadores estándar están estructuradas al contado o mediante créditos de plazo no superior a sesenta días y con un nivel de incobrabilidad casi nulo. En el siguiente cuadro se puede apreciar lo planteado anteriormente en el sentido que el riesgo de crédito es bajo.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siguiente cuadro se observa la rotación de cuentas por cobrar del grupo, que es de 0,8 meses de ventas al 31 de diciembre de 2025 (1,1 meses en venta al 31 de diciembre de 2024). Del mismo modo, el monto de Deudas Comerciales Vencidas y Deterioradas representa un monto poco significativo, del orden de 0,15% del total de Ingresos Operacionales proyectados anuales al 31 de diciembre de 2025 (0,17% al 31 de diciembre de 2024).</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tbl>
      <w:tblPr>
        <w:tblW w:w="7845" w:type="dxa"/>
        <w:tblInd w:w="2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4"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45" w:type="dxa"/>
          <w:tblInd w:w="2124"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45" w:type="dxa"/>
          <w:tblInd w:w="2124"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Ingresos operacionales (últimos 12 meses).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27.947.115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54.290.264</w:t>
            </w:r>
          </w:p>
        </w:tc>
      </w:tr>
      <w:tr>
        <w:tblPrEx>
          <w:tblW w:w="7845" w:type="dxa"/>
          <w:tblInd w:w="2124"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y otras cuentas por cobrar bruto.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4.428.774</w:t>
            </w:r>
          </w:p>
        </w:tc>
      </w:tr>
      <w:tr>
        <w:tblPrEx>
          <w:tblW w:w="7845" w:type="dxa"/>
          <w:tblInd w:w="2124"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y otras cuentas por cobrar vencidas y deterioradas.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38.600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93.906</w:t>
            </w:r>
          </w:p>
        </w:tc>
      </w:tr>
      <w:tr>
        <w:tblPrEx>
          <w:tblW w:w="7845" w:type="dxa"/>
          <w:tblInd w:w="2124"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Rotación cuentas por cobrar (meses).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0,0</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0,8</w:t>
            </w:r>
          </w:p>
        </w:tc>
      </w:tr>
      <w:tr>
        <w:tblPrEx>
          <w:tblW w:w="7845" w:type="dxa"/>
          <w:tblInd w:w="2124"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4"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Deudores comerciales y otras cuentas por cobrar deterioradas / ingresos operacionales.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0,12 %</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0,15 %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78" w:name="Section43"/>
      <w:bookmarkEnd w:id="78"/>
      <w:bookmarkStart w:id="79" w:name="45b5bf73791d4734a18520a3418c8e90"/>
      <w:r>
        <w:rPr>
          <w:rFonts w:ascii="Calibri" w:eastAsia="Calibri" w:hAnsi="Calibri" w:cs="Calibri"/>
          <w:b/>
          <w:i w:val="0"/>
          <w:color w:val="000000"/>
          <w:sz w:val="20"/>
          <w:u w:val="none"/>
        </w:rPr>
        <w:t>6.-</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79"/>
    </w:p>
    <w:p>
      <w:pPr>
        <w:keepNext/>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0" w:name="Section44"/>
      <w:bookmarkEnd w:id="80"/>
      <w:bookmarkStart w:id="81" w:name="c7dd53234b13489286145f0da7565df4"/>
      <w:r>
        <w:rPr>
          <w:rFonts w:ascii="Calibri" w:eastAsia="Calibri" w:hAnsi="Calibri" w:cs="Calibri"/>
          <w:b/>
          <w:i w:val="0"/>
          <w:color w:val="000000"/>
          <w:sz w:val="20"/>
          <w:u w:val="none"/>
        </w:rPr>
        <w:t>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81"/>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efectivo y equivalentes al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Efectivo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Efectivo en caja.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2.401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Saldos en bancos.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785.430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787.831</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por tipo de moneda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55"/>
        <w:gridCol w:w="1095"/>
        <w:gridCol w:w="1200"/>
        <w:gridCol w:w="1200"/>
      </w:tblGrid>
      <w:tr>
        <w:tblPrEx>
          <w:tblW w:w="8550" w:type="dxa"/>
          <w:tblInd w:w="1417" w:type="dxa"/>
          <w:tblLayout w:type="fixed"/>
        </w:tblPrEx>
        <w:trPr>
          <w:cantSplit/>
          <w:trHeight w:hRule="auto" w:val="0"/>
        </w:trPr>
        <w:tc>
          <w:tcPr>
            <w:tcW w:w="50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Información del efectivo y equivalentes al efectivo por moneda</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5055" w:type="dxa"/>
            <w:vMerge/>
            <w:tcBorders>
              <w:top w:val="nil"/>
              <w:left w:val="single" w:sz="2" w:space="0" w:color="000000"/>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505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Monto del efectivo y equivalente al efectivo.</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785.609</w:t>
            </w:r>
          </w:p>
        </w:tc>
      </w:tr>
      <w:tr>
        <w:tblPrEx>
          <w:tblW w:w="8550" w:type="dxa"/>
          <w:tblInd w:w="1417" w:type="dxa"/>
          <w:tblLayout w:type="fixed"/>
        </w:tblPrEx>
        <w:trPr>
          <w:cantSplit/>
          <w:trHeight w:hRule="auto" w:val="0"/>
        </w:trPr>
        <w:tc>
          <w:tcPr>
            <w:tcW w:w="5055" w:type="dxa"/>
            <w:vMerge/>
            <w:tcBorders>
              <w:top w:val="nil"/>
              <w:left w:val="single" w:sz="2" w:space="0" w:color="000000"/>
              <w:bottom w:val="nil"/>
              <w:right w:val="nil"/>
            </w:tcBorders>
          </w:tcPr>
          <w:p>
            <w:pPr>
              <w:keepNext/>
              <w:pageBreakBefore w:val="0"/>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2.222</w:t>
            </w:r>
          </w:p>
        </w:tc>
      </w:tr>
      <w:tr>
        <w:tblPrEx>
          <w:tblW w:w="8550" w:type="dxa"/>
          <w:tblInd w:w="1417" w:type="dxa"/>
          <w:tblLayout w:type="fixed"/>
        </w:tblPrEx>
        <w:trPr>
          <w:cantSplit/>
          <w:trHeight w:hRule="exact" w:val="255"/>
        </w:trPr>
        <w:tc>
          <w:tcPr>
            <w:tcW w:w="615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787.831</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fecha no existen restricciones sobre el efectivo y equivalente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matriz al 31 de diciembre de 2025 y 2024 no tiene disponibles líneas de sobregiro.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 subsidiaria al 31 de diciembre de 2025 y 2024 tienen disponibles y no utilizadas líneas de sobregiro por M$ 10.000 y 25.000 respectivamente.</w:t>
      </w:r>
    </w:p>
    <w:p>
      <w:pPr>
        <w:keepNext w:val="0"/>
        <w:keepLines/>
        <w:pageBreakBefore w:val="0"/>
        <w:widowControl w:val="0"/>
        <w:numPr>
          <w:ilvl w:val="0"/>
          <w:numId w:val="0"/>
        </w:numPr>
        <w:spacing w:before="0" w:after="0" w:line="288" w:lineRule="auto"/>
        <w:ind w:left="141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4"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82" w:name="Section45"/>
      <w:bookmarkEnd w:id="82"/>
      <w:bookmarkStart w:id="83" w:name="f2d1ec0721f149a3a4f8e7ad69d376d0"/>
      <w:r>
        <w:rPr>
          <w:rFonts w:ascii="Calibri" w:eastAsia="Calibri" w:hAnsi="Calibri" w:cs="Calibri"/>
          <w:b/>
          <w:i w:val="0"/>
          <w:color w:val="000000"/>
          <w:sz w:val="20"/>
          <w:u w:val="none"/>
        </w:rPr>
        <w:t>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Detalles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3"/>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composición de los otros pagos por actividades de la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pagos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 de IVA - Impuesto único - Impuestos 2da categoría - Impuesto adicional.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(1.275.563)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pagos (multas, indemnizaciones, juicios)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pagos por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(1.275.563)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4" w:name="Section46"/>
      <w:bookmarkEnd w:id="84"/>
      <w:bookmarkStart w:id="85" w:name="f2d3b1052c5f4b04b273bf9c024b9efb"/>
      <w:r>
        <w:rPr>
          <w:rFonts w:ascii="Calibri" w:eastAsia="Calibri" w:hAnsi="Calibri" w:cs="Calibri"/>
          <w:b/>
          <w:i w:val="0"/>
          <w:color w:val="000000"/>
          <w:sz w:val="20"/>
          <w:u w:val="none"/>
        </w:rPr>
        <w:t>6.3.-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de los pasivos que surgen de las actividades de financiamiento.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Conciliación de los pasivos que surgen de las actividades de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0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60"/>
        <w:gridCol w:w="1005"/>
        <w:gridCol w:w="1005"/>
        <w:gridCol w:w="1005"/>
        <w:gridCol w:w="1005"/>
        <w:gridCol w:w="1005"/>
        <w:gridCol w:w="1005"/>
        <w:gridCol w:w="1005"/>
        <w:gridCol w:w="1005"/>
      </w:tblGrid>
      <w:tr>
        <w:tblPrEx>
          <w:tblW w:w="11400" w:type="dxa"/>
          <w:tblInd w:w="1417" w:type="dxa"/>
          <w:tblLayout w:type="fixed"/>
        </w:tblPrEx>
        <w:trPr>
          <w:cantSplit/>
          <w:trHeight w:hRule="auto" w:val="0"/>
        </w:trPr>
        <w:tc>
          <w:tcPr>
            <w:tcW w:w="336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5025" w:type="dxa"/>
            <w:gridSpan w:val="5"/>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1400" w:type="dxa"/>
          <w:tblInd w:w="1417" w:type="dxa"/>
          <w:tblLayout w:type="fixed"/>
        </w:tblPrEx>
        <w:trPr>
          <w:cantSplit/>
          <w:trHeight w:hRule="exact" w:val="225"/>
        </w:trPr>
        <w:tc>
          <w:tcPr>
            <w:tcW w:w="336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31-12-2024</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1005" w:type="dxa"/>
            <w:vMerge w:val="restart"/>
            <w:tcBorders>
              <w:top w:val="nil"/>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31-12-2025</w:t>
            </w:r>
          </w:p>
        </w:tc>
      </w:tr>
      <w:tr>
        <w:tblPrEx>
          <w:tblW w:w="11400" w:type="dxa"/>
          <w:tblInd w:w="1417" w:type="dxa"/>
          <w:tblLayout w:type="fixed"/>
        </w:tblPrEx>
        <w:trPr>
          <w:cantSplit/>
          <w:trHeight w:hRule="exact" w:val="225"/>
        </w:trPr>
        <w:tc>
          <w:tcPr>
            <w:tcW w:w="336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11400" w:type="dxa"/>
          <w:tblInd w:w="1417" w:type="dxa"/>
          <w:tblLayout w:type="fixed"/>
        </w:tblPrEx>
        <w:trPr>
          <w:cantSplit/>
          <w:trHeight w:hRule="auto" w:val="0"/>
        </w:trPr>
        <w:tc>
          <w:tcPr>
            <w:tcW w:w="336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Préstamos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6.052.346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(92.613)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5.959.733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5.959.733</w:t>
            </w: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(38.174)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(46.108)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(46.109)</w:t>
            </w: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6.014.172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(100.547)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5.913.625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5.913.624</w:t>
            </w:r>
          </w:p>
        </w:tc>
      </w:tr>
    </w:tbl>
    <w:p>
      <w:pPr>
        <w:keepNext w:val="0"/>
        <w:keepLines/>
        <w:pageBreakBefore w:val="0"/>
        <w:widowControl w:val="0"/>
        <w:numPr>
          <w:ilvl w:val="0"/>
          <w:numId w:val="0"/>
        </w:numPr>
        <w:spacing w:before="0" w:after="0" w:line="288" w:lineRule="auto"/>
        <w:ind w:left="1414" w:right="0" w:firstLine="0"/>
        <w:jc w:val="both"/>
        <w:outlineLvl w:val="9"/>
        <w:rPr>
          <w:rFonts w:ascii="Calibri" w:eastAsia="Calibri" w:hAnsi="Calibri" w:cs="Calibri"/>
          <w:b w:val="0"/>
          <w:i w:val="0"/>
          <w:color w:val="000000"/>
          <w:sz w:val="20"/>
          <w:u w:val="none"/>
        </w:rPr>
      </w:pPr>
    </w:p>
    <w:tbl>
      <w:tblPr>
        <w:tblW w:w="1140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60"/>
        <w:gridCol w:w="1005"/>
        <w:gridCol w:w="1005"/>
        <w:gridCol w:w="1005"/>
        <w:gridCol w:w="1005"/>
        <w:gridCol w:w="1005"/>
        <w:gridCol w:w="1005"/>
        <w:gridCol w:w="1005"/>
        <w:gridCol w:w="1005"/>
      </w:tblGrid>
      <w:tr>
        <w:tblPrEx>
          <w:tblW w:w="11400" w:type="dxa"/>
          <w:tblInd w:w="1417" w:type="dxa"/>
          <w:tblLayout w:type="fixed"/>
        </w:tblPrEx>
        <w:trPr>
          <w:cantSplit/>
          <w:trHeight w:hRule="auto" w:val="0"/>
        </w:trPr>
        <w:tc>
          <w:tcPr>
            <w:tcW w:w="336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5025" w:type="dxa"/>
            <w:gridSpan w:val="5"/>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301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1400" w:type="dxa"/>
          <w:tblInd w:w="1417" w:type="dxa"/>
          <w:tblLayout w:type="fixed"/>
        </w:tblPrEx>
        <w:trPr>
          <w:cantSplit/>
          <w:trHeight w:hRule="exact" w:val="225"/>
        </w:trPr>
        <w:tc>
          <w:tcPr>
            <w:tcW w:w="336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31-12-2022</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1005" w:type="dxa"/>
            <w:vMerge w:val="restart"/>
            <w:tcBorders>
              <w:top w:val="nil"/>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w:t>
            </w:r>
          </w:p>
        </w:tc>
      </w:tr>
      <w:tr>
        <w:tblPrEx>
          <w:tblW w:w="11400" w:type="dxa"/>
          <w:tblInd w:w="1417" w:type="dxa"/>
          <w:tblLayout w:type="fixed"/>
        </w:tblPrEx>
        <w:trPr>
          <w:cantSplit/>
          <w:trHeight w:hRule="exact" w:val="225"/>
        </w:trPr>
        <w:tc>
          <w:tcPr>
            <w:tcW w:w="336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11400" w:type="dxa"/>
          <w:tblInd w:w="1417" w:type="dxa"/>
          <w:tblLayout w:type="fixed"/>
        </w:tblPrEx>
        <w:trPr>
          <w:cantSplit/>
          <w:trHeight w:hRule="auto" w:val="0"/>
        </w:trPr>
        <w:tc>
          <w:tcPr>
            <w:tcW w:w="336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Préstamos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9.085.540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(3.000.000)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(535.583)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5.549.957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502.389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6.052.346</w:t>
            </w: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5.705.375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(5.752.262)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(12.360)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(50.534)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12.360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(38.174)</w:t>
            </w:r>
          </w:p>
        </w:tc>
      </w:tr>
      <w:tr>
        <w:tblPrEx>
          <w:tblW w:w="11400" w:type="dxa"/>
          <w:tblInd w:w="1417" w:type="dxa"/>
          <w:tblLayout w:type="fixed"/>
        </w:tblPrEx>
        <w:trPr>
          <w:cantSplit/>
          <w:trHeight w:hRule="auto" w:val="0"/>
        </w:trPr>
        <w:tc>
          <w:tcPr>
            <w:tcW w:w="3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9.094.253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5.705.375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(8.752.262)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(547.943)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5.499.423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514.749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6.014.172</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4"/>
          <w:footerReference w:type="default" r:id="rId25"/>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86" w:name="Section47"/>
      <w:bookmarkEnd w:id="86"/>
      <w:bookmarkStart w:id="87" w:name="10144e5eaff8477dadf89da7fecd3530"/>
      <w:r>
        <w:rPr>
          <w:rFonts w:ascii="Calibri" w:eastAsia="Calibri" w:hAnsi="Calibri" w:cs="Calibri"/>
          <w:b/>
          <w:i w:val="0"/>
          <w:color w:val="000000"/>
          <w:sz w:val="20"/>
          <w:u w:val="none"/>
        </w:rPr>
        <w:t>7.-</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FINANCIEROS.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87"/>
    </w:p>
    <w:p>
      <w:pPr>
        <w:keepNext/>
        <w:keepLines/>
        <w:pageBreakBefore w:val="0"/>
        <w:widowControl w:val="0"/>
        <w:numPr>
          <w:ilvl w:val="0"/>
          <w:numId w:val="0"/>
        </w:numPr>
        <w:tabs>
          <w:tab w:val="left" w:pos="700"/>
        </w:tabs>
        <w:spacing w:before="0" w:after="0" w:line="288" w:lineRule="auto"/>
        <w:ind w:left="0" w:right="0" w:firstLine="0"/>
        <w:jc w:val="both"/>
        <w:outlineLvl w:val="9"/>
        <w:sectPr>
          <w:headerReference w:type="default" r:id="rId26"/>
          <w:footerReference w:type="default" r:id="rId27"/>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8" w:name="Section48"/>
      <w:bookmarkEnd w:id="88"/>
      <w:bookmarkStart w:id="89" w:name="f2c875a4739848bba5c5c33acffe126d"/>
      <w:r>
        <w:rPr>
          <w:rFonts w:ascii="Calibri" w:eastAsia="Calibri" w:hAnsi="Calibri" w:cs="Calibri"/>
          <w:b/>
          <w:i w:val="0"/>
          <w:color w:val="000000"/>
          <w:sz w:val="20"/>
          <w:u w:val="none"/>
        </w:rPr>
        <w:t>7.1.-</w:t>
      </w:r>
      <w:r>
        <w:rPr>
          <w:rFonts w:ascii="Calibri" w:eastAsia="Calibri" w:hAnsi="Calibri" w:cs="Calibri"/>
          <w:b/>
          <w:i w:val="0"/>
          <w:color w:val="000000"/>
          <w:sz w:val="20"/>
          <w:u w:val="none"/>
        </w:rPr>
        <w:tab/>
      </w:r>
      <w:r>
        <w:rPr>
          <w:rFonts w:ascii="Calibri" w:eastAsia="Calibri" w:hAnsi="Calibri" w:cs="Calibri"/>
          <w:b/>
          <w:i w:val="0"/>
          <w:color w:val="000000"/>
          <w:sz w:val="20"/>
          <w:u w:val="none"/>
        </w:rPr>
        <w:t>Categorías de activos y pasivos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89"/>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las diferentes categorías de activos y pasivos financieros, comparando los valores registrados contablemente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y sus respectivos valores razonables.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 de junio de 2026</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Deudores comerciales y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 de diciembre de 2025</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787.831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787.831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787.831</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Deudores comerciales y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4.334.868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4.334.868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4.334.868</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4.994.080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4.994.080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4.994.080</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10.116.779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10.116.779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10.116.779</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7.167.136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7.167.136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7.167.136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7.290.626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7.290.626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7.290.626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14.457.762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14.457.762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14.457.762</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90" w:name="Section49"/>
      <w:bookmarkEnd w:id="90"/>
      <w:bookmarkStart w:id="91" w:name="04f72f5bf42f42cb86a708a501bbe616"/>
      <w:r>
        <w:rPr>
          <w:rFonts w:ascii="Calibri" w:eastAsia="Calibri" w:hAnsi="Calibri" w:cs="Calibri"/>
          <w:b/>
          <w:i w:val="0"/>
          <w:color w:val="000000"/>
          <w:sz w:val="20"/>
          <w:u w:val="none"/>
        </w:rPr>
        <w:t>8.-</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1"/>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2" w:name="Section50"/>
      <w:bookmarkEnd w:id="92"/>
      <w:bookmarkStart w:id="93" w:name="debc164905e94578be9af02e87065e5e"/>
      <w:r>
        <w:rPr>
          <w:rFonts w:ascii="Calibri" w:eastAsia="Calibri" w:hAnsi="Calibri" w:cs="Calibri"/>
          <w:b/>
          <w:i w:val="0"/>
          <w:color w:val="000000"/>
          <w:sz w:val="20"/>
          <w:u w:val="none"/>
        </w:rPr>
        <w:t>8.1.-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3"/>
    </w:p>
    <w:p>
      <w:pPr>
        <w:pStyle w:val="Normal-wk"/>
        <w:keepNext w:val="0"/>
        <w:keepLines/>
        <w:pageBreakBefore w:val="0"/>
        <w:widowControl w:val="0"/>
        <w:numPr>
          <w:ilvl w:val="0"/>
          <w:numId w:val="0"/>
        </w:numPr>
        <w:tabs>
          <w:tab w:val="left" w:pos="700"/>
        </w:tabs>
        <w:spacing w:before="0" w:after="0" w:line="288" w:lineRule="auto"/>
        <w:ind w:left="1843"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neto.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21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15"/>
        <w:gridCol w:w="1200"/>
        <w:gridCol w:w="1200"/>
      </w:tblGrid>
      <w:tr>
        <w:tblPrEx>
          <w:tblW w:w="7215" w:type="dxa"/>
          <w:tblInd w:w="2126" w:type="dxa"/>
          <w:tblLayout w:type="fixed"/>
        </w:tblPrEx>
        <w:trPr>
          <w:cantSplit/>
          <w:trHeight w:hRule="auto" w:val="0"/>
        </w:trPr>
        <w:tc>
          <w:tcPr>
            <w:tcW w:w="481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neto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7215" w:type="dxa"/>
          <w:tblInd w:w="2126" w:type="dxa"/>
          <w:tblLayout w:type="fixed"/>
        </w:tblPrEx>
        <w:trPr>
          <w:cantSplit/>
          <w:trHeight w:hRule="auto" w:val="0"/>
        </w:trPr>
        <w:tc>
          <w:tcPr>
            <w:tcW w:w="481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7215" w:type="dxa"/>
          <w:tblInd w:w="2126" w:type="dxa"/>
          <w:tblLayout w:type="fixed"/>
        </w:tblPrEx>
        <w:trPr>
          <w:cantSplit/>
          <w:trHeight w:hRule="auto" w:val="0"/>
        </w:trPr>
        <w:tc>
          <w:tcPr>
            <w:tcW w:w="481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215" w:type="dxa"/>
          <w:tblInd w:w="2126"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neto.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(38.600)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3.663.057</w:t>
            </w:r>
          </w:p>
        </w:tc>
      </w:tr>
      <w:tr>
        <w:tblPrEx>
          <w:tblW w:w="7215" w:type="dxa"/>
          <w:tblInd w:w="2126"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neto.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671.811</w:t>
            </w:r>
          </w:p>
        </w:tc>
      </w:tr>
      <w:tr>
        <w:tblPrEx>
          <w:tblW w:w="7215" w:type="dxa"/>
          <w:tblInd w:w="2126" w:type="dxa"/>
          <w:tblLayout w:type="fixed"/>
        </w:tblPrEx>
        <w:trPr>
          <w:cantSplit/>
          <w:trHeight w:hRule="auto" w:val="0"/>
        </w:trPr>
        <w:tc>
          <w:tcPr>
            <w:tcW w:w="48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(38.600)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4.334.868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843"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Detalle de otras cuentas por cobrar, neto.</w:t>
      </w:r>
    </w:p>
    <w:p>
      <w:pPr>
        <w:keepNext/>
        <w:keepLines/>
        <w:pageBreakBefore w:val="0"/>
        <w:widowControl w:val="0"/>
        <w:numPr>
          <w:ilvl w:val="0"/>
          <w:numId w:val="0"/>
        </w:numPr>
        <w:spacing w:before="0" w:after="0" w:line="288" w:lineRule="auto"/>
        <w:ind w:left="1134"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cuentas por cobrar, neto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7845" w:type="dxa"/>
          <w:tblInd w:w="2126" w:type="dxa"/>
          <w:tblLayout w:type="fixed"/>
        </w:tblPrEx>
        <w:trPr>
          <w:cantSplit/>
          <w:trHeight w:hRule="auto" w:val="0"/>
        </w:trPr>
        <w:tc>
          <w:tcPr>
            <w:tcW w:w="54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Por cobrar al personal</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al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61.550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Fondos por rendir.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22.588</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84.138</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Deudores varios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varios.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101.314</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Anticipo proveedores.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398.375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documentos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105.469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Provisión de deterioro.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(17.485)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587.673</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671.811</w:t>
            </w:r>
          </w:p>
        </w:tc>
      </w:tr>
    </w:tbl>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bruto.</w:t>
      </w:r>
    </w:p>
    <w:p>
      <w:pPr>
        <w:keepNext w:val="0"/>
        <w:keepLines/>
        <w:pageBreakBefore w:val="0"/>
        <w:widowControl w:val="0"/>
        <w:numPr>
          <w:ilvl w:val="0"/>
          <w:numId w:val="0"/>
        </w:numPr>
        <w:spacing w:before="0" w:after="0" w:line="288" w:lineRule="auto"/>
        <w:ind w:left="1134"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Clases de deudores comerciales y otras cuentas por cobrar, bruto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r>
      <w:tr>
        <w:tblPrEx>
          <w:tblW w:w="7845" w:type="dxa"/>
          <w:tblInd w:w="2126" w:type="dxa"/>
          <w:tblLayout w:type="fixed"/>
        </w:tblPrEx>
        <w:trPr>
          <w:cantSplit/>
          <w:trHeight w:hRule="auto" w:val="0"/>
        </w:trPr>
        <w:tc>
          <w:tcPr>
            <w:tcW w:w="54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3.739.478</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Otras cuentas por cobrar, bruto.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689.296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4.428.774</w:t>
            </w:r>
          </w:p>
        </w:tc>
      </w:tr>
    </w:tbl>
    <w:p>
      <w:pPr>
        <w:keepNext w:val="0"/>
        <w:keepLines/>
        <w:pageBreakBefore w:val="0"/>
        <w:widowControl w:val="0"/>
        <w:numPr>
          <w:ilvl w:val="0"/>
          <w:numId w:val="0"/>
        </w:numPr>
        <w:spacing w:before="0" w:after="0" w:line="288" w:lineRule="auto"/>
        <w:ind w:left="1843"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 de deudores comerciales y otras cuentas por cobrar.</w:t>
      </w:r>
    </w:p>
    <w:p>
      <w:pPr>
        <w:keepNext w:val="0"/>
        <w:keepLines/>
        <w:pageBreakBefore w:val="0"/>
        <w:widowControl w:val="0"/>
        <w:numPr>
          <w:ilvl w:val="0"/>
          <w:numId w:val="0"/>
        </w:numPr>
        <w:spacing w:before="0" w:after="0" w:line="288" w:lineRule="auto"/>
        <w:ind w:left="1134"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 en libros de deudores comerciales, otras cuentas por cobrar deteriorados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(38.600)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(76.421)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(17.485)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(38.600)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(93.906)</w:t>
            </w:r>
          </w:p>
        </w:tc>
      </w:tr>
    </w:tbl>
    <w:p>
      <w:pPr>
        <w:keepNext w:val="0"/>
        <w:keepLines/>
        <w:pageBreakBefore w:val="0"/>
        <w:widowControl w:val="0"/>
        <w:numPr>
          <w:ilvl w:val="0"/>
          <w:numId w:val="0"/>
        </w:numPr>
        <w:tabs>
          <w:tab w:val="left" w:pos="700"/>
        </w:tabs>
        <w:spacing w:before="0" w:after="0" w:line="288" w:lineRule="auto"/>
        <w:ind w:left="1134"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la provisión por deterioro de los deudores comerciales y otras cuentas por cobrar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w:t>
      </w:r>
      <w:r>
        <w:rPr>
          <w:rFonts w:ascii="Calibri" w:eastAsia="Calibri" w:hAnsi="Calibri" w:cs="Calibri"/>
          <w:b w:val="0"/>
          <w:i w:val="0"/>
          <w:color w:val="000000"/>
          <w:sz w:val="20"/>
          <w:u w:val="none"/>
        </w:rPr>
        <w:t>e muestra en el siguiente cuadro.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deudores comerciales y otras cuentas por cobrar vencidos y no pagados con deterioro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Saldo inicial.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(93.906)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(93.687)</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Baja (reversiones) de deudores comerciales y otras cuentas por cobrar deterioradas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(Aumento) disminución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(93.906)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(93.906)</w:t>
            </w:r>
          </w:p>
        </w:tc>
      </w:tr>
    </w:tbl>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justo de los deudores comerciales y otras cuentas por cobrar no difiere significativamente del valor de libros presentado. Asimismo, el valor libros de los deudores y clientes por cobrar en mora no deteriorados y deteriorados representan una aproximación razonable al valor justo de los mismos y consideran una provisión de deterioro cuando existe evidencia objetiva de que la sociedad no será capaz de cobrar el importe que se le adeuda, ello aún luego de aplicar las acciones de cobranza.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exposición máxima al riesgo de crédito a la fecha de reporte es el valor en libros de cada clase de cuenta por cobrar mencionada.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consideran saldos de dudoso cobro, todos aquellos que se incluyen en la matriz de cálculo de pérdida esperada basado en la experiencia histórica de pérdidas crediticias de Transformadores Tusan S.A. y subsidiaria, ajustada por factores prospectivos específicos para los deudores y el entorno económico.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política de provisión de incobrables de Transformadores Tusan S.A. y subsidiaria contempla la actualización de las variables macroeconómicas cuando lo amerite en caso de visualizar un cambio significativo.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castigos tributarios son realizados en la medida que las deudas son declaradas sin posibilidad alguna de recupero, de acuerdo a las normas tributarias vigentes.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4" w:name="Section51"/>
      <w:bookmarkEnd w:id="94"/>
      <w:bookmarkStart w:id="95" w:name="892d92a847404f168ad5bd65d627233d"/>
      <w:r>
        <w:rPr>
          <w:rFonts w:ascii="Calibri" w:eastAsia="Calibri" w:hAnsi="Calibri" w:cs="Calibri"/>
          <w:b/>
          <w:i w:val="0"/>
          <w:color w:val="000000"/>
          <w:sz w:val="20"/>
          <w:u w:val="none"/>
        </w:rPr>
        <w:t>8.2.-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Estratificación de la cartera.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95"/>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6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80"/>
        <w:gridCol w:w="945"/>
        <w:gridCol w:w="945"/>
        <w:gridCol w:w="945"/>
        <w:gridCol w:w="945"/>
        <w:gridCol w:w="945"/>
        <w:gridCol w:w="945"/>
        <w:gridCol w:w="945"/>
        <w:gridCol w:w="945"/>
        <w:gridCol w:w="945"/>
        <w:gridCol w:w="945"/>
        <w:gridCol w:w="945"/>
        <w:gridCol w:w="945"/>
      </w:tblGrid>
      <w:tr>
        <w:tblPrEx>
          <w:tblW w:w="13620" w:type="dxa"/>
          <w:tblInd w:w="0" w:type="dxa"/>
          <w:tblLayout w:type="fixed"/>
        </w:tblPrEx>
        <w:trPr>
          <w:cantSplit/>
          <w:trHeight w:hRule="auto" w:val="0"/>
        </w:trPr>
        <w:tc>
          <w:tcPr>
            <w:tcW w:w="22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4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corrientes</w:t>
            </w:r>
          </w:p>
        </w:tc>
      </w:tr>
      <w:tr>
        <w:tblPrEx>
          <w:tblW w:w="13620" w:type="dxa"/>
          <w:tblInd w:w="0" w:type="dxa"/>
          <w:tblLayout w:type="fixed"/>
        </w:tblPrEx>
        <w:trPr>
          <w:cantSplit/>
          <w:trHeight w:hRule="auto" w:val="0"/>
        </w:trPr>
        <w:tc>
          <w:tcPr>
            <w:tcW w:w="228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620" w:type="dxa"/>
          <w:tblInd w:w="0" w:type="dxa"/>
          <w:tblLayout w:type="fixed"/>
        </w:tblPrEx>
        <w:trPr>
          <w:cantSplit/>
          <w:trHeight w:hRule="auto" w:val="0"/>
        </w:trPr>
        <w:tc>
          <w:tcPr>
            <w:tcW w:w="228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620" w:type="dxa"/>
          <w:tblInd w:w="0" w:type="dxa"/>
          <w:tblLayout w:type="fixed"/>
        </w:tblPrEx>
        <w:trPr>
          <w:cantSplit/>
          <w:trHeight w:hRule="auto" w:val="0"/>
        </w:trPr>
        <w:tc>
          <w:tcPr>
            <w:tcW w:w="228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 bruto.</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6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80"/>
        <w:gridCol w:w="945"/>
        <w:gridCol w:w="945"/>
        <w:gridCol w:w="945"/>
        <w:gridCol w:w="945"/>
        <w:gridCol w:w="945"/>
        <w:gridCol w:w="945"/>
        <w:gridCol w:w="945"/>
        <w:gridCol w:w="945"/>
        <w:gridCol w:w="945"/>
        <w:gridCol w:w="945"/>
        <w:gridCol w:w="945"/>
        <w:gridCol w:w="945"/>
      </w:tblGrid>
      <w:tr>
        <w:tblPrEx>
          <w:tblW w:w="13620" w:type="dxa"/>
          <w:tblInd w:w="0" w:type="dxa"/>
          <w:tblLayout w:type="fixed"/>
        </w:tblPrEx>
        <w:trPr>
          <w:cantSplit/>
          <w:trHeight w:hRule="auto" w:val="0"/>
        </w:trPr>
        <w:tc>
          <w:tcPr>
            <w:tcW w:w="22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4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r>
      <w:tr>
        <w:tblPrEx>
          <w:tblW w:w="13620" w:type="dxa"/>
          <w:tblInd w:w="0" w:type="dxa"/>
          <w:tblLayout w:type="fixed"/>
        </w:tblPrEx>
        <w:trPr>
          <w:cantSplit/>
          <w:trHeight w:hRule="auto" w:val="0"/>
        </w:trPr>
        <w:tc>
          <w:tcPr>
            <w:tcW w:w="228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620" w:type="dxa"/>
          <w:tblInd w:w="0" w:type="dxa"/>
          <w:tblLayout w:type="fixed"/>
        </w:tblPrEx>
        <w:trPr>
          <w:cantSplit/>
          <w:trHeight w:hRule="auto" w:val="0"/>
        </w:trPr>
        <w:tc>
          <w:tcPr>
            <w:tcW w:w="228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620" w:type="dxa"/>
          <w:tblInd w:w="0" w:type="dxa"/>
          <w:tblLayout w:type="fixed"/>
        </w:tblPrEx>
        <w:trPr>
          <w:cantSplit/>
          <w:trHeight w:hRule="auto" w:val="0"/>
        </w:trPr>
        <w:tc>
          <w:tcPr>
            <w:tcW w:w="228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1.832.277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404.737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484.837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250.062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31.375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79.626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238.901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9.717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107.609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300.337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3.739.478</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3.739.478</w:t>
            </w: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 bruto.</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689.296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689.296</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689.296</w:t>
            </w: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(13.777)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(4.729)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(6.395)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(3.263)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(3.179)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(1.431)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(42.045)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(76.421)</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(76.421)</w:t>
            </w: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(17.485)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(17.485)</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(17.485)</w:t>
            </w:r>
          </w:p>
        </w:tc>
      </w:tr>
      <w:tr>
        <w:tblPrEx>
          <w:tblW w:w="13620" w:type="dxa"/>
          <w:tblInd w:w="0"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2.490.311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400.008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478.442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246.799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30.959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78.568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235.722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9.589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106.178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258.292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4.334.868</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4.334.868</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headerReference w:type="default" r:id="rId28"/>
          <w:footerReference w:type="default" r:id="rId29"/>
          <w:type w:val="continuous"/>
          <w:pgSz w:w="16834" w:h="11909"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6" w:name="Section52"/>
      <w:bookmarkEnd w:id="96"/>
      <w:bookmarkStart w:id="97" w:name="081fd326273d4ac789a6fd4e9278271e"/>
      <w:r>
        <w:rPr>
          <w:rFonts w:ascii="Calibri" w:eastAsia="Calibri" w:hAnsi="Calibri" w:cs="Calibri"/>
          <w:b/>
          <w:i w:val="0"/>
          <w:color w:val="000000"/>
          <w:sz w:val="20"/>
          <w:u w:val="none"/>
        </w:rPr>
        <w:t>8.3.-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estratificación de la cartera deudores comerciales.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resumen de estratificación de cartera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99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95"/>
        <w:gridCol w:w="1200"/>
        <w:gridCol w:w="1200"/>
        <w:gridCol w:w="1200"/>
        <w:gridCol w:w="1200"/>
        <w:gridCol w:w="1200"/>
      </w:tblGrid>
      <w:tr>
        <w:tblPrEx>
          <w:tblW w:w="7995" w:type="dxa"/>
          <w:tblInd w:w="1417" w:type="dxa"/>
          <w:tblLayout w:type="fixed"/>
        </w:tblPrEx>
        <w:trPr>
          <w:cantSplit/>
          <w:trHeight w:hRule="auto" w:val="0"/>
        </w:trPr>
        <w:tc>
          <w:tcPr>
            <w:tcW w:w="7995"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7995" w:type="dxa"/>
          <w:tblInd w:w="1417" w:type="dxa"/>
          <w:tblLayout w:type="fixed"/>
        </w:tblPrEx>
        <w:trPr>
          <w:cantSplit/>
          <w:trHeight w:hRule="auto" w:val="0"/>
        </w:trPr>
        <w:tc>
          <w:tcPr>
            <w:tcW w:w="199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7995" w:type="dxa"/>
          <w:tblInd w:w="1417" w:type="dxa"/>
          <w:tblLayout w:type="fixed"/>
        </w:tblPrEx>
        <w:trPr>
          <w:cantSplit/>
          <w:trHeight w:hRule="auto" w:val="0"/>
        </w:trPr>
        <w:tc>
          <w:tcPr>
            <w:tcW w:w="199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995" w:type="dxa"/>
          <w:tblInd w:w="1417" w:type="dxa"/>
          <w:tblLayout w:type="fixed"/>
        </w:tblPrEx>
        <w:trPr>
          <w:cantSplit/>
          <w:trHeight w:hRule="exact" w:val="6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7995" w:type="dxa"/>
          <w:tblInd w:w="1417" w:type="dxa"/>
          <w:tblLayout w:type="fixed"/>
        </w:tblPrEx>
        <w:trPr>
          <w:cantSplit/>
          <w:trHeight w:hRule="auto" w:val="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exact" w:val="225"/>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(2)</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(38.600)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(38.600)</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(38.600)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(38.600)</w:t>
            </w:r>
          </w:p>
        </w:tc>
      </w:tr>
      <w:tr>
        <w:tblPrEx>
          <w:tblW w:w="7995" w:type="dxa"/>
          <w:tblInd w:w="1417" w:type="dxa"/>
          <w:tblLayout w:type="fixed"/>
        </w:tblPrEx>
        <w:trPr>
          <w:cantSplit/>
          <w:trHeight w:hRule="auto" w:val="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exact" w:val="225"/>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(38.600)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(38.600)</w:t>
            </w:r>
          </w:p>
        </w:tc>
      </w:tr>
    </w:tbl>
    <w:p>
      <w:pPr>
        <w:keepNext w:val="0"/>
        <w:keepLines/>
        <w:pageBreakBefore w:val="0"/>
        <w:widowControl w:val="0"/>
        <w:numPr>
          <w:ilvl w:val="0"/>
          <w:numId w:val="0"/>
        </w:numPr>
        <w:spacing w:before="0" w:after="0" w:line="264" w:lineRule="auto"/>
        <w:ind w:left="1416" w:right="0" w:firstLine="0"/>
        <w:jc w:val="both"/>
        <w:outlineLvl w:val="9"/>
        <w:rPr>
          <w:rFonts w:ascii="Calibri" w:eastAsia="Calibri" w:hAnsi="Calibri" w:cs="Calibri"/>
          <w:b w:val="0"/>
          <w:i w:val="0"/>
          <w:color w:val="000000"/>
          <w:sz w:val="20"/>
          <w:u w:val="none"/>
        </w:rPr>
      </w:pPr>
    </w:p>
    <w:tbl>
      <w:tblPr>
        <w:tblW w:w="799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95"/>
        <w:gridCol w:w="1200"/>
        <w:gridCol w:w="1200"/>
        <w:gridCol w:w="1200"/>
        <w:gridCol w:w="1200"/>
        <w:gridCol w:w="1200"/>
      </w:tblGrid>
      <w:tr>
        <w:tblPrEx>
          <w:tblW w:w="7995" w:type="dxa"/>
          <w:tblInd w:w="1417" w:type="dxa"/>
          <w:tblLayout w:type="fixed"/>
        </w:tblPrEx>
        <w:trPr>
          <w:cantSplit/>
          <w:trHeight w:hRule="auto" w:val="0"/>
        </w:trPr>
        <w:tc>
          <w:tcPr>
            <w:tcW w:w="7995"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7995" w:type="dxa"/>
          <w:tblInd w:w="1417" w:type="dxa"/>
          <w:tblLayout w:type="fixed"/>
        </w:tblPrEx>
        <w:trPr>
          <w:cantSplit/>
          <w:trHeight w:hRule="auto" w:val="0"/>
        </w:trPr>
        <w:tc>
          <w:tcPr>
            <w:tcW w:w="199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7995" w:type="dxa"/>
          <w:tblInd w:w="1417" w:type="dxa"/>
          <w:tblLayout w:type="fixed"/>
        </w:tblPrEx>
        <w:trPr>
          <w:cantSplit/>
          <w:trHeight w:hRule="auto" w:val="0"/>
        </w:trPr>
        <w:tc>
          <w:tcPr>
            <w:tcW w:w="199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995" w:type="dxa"/>
          <w:tblInd w:w="1417" w:type="dxa"/>
          <w:tblLayout w:type="fixed"/>
        </w:tblPrEx>
        <w:trPr>
          <w:cantSplit/>
          <w:trHeight w:hRule="exact" w:val="6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1.832.277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(13.777)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1.832.277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(13.777)</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1.832.277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(13.777)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1.832.277</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(13.777)</w:t>
            </w:r>
          </w:p>
        </w:tc>
      </w:tr>
      <w:tr>
        <w:tblPrEx>
          <w:tblW w:w="7995" w:type="dxa"/>
          <w:tblInd w:w="1417" w:type="dxa"/>
          <w:tblLayout w:type="fixed"/>
        </w:tblPrEx>
        <w:trPr>
          <w:cantSplit/>
          <w:trHeight w:hRule="auto" w:val="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exact" w:val="225"/>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(2)</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404.737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404.737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(4.729)</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484.837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484.837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(6.395)</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250.062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250.062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(3.263)</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31.375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31.375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(416)</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79.626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79.626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(1.058)</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238.901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(3.179)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238.901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(3.179)</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9.717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(128)</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107.609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107.609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(1.431)</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300.337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(42.045)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300.337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(42.045)</w:t>
            </w:r>
          </w:p>
        </w:tc>
      </w:tr>
      <w:tr>
        <w:tblPrEx>
          <w:tblW w:w="7995"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1.907.201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(62.644)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1.907.201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(62.644)</w:t>
            </w:r>
          </w:p>
        </w:tc>
      </w:tr>
      <w:tr>
        <w:tblPrEx>
          <w:tblW w:w="7995" w:type="dxa"/>
          <w:tblInd w:w="1417" w:type="dxa"/>
          <w:tblLayout w:type="fixed"/>
        </w:tblPrEx>
        <w:trPr>
          <w:cantSplit/>
          <w:trHeight w:hRule="auto" w:val="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995" w:type="dxa"/>
          <w:tblInd w:w="1417" w:type="dxa"/>
          <w:tblLayout w:type="fixed"/>
        </w:tblPrEx>
        <w:trPr>
          <w:cantSplit/>
          <w:trHeight w:hRule="exact" w:val="225"/>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228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3.739.478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(76.421)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3.739.478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(76.421)</w:t>
            </w:r>
          </w:p>
        </w:tc>
      </w:tr>
    </w:tbl>
    <w:p>
      <w:pPr>
        <w:keepNext w:val="0"/>
        <w:keepLines/>
        <w:pageBreakBefore w:val="0"/>
        <w:widowControl w:val="0"/>
        <w:numPr>
          <w:ilvl w:val="0"/>
          <w:numId w:val="0"/>
        </w:numPr>
        <w:spacing w:before="0" w:after="0" w:line="264"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64" w:lineRule="auto"/>
        <w:ind w:left="1984" w:right="0" w:hanging="56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Por vencer: Corresponde a las facturas y boletas emitidas que al cierre de los estados financieros se encuentran sin vencer su fecha de pago.</w:t>
      </w:r>
    </w:p>
    <w:p>
      <w:pPr>
        <w:keepNext w:val="0"/>
        <w:keepLines/>
        <w:pageBreakBefore w:val="0"/>
        <w:widowControl w:val="0"/>
        <w:numPr>
          <w:ilvl w:val="0"/>
          <w:numId w:val="0"/>
        </w:numPr>
        <w:spacing w:before="0" w:after="0" w:line="264" w:lineRule="auto"/>
        <w:ind w:left="1985" w:right="0" w:hanging="56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20" w:lineRule="exact"/>
        <w:ind w:left="1985" w:right="0" w:hanging="56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Vencidos: Corresponde a las facturas y boletas emitidas que al cierre de los estados financieros tienen como mínimo un día de morosidad con respecto a su fecha de vencimiento.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30"/>
          <w:footerReference w:type="default" r:id="rId31"/>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64" w:lineRule="auto"/>
        <w:ind w:left="0" w:right="0" w:firstLine="708"/>
        <w:jc w:val="both"/>
        <w:outlineLvl w:val="1"/>
        <w:rPr>
          <w:rFonts w:ascii="Times New Roman" w:eastAsia="Times New Roman" w:hAnsi="Times New Roman" w:cs="Times New Roman"/>
          <w:b/>
          <w:i w:val="0"/>
          <w:color w:val="000000"/>
          <w:sz w:val="24"/>
          <w:u w:val="none"/>
        </w:rPr>
      </w:pPr>
      <w:bookmarkStart w:id="98" w:name="Section53"/>
      <w:bookmarkEnd w:id="98"/>
      <w:bookmarkStart w:id="99" w:name="fe215a1969ab44668ff0e0d1715e43f2"/>
      <w:r>
        <w:rPr>
          <w:rFonts w:ascii="Calibri" w:eastAsia="Calibri" w:hAnsi="Calibri" w:cs="Calibri"/>
          <w:b/>
          <w:i w:val="0"/>
          <w:color w:val="000000"/>
          <w:sz w:val="20"/>
          <w:u w:val="none"/>
        </w:rPr>
        <w:t>8.4.-</w:t>
      </w:r>
      <w:r>
        <w:rPr>
          <w:rFonts w:ascii="Calibri" w:eastAsia="Calibri" w:hAnsi="Calibri" w:cs="Calibri"/>
          <w:b/>
          <w:i w:val="0"/>
          <w:color w:val="000000"/>
          <w:sz w:val="20"/>
          <w:u w:val="none"/>
        </w:rPr>
        <w:tab/>
      </w:r>
      <w:r>
        <w:rPr>
          <w:rFonts w:ascii="Calibri" w:eastAsia="Calibri" w:hAnsi="Calibri" w:cs="Calibri"/>
          <w:b/>
          <w:i w:val="0"/>
          <w:color w:val="000000"/>
          <w:sz w:val="20"/>
          <w:u w:val="none"/>
        </w:rPr>
        <w:t>Cartera protestada y en cobranza judicial.</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9"/>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cartera protestada y en cobranza judicial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 las cuales forman parte de la cartera morosa: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8550" w:type="dxa"/>
            <w:gridSpan w:val="3"/>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615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4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Cartera protestada o en cobranza judicial.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8550" w:type="dxa"/>
            <w:gridSpan w:val="3"/>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615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40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Cartera protestada o en cobranza judicial.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42.229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42.229</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0" w:name="Section54"/>
      <w:bookmarkEnd w:id="100"/>
      <w:bookmarkStart w:id="101" w:name="f7fa1337d2e84bd39fa231622773a4a2"/>
      <w:r>
        <w:rPr>
          <w:rFonts w:ascii="Calibri" w:eastAsia="Calibri" w:hAnsi="Calibri" w:cs="Calibri"/>
          <w:b/>
          <w:i w:val="0"/>
          <w:color w:val="000000"/>
          <w:sz w:val="20"/>
          <w:u w:val="none"/>
        </w:rPr>
        <w:t xml:space="preserve">8.5.- </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Provisión y castigos.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10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provisión y castigo de la cartera no repactada y repactada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y castigos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no repactada.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37.821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37.821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2" w:name="Section55"/>
      <w:bookmarkEnd w:id="102"/>
      <w:bookmarkStart w:id="103" w:name="3871f2dbf4c345e1a95d6054a9ca58a2"/>
      <w:r>
        <w:rPr>
          <w:rFonts w:ascii="Calibri" w:eastAsia="Calibri" w:hAnsi="Calibri" w:cs="Calibri"/>
          <w:b/>
          <w:i w:val="0"/>
          <w:color w:val="000000"/>
          <w:sz w:val="20"/>
          <w:u w:val="none"/>
        </w:rPr>
        <w:t xml:space="preserve">8.6.- </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y monto de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0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número y monto de operaciones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por venta de equipos y servicios: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1.008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26.431.557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1.008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26.431.557</w:t>
            </w:r>
          </w:p>
        </w:tc>
      </w:tr>
    </w:tbl>
    <w:p>
      <w:pPr>
        <w:keepNext w:val="0"/>
        <w:keepLines/>
        <w:pageBreakBefore w:val="0"/>
        <w:widowControl w:val="0"/>
        <w:numPr>
          <w:ilvl w:val="0"/>
          <w:numId w:val="0"/>
        </w:numPr>
        <w:spacing w:before="0" w:after="0" w:line="288" w:lineRule="auto"/>
        <w:ind w:left="1417" w:right="0" w:firstLine="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709"/>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04" w:name="Section56"/>
      <w:bookmarkEnd w:id="104"/>
      <w:bookmarkStart w:id="105" w:name="3f6283bee3754f63941ff741fdc8076d"/>
      <w:r>
        <w:rPr>
          <w:rFonts w:ascii="Calibri" w:eastAsia="Calibri" w:hAnsi="Calibri" w:cs="Calibri"/>
          <w:b/>
          <w:i w:val="0"/>
          <w:color w:val="000000"/>
          <w:sz w:val="20"/>
          <w:u w:val="none"/>
        </w:rPr>
        <w:t>9.-</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05"/>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29 de agosto de 2024, la Sociedad firmó un contrato de crédito con el controlador CGE Transmisión S.A. Mediante este contrato el acreedor puso a disposición de la sociedad un préstamo intercompañía por un monto de M$ 9.000.000, el cual devengará una tasa de interés anual equivalente a la TAB nominal de 90 días más un spread de 119 bps. La tasa de interés se ajustará trimestralmente. Los intereses ordinarios devengados se pagarán trimestralmente los días 10 de noviembre, 10 de febrero, 10 de mayo y 10 de agosto de cada año. El préstamo tiene fecha de vencimiento el 10 de agosto de 2026. Con fecha 11 de agosto de 2025 se amortizó capital por M$ 3.000.000.</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tiene como política informar todas las transacciones que efectúa con partes relacionadas durante el período o ejercicio, con excepción de los dividendos pagados, aportes de capital recibidos, los cuales no se entienden como transacciones.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garantías otorgadas o recibidas en dichas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06" w:name="Section57"/>
      <w:bookmarkEnd w:id="106"/>
      <w:bookmarkStart w:id="107" w:name="18505c5c7e98486d9341fd41a02f8a5d"/>
      <w:r>
        <w:rPr>
          <w:rFonts w:ascii="Calibri" w:eastAsia="Calibri" w:hAnsi="Calibri" w:cs="Calibri"/>
          <w:b/>
          <w:i w:val="0"/>
          <w:color w:val="000000"/>
          <w:sz w:val="20"/>
          <w:u w:val="none"/>
        </w:rPr>
        <w:t>9.1.-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7"/>
    </w:p>
    <w:p>
      <w:pPr>
        <w:pStyle w:val="Normal-wk"/>
        <w:keepNext w:val="0"/>
        <w:keepLines/>
        <w:pageBreakBefore w:val="0"/>
        <w:widowControl w:val="0"/>
        <w:numPr>
          <w:ilvl w:val="0"/>
          <w:numId w:val="0"/>
        </w:numPr>
        <w:tabs>
          <w:tab w:val="left" w:pos="700"/>
        </w:tabs>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ab/>
      </w:r>
      <w:r>
        <w:rPr>
          <w:rFonts w:ascii="Calibri" w:eastAsia="Calibri" w:hAnsi="Calibri" w:cs="Calibri"/>
          <w:b w:val="0"/>
          <w:i w:val="0"/>
          <w:color w:val="000000"/>
          <w:sz w:val="20"/>
          <w:u w:val="none"/>
        </w:rPr>
        <w:t>9.1.1.-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76" w:right="0" w:firstLine="34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355"/>
        <w:gridCol w:w="600"/>
        <w:gridCol w:w="1905"/>
        <w:gridCol w:w="1095"/>
        <w:gridCol w:w="1005"/>
        <w:gridCol w:w="705"/>
        <w:gridCol w:w="900"/>
        <w:gridCol w:w="900"/>
        <w:gridCol w:w="900"/>
        <w:gridCol w:w="900"/>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3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35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35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90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342.111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3.094.590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materiales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1.413.066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 xml:space="preserve">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38.173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88.221.200-9</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materiales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57.529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88.221.200-9</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12.293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materiales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25.412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10.906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55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4.994.080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1776" w:right="0" w:hanging="35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76" w:right="0" w:firstLine="34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325"/>
        <w:gridCol w:w="600"/>
        <w:gridCol w:w="1905"/>
        <w:gridCol w:w="1095"/>
        <w:gridCol w:w="1005"/>
        <w:gridCol w:w="705"/>
        <w:gridCol w:w="900"/>
        <w:gridCol w:w="900"/>
        <w:gridCol w:w="900"/>
        <w:gridCol w:w="900"/>
      </w:tblGrid>
      <w:tr>
        <w:tblPrEx>
          <w:tblW w:w="1212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3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2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32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2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32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90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1.043.650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propiedades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2.221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Obligaciones en relacionada CP</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Mas de un año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6.052.346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19.834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9.797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Asesorías recibidas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146.235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6.357.359-0</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Guillermo Hayes Morales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Más de 120 días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Accionista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5.333.806-2</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Erich Gruttner Grimal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Más de 120 días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Accionista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17" w:type="dxa"/>
          <w:tblLayout w:type="fixed"/>
        </w:tblPrEx>
        <w:trPr>
          <w:cantSplit/>
          <w:trHeight w:hRule="auto" w:val="0"/>
        </w:trPr>
        <w:tc>
          <w:tcPr>
            <w:tcW w:w="852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7.290.626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pStyle w:val="Normal-wk"/>
        <w:keepNext w:val="0"/>
        <w:keepLines/>
        <w:pageBreakBefore w:val="0"/>
        <w:widowControl w:val="0"/>
        <w:numPr>
          <w:ilvl w:val="0"/>
          <w:numId w:val="0"/>
        </w:numPr>
        <w:spacing w:before="0" w:after="0" w:line="288" w:lineRule="auto"/>
        <w:ind w:left="1418"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keepLines/>
        <w:pageBreakBefore/>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70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95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2400"/>
        <w:gridCol w:w="825"/>
        <w:gridCol w:w="1005"/>
        <w:gridCol w:w="1995"/>
        <w:gridCol w:w="705"/>
        <w:gridCol w:w="1005"/>
        <w:gridCol w:w="1005"/>
        <w:gridCol w:w="1005"/>
        <w:gridCol w:w="1005"/>
      </w:tblGrid>
      <w:tr>
        <w:tblPrEx>
          <w:tblW w:w="11955" w:type="dxa"/>
          <w:tblInd w:w="1417" w:type="dxa"/>
          <w:tblLayout w:type="fixed"/>
        </w:tblPrEx>
        <w:trPr>
          <w:cantSplit/>
          <w:trHeight w:hRule="auto" w:val="0"/>
          <w:tblHeader/>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8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19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201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201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r>
      <w:tr>
        <w:tblPrEx>
          <w:tblW w:w="11955" w:type="dxa"/>
          <w:tblInd w:w="1417"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99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single" w:sz="4" w:space="0" w:color="FFFFFF"/>
            </w:tcBorders>
          </w:tcPr>
          <w:p>
            <w:pPr>
              <w:keepNext/>
              <w:pageBreakBefore w:val="0"/>
            </w:pPr>
          </w:p>
        </w:tc>
        <w:tc>
          <w:tcPr>
            <w:tcW w:w="201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r>
      <w:tr>
        <w:tblPrEx>
          <w:tblW w:w="11955" w:type="dxa"/>
          <w:tblInd w:w="1417"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99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r>
      <w:tr>
        <w:tblPrEx>
          <w:tblW w:w="11955" w:type="dxa"/>
          <w:tblInd w:w="1417" w:type="dxa"/>
          <w:tblLayout w:type="fixed"/>
        </w:tblPrEx>
        <w:trPr>
          <w:cantSplit/>
          <w:trHeight w:hRule="auto" w:val="0"/>
          <w:tblHeader/>
        </w:trPr>
        <w:tc>
          <w:tcPr>
            <w:tcW w:w="1005" w:type="dxa"/>
            <w:vMerge/>
            <w:tcBorders>
              <w:top w:val="nil"/>
              <w:left w:val="single" w:sz="2" w:space="0" w:color="000000"/>
              <w:bottom w:val="single" w:sz="2" w:space="0" w:color="000000"/>
              <w:right w:val="nil"/>
            </w:tcBorders>
          </w:tcPr>
          <w:p>
            <w:pPr>
              <w:keepNext/>
              <w:pageBreakBefore w:val="0"/>
            </w:pPr>
          </w:p>
        </w:tc>
        <w:tc>
          <w:tcPr>
            <w:tcW w:w="2400" w:type="dxa"/>
            <w:vMerge/>
            <w:tcBorders>
              <w:top w:val="nil"/>
              <w:left w:val="single" w:sz="4" w:space="0" w:color="FFFFFF"/>
              <w:bottom w:val="single" w:sz="2" w:space="0" w:color="000000"/>
              <w:right w:val="nil"/>
            </w:tcBorders>
          </w:tcPr>
          <w:p>
            <w:pPr>
              <w:keepNext/>
              <w:pageBreakBefore w:val="0"/>
            </w:pPr>
          </w:p>
        </w:tc>
        <w:tc>
          <w:tcPr>
            <w:tcW w:w="82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99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prestados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810.929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810.929</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Venta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1.300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1.300</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Intereses préstamo recibido</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294.385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(294.385)</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Préstamo recibido</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Obligaciones en Relacionadas CP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Venta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19.615.412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19.615.412</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Tesorería centralizada (cargos)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8.835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Tesorería centralizada (abonos)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Intereses pagados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(147)</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Intereses cobrados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23.243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23.243</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15.211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(15.211)</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recibidos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11.999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(11.999)</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Arriendos de oficinas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23.182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(23.182)</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Prestamos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Compra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recibidos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Venta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164.742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164.742</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88.221.200-9</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Empresa Eléctrica de Magallanes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prestados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88.221.200-9</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Empresa Eléctrica de Magallanes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Venta de materiales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Asociada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Asesorías recibidas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110.403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(110.403)</w:t>
            </w:r>
          </w:p>
        </w:tc>
      </w:tr>
      <w:tr>
        <w:tblPrEx>
          <w:tblW w:w="11955"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Arriendos de oficina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headerReference w:type="default" r:id="rId32"/>
          <w:footerReference w:type="default" r:id="rId33"/>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08" w:name="Section58"/>
      <w:bookmarkEnd w:id="108"/>
      <w:bookmarkStart w:id="109" w:name="26bfeb83893047229d758f3989aecac9"/>
      <w:r>
        <w:rPr>
          <w:rFonts w:ascii="Calibri" w:eastAsia="Calibri" w:hAnsi="Calibri" w:cs="Calibri"/>
          <w:b/>
          <w:i w:val="0"/>
          <w:color w:val="000000"/>
          <w:sz w:val="20"/>
          <w:u w:val="none"/>
        </w:rPr>
        <w:t>9.2.-</w:t>
      </w:r>
      <w:r>
        <w:rPr>
          <w:rFonts w:ascii="Calibri" w:eastAsia="Calibri" w:hAnsi="Calibri" w:cs="Calibri"/>
          <w:b/>
          <w:i w:val="0"/>
          <w:color w:val="000000"/>
          <w:sz w:val="20"/>
          <w:u w:val="none"/>
        </w:rPr>
        <w:tab/>
      </w:r>
      <w:r>
        <w:rPr>
          <w:rFonts w:ascii="Calibri" w:eastAsia="Calibri" w:hAnsi="Calibri" w:cs="Calibri"/>
          <w:b/>
          <w:i w:val="0"/>
          <w:color w:val="000000"/>
          <w:sz w:val="20"/>
          <w:u w:val="none"/>
        </w:rPr>
        <w:t>Directorio y gerencia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9"/>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Directorio de Transformadores Tusan S.A. lo componen tres miembros, los cuales permanecen por un período de 3 años en sus funciones, pudiendo estos reelegirse.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0" w:right="0" w:firstLine="0"/>
        <w:jc w:val="both"/>
        <w:outlineLvl w:val="9"/>
        <w:rPr>
          <w:rFonts w:ascii="Times New Roman" w:eastAsia="Times New Roman" w:hAnsi="Times New Roman" w:cs="Times New Roman"/>
          <w:b w:val="0"/>
          <w:i w:val="0"/>
          <w:color w:val="000000"/>
          <w:sz w:val="24"/>
          <w:u w:val="none"/>
        </w:rPr>
      </w:pPr>
      <w:r>
        <w:rPr>
          <w:rFonts w:ascii="Calibri" w:eastAsia="Calibri" w:hAnsi="Calibri" w:cs="Calibri"/>
          <w:b w:val="0"/>
          <w:i w:val="0"/>
          <w:sz w:val="20"/>
        </w:rPr>
        <w:t>Con fecha 28 de febrero de 2024, renuncia como director el señor Álvaro Castillo Aguilera. En su reemplazo asume el señor Eduardo Guerra Bahamondes.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sz w:val="20"/>
        </w:rPr>
      </w:pPr>
      <w:r>
        <w:rPr>
          <w:rFonts w:ascii="Calibri" w:eastAsia="Calibri" w:hAnsi="Calibri" w:cs="Calibri"/>
          <w:b w:val="0"/>
          <w:i w:val="0"/>
          <w:sz w:val="20"/>
        </w:rPr>
        <w:t>Con fecha 25 abril de 2025 asumió como director el señor Oscar Facusse.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directorio al 31 de diciembre de 2024 se componía de la siguiente manera.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tbl>
      <w:tblPr>
        <w:tblW w:w="6690"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555"/>
        <w:gridCol w:w="435"/>
        <w:gridCol w:w="2700"/>
      </w:tblGrid>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Matías Hepp Valenzuela</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Presidente</w:t>
            </w:r>
          </w:p>
        </w:tc>
      </w:tr>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Eduardo Guerra Bahamondes</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Director</w:t>
            </w:r>
          </w:p>
        </w:tc>
      </w:tr>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Huang Chunguang</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Director</w:t>
            </w:r>
          </w:p>
        </w:tc>
      </w:tr>
    </w:tbl>
    <w:p>
      <w:pPr>
        <w:pStyle w:val="Normal-wk"/>
        <w:keepNext w:val="0"/>
        <w:keepLines/>
        <w:pageBreakBefore w:val="0"/>
        <w:widowControl w:val="0"/>
        <w:numPr>
          <w:ilvl w:val="0"/>
          <w:numId w:val="0"/>
        </w:numPr>
        <w:tabs>
          <w:tab w:val="left" w:pos="700"/>
        </w:tabs>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p>
    <w:p>
      <w:pPr>
        <w:pStyle w:val="Normal-wk"/>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directorio al 31 de diciembre de 2025 se compone de la siguiente manera.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tbl>
      <w:tblPr>
        <w:tblW w:w="6690"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555"/>
        <w:gridCol w:w="435"/>
        <w:gridCol w:w="2700"/>
      </w:tblGrid>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Zhang Zhengkai</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Presidente</w:t>
            </w:r>
          </w:p>
        </w:tc>
      </w:tr>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Matías Hepp Valenzuela</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Vicepresidente</w:t>
            </w:r>
          </w:p>
        </w:tc>
      </w:tr>
      <w:tr>
        <w:tblPrEx>
          <w:tblW w:w="6690" w:type="dxa"/>
          <w:tblInd w:w="2235" w:type="dxa"/>
          <w:tblLayout w:type="fixed"/>
        </w:tblPrEx>
        <w:trPr>
          <w:cantSplit/>
          <w:trHeight w:hRule="auto" w:val="0"/>
        </w:trPr>
        <w:tc>
          <w:tcPr>
            <w:tcW w:w="355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Oscar Facusse Ledermann</w:t>
            </w:r>
          </w:p>
        </w:tc>
        <w:tc>
          <w:tcPr>
            <w:tcW w:w="43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Director</w:t>
            </w:r>
          </w:p>
        </w:tc>
      </w:tr>
    </w:tbl>
    <w:p>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equipo gerencial de la Sociedad lo componen un Gerente General, un Gerente de Operaciones y un Subgerente de Certificación.</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Remuneración del Directorio.</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Según lo establecido en el Artículo N° 33 de la Ley N° 18.046 sobre Sociedades Anónimas, la Junta Ordinaria de Accionistas de la Sociedad, celebrada con fecha 11 de abril de 2021 acordó no remunerar a los directores de la Sociedad. La Junta de Accionistas de la subsidiaria también toma el mismo acuerdo de no remunerar a sus directores.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1"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remuneraciones con cargo a resultados del equipo gerencial de la sociedad ascienden a     M$ 472.265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M$ 543.240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34"/>
          <w:footerReference w:type="default" r:id="rId35"/>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10" w:name="Section59"/>
      <w:bookmarkEnd w:id="110"/>
      <w:bookmarkStart w:id="111" w:name="ab57be09d711486591eb3838c5fb5e91"/>
      <w:r>
        <w:rPr>
          <w:rFonts w:ascii="Calibri" w:eastAsia="Calibri" w:hAnsi="Calibri" w:cs="Calibri"/>
          <w:b/>
          <w:i w:val="0"/>
          <w:color w:val="000000"/>
          <w:sz w:val="20"/>
          <w:u w:val="none"/>
        </w:rPr>
        <w:t>10.-</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111"/>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inventarios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Materias primas.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8.803.627</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Productos en proceso.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991.866</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Mercaderías para la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3.492.531</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Mercaderías en tránsito.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1.218.466</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de deterioro.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(444.733)</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14.061.757</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hay inventarios pignorados en garantía del cumplimiento de deudas contraídas.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12" w:name="Section60"/>
      <w:bookmarkEnd w:id="112"/>
      <w:bookmarkStart w:id="113" w:name="a3aa68732e9b47bea164d10b9f1b150f"/>
      <w:r>
        <w:rPr>
          <w:rFonts w:ascii="Calibri" w:eastAsia="Calibri" w:hAnsi="Calibri" w:cs="Calibri"/>
          <w:b/>
          <w:i w:val="0"/>
          <w:color w:val="000000"/>
          <w:sz w:val="20"/>
          <w:u w:val="none"/>
        </w:rPr>
        <w:t>10.1.-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adicional de inventarios.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1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 información de inventarios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Importe de reversiones de rebajas de importes de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25.062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Costos de inventarios reconocidos como gastos durante 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(5.976.291)</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reversiones, en caso de existir, están dadas por liquidaciones de inventarios y reversos de la provisión por deterioro dado por el incremento en el valor neto realizable.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14" w:name="Section61"/>
      <w:bookmarkEnd w:id="114"/>
      <w:bookmarkStart w:id="115" w:name="ee7e8bce0f7044a6a03e859c340ec376"/>
      <w:r>
        <w:rPr>
          <w:rFonts w:ascii="Calibri" w:eastAsia="Calibri" w:hAnsi="Calibri" w:cs="Calibri"/>
          <w:b/>
          <w:i w:val="0"/>
          <w:color w:val="000000"/>
          <w:sz w:val="20"/>
          <w:u w:val="none"/>
        </w:rPr>
        <w:t>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PASIVOS POR IMPUESTOS.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15"/>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pasivos por impuestos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Pagos provisionales mensuales.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415.144</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Impuestos por recuperar ejercicios anteriores.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left"/>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Rebajas al impuesto.</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left"/>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Créditos al impuesto.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2.500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Incentivo al desarrollo regiones extremas.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left"/>
            </w:pP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activos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417.644</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 a la renta de primera categoría.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(915.344)</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(915.344)</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(497.700)</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sectPr>
          <w:footerReference w:type="default" r:id="rId36"/>
          <w:type w:val="continuous"/>
          <w:pgSz w:w="12240" w:h="15840"/>
          <w:pgMar w:top="1134" w:right="1134" w:bottom="1134" w:left="1134" w:header="0" w:footer="561"/>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16" w:name="Section62"/>
      <w:bookmarkEnd w:id="116"/>
      <w:bookmarkStart w:id="117" w:name="468beeee645141de864bcd7833c4f951"/>
      <w:r>
        <w:rPr>
          <w:rFonts w:ascii="Calibri" w:eastAsia="Calibri" w:hAnsi="Calibri" w:cs="Calibri"/>
          <w:b/>
          <w:i w:val="0"/>
          <w:color w:val="000000"/>
          <w:sz w:val="20"/>
          <w:u w:val="none"/>
        </w:rPr>
        <w:t>12.-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NO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17"/>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no financieros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Gastos pagados por anticipado.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9.825</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Boletas en garantía.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32.538</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42.363</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pagados por anticipado corresponden principalmente a la renovación de la póliza de seguros por responsabilidad civil.</w:t>
      </w: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561"/>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18" w:name="Section63"/>
      <w:bookmarkEnd w:id="118"/>
      <w:bookmarkStart w:id="119" w:name="83232b1403024fffafcce4fea1d5fc49"/>
      <w:r>
        <w:rPr>
          <w:rFonts w:ascii="Calibri" w:eastAsia="Calibri" w:hAnsi="Calibri" w:cs="Calibri"/>
          <w:b/>
          <w:i w:val="0"/>
          <w:color w:val="000000"/>
          <w:sz w:val="20"/>
          <w:u w:val="none"/>
        </w:rPr>
        <w:t>13.-</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CONTABILIZADAS UTILIZANDO EL MÉTODO DE LA PARTICIPACIÓN.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9"/>
    </w:p>
    <w:p>
      <w:pPr>
        <w:keepNext w:val="0"/>
        <w:keepLines/>
        <w:pageBreakBefore w:val="0"/>
        <w:widowControl w:val="0"/>
        <w:numPr>
          <w:ilvl w:val="0"/>
          <w:numId w:val="0"/>
        </w:numPr>
        <w:spacing w:before="0" w:after="0" w:line="288" w:lineRule="auto"/>
        <w:ind w:left="0" w:right="0" w:firstLine="0"/>
        <w:jc w:val="both"/>
        <w:outlineLvl w:val="9"/>
        <w:sectPr>
          <w:headerReference w:type="default" r:id="rId37"/>
          <w:footerReference w:type="default" r:id="rId38"/>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20" w:name="Section64"/>
      <w:bookmarkEnd w:id="120"/>
      <w:bookmarkStart w:id="121" w:name="757c5750c70d43b680b695ac43ea3a26"/>
      <w:r>
        <w:rPr>
          <w:rFonts w:ascii="Calibri" w:eastAsia="Calibri" w:hAnsi="Calibri" w:cs="Calibri"/>
          <w:b/>
          <w:i w:val="0"/>
          <w:color w:val="000000"/>
          <w:sz w:val="20"/>
          <w:u w:val="none"/>
        </w:rPr>
        <w:t xml:space="preserve">13.1.- </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en subsidiarias.</w:t>
      </w:r>
    </w:p>
    <w:p>
      <w:pPr>
        <w:keepNext w:val="0"/>
        <w:keepLines/>
        <w:pageBreakBefore w:val="0"/>
        <w:widowControl w:val="0"/>
        <w:numPr>
          <w:ilvl w:val="0"/>
          <w:numId w:val="0"/>
        </w:numPr>
        <w:spacing w:before="0" w:after="0" w:line="288" w:lineRule="auto"/>
        <w:ind w:left="0" w:right="-426" w:firstLine="0"/>
        <w:jc w:val="both"/>
        <w:outlineLvl w:val="9"/>
        <w:rPr>
          <w:rFonts w:ascii="Calibri" w:eastAsia="Calibri" w:hAnsi="Calibri" w:cs="Calibri"/>
          <w:b w:val="0"/>
          <w:i w:val="0"/>
          <w:color w:val="000000"/>
          <w:sz w:val="20"/>
          <w:u w:val="none"/>
        </w:rPr>
      </w:pPr>
      <w:bookmarkEnd w:id="121"/>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Inversiones en subsidiarias contabilizadas usando el método de la participación.</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valorización de las inversiones en subsidiarias consolidadas usando el método de la participación se presentan a continuación para efectos informativos.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45"/>
        <w:gridCol w:w="615"/>
        <w:gridCol w:w="660"/>
        <w:gridCol w:w="900"/>
        <w:gridCol w:w="900"/>
        <w:gridCol w:w="1005"/>
        <w:gridCol w:w="1005"/>
        <w:gridCol w:w="1005"/>
        <w:gridCol w:w="1005"/>
        <w:gridCol w:w="1005"/>
      </w:tblGrid>
      <w:tr>
        <w:tblPrEx>
          <w:tblW w:w="11445" w:type="dxa"/>
          <w:tblInd w:w="2126" w:type="dxa"/>
          <w:tblLayout w:type="fixed"/>
        </w:tblPrEx>
        <w:trPr>
          <w:cantSplit/>
          <w:trHeight w:hRule="auto" w:val="0"/>
        </w:trPr>
        <w:tc>
          <w:tcPr>
            <w:tcW w:w="33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sociedades subsidiarias</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 Dividendos pagados a participaciones no controladoras</w:t>
            </w:r>
            <w:r>
              <w:br/>
            </w:r>
            <w:r>
              <w:rPr>
                <w:rFonts w:ascii="Calibri" w:eastAsia="Calibri" w:hAnsi="Calibri" w:cs="Calibri"/>
                <w:b/>
                <w:i w:val="0"/>
                <w:color w:val="FFFFFF"/>
                <w:sz w:val="13"/>
                <w:u w:val="none"/>
              </w:rPr>
              <w:t>M$</w:t>
            </w:r>
          </w:p>
        </w:tc>
      </w:tr>
      <w:tr>
        <w:tblPrEx>
          <w:tblW w:w="11445" w:type="dxa"/>
          <w:tblInd w:w="2126" w:type="dxa"/>
          <w:tblLayout w:type="fixed"/>
        </w:tblPrEx>
        <w:trPr>
          <w:cantSplit/>
          <w:trHeight w:hRule="auto" w:val="0"/>
        </w:trPr>
        <w:tc>
          <w:tcPr>
            <w:tcW w:w="3345"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005" w:type="dxa"/>
            <w:vMerge/>
            <w:tcBorders>
              <w:top w:val="nil"/>
              <w:left w:val="single" w:sz="4" w:space="0" w:color="FFFFFF"/>
              <w:bottom w:val="nil"/>
              <w:right w:val="single" w:sz="2" w:space="0" w:color="000000"/>
            </w:tcBorders>
          </w:tcPr>
          <w:p>
            <w:pPr>
              <w:keepNext/>
              <w:pageBreakBefore w:val="0"/>
            </w:pPr>
          </w:p>
        </w:tc>
      </w:tr>
      <w:tr>
        <w:tblPrEx>
          <w:tblW w:w="11445" w:type="dxa"/>
          <w:tblInd w:w="2126" w:type="dxa"/>
          <w:tblLayout w:type="fixed"/>
        </w:tblPrEx>
        <w:trPr>
          <w:cantSplit/>
          <w:trHeight w:hRule="auto" w:val="0"/>
        </w:trPr>
        <w:tc>
          <w:tcPr>
            <w:tcW w:w="3345"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vMerge/>
            <w:tcBorders>
              <w:top w:val="nil"/>
              <w:left w:val="single" w:sz="4" w:space="0" w:color="FFFFFF"/>
              <w:bottom w:val="single" w:sz="2" w:space="0" w:color="000000"/>
              <w:right w:val="single" w:sz="2" w:space="0" w:color="000000"/>
            </w:tcBorders>
          </w:tcPr>
          <w:p>
            <w:pPr>
              <w:keepNext/>
              <w:pageBreakBefore w:val="0"/>
            </w:pPr>
          </w:p>
        </w:tc>
      </w:tr>
      <w:tr>
        <w:tblPrEx>
          <w:tblW w:w="11445" w:type="dxa"/>
          <w:tblInd w:w="2126" w:type="dxa"/>
          <w:tblLayout w:type="fixed"/>
        </w:tblPrEx>
        <w:trPr>
          <w:cantSplit/>
          <w:trHeight w:hRule="auto" w:val="0"/>
        </w:trPr>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 xml:space="preserve"> Energy Sur Ingeniería S.A. </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 xml:space="preserve"> Chile </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 w:val="left" w:pos="704"/>
              </w:tabs>
              <w:spacing w:before="38" w:after="20" w:line="240" w:lineRule="auto"/>
              <w:jc w:val="right"/>
            </w:pPr>
            <w:r>
              <w:rPr>
                <w:rFonts w:ascii="Calibri" w:eastAsia="Calibri" w:hAnsi="Calibri" w:cs="Calibri"/>
                <w:b w:val="0"/>
                <w:i w:val="0"/>
                <w:color w:val="000000"/>
                <w:sz w:val="14"/>
                <w:u w:val="none"/>
              </w:rPr>
              <w:tab/>
              <w:t>55,00000 %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 w:val="left" w:pos="704"/>
              </w:tabs>
              <w:spacing w:before="38" w:after="20" w:line="240" w:lineRule="auto"/>
              <w:jc w:val="right"/>
            </w:pPr>
            <w:r>
              <w:rPr>
                <w:rFonts w:ascii="Calibri" w:eastAsia="Calibri" w:hAnsi="Calibri" w:cs="Calibri"/>
                <w:b w:val="0"/>
                <w:i w:val="0"/>
                <w:color w:val="000000"/>
                <w:sz w:val="14"/>
                <w:u w:val="none"/>
              </w:rPr>
              <w:tab/>
              <w:t>55,00000 %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000000"/>
                <w:sz w:val="14"/>
                <w:u w:val="none"/>
              </w:rPr>
              <w:t>799.971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000000"/>
                <w:sz w:val="14"/>
                <w:u w:val="none"/>
              </w:rPr>
              <w:t>799.971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000000"/>
                <w:sz w:val="14"/>
                <w:u w:val="none"/>
              </w:rPr>
              <w:t>(65.385)</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45"/>
        <w:gridCol w:w="615"/>
        <w:gridCol w:w="660"/>
        <w:gridCol w:w="900"/>
        <w:gridCol w:w="900"/>
        <w:gridCol w:w="1005"/>
        <w:gridCol w:w="1005"/>
        <w:gridCol w:w="1005"/>
        <w:gridCol w:w="1005"/>
        <w:gridCol w:w="1005"/>
      </w:tblGrid>
      <w:tr>
        <w:tblPrEx>
          <w:tblW w:w="11445" w:type="dxa"/>
          <w:tblInd w:w="2126" w:type="dxa"/>
          <w:tblLayout w:type="fixed"/>
        </w:tblPrEx>
        <w:trPr>
          <w:cantSplit/>
          <w:trHeight w:hRule="auto" w:val="0"/>
        </w:trPr>
        <w:tc>
          <w:tcPr>
            <w:tcW w:w="33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sociedades subsidiarias</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 Dividendos pagados a participaciones no controladoras</w:t>
            </w:r>
            <w:r>
              <w:br/>
            </w:r>
            <w:r>
              <w:rPr>
                <w:rFonts w:ascii="Calibri" w:eastAsia="Calibri" w:hAnsi="Calibri" w:cs="Calibri"/>
                <w:b/>
                <w:i w:val="0"/>
                <w:color w:val="FFFFFF"/>
                <w:sz w:val="13"/>
                <w:u w:val="none"/>
              </w:rPr>
              <w:t>M$</w:t>
            </w:r>
          </w:p>
        </w:tc>
      </w:tr>
      <w:tr>
        <w:tblPrEx>
          <w:tblW w:w="11445" w:type="dxa"/>
          <w:tblInd w:w="2126" w:type="dxa"/>
          <w:tblLayout w:type="fixed"/>
        </w:tblPrEx>
        <w:trPr>
          <w:cantSplit/>
          <w:trHeight w:hRule="auto" w:val="0"/>
        </w:trPr>
        <w:tc>
          <w:tcPr>
            <w:tcW w:w="3345"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c>
          <w:tcPr>
            <w:tcW w:w="1005" w:type="dxa"/>
            <w:vMerge/>
            <w:tcBorders>
              <w:top w:val="nil"/>
              <w:left w:val="single" w:sz="4" w:space="0" w:color="FFFFFF"/>
              <w:bottom w:val="nil"/>
              <w:right w:val="single" w:sz="2" w:space="0" w:color="000000"/>
            </w:tcBorders>
          </w:tcPr>
          <w:p>
            <w:pPr>
              <w:keepNext/>
              <w:pageBreakBefore w:val="0"/>
            </w:pPr>
          </w:p>
        </w:tc>
      </w:tr>
      <w:tr>
        <w:tblPrEx>
          <w:tblW w:w="11445" w:type="dxa"/>
          <w:tblInd w:w="2126" w:type="dxa"/>
          <w:tblLayout w:type="fixed"/>
        </w:tblPrEx>
        <w:trPr>
          <w:cantSplit/>
          <w:trHeight w:hRule="auto" w:val="0"/>
        </w:trPr>
        <w:tc>
          <w:tcPr>
            <w:tcW w:w="3345"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vMerge/>
            <w:tcBorders>
              <w:top w:val="nil"/>
              <w:left w:val="single" w:sz="4" w:space="0" w:color="FFFFFF"/>
              <w:bottom w:val="single" w:sz="2" w:space="0" w:color="000000"/>
              <w:right w:val="single" w:sz="2" w:space="0" w:color="000000"/>
            </w:tcBorders>
          </w:tcPr>
          <w:p>
            <w:pPr>
              <w:keepNext/>
              <w:pageBreakBefore w:val="0"/>
            </w:pPr>
          </w:p>
        </w:tc>
      </w:tr>
      <w:tr>
        <w:tblPrEx>
          <w:tblW w:w="11445" w:type="dxa"/>
          <w:tblInd w:w="2126" w:type="dxa"/>
          <w:tblLayout w:type="fixed"/>
        </w:tblPrEx>
        <w:trPr>
          <w:cantSplit/>
          <w:trHeight w:hRule="auto" w:val="0"/>
        </w:trPr>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 Energy Sur Ingeniería S.A. </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 xml:space="preserve"> Chile </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s>
              <w:spacing w:before="0" w:after="0" w:line="240" w:lineRule="auto"/>
              <w:jc w:val="right"/>
            </w:pPr>
            <w:r>
              <w:rPr>
                <w:rFonts w:ascii="Calibri" w:eastAsia="Calibri" w:hAnsi="Calibri" w:cs="Calibri"/>
                <w:b w:val="0"/>
                <w:i w:val="0"/>
                <w:color w:val="000000"/>
                <w:sz w:val="14"/>
                <w:u w:val="none"/>
              </w:rPr>
              <w:tab/>
              <w:t>55,00000 %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 w:val="left" w:pos="704"/>
              </w:tabs>
              <w:spacing w:before="38" w:after="20" w:line="240" w:lineRule="auto"/>
              <w:jc w:val="right"/>
            </w:pPr>
            <w:r>
              <w:rPr>
                <w:rFonts w:ascii="Calibri" w:eastAsia="Calibri" w:hAnsi="Calibri" w:cs="Calibri"/>
                <w:b w:val="0"/>
                <w:i w:val="0"/>
                <w:color w:val="000000"/>
                <w:sz w:val="14"/>
                <w:u w:val="none"/>
              </w:rPr>
              <w:tab/>
              <w:t>55,00000 %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810.472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50.236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(60.737)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799.971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(65.385.000)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Información resumida de las subsidiarias consolidadas.</w:t>
      </w:r>
    </w:p>
    <w:p>
      <w:pPr>
        <w:keepNext w:val="0"/>
        <w:keepLines/>
        <w:pageBreakBefore w:val="0"/>
        <w:widowControl w:val="0"/>
        <w:numPr>
          <w:ilvl w:val="0"/>
          <w:numId w:val="0"/>
        </w:numPr>
        <w:spacing w:before="0" w:after="0" w:line="288" w:lineRule="auto"/>
        <w:ind w:left="0" w:right="-426"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28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65"/>
        <w:gridCol w:w="705"/>
        <w:gridCol w:w="675"/>
        <w:gridCol w:w="675"/>
        <w:gridCol w:w="675"/>
        <w:gridCol w:w="675"/>
        <w:gridCol w:w="675"/>
        <w:gridCol w:w="675"/>
        <w:gridCol w:w="675"/>
        <w:gridCol w:w="675"/>
        <w:gridCol w:w="675"/>
        <w:gridCol w:w="675"/>
        <w:gridCol w:w="675"/>
        <w:gridCol w:w="675"/>
        <w:gridCol w:w="675"/>
        <w:gridCol w:w="735"/>
      </w:tblGrid>
      <w:tr>
        <w:tblPrEx>
          <w:tblW w:w="11280" w:type="dxa"/>
          <w:tblInd w:w="2126" w:type="dxa"/>
          <w:tblLayout w:type="fixed"/>
        </w:tblPrEx>
        <w:trPr>
          <w:cantSplit/>
          <w:trHeight w:hRule="auto" w:val="0"/>
        </w:trPr>
        <w:tc>
          <w:tcPr>
            <w:tcW w:w="1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Inversiones en sociedades subsidiarias directas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Porcentaje participación</w:t>
            </w:r>
          </w:p>
        </w:tc>
        <w:tc>
          <w:tcPr>
            <w:tcW w:w="9510"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r>
      <w:tr>
        <w:tblPrEx>
          <w:tblW w:w="11280" w:type="dxa"/>
          <w:tblInd w:w="2126" w:type="dxa"/>
          <w:tblLayout w:type="fixed"/>
        </w:tblPrEx>
        <w:trPr>
          <w:cantSplit/>
          <w:trHeight w:hRule="auto" w:val="0"/>
        </w:trPr>
        <w:tc>
          <w:tcPr>
            <w:tcW w:w="1065"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corrientes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no corrientes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activos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corrientes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no corrientes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pasivos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Patrimonio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Ingresos ordinarios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Costo de ventas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Otros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neta</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controlador</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w:t>
            </w:r>
          </w:p>
        </w:tc>
        <w:tc>
          <w:tcPr>
            <w:tcW w:w="73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 controlador</w:t>
            </w:r>
          </w:p>
        </w:tc>
      </w:tr>
      <w:tr>
        <w:tblPrEx>
          <w:tblW w:w="11280" w:type="dxa"/>
          <w:tblInd w:w="2126" w:type="dxa"/>
          <w:tblLayout w:type="fixed"/>
        </w:tblPrEx>
        <w:trPr>
          <w:cantSplit/>
          <w:trHeight w:hRule="auto" w:val="0"/>
        </w:trPr>
        <w:tc>
          <w:tcPr>
            <w:tcW w:w="106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3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11280" w:type="dxa"/>
          <w:tblInd w:w="2126" w:type="dxa"/>
          <w:tblLayout w:type="fixed"/>
        </w:tblPrEx>
        <w:trPr>
          <w:cantSplit/>
          <w:trHeight w:hRule="auto" w:val="0"/>
        </w:trPr>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 xml:space="preserve"> Energy Sur Ingeniería S.A.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55,00000 %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7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r>
      <w:tr>
        <w:tblPrEx>
          <w:tblW w:w="11280" w:type="dxa"/>
          <w:tblInd w:w="2126" w:type="dxa"/>
          <w:tblLayout w:type="fixed"/>
        </w:tblPrEx>
        <w:trPr>
          <w:cantSplit/>
          <w:trHeight w:hRule="auto" w:val="0"/>
        </w:trPr>
        <w:tc>
          <w:tcPr>
            <w:tcW w:w="177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r>
    </w:tbl>
    <w:p>
      <w:pPr>
        <w:keepNext w:val="0"/>
        <w:keepLines/>
        <w:pageBreakBefore w:val="0"/>
        <w:widowControl w:val="0"/>
        <w:numPr>
          <w:ilvl w:val="0"/>
          <w:numId w:val="0"/>
        </w:numPr>
        <w:tabs>
          <w:tab w:val="left" w:pos="700"/>
        </w:tabs>
        <w:spacing w:before="0" w:after="0" w:line="288" w:lineRule="auto"/>
        <w:ind w:left="1418" w:right="-1"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tbl>
      <w:tblPr>
        <w:tblW w:w="1128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65"/>
        <w:gridCol w:w="705"/>
        <w:gridCol w:w="675"/>
        <w:gridCol w:w="675"/>
        <w:gridCol w:w="675"/>
        <w:gridCol w:w="675"/>
        <w:gridCol w:w="675"/>
        <w:gridCol w:w="675"/>
        <w:gridCol w:w="675"/>
        <w:gridCol w:w="675"/>
        <w:gridCol w:w="675"/>
        <w:gridCol w:w="675"/>
        <w:gridCol w:w="675"/>
        <w:gridCol w:w="675"/>
        <w:gridCol w:w="675"/>
        <w:gridCol w:w="735"/>
      </w:tblGrid>
      <w:tr>
        <w:tblPrEx>
          <w:tblW w:w="11280" w:type="dxa"/>
          <w:tblInd w:w="2126" w:type="dxa"/>
          <w:tblLayout w:type="fixed"/>
        </w:tblPrEx>
        <w:trPr>
          <w:cantSplit/>
          <w:trHeight w:hRule="auto" w:val="0"/>
        </w:trPr>
        <w:tc>
          <w:tcPr>
            <w:tcW w:w="1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Inversiones en sociedades subsidiarias directas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Porcentaje participación</w:t>
            </w:r>
          </w:p>
        </w:tc>
        <w:tc>
          <w:tcPr>
            <w:tcW w:w="9510"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31-12-2025</w:t>
            </w:r>
          </w:p>
        </w:tc>
      </w:tr>
      <w:tr>
        <w:tblPrEx>
          <w:tblW w:w="11280" w:type="dxa"/>
          <w:tblInd w:w="2126" w:type="dxa"/>
          <w:tblLayout w:type="fixed"/>
        </w:tblPrEx>
        <w:trPr>
          <w:cantSplit/>
          <w:trHeight w:hRule="auto" w:val="0"/>
        </w:trPr>
        <w:tc>
          <w:tcPr>
            <w:tcW w:w="1065"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corrientes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no corrientes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activos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corrientes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no corrientes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pasivos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Patrimonio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Ingresos ordinarios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Costo de ventas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Otros</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neta</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controlador</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w:t>
            </w:r>
          </w:p>
        </w:tc>
        <w:tc>
          <w:tcPr>
            <w:tcW w:w="73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 controlador</w:t>
            </w:r>
          </w:p>
        </w:tc>
      </w:tr>
      <w:tr>
        <w:tblPrEx>
          <w:tblW w:w="11280" w:type="dxa"/>
          <w:tblInd w:w="2126" w:type="dxa"/>
          <w:tblLayout w:type="fixed"/>
        </w:tblPrEx>
        <w:trPr>
          <w:cantSplit/>
          <w:trHeight w:hRule="auto" w:val="0"/>
        </w:trPr>
        <w:tc>
          <w:tcPr>
            <w:tcW w:w="106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3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11280" w:type="dxa"/>
          <w:tblInd w:w="2126" w:type="dxa"/>
          <w:tblLayout w:type="fixed"/>
        </w:tblPrEx>
        <w:trPr>
          <w:cantSplit/>
          <w:trHeight w:hRule="auto" w:val="0"/>
        </w:trPr>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 xml:space="preserve"> Energy Sur Ingeniería S.A.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1"/>
                <w:u w:val="none"/>
              </w:rPr>
              <w:tab/>
              <w:t>55,00000 %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847.866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834.464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1.682.330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227.837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227.837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1.454.493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2.272.431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(1.679.014)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(502.079)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91.338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91.338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91.338</w:t>
            </w:r>
          </w:p>
        </w:tc>
        <w:tc>
          <w:tcPr>
            <w:tcW w:w="7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91.338</w:t>
            </w:r>
          </w:p>
        </w:tc>
      </w:tr>
      <w:tr>
        <w:tblPrEx>
          <w:tblW w:w="11280" w:type="dxa"/>
          <w:tblInd w:w="2126" w:type="dxa"/>
          <w:tblLayout w:type="fixed"/>
        </w:tblPrEx>
        <w:trPr>
          <w:cantSplit/>
          <w:trHeight w:hRule="auto" w:val="0"/>
        </w:trPr>
        <w:tc>
          <w:tcPr>
            <w:tcW w:w="177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847.866</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834.464</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1.682.330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227.837</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227.837</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1.454.493</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2.272.431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(1.679.014)</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(502.079)</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91.338</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91.338</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91.338</w:t>
            </w:r>
          </w:p>
        </w:tc>
        <w:tc>
          <w:tcPr>
            <w:tcW w:w="7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91.338</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
          <w:u w:val="none"/>
        </w:rPr>
        <w:sectPr>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22" w:name="Section65"/>
      <w:bookmarkEnd w:id="122"/>
      <w:bookmarkStart w:id="123" w:name="6579968b913549c9aabddedf17541c63"/>
      <w:r>
        <w:rPr>
          <w:rFonts w:ascii="Calibri" w:eastAsia="Calibri" w:hAnsi="Calibri" w:cs="Calibri"/>
          <w:b/>
          <w:i w:val="0"/>
          <w:color w:val="000000"/>
          <w:sz w:val="20"/>
          <w:u w:val="none"/>
        </w:rPr>
        <w:t>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3"/>
    </w:p>
    <w:p>
      <w:pPr>
        <w:keepNext w:val="0"/>
        <w:keepLines/>
        <w:pageBreakBefore w:val="0"/>
        <w:widowControl w:val="0"/>
        <w:numPr>
          <w:ilvl w:val="0"/>
          <w:numId w:val="0"/>
        </w:numPr>
        <w:spacing w:before="0" w:after="0" w:line="288" w:lineRule="auto"/>
        <w:ind w:left="0" w:right="0" w:firstLine="0"/>
        <w:jc w:val="both"/>
        <w:outlineLvl w:val="9"/>
        <w:sectPr>
          <w:headerReference w:type="default" r:id="rId39"/>
          <w:footerReference w:type="default" r:id="rId40"/>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4" w:name="Section66"/>
      <w:bookmarkEnd w:id="124"/>
      <w:bookmarkStart w:id="125" w:name="64bb8eb82049484e936ceb9834ff2795"/>
      <w:r>
        <w:rPr>
          <w:rFonts w:ascii="Calibri" w:eastAsia="Calibri" w:hAnsi="Calibri" w:cs="Calibri"/>
          <w:b/>
          <w:i w:val="0"/>
          <w:color w:val="000000"/>
          <w:sz w:val="20"/>
          <w:u w:val="none"/>
        </w:rPr>
        <w:t>14.1.-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los activos intangibles.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5"/>
    </w:p>
    <w:p>
      <w:pPr>
        <w:keepNext w:val="0"/>
        <w:keepLines/>
        <w:pageBreakBefore w:val="0"/>
        <w:widowControl w:val="0"/>
        <w:numPr>
          <w:ilvl w:val="0"/>
          <w:numId w:val="0"/>
        </w:numPr>
        <w:spacing w:before="0" w:after="0" w:line="224"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Al 31 de diciembre de 2024 e</w:t>
      </w:r>
      <w:r>
        <w:rPr>
          <w:rFonts w:ascii="Calibri" w:eastAsia="Calibri" w:hAnsi="Calibri" w:cs="Calibri"/>
          <w:b w:val="0"/>
          <w:i w:val="0"/>
          <w:color w:val="000000"/>
          <w:sz w:val="20"/>
          <w:u w:val="none"/>
        </w:rPr>
        <w:t xml:space="preserve">ste rubro está compuesto principalmente por el laboratorio de certificación. Su detalle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Programas informáticos.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activos intangibles identificables.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5"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5"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5"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5"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Programas informáticos.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10.835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(10.835)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5"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activos intangibles identificables.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76.502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(22.950)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53.552</w:t>
            </w:r>
          </w:p>
        </w:tc>
      </w:tr>
      <w:tr>
        <w:tblPrEx>
          <w:tblW w:w="8550" w:type="dxa"/>
          <w:tblInd w:w="1415"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87.337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(33.785)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53.552</w:t>
            </w:r>
          </w:p>
        </w:tc>
      </w:tr>
    </w:tbl>
    <w:p>
      <w:pPr>
        <w:keepNext w:val="0"/>
        <w:keepLines/>
        <w:pageBreakBefore w:val="0"/>
        <w:widowControl w:val="0"/>
        <w:numPr>
          <w:ilvl w:val="0"/>
          <w:numId w:val="0"/>
        </w:numPr>
        <w:spacing w:before="0" w:after="0" w:line="288" w:lineRule="auto"/>
        <w:ind w:left="707"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otros activos intangibles identificables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incluyen los costos incurridos en la acreditación como Organismo o Laboratorio de Certificación Autorizado. La acreditación fue obtenida el año 2024 por lo tanto esta siendo amortizado en una vida útil acorde a los flujos futuros que originan este desembolso.</w:t>
      </w:r>
    </w:p>
    <w:p>
      <w:pPr>
        <w:keepNext w:val="0"/>
        <w:keepLines/>
        <w:pageBreakBefore w:val="0"/>
        <w:widowControl w:val="0"/>
        <w:numPr>
          <w:ilvl w:val="0"/>
          <w:numId w:val="0"/>
        </w:numPr>
        <w:spacing w:before="0" w:after="0" w:line="288" w:lineRule="auto"/>
        <w:ind w:left="1416" w:right="0" w:firstLine="2"/>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vidas útiles aplicadas en el rubro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35"/>
        <w:gridCol w:w="1305"/>
        <w:gridCol w:w="1305"/>
        <w:gridCol w:w="1305"/>
      </w:tblGrid>
      <w:tr>
        <w:tblPrEx>
          <w:tblW w:w="8550" w:type="dxa"/>
          <w:tblInd w:w="1417" w:type="dxa"/>
          <w:tblLayout w:type="fixed"/>
        </w:tblPrEx>
        <w:trPr>
          <w:cantSplit/>
          <w:trHeight w:hRule="auto" w:val="0"/>
        </w:trPr>
        <w:tc>
          <w:tcPr>
            <w:tcW w:w="4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Vidas útiles estimadas o tasas de amortización utilizadas</w:t>
            </w:r>
          </w:p>
        </w:tc>
        <w:tc>
          <w:tcPr>
            <w:tcW w:w="13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 tasa</w:t>
            </w:r>
          </w:p>
        </w:tc>
        <w:tc>
          <w:tcPr>
            <w:tcW w:w="13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Mínima</w:t>
            </w:r>
          </w:p>
        </w:tc>
        <w:tc>
          <w:tcPr>
            <w:tcW w:w="13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Máxima</w:t>
            </w:r>
          </w:p>
        </w:tc>
      </w:tr>
      <w:tr>
        <w:tblPrEx>
          <w:tblW w:w="8550" w:type="dxa"/>
          <w:tblInd w:w="1417" w:type="dxa"/>
          <w:tblLayout w:type="fixed"/>
        </w:tblPrEx>
        <w:trPr>
          <w:cantSplit/>
          <w:trHeight w:hRule="auto" w:val="0"/>
        </w:trPr>
        <w:tc>
          <w:tcPr>
            <w:tcW w:w="4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5</w:t>
            </w:r>
          </w:p>
        </w:tc>
      </w:tr>
      <w:tr>
        <w:tblPrEx>
          <w:tblW w:w="8550" w:type="dxa"/>
          <w:tblInd w:w="1417" w:type="dxa"/>
          <w:tblLayout w:type="fixed"/>
        </w:tblPrEx>
        <w:trPr>
          <w:cantSplit/>
          <w:trHeight w:hRule="auto" w:val="0"/>
        </w:trPr>
        <w:tc>
          <w:tcPr>
            <w:tcW w:w="4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5</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5</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65"/>
        <w:gridCol w:w="1395"/>
        <w:gridCol w:w="1395"/>
        <w:gridCol w:w="1395"/>
      </w:tblGrid>
      <w:tr>
        <w:tblPrEx>
          <w:tblW w:w="8550" w:type="dxa"/>
          <w:tblInd w:w="1417" w:type="dxa"/>
          <w:tblLayout w:type="fixed"/>
        </w:tblPrEx>
        <w:trPr>
          <w:cantSplit/>
          <w:trHeight w:hRule="auto" w:val="0"/>
        </w:trPr>
        <w:tc>
          <w:tcPr>
            <w:tcW w:w="43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41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4365" w:type="dxa"/>
            <w:vMerge/>
            <w:tcBorders>
              <w:top w:val="nil"/>
              <w:left w:val="single" w:sz="2" w:space="0" w:color="000000"/>
              <w:bottom w:val="nil"/>
              <w:right w:val="nil"/>
            </w:tcBorders>
          </w:tcPr>
          <w:p>
            <w:pPr>
              <w:keepNext/>
              <w:pageBreakBefore w:val="0"/>
            </w:pPr>
          </w:p>
        </w:tc>
        <w:tc>
          <w:tcPr>
            <w:tcW w:w="13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3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 neto</w:t>
            </w:r>
          </w:p>
        </w:tc>
        <w:tc>
          <w:tcPr>
            <w:tcW w:w="13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50" w:type="dxa"/>
          <w:tblInd w:w="1417" w:type="dxa"/>
          <w:tblLayout w:type="fixed"/>
        </w:tblPrEx>
        <w:trPr>
          <w:cantSplit/>
          <w:trHeight w:hRule="auto" w:val="0"/>
        </w:trPr>
        <w:tc>
          <w:tcPr>
            <w:tcW w:w="4365" w:type="dxa"/>
            <w:vMerge/>
            <w:tcBorders>
              <w:top w:val="nil"/>
              <w:left w:val="single" w:sz="2" w:space="0" w:color="000000"/>
              <w:bottom w:val="single" w:sz="2" w:space="0" w:color="000000"/>
              <w:right w:val="nil"/>
            </w:tcBorders>
          </w:tcPr>
          <w:p>
            <w:pPr>
              <w:keepNext/>
              <w:pageBreakBefore w:val="0"/>
            </w:pP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2026</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53.552</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53.552</w:t>
            </w:r>
          </w:p>
        </w:tc>
      </w:tr>
      <w:tr>
        <w:tblPrEx>
          <w:tblW w:w="8550" w:type="dxa"/>
          <w:tblInd w:w="1417" w:type="dxa"/>
          <w:tblLayout w:type="fixed"/>
        </w:tblPrEx>
        <w:trPr>
          <w:cantSplit/>
          <w:trHeight w:hRule="exact" w:val="60"/>
        </w:trPr>
        <w:tc>
          <w:tcPr>
            <w:tcW w:w="436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Amortización.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Cambios, total</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0</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30 de junio de 2026</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53.552</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53.552</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65"/>
        <w:gridCol w:w="1395"/>
        <w:gridCol w:w="1395"/>
        <w:gridCol w:w="1395"/>
      </w:tblGrid>
      <w:tr>
        <w:tblPrEx>
          <w:tblW w:w="8550" w:type="dxa"/>
          <w:tblInd w:w="1417" w:type="dxa"/>
          <w:tblLayout w:type="fixed"/>
        </w:tblPrEx>
        <w:trPr>
          <w:cantSplit/>
          <w:trHeight w:hRule="auto" w:val="0"/>
        </w:trPr>
        <w:tc>
          <w:tcPr>
            <w:tcW w:w="43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41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4365" w:type="dxa"/>
            <w:vMerge/>
            <w:tcBorders>
              <w:top w:val="nil"/>
              <w:left w:val="single" w:sz="2" w:space="0" w:color="000000"/>
              <w:bottom w:val="nil"/>
              <w:right w:val="nil"/>
            </w:tcBorders>
          </w:tcPr>
          <w:p>
            <w:pPr>
              <w:keepNext/>
              <w:pageBreakBefore w:val="0"/>
            </w:pPr>
          </w:p>
        </w:tc>
        <w:tc>
          <w:tcPr>
            <w:tcW w:w="13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3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 neto</w:t>
            </w:r>
          </w:p>
        </w:tc>
        <w:tc>
          <w:tcPr>
            <w:tcW w:w="13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50" w:type="dxa"/>
          <w:tblInd w:w="1417" w:type="dxa"/>
          <w:tblLayout w:type="fixed"/>
        </w:tblPrEx>
        <w:trPr>
          <w:cantSplit/>
          <w:trHeight w:hRule="auto" w:val="0"/>
        </w:trPr>
        <w:tc>
          <w:tcPr>
            <w:tcW w:w="4365" w:type="dxa"/>
            <w:vMerge/>
            <w:tcBorders>
              <w:top w:val="nil"/>
              <w:left w:val="single" w:sz="2" w:space="0" w:color="000000"/>
              <w:bottom w:val="single" w:sz="2" w:space="0" w:color="000000"/>
              <w:right w:val="nil"/>
            </w:tcBorders>
          </w:tcPr>
          <w:p>
            <w:pPr>
              <w:keepNext/>
              <w:pageBreakBefore w:val="0"/>
            </w:pP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2025</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68.852</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68.852</w:t>
            </w:r>
          </w:p>
        </w:tc>
      </w:tr>
      <w:tr>
        <w:tblPrEx>
          <w:tblW w:w="8550" w:type="dxa"/>
          <w:tblInd w:w="1417" w:type="dxa"/>
          <w:tblLayout w:type="fixed"/>
        </w:tblPrEx>
        <w:trPr>
          <w:cantSplit/>
          <w:trHeight w:hRule="exact" w:val="60"/>
        </w:trPr>
        <w:tc>
          <w:tcPr>
            <w:tcW w:w="436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Amortización.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(15.300)</w:t>
            </w: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(15.300)</w:t>
            </w:r>
          </w:p>
        </w:tc>
      </w:tr>
      <w:tr>
        <w:tblPrEx>
          <w:tblW w:w="8550" w:type="dxa"/>
          <w:tblInd w:w="1417" w:type="dxa"/>
          <w:tblLayout w:type="fixed"/>
        </w:tblPrEx>
        <w:trPr>
          <w:cantSplit/>
          <w:trHeight w:hRule="auto" w:val="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8" w:space="0" w:color="FFFFFF"/>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i w:val="0"/>
                <w:color w:val="FFFFFF"/>
                <w:sz w:val="14"/>
                <w:u w:val="none"/>
              </w:rPr>
              <w:t>Cambios, total</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4"/>
                <w:u w:val="none"/>
              </w:rPr>
              <w:t>0</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4"/>
                <w:u w:val="none"/>
              </w:rPr>
              <w:t>(15.300)</w:t>
            </w:r>
          </w:p>
        </w:tc>
        <w:tc>
          <w:tcPr>
            <w:tcW w:w="1395" w:type="dxa"/>
            <w:tcBorders>
              <w:top w:val="single" w:sz="8" w:space="0" w:color="FFFFFF"/>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4"/>
                <w:u w:val="none"/>
              </w:rPr>
              <w:t>(15.300)</w:t>
            </w:r>
          </w:p>
        </w:tc>
      </w:tr>
      <w:tr>
        <w:tblPrEx>
          <w:tblW w:w="8550" w:type="dxa"/>
          <w:tblInd w:w="1417" w:type="dxa"/>
          <w:tblLayout w:type="fixed"/>
        </w:tblPrEx>
        <w:trPr>
          <w:cantSplit/>
          <w:trHeight w:hRule="auto" w:val="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31 de diciembre de 2025</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53.552</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53.552</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cargo a resultados por amortización de intangibles al 31 de diciembre de 2025 y 2024 es el siguiente: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940"/>
        <w:gridCol w:w="1305"/>
        <w:gridCol w:w="1305"/>
      </w:tblGrid>
      <w:tr>
        <w:tblPrEx>
          <w:tblW w:w="8550" w:type="dxa"/>
          <w:tblInd w:w="1417" w:type="dxa"/>
          <w:tblLayout w:type="fixed"/>
        </w:tblPrEx>
        <w:trPr>
          <w:cantSplit/>
          <w:trHeight w:hRule="auto" w:val="0"/>
        </w:trPr>
        <w:tc>
          <w:tcPr>
            <w:tcW w:w="59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Línea de partida en el estado de resultados que incluye amortización de activos intangibles identificables</w:t>
            </w:r>
          </w:p>
        </w:tc>
        <w:tc>
          <w:tcPr>
            <w:tcW w:w="13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01-01-2026</w:t>
            </w:r>
          </w:p>
        </w:tc>
        <w:tc>
          <w:tcPr>
            <w:tcW w:w="13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5940" w:type="dxa"/>
            <w:vMerge/>
            <w:tcBorders>
              <w:top w:val="nil"/>
              <w:left w:val="single" w:sz="2" w:space="0" w:color="000000"/>
              <w:bottom w:val="nil"/>
              <w:right w:val="nil"/>
            </w:tcBorders>
          </w:tcPr>
          <w:p>
            <w:pPr>
              <w:keepNext/>
              <w:pageBreakBefore w:val="0"/>
            </w:pPr>
          </w:p>
        </w:tc>
        <w:tc>
          <w:tcPr>
            <w:tcW w:w="1305" w:type="dxa"/>
            <w:tcBorders>
              <w:top w:val="nil"/>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305" w:type="dxa"/>
            <w:tcBorders>
              <w:top w:val="nil"/>
              <w:left w:val="single" w:sz="4" w:space="0" w:color="FFFFFF"/>
              <w:bottom w:val="single" w:sz="4" w:space="0" w:color="FFFFFF"/>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5940" w:type="dxa"/>
            <w:vMerge/>
            <w:tcBorders>
              <w:top w:val="nil"/>
              <w:left w:val="single" w:sz="2" w:space="0" w:color="000000"/>
              <w:bottom w:val="nil"/>
              <w:right w:val="nil"/>
            </w:tcBorders>
          </w:tcPr>
          <w:p>
            <w:pPr>
              <w:keepNext/>
              <w:pageBreakBefore w:val="0"/>
            </w:pPr>
          </w:p>
        </w:tc>
        <w:tc>
          <w:tcPr>
            <w:tcW w:w="13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w:t>
            </w:r>
          </w:p>
        </w:tc>
        <w:tc>
          <w:tcPr>
            <w:tcW w:w="13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w:t>
            </w:r>
          </w:p>
        </w:tc>
      </w:tr>
      <w:tr>
        <w:tblPrEx>
          <w:tblW w:w="8550" w:type="dxa"/>
          <w:tblInd w:w="1417" w:type="dxa"/>
          <w:tblLayout w:type="fixed"/>
        </w:tblPrEx>
        <w:trPr>
          <w:cantSplit/>
          <w:trHeight w:hRule="auto" w:val="0"/>
        </w:trPr>
        <w:tc>
          <w:tcPr>
            <w:tcW w:w="5940" w:type="dxa"/>
            <w:vMerge/>
            <w:tcBorders>
              <w:top w:val="nil"/>
              <w:left w:val="single" w:sz="2" w:space="0" w:color="000000"/>
              <w:bottom w:val="single" w:sz="2" w:space="0" w:color="000000"/>
              <w:right w:val="nil"/>
            </w:tcBorders>
          </w:tcPr>
          <w:p>
            <w:pPr>
              <w:keepNext/>
              <w:pageBreakBefore w:val="0"/>
            </w:pPr>
          </w:p>
        </w:tc>
        <w:tc>
          <w:tcPr>
            <w:tcW w:w="13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3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Costo de ventas.</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7.650</w:t>
            </w:r>
          </w:p>
        </w:tc>
      </w:tr>
      <w:tr>
        <w:tblPrEx>
          <w:tblW w:w="855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13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3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7.650</w:t>
            </w: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libri" w:eastAsia="Calibri" w:hAnsi="Calibri" w:cs="Calibri"/>
          <w:b w:val="0"/>
          <w:i w:val="0"/>
          <w:color w:val="365F91"/>
          <w:sz w:val="20"/>
          <w:u w:val="none"/>
        </w:rPr>
      </w:pPr>
      <w:bookmarkStart w:id="126" w:name="Section67"/>
      <w:bookmarkEnd w:id="126"/>
      <w:bookmarkStart w:id="127" w:name="eafd25f4351a4050bfc1ba885194ab62"/>
      <w:r>
        <w:rPr>
          <w:rFonts w:ascii="Calibri" w:eastAsia="Calibri" w:hAnsi="Calibri" w:cs="Calibri"/>
          <w:b/>
          <w:i w:val="0"/>
          <w:color w:val="000000"/>
          <w:sz w:val="20"/>
          <w:u w:val="none"/>
        </w:rPr>
        <w:t>15.-</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7"/>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8" w:name="Section68"/>
      <w:bookmarkEnd w:id="128"/>
      <w:bookmarkStart w:id="129" w:name="3efa106a1612489ba14878c7c4f07ffc"/>
      <w:r>
        <w:rPr>
          <w:rFonts w:ascii="Calibri" w:eastAsia="Calibri" w:hAnsi="Calibri" w:cs="Calibri"/>
          <w:b/>
          <w:i w:val="0"/>
          <w:color w:val="000000"/>
          <w:sz w:val="20"/>
          <w:u w:val="none"/>
        </w:rPr>
        <w:t>15.1.-</w:t>
      </w:r>
      <w:r>
        <w:rPr>
          <w:rFonts w:ascii="Calibri" w:eastAsia="Calibri" w:hAnsi="Calibri" w:cs="Calibri"/>
          <w:b/>
          <w:i w:val="0"/>
          <w:color w:val="000000"/>
          <w:sz w:val="20"/>
          <w:u w:val="none"/>
        </w:rPr>
        <w:tab/>
      </w:r>
      <w:r>
        <w:rPr>
          <w:rFonts w:ascii="Calibri" w:eastAsia="Calibri" w:hAnsi="Calibri" w:cs="Calibri"/>
          <w:b/>
          <w:i w:val="0"/>
          <w:color w:val="000000"/>
          <w:sz w:val="20"/>
          <w:u w:val="none"/>
        </w:rPr>
        <w:t>Vidas útiles.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siguiente cuadro muestra las vidas útiles técnicas para los bienes de la sociedad y subsidiaria.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útil para la depreciación de propiedades, planta y equipo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Vida útil</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Mínima</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Máxima</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edificios.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4</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planta y equipo.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equipamiento de tecnologías de la información.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instalaciones fijas y accesorios.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40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vehículos de motor.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2</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15</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0" w:name="Section69"/>
      <w:bookmarkEnd w:id="130"/>
      <w:bookmarkStart w:id="131" w:name="23a368771a87474c905e68ed7173ba78"/>
      <w:r>
        <w:rPr>
          <w:rFonts w:ascii="Calibri" w:eastAsia="Calibri" w:hAnsi="Calibri" w:cs="Calibri"/>
          <w:b/>
          <w:i w:val="0"/>
          <w:color w:val="000000"/>
          <w:sz w:val="20"/>
          <w:u w:val="none"/>
        </w:rPr>
        <w:t>15.2.-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los rubros.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15.2.1.-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netos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neto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445.854</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596.776</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825.430</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3.033.406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178.648</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456.042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234.772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35.614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160.027</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558.254</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6.094.410</w:t>
            </w:r>
          </w:p>
        </w:tc>
      </w:tr>
    </w:tbl>
    <w:p>
      <w:pPr>
        <w:keepNext w:val="0"/>
        <w:keepLines/>
        <w:pageBreakBefore w:val="0"/>
        <w:widowControl w:val="0"/>
        <w:numPr>
          <w:ilvl w:val="0"/>
          <w:numId w:val="0"/>
        </w:numPr>
        <w:spacing w:before="0" w:after="0" w:line="288" w:lineRule="auto"/>
        <w:ind w:left="1417" w:right="-1"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15.2.2.-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brutos de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bruto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445.854</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596.776</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2.689.298</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5.626.567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428.559</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2.202.973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887.753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251.076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1.064.145</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1.161.245</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13.151.272</w:t>
            </w:r>
          </w:p>
        </w:tc>
      </w:tr>
    </w:tbl>
    <w:p>
      <w:pPr>
        <w:keepNext w:val="0"/>
        <w:keepLines/>
        <w:pageBreakBefore w:val="0"/>
        <w:widowControl w:val="0"/>
        <w:numPr>
          <w:ilvl w:val="0"/>
          <w:numId w:val="0"/>
        </w:numPr>
        <w:spacing w:before="0" w:after="0" w:line="288" w:lineRule="auto"/>
        <w:ind w:left="1418" w:right="-1"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15.2.3.-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Depreciación acumulada de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Depreciación acumulada y deterioro, propiedades, planta y equipo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1.863.867</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2.593.161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249.911</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nil"/>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1.746.932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618.516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217.121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911.295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602.991</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7.056.862</w:t>
            </w:r>
          </w:p>
        </w:tc>
      </w:tr>
    </w:tbl>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2" w:name="Section70"/>
      <w:bookmarkEnd w:id="132"/>
      <w:bookmarkStart w:id="133" w:name="c337faab909344cfb497f35635021ed7"/>
      <w:r>
        <w:rPr>
          <w:rFonts w:ascii="Calibri" w:eastAsia="Calibri" w:hAnsi="Calibri" w:cs="Calibri"/>
          <w:b/>
          <w:i w:val="0"/>
          <w:color w:val="000000"/>
          <w:sz w:val="20"/>
          <w:u w:val="none"/>
        </w:rPr>
        <w:t>15.3.-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 cambios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3"/>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8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540"/>
        <w:gridCol w:w="3045"/>
        <w:gridCol w:w="1005"/>
        <w:gridCol w:w="1005"/>
        <w:gridCol w:w="1005"/>
        <w:gridCol w:w="1005"/>
        <w:gridCol w:w="1005"/>
        <w:gridCol w:w="1005"/>
        <w:gridCol w:w="1005"/>
        <w:gridCol w:w="1005"/>
      </w:tblGrid>
      <w:tr>
        <w:tblPrEx>
          <w:tblW w:w="11850" w:type="dxa"/>
          <w:tblInd w:w="1417" w:type="dxa"/>
          <w:tblLayout w:type="fixed"/>
        </w:tblPrEx>
        <w:trPr>
          <w:cantSplit/>
          <w:trHeight w:hRule="exact" w:val="195"/>
        </w:trPr>
        <w:tc>
          <w:tcPr>
            <w:tcW w:w="3810" w:type="dxa"/>
            <w:gridSpan w:val="3"/>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año 2026</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Construcción en curso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Terrenos</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Edificios, neto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Planta y equipo, neto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Equipamiento de tecnologías de la información, neto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Instalaciones fijas y accesorios, neto</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Vehículos de motor, neto</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planta y equipo, neto</w:t>
            </w: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auto" w:val="0"/>
        </w:trPr>
        <w:tc>
          <w:tcPr>
            <w:tcW w:w="3810" w:type="dxa"/>
            <w:gridSpan w:val="3"/>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1850"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50" w:type="dxa"/>
          <w:tblInd w:w="1417" w:type="dxa"/>
          <w:tblLayout w:type="fixed"/>
        </w:tblPrEx>
        <w:trPr>
          <w:cantSplit/>
          <w:trHeight w:hRule="auto" w:val="0"/>
        </w:trPr>
        <w:tc>
          <w:tcPr>
            <w:tcW w:w="381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445.854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596.776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825.430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3.033.406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178.648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456.041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558.253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6.094.408</w:t>
            </w:r>
          </w:p>
        </w:tc>
      </w:tr>
      <w:tr>
        <w:tblPrEx>
          <w:tblW w:w="11850"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50" w:type="dxa"/>
          <w:tblInd w:w="1417" w:type="dxa"/>
          <w:tblLayout w:type="fixed"/>
        </w:tblPrEx>
        <w:trPr>
          <w:cantSplit/>
          <w:trHeight w:hRule="exact" w:val="405"/>
        </w:trPr>
        <w:tc>
          <w:tcPr>
            <w:tcW w:w="22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6"/>
                <w:u w:val="none"/>
              </w:rPr>
              <w:t>Cambios</w:t>
            </w:r>
          </w:p>
        </w:tc>
        <w:tc>
          <w:tcPr>
            <w:tcW w:w="358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distintos de los procedentes de combinaciones de negocios.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r>
      <w:tr>
        <w:tblPrEx>
          <w:tblW w:w="1185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358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Disposiciones.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1850" w:type="dxa"/>
          <w:tblInd w:w="1417" w:type="dxa"/>
          <w:tblLayout w:type="fixed"/>
        </w:tblPrEx>
        <w:trPr>
          <w:cantSplit/>
          <w:trHeight w:hRule="auto" w:val="0"/>
        </w:trPr>
        <w:tc>
          <w:tcPr>
            <w:tcW w:w="225" w:type="dxa"/>
            <w:vMerge/>
            <w:tcBorders>
              <w:top w:val="nil"/>
              <w:left w:val="single" w:sz="2" w:space="0" w:color="000000"/>
              <w:bottom w:val="nil"/>
              <w:right w:val="single" w:sz="2" w:space="0" w:color="000000"/>
            </w:tcBorders>
          </w:tcPr>
          <w:p>
            <w:pPr>
              <w:keepNext/>
              <w:pageBreakBefore w:val="0"/>
            </w:pPr>
          </w:p>
        </w:tc>
        <w:tc>
          <w:tcPr>
            <w:tcW w:w="358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1850" w:type="dxa"/>
          <w:tblInd w:w="1417" w:type="dxa"/>
          <w:tblLayout w:type="fixed"/>
        </w:tblPrEx>
        <w:trPr>
          <w:cantSplit/>
          <w:trHeight w:hRule="auto" w:val="0"/>
        </w:trPr>
        <w:tc>
          <w:tcPr>
            <w:tcW w:w="225" w:type="dxa"/>
            <w:vMerge/>
            <w:tcBorders>
              <w:top w:val="nil"/>
              <w:left w:val="single" w:sz="2" w:space="0" w:color="000000"/>
              <w:bottom w:val="single" w:sz="2" w:space="0" w:color="000000"/>
              <w:right w:val="nil"/>
            </w:tcBorders>
          </w:tcPr>
          <w:p>
            <w:pPr>
              <w:keepNext/>
              <w:pageBreakBefore w:val="0"/>
            </w:pPr>
          </w:p>
        </w:tc>
        <w:tc>
          <w:tcPr>
            <w:tcW w:w="358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transferencias desde construcciones en proceso, propiedades, planta y equipo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1850" w:type="dxa"/>
          <w:tblInd w:w="1417" w:type="dxa"/>
          <w:tblLayout w:type="fixed"/>
        </w:tblPrEx>
        <w:trPr>
          <w:cantSplit/>
          <w:trHeight w:hRule="auto" w:val="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50" w:type="dxa"/>
          <w:tblInd w:w="1417" w:type="dxa"/>
          <w:tblLayout w:type="fixed"/>
        </w:tblPrEx>
        <w:trPr>
          <w:cantSplit/>
          <w:trHeight w:hRule="auto" w:val="0"/>
        </w:trPr>
        <w:tc>
          <w:tcPr>
            <w:tcW w:w="381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cambios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r>
      <w:tr>
        <w:tblPrEx>
          <w:tblW w:w="11850" w:type="dxa"/>
          <w:tblInd w:w="1417" w:type="dxa"/>
          <w:tblLayout w:type="fixed"/>
        </w:tblPrEx>
        <w:trPr>
          <w:cantSplit/>
          <w:trHeight w:hRule="auto" w:val="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50" w:type="dxa"/>
          <w:tblInd w:w="1417" w:type="dxa"/>
          <w:tblLayout w:type="fixed"/>
        </w:tblPrEx>
        <w:trPr>
          <w:cantSplit/>
          <w:trHeight w:hRule="auto" w:val="0"/>
        </w:trPr>
        <w:tc>
          <w:tcPr>
            <w:tcW w:w="381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final al 30 de junio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445.854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596.776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825.431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3.033.406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178.648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456.042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558.253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6.094.410</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8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540"/>
        <w:gridCol w:w="3045"/>
        <w:gridCol w:w="1005"/>
        <w:gridCol w:w="1005"/>
        <w:gridCol w:w="1005"/>
        <w:gridCol w:w="1005"/>
        <w:gridCol w:w="1005"/>
        <w:gridCol w:w="1005"/>
        <w:gridCol w:w="1005"/>
        <w:gridCol w:w="1005"/>
      </w:tblGrid>
      <w:tr>
        <w:tblPrEx>
          <w:tblW w:w="11850" w:type="dxa"/>
          <w:tblInd w:w="1417" w:type="dxa"/>
          <w:tblLayout w:type="fixed"/>
        </w:tblPrEx>
        <w:trPr>
          <w:cantSplit/>
          <w:trHeight w:hRule="exact" w:val="195"/>
        </w:trPr>
        <w:tc>
          <w:tcPr>
            <w:tcW w:w="3810" w:type="dxa"/>
            <w:gridSpan w:val="3"/>
            <w:vMerge w:val="restart"/>
            <w:tcBorders>
              <w:top w:val="single" w:sz="2" w:space="0" w:color="000000"/>
              <w:left w:val="single" w:sz="2" w:space="0" w:color="000000"/>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año 2025</w:t>
            </w:r>
          </w:p>
        </w:tc>
        <w:tc>
          <w:tcPr>
            <w:tcW w:w="1005" w:type="dxa"/>
            <w:vMerge w:val="restart"/>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Construcción en curso</w:t>
            </w:r>
          </w:p>
        </w:tc>
        <w:tc>
          <w:tcPr>
            <w:tcW w:w="1005" w:type="dxa"/>
            <w:vMerge w:val="restart"/>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Terrenos</w:t>
            </w:r>
          </w:p>
        </w:tc>
        <w:tc>
          <w:tcPr>
            <w:tcW w:w="1005" w:type="dxa"/>
            <w:vMerge w:val="restart"/>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Edificios, neto</w:t>
            </w:r>
          </w:p>
        </w:tc>
        <w:tc>
          <w:tcPr>
            <w:tcW w:w="1005" w:type="dxa"/>
            <w:vMerge w:val="restart"/>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Planta y equipo, neto</w:t>
            </w:r>
          </w:p>
        </w:tc>
        <w:tc>
          <w:tcPr>
            <w:tcW w:w="1005" w:type="dxa"/>
            <w:vMerge w:val="restart"/>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Equipamiento de tecnologías de la información, neto</w:t>
            </w:r>
          </w:p>
        </w:tc>
        <w:tc>
          <w:tcPr>
            <w:tcW w:w="1005" w:type="dxa"/>
            <w:vMerge w:val="restart"/>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Instalaciones fijas y accesorios, neto</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Vehículos de motor, neto</w:t>
            </w:r>
          </w:p>
        </w:tc>
        <w:tc>
          <w:tcPr>
            <w:tcW w:w="1005" w:type="dxa"/>
            <w:vMerge w:val="restart"/>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planta y equipo, neto</w:t>
            </w: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8"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8"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8"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8"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exact" w:val="195"/>
        </w:trPr>
        <w:tc>
          <w:tcPr>
            <w:tcW w:w="3810" w:type="dxa"/>
            <w:gridSpan w:val="3"/>
            <w:vMerge/>
            <w:tcBorders>
              <w:top w:val="nil"/>
              <w:left w:val="single" w:sz="2" w:space="0" w:color="000000"/>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single" w:sz="8"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8" w:space="0" w:color="FFFFFF"/>
              <w:bottom w:val="nil"/>
              <w:right w:val="single" w:sz="2" w:space="0" w:color="000000"/>
            </w:tcBorders>
          </w:tcPr>
          <w:p>
            <w:pPr>
              <w:keepNext/>
              <w:pageBreakBefore w:val="0"/>
            </w:pPr>
          </w:p>
        </w:tc>
      </w:tr>
      <w:tr>
        <w:tblPrEx>
          <w:tblW w:w="11850" w:type="dxa"/>
          <w:tblInd w:w="1417" w:type="dxa"/>
          <w:tblLayout w:type="fixed"/>
        </w:tblPrEx>
        <w:trPr>
          <w:cantSplit/>
          <w:trHeight w:hRule="auto" w:val="0"/>
        </w:trPr>
        <w:tc>
          <w:tcPr>
            <w:tcW w:w="3810" w:type="dxa"/>
            <w:gridSpan w:val="3"/>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1850"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50" w:type="dxa"/>
          <w:tblInd w:w="1417" w:type="dxa"/>
          <w:tblLayout w:type="fixed"/>
        </w:tblPrEx>
        <w:trPr>
          <w:cantSplit/>
          <w:trHeight w:hRule="auto" w:val="0"/>
        </w:trPr>
        <w:tc>
          <w:tcPr>
            <w:tcW w:w="381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2025</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121.343</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596.776</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854.908</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2.457.972</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63.011</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430.413</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227.367</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4.751.790</w:t>
            </w:r>
          </w:p>
        </w:tc>
      </w:tr>
      <w:tr>
        <w:tblPrEx>
          <w:tblW w:w="11850"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50" w:type="dxa"/>
          <w:tblInd w:w="1417" w:type="dxa"/>
          <w:tblLayout w:type="fixed"/>
        </w:tblPrEx>
        <w:trPr>
          <w:cantSplit/>
          <w:trHeight w:hRule="exact" w:val="405"/>
        </w:trPr>
        <w:tc>
          <w:tcPr>
            <w:tcW w:w="22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6"/>
                <w:u w:val="none"/>
              </w:rPr>
              <w:t>Cambios</w:t>
            </w:r>
          </w:p>
        </w:tc>
        <w:tc>
          <w:tcPr>
            <w:tcW w:w="358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distintos de los procedentes de combinaciones de negocios.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330.229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8.286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1.040.281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54.550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99.117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201.551</w:t>
            </w:r>
          </w:p>
        </w:tc>
        <w:tc>
          <w:tcPr>
            <w:tcW w:w="1005" w:type="dxa"/>
            <w:tcBorders>
              <w:top w:val="single" w:sz="2" w:space="0" w:color="000000"/>
              <w:left w:val="single" w:sz="2" w:space="0" w:color="000000"/>
              <w:bottom w:val="single" w:sz="8"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1.734.014</w:t>
            </w:r>
          </w:p>
        </w:tc>
      </w:tr>
      <w:tr>
        <w:tblPrEx>
          <w:tblW w:w="1185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358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Disposiciones.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8" w:space="0" w:color="FFFFFF"/>
              <w:left w:val="single" w:sz="2" w:space="0" w:color="000000"/>
              <w:bottom w:val="single" w:sz="8"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(1.034)</w:t>
            </w:r>
          </w:p>
        </w:tc>
      </w:tr>
      <w:tr>
        <w:tblPrEx>
          <w:tblW w:w="11850" w:type="dxa"/>
          <w:tblInd w:w="1417" w:type="dxa"/>
          <w:tblLayout w:type="fixed"/>
        </w:tblPrEx>
        <w:trPr>
          <w:cantSplit/>
          <w:trHeight w:hRule="auto" w:val="0"/>
        </w:trPr>
        <w:tc>
          <w:tcPr>
            <w:tcW w:w="225" w:type="dxa"/>
            <w:vMerge/>
            <w:tcBorders>
              <w:top w:val="nil"/>
              <w:left w:val="single" w:sz="2" w:space="0" w:color="000000"/>
              <w:bottom w:val="nil"/>
              <w:right w:val="single" w:sz="2" w:space="0" w:color="000000"/>
            </w:tcBorders>
          </w:tcPr>
          <w:p>
            <w:pPr>
              <w:keepNext/>
              <w:pageBreakBefore w:val="0"/>
            </w:pPr>
          </w:p>
        </w:tc>
        <w:tc>
          <w:tcPr>
            <w:tcW w:w="358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(37.764)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(186.712)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(26.477)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(72.454)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(66.318)</w:t>
            </w:r>
          </w:p>
        </w:tc>
        <w:tc>
          <w:tcPr>
            <w:tcW w:w="1005" w:type="dxa"/>
            <w:tcBorders>
              <w:top w:val="single" w:sz="8" w:space="0" w:color="FFFFFF"/>
              <w:left w:val="single" w:sz="2" w:space="0" w:color="000000"/>
              <w:bottom w:val="single" w:sz="8"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(389.725)</w:t>
            </w:r>
          </w:p>
        </w:tc>
      </w:tr>
      <w:tr>
        <w:tblPrEx>
          <w:tblW w:w="1185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358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transferencias desde construcciones en proceso, propiedades, planta y equipo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(5.718)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(277.500)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87.564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195.654</w:t>
            </w:r>
          </w:p>
        </w:tc>
        <w:tc>
          <w:tcPr>
            <w:tcW w:w="1005" w:type="dxa"/>
            <w:tcBorders>
              <w:top w:val="single" w:sz="8" w:space="0" w:color="FFFFFF"/>
              <w:left w:val="single" w:sz="2" w:space="0" w:color="000000"/>
              <w:bottom w:val="single" w:sz="8"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1850" w:type="dxa"/>
          <w:tblInd w:w="1417" w:type="dxa"/>
          <w:tblLayout w:type="fixed"/>
        </w:tblPrEx>
        <w:trPr>
          <w:cantSplit/>
          <w:trHeight w:hRule="auto" w:val="0"/>
        </w:trPr>
        <w:tc>
          <w:tcPr>
            <w:tcW w:w="225" w:type="dxa"/>
            <w:vMerge/>
            <w:tcBorders>
              <w:top w:val="nil"/>
              <w:left w:val="single" w:sz="2" w:space="0" w:color="000000"/>
              <w:bottom w:val="single" w:sz="2" w:space="0" w:color="000000"/>
              <w:right w:val="nil"/>
            </w:tcBorders>
          </w:tcPr>
          <w:p>
            <w:pPr>
              <w:keepNext/>
              <w:pageBreakBefore w:val="0"/>
            </w:pPr>
          </w:p>
        </w:tc>
        <w:tc>
          <w:tcPr>
            <w:tcW w:w="358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otros cambios.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8"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1850" w:type="dxa"/>
          <w:tblInd w:w="1417" w:type="dxa"/>
          <w:tblLayout w:type="fixed"/>
        </w:tblPrEx>
        <w:trPr>
          <w:cantSplit/>
          <w:trHeight w:hRule="auto" w:val="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50" w:type="dxa"/>
          <w:tblInd w:w="1417" w:type="dxa"/>
          <w:tblLayout w:type="fixed"/>
        </w:tblPrEx>
        <w:trPr>
          <w:cantSplit/>
          <w:trHeight w:hRule="auto" w:val="0"/>
        </w:trPr>
        <w:tc>
          <w:tcPr>
            <w:tcW w:w="381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cambios</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324.511</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(29.478)</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575.434</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115.637</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25.629</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330.887</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1.342.620</w:t>
            </w:r>
          </w:p>
        </w:tc>
      </w:tr>
      <w:tr>
        <w:tblPrEx>
          <w:tblW w:w="11850" w:type="dxa"/>
          <w:tblInd w:w="1417" w:type="dxa"/>
          <w:tblLayout w:type="fixed"/>
        </w:tblPrEx>
        <w:trPr>
          <w:cantSplit/>
          <w:trHeight w:hRule="auto" w:val="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850" w:type="dxa"/>
          <w:tblInd w:w="1417" w:type="dxa"/>
          <w:tblLayout w:type="fixed"/>
        </w:tblPrEx>
        <w:trPr>
          <w:cantSplit/>
          <w:trHeight w:hRule="auto" w:val="0"/>
        </w:trPr>
        <w:tc>
          <w:tcPr>
            <w:tcW w:w="381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final al 31 de diciembre de 2025</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445.854</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596.776</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825.430</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3.033.406</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178.648</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456.042</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558.254</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6.094.410</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sectPr>
          <w:headerReference w:type="default" r:id="rId41"/>
          <w:footerReference w:type="default" r:id="rId42"/>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4" w:name="Section71"/>
      <w:bookmarkEnd w:id="134"/>
      <w:bookmarkStart w:id="135" w:name="b92d8fd9fcca4ca881e63f8b56454d7e"/>
      <w:r>
        <w:rPr>
          <w:rFonts w:ascii="Calibri" w:eastAsia="Calibri" w:hAnsi="Calibri" w:cs="Calibri"/>
          <w:b/>
          <w:i w:val="0"/>
          <w:color w:val="000000"/>
          <w:sz w:val="20"/>
          <w:u w:val="none"/>
        </w:rPr>
        <w:t>15.4.-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inversiones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5"/>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Transformadores Tusan S.A.. y subsidiaria, han mantenido tradicionalmente una política de llevar a cabo todas las obras necesarias para satisfacer los incrementos de la demanda, conservar en buen estado las instalaciones y adaptar el sistema productivo a los avances tecnológicos, con el objeto de cumplir cabalmente con requerimientos de clientes en tiempo y calidad. El monto de adiciones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M$ 1.734.015 (M$ 1.676.645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y el valor contable de obras en curso alcanzó a un monto de M$ 445.855 y M$ 121.343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2024 respectivamente.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restricciones en la titularidad de propiedades, planta y equipo de Transformadores Tusan S.A. y subsidiaria.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15.4.1.- Información adicional a revelar sobre propiedades, plantas y equipos.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95"/>
        <w:gridCol w:w="1095"/>
      </w:tblGrid>
      <w:tr>
        <w:tblPrEx>
          <w:tblW w:w="8550" w:type="dxa"/>
          <w:tblInd w:w="1410" w:type="dxa"/>
          <w:tblLayout w:type="fixed"/>
        </w:tblPrEx>
        <w:trPr>
          <w:cantSplit/>
          <w:trHeight w:hRule="auto" w:val="0"/>
        </w:trPr>
        <w:tc>
          <w:tcPr>
            <w:tcW w:w="63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Informaciones adicionales a revelar sobre propiedades, planta y equipos</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0"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0"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 de desembolsos sobre cuentas de propiedades, planta y equipos en proceso de construcción.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330.230</w:t>
            </w:r>
          </w:p>
        </w:tc>
      </w:tr>
    </w:tbl>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sz w:val="20"/>
        </w:rPr>
        <w:sectPr>
          <w:headerReference w:type="default" r:id="rId43"/>
          <w:footerReference w:type="default" r:id="rId44"/>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6" w:name="Section72"/>
      <w:bookmarkEnd w:id="136"/>
      <w:bookmarkStart w:id="137" w:name="1d2317ad49eb43dda77fcaf2e750c1d8"/>
      <w:r>
        <w:rPr>
          <w:rFonts w:ascii="Calibri" w:eastAsia="Calibri" w:hAnsi="Calibri" w:cs="Calibri"/>
          <w:b/>
          <w:i w:val="0"/>
          <w:color w:val="000000"/>
          <w:sz w:val="20"/>
          <w:u w:val="none"/>
        </w:rPr>
        <w:t>15.5.-</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7"/>
    </w:p>
    <w:p>
      <w:pPr>
        <w:pStyle w:val="Normal-wk"/>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no se han capitalizado intereses por no tener activos aptos para dicho efecto.</w:t>
      </w:r>
    </w:p>
    <w:p>
      <w:pPr>
        <w:keepNext w:val="0"/>
        <w:keepLines/>
        <w:pageBreakBefore w:val="0"/>
        <w:widowControl w:val="0"/>
        <w:numPr>
          <w:ilvl w:val="0"/>
          <w:numId w:val="0"/>
        </w:numPr>
        <w:spacing w:before="0" w:after="0" w:line="288" w:lineRule="auto"/>
        <w:ind w:left="2127"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7" w:right="0" w:hanging="709"/>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38" w:name="Section73"/>
      <w:bookmarkEnd w:id="138"/>
      <w:bookmarkStart w:id="139" w:name="05fef564265e4bd9aefba4e08843adf8"/>
      <w:r>
        <w:rPr>
          <w:rFonts w:ascii="Calibri" w:eastAsia="Calibri" w:hAnsi="Calibri" w:cs="Calibri"/>
          <w:b/>
          <w:i w:val="0"/>
          <w:color w:val="000000"/>
          <w:sz w:val="20"/>
          <w:u w:val="none"/>
        </w:rPr>
        <w:t>16.-</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IMPUESTOS DIFERIDOS.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39"/>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40" w:name="Section74"/>
      <w:bookmarkEnd w:id="140"/>
      <w:bookmarkStart w:id="141" w:name="12389065a3c84eb6b8d0aed1ad0fc644"/>
      <w:r>
        <w:rPr>
          <w:rFonts w:ascii="Calibri" w:eastAsia="Calibri" w:hAnsi="Calibri" w:cs="Calibri"/>
          <w:b/>
          <w:i w:val="0"/>
          <w:color w:val="000000"/>
          <w:sz w:val="20"/>
          <w:u w:val="none"/>
        </w:rPr>
        <w:t>16.1.-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4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plantas y equipos.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249.109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ingresos anticipados.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35.712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12.688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obligaciones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297.016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25.355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los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15.329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635.209</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4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recuperación de los saldos de activos por impuestos diferidos, requieren de la obtención de utilidades tributarias suficientes en el futuro. La sociedad estima con proyecciones futuras de utilidades que estas cubrirán el recupero de estos activos.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42" w:name="Section75"/>
      <w:bookmarkEnd w:id="142"/>
      <w:bookmarkStart w:id="143" w:name="115fe64e0a6a4b1c8f8e562c40f2c7df"/>
      <w:r>
        <w:rPr>
          <w:rFonts w:ascii="Calibri" w:eastAsia="Calibri" w:hAnsi="Calibri" w:cs="Calibri"/>
          <w:b/>
          <w:i w:val="0"/>
          <w:color w:val="000000"/>
          <w:sz w:val="20"/>
          <w:u w:val="none"/>
        </w:rPr>
        <w:t>16.2.-</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4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los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310.952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7.494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318.446</w:t>
            </w:r>
          </w:p>
        </w:tc>
      </w:tr>
    </w:tbl>
    <w:p>
      <w:pPr>
        <w:keepNext/>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4" w:name="Section76"/>
      <w:bookmarkEnd w:id="144"/>
      <w:bookmarkStart w:id="145" w:name="2b8203e2bb6b40cb9f3a3406787ee87f"/>
      <w:r>
        <w:rPr>
          <w:rFonts w:ascii="Calibri" w:eastAsia="Calibri" w:hAnsi="Calibri" w:cs="Calibri"/>
          <w:b/>
          <w:i w:val="0"/>
          <w:color w:val="000000"/>
          <w:sz w:val="20"/>
          <w:u w:val="none"/>
        </w:rPr>
        <w:t>16.3.-</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Movimientos de impuesto diferido del estado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45"/>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activos por impuestos diferidos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635.209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666.523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(9.595)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(21.719)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activos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(31.314)</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635.209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635.209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pasivos por impuestos diferidos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318.446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139.053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(318.446)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179.393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pasivos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(318.446)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179.393</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318.446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6" w:name="Section77"/>
      <w:bookmarkEnd w:id="146"/>
      <w:bookmarkStart w:id="147" w:name="501de095d8b6443f9abd9b9530626f34"/>
      <w:r>
        <w:rPr>
          <w:rFonts w:ascii="Calibri" w:eastAsia="Calibri" w:hAnsi="Calibri" w:cs="Calibri"/>
          <w:b/>
          <w:i w:val="0"/>
          <w:color w:val="000000"/>
          <w:sz w:val="20"/>
          <w:u w:val="none"/>
        </w:rPr>
        <w:t>16.4.-</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Compensación de partidas.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18"/>
          <w:u w:val="none"/>
        </w:rPr>
      </w:pPr>
      <w:bookmarkEnd w:id="14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activos y pasivos se compensan cuando existe derecho legalmente ejecutable de compensar los activos tributarios corrientes contra los pasivos tributarios corrientes y cuando los impuestos a la renta diferidos activos y pasivos están relacionados con el impuesto a la renta que grava la misma autoridad tributaria a la misma entidad gravada o a diferentes entidades gravadas por las que existe la intención de liquidar los saldos sobre bases netas. Los montos compensados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0"/>
        <w:gridCol w:w="975"/>
        <w:gridCol w:w="975"/>
        <w:gridCol w:w="975"/>
        <w:gridCol w:w="975"/>
        <w:gridCol w:w="975"/>
        <w:gridCol w:w="975"/>
      </w:tblGrid>
      <w:tr>
        <w:tblPrEx>
          <w:tblW w:w="8550" w:type="dxa"/>
          <w:tblInd w:w="1417" w:type="dxa"/>
          <w:tblLayout w:type="fixed"/>
        </w:tblPrEx>
        <w:trPr>
          <w:cantSplit/>
          <w:trHeight w:hRule="auto" w:val="0"/>
        </w:trPr>
        <w:tc>
          <w:tcPr>
            <w:tcW w:w="270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w:t>
            </w: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92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700" w:type="dxa"/>
            <w:vMerge/>
            <w:tcBorders>
              <w:top w:val="nil"/>
              <w:left w:val="single" w:sz="2" w:space="0" w:color="000000"/>
              <w:bottom w:val="nil"/>
              <w:right w:val="nil"/>
            </w:tcBorders>
          </w:tcPr>
          <w:p>
            <w:pPr>
              <w:keepNext/>
              <w:pageBreakBefore w:val="0"/>
            </w:pP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r>
      <w:tr>
        <w:tblPrEx>
          <w:tblW w:w="8550" w:type="dxa"/>
          <w:tblInd w:w="1417" w:type="dxa"/>
          <w:tblLayout w:type="fixed"/>
        </w:tblPrEx>
        <w:trPr>
          <w:cantSplit/>
          <w:trHeight w:hRule="auto" w:val="0"/>
        </w:trPr>
        <w:tc>
          <w:tcPr>
            <w:tcW w:w="2700" w:type="dxa"/>
            <w:vMerge/>
            <w:tcBorders>
              <w:top w:val="nil"/>
              <w:left w:val="single" w:sz="2" w:space="0" w:color="000000"/>
              <w:bottom w:val="single" w:sz="2" w:space="0" w:color="000000"/>
              <w:right w:val="nil"/>
            </w:tcBorders>
          </w:tcPr>
          <w:p>
            <w:pPr>
              <w:keepNext/>
              <w:pageBreakBefore w:val="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635.209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(318.446)</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316.763</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(318.446)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318.446</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316.763</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316.763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48" w:name="Section78"/>
      <w:bookmarkEnd w:id="148"/>
      <w:bookmarkStart w:id="149" w:name="7e7393e85d0f487ca1972f8975885ca6"/>
      <w:r>
        <w:rPr>
          <w:rFonts w:ascii="Calibri" w:eastAsia="Calibri" w:hAnsi="Calibri" w:cs="Calibri"/>
          <w:b/>
          <w:i w:val="0"/>
          <w:color w:val="000000"/>
          <w:sz w:val="20"/>
          <w:u w:val="none"/>
        </w:rPr>
        <w:t>17.-</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9"/>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por pagar comerciales y otras cuentas por pagar</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Retenciones.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507.865</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acumulados (o devengados)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723.159</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no energéticos.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4.673.410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importación.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29.076</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Acreedores varios.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1.233.626</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7.167.136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y subsidiaria no tienen proveedores de importancia cuyos pasivos superen el 10% de este ítem.</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50" w:name="Section79"/>
      <w:bookmarkEnd w:id="150"/>
      <w:bookmarkStart w:id="151" w:name="900ae261336643db82669fcc01588b3a"/>
      <w:r>
        <w:rPr>
          <w:rFonts w:ascii="Calibri" w:eastAsia="Calibri" w:hAnsi="Calibri" w:cs="Calibri"/>
          <w:b/>
          <w:i w:val="0"/>
          <w:color w:val="000000"/>
          <w:sz w:val="20"/>
          <w:u w:val="none"/>
        </w:rPr>
        <w:t>17.1.-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acumulados (o devengados).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Pasivos acumulados (o devengados).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Vacaciones del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408.146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sobre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315.013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723.159</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8" w:right="0" w:hanging="709"/>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17.2.-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cuentas comerciales y otras cuentas por pagar con pagos al día y con plazos vencidos.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61 y 90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2.877.888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2.608.671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1.357.608</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6.844.167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262.630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1.354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14.991</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278.975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61 y 90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43.994</w:t>
            </w: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43.994</w:t>
            </w:r>
          </w:p>
        </w:tc>
      </w:tr>
      <w:tr>
        <w:tblPrEx>
          <w:tblW w:w="8550" w:type="dxa"/>
          <w:tblInd w:w="1417" w:type="dxa"/>
          <w:tblLayout w:type="fixed"/>
        </w:tblPrEx>
        <w:trPr>
          <w:cantSplit/>
          <w:trHeight w:hRule="auto" w:val="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3.140.518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2.610.025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1.416.593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7.167.136</w:t>
            </w:r>
          </w:p>
        </w:tc>
      </w:tr>
    </w:tbl>
    <w:p>
      <w:pPr>
        <w:keepNext w:val="0"/>
        <w:keepLines/>
        <w:pageBreakBefore w:val="0"/>
        <w:widowControl w:val="0"/>
        <w:numPr>
          <w:ilvl w:val="0"/>
          <w:numId w:val="0"/>
        </w:numPr>
        <w:spacing w:before="0" w:after="0" w:line="288" w:lineRule="auto"/>
        <w:ind w:left="1414" w:right="0" w:firstLine="4"/>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cuentas por pagar comerciales con plazos vencidos.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52" w:name="Section80"/>
      <w:bookmarkEnd w:id="152"/>
      <w:bookmarkStart w:id="153" w:name="3dcabb0c40b9453b986c5efcb6e60415"/>
      <w:r>
        <w:rPr>
          <w:rFonts w:ascii="Calibri" w:eastAsia="Calibri" w:hAnsi="Calibri" w:cs="Calibri"/>
          <w:b/>
          <w:i w:val="0"/>
          <w:color w:val="000000"/>
          <w:sz w:val="20"/>
          <w:u w:val="none"/>
        </w:rPr>
        <w:t>18.-</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POR BENEFICIOS A LOS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3"/>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54" w:name="Section81"/>
      <w:bookmarkEnd w:id="154"/>
      <w:bookmarkStart w:id="155" w:name="34566c97b8b244e288a5b5610b301d0f"/>
      <w:r>
        <w:rPr>
          <w:rFonts w:ascii="Calibri" w:eastAsia="Calibri" w:hAnsi="Calibri" w:cs="Calibri"/>
          <w:b/>
          <w:i w:val="0"/>
          <w:color w:val="000000"/>
          <w:sz w:val="20"/>
          <w:u w:val="none"/>
        </w:rPr>
        <w:t>18.1.-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del rubro.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por beneficios a los empleados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indemnización años de servicio.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861.372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829.151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premio de antigüedad.</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100.110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94.794</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961.482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923.945</w:t>
            </w:r>
          </w:p>
        </w:tc>
      </w:tr>
    </w:tbl>
    <w:p>
      <w:pPr>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59" w:lineRule="auto"/>
        <w:ind w:left="0" w:right="0" w:firstLine="708"/>
        <w:jc w:val="both"/>
        <w:outlineLvl w:val="1"/>
        <w:rPr>
          <w:rFonts w:ascii="Times New Roman" w:eastAsia="Times New Roman" w:hAnsi="Times New Roman" w:cs="Times New Roman"/>
          <w:b/>
          <w:i w:val="0"/>
          <w:color w:val="000000"/>
          <w:sz w:val="24"/>
          <w:u w:val="none"/>
        </w:rPr>
      </w:pPr>
      <w:bookmarkStart w:id="156" w:name="Section82"/>
      <w:bookmarkEnd w:id="156"/>
      <w:bookmarkStart w:id="157" w:name="f9c24096de7a4d6b9695ccbbb8d3fe2d"/>
      <w:r>
        <w:rPr>
          <w:rFonts w:ascii="Calibri" w:eastAsia="Calibri" w:hAnsi="Calibri" w:cs="Calibri"/>
          <w:b/>
          <w:i w:val="0"/>
          <w:color w:val="000000"/>
          <w:sz w:val="20"/>
          <w:u w:val="none"/>
        </w:rPr>
        <w:t>18.2.-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presente de las obligaciones post empleo y similar</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Indemnización por años de servicios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Premios por antigüedad</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Valor presente obligación, saldo inicial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829.151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884.310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94.794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94.156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Costo del servicio corriente obligación plan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30.277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99.323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3.796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(5.042)</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Costo por intereses por obligación de plan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13.177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49.993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1.520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5.680</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Ganancias pérdidas actuariales obligación planes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(11.233)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(80.441)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Liquidaciones obligación plan de beneficios definidos y transferencia de obligaciones por traspaso de personal desde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(124.034)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cambios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32.221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(55.159)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5.316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638</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861.372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829.151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100.110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94.794</w:t>
            </w:r>
          </w:p>
        </w:tc>
      </w:tr>
    </w:tbl>
    <w:p>
      <w:pPr>
        <w:keepNext/>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59" w:lineRule="auto"/>
        <w:ind w:left="0" w:right="0" w:firstLine="708"/>
        <w:jc w:val="both"/>
        <w:outlineLvl w:val="1"/>
        <w:rPr>
          <w:rFonts w:ascii="Times New Roman" w:eastAsia="Times New Roman" w:hAnsi="Times New Roman" w:cs="Times New Roman"/>
          <w:b/>
          <w:i w:val="0"/>
          <w:color w:val="000000"/>
          <w:sz w:val="24"/>
          <w:u w:val="none"/>
        </w:rPr>
      </w:pPr>
      <w:bookmarkStart w:id="158" w:name="Section83"/>
      <w:bookmarkEnd w:id="158"/>
      <w:bookmarkStart w:id="159" w:name="9235a6cd2faa4e55ac9989bd77109326"/>
      <w:r>
        <w:rPr>
          <w:rFonts w:ascii="Calibri" w:eastAsia="Calibri" w:hAnsi="Calibri" w:cs="Calibri"/>
          <w:b/>
          <w:i w:val="0"/>
          <w:color w:val="000000"/>
          <w:sz w:val="20"/>
          <w:u w:val="none"/>
        </w:rPr>
        <w:t>18.3.-</w:t>
      </w:r>
      <w:r>
        <w:rPr>
          <w:rFonts w:ascii="Calibri" w:eastAsia="Calibri" w:hAnsi="Calibri" w:cs="Calibri"/>
          <w:b/>
          <w:i w:val="0"/>
          <w:color w:val="000000"/>
          <w:sz w:val="20"/>
          <w:u w:val="none"/>
        </w:rPr>
        <w:tab/>
      </w:r>
      <w:r>
        <w:rPr>
          <w:rFonts w:ascii="Calibri" w:eastAsia="Calibri" w:hAnsi="Calibri" w:cs="Calibri"/>
          <w:b/>
          <w:i w:val="0"/>
          <w:color w:val="000000"/>
          <w:sz w:val="20"/>
          <w:u w:val="none"/>
        </w:rPr>
        <w:t>Balance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70"/>
        <w:gridCol w:w="1020"/>
        <w:gridCol w:w="1020"/>
        <w:gridCol w:w="1020"/>
        <w:gridCol w:w="1020"/>
      </w:tblGrid>
      <w:tr>
        <w:tblPrEx>
          <w:tblW w:w="8550" w:type="dxa"/>
          <w:tblInd w:w="1417" w:type="dxa"/>
          <w:tblLayout w:type="fixed"/>
        </w:tblPrEx>
        <w:trPr>
          <w:cantSplit/>
          <w:trHeight w:hRule="auto" w:val="0"/>
        </w:trPr>
        <w:tc>
          <w:tcPr>
            <w:tcW w:w="447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Balance plan de beneficios</w:t>
            </w:r>
          </w:p>
        </w:tc>
        <w:tc>
          <w:tcPr>
            <w:tcW w:w="204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Indemnización por años de servicios</w:t>
            </w:r>
          </w:p>
        </w:tc>
        <w:tc>
          <w:tcPr>
            <w:tcW w:w="204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Premios por antigüedad</w:t>
            </w:r>
          </w:p>
        </w:tc>
      </w:tr>
      <w:tr>
        <w:tblPrEx>
          <w:tblW w:w="8550" w:type="dxa"/>
          <w:tblInd w:w="1417" w:type="dxa"/>
          <w:tblLayout w:type="fixed"/>
        </w:tblPrEx>
        <w:trPr>
          <w:cantSplit/>
          <w:trHeight w:hRule="auto" w:val="0"/>
        </w:trPr>
        <w:tc>
          <w:tcPr>
            <w:tcW w:w="4470" w:type="dxa"/>
            <w:vMerge/>
            <w:tcBorders>
              <w:top w:val="nil"/>
              <w:left w:val="single" w:sz="2" w:space="0" w:color="000000"/>
              <w:bottom w:val="nil"/>
              <w:right w:val="nil"/>
            </w:tcBorders>
          </w:tcPr>
          <w:p>
            <w:pPr>
              <w:keepNext/>
              <w:pageBreakBefore w:val="0"/>
            </w:pPr>
          </w:p>
        </w:tc>
        <w:tc>
          <w:tcPr>
            <w:tcW w:w="10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2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470" w:type="dxa"/>
            <w:vMerge/>
            <w:tcBorders>
              <w:top w:val="nil"/>
              <w:left w:val="single" w:sz="2" w:space="0" w:color="000000"/>
              <w:bottom w:val="single" w:sz="2" w:space="0" w:color="000000"/>
              <w:right w:val="nil"/>
            </w:tcBorders>
          </w:tcPr>
          <w:p>
            <w:pPr>
              <w:keepNext/>
              <w:pageBreakBefore w:val="0"/>
            </w:pPr>
          </w:p>
        </w:tc>
        <w:tc>
          <w:tcPr>
            <w:tcW w:w="10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2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Obligación presente sin fondos de plan de beneficios definidos.</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861.372</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829.151</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100.110</w:t>
            </w: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94.794</w:t>
            </w:r>
          </w:p>
        </w:tc>
      </w:tr>
      <w:tr>
        <w:tblPrEx>
          <w:tblW w:w="8550" w:type="dxa"/>
          <w:tblInd w:w="1417" w:type="dxa"/>
          <w:tblLayout w:type="fixed"/>
        </w:tblPrEx>
        <w:trPr>
          <w:cantSplit/>
          <w:trHeight w:hRule="exact" w:val="255"/>
        </w:trPr>
        <w:tc>
          <w:tcPr>
            <w:tcW w:w="4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6"/>
                <w:u w:val="none"/>
              </w:rPr>
              <w:t>Total</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861.372</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829.151</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100.110</w:t>
            </w:r>
          </w:p>
        </w:tc>
        <w:tc>
          <w:tcPr>
            <w:tcW w:w="10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94.794</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59" w:lineRule="auto"/>
        <w:ind w:left="0" w:right="0" w:firstLine="708"/>
        <w:jc w:val="both"/>
        <w:outlineLvl w:val="1"/>
        <w:rPr>
          <w:rFonts w:ascii="Times New Roman" w:eastAsia="Times New Roman" w:hAnsi="Times New Roman" w:cs="Times New Roman"/>
          <w:b/>
          <w:i w:val="0"/>
          <w:color w:val="000000"/>
          <w:sz w:val="24"/>
          <w:u w:val="none"/>
        </w:rPr>
      </w:pPr>
      <w:bookmarkStart w:id="160" w:name="Section84"/>
      <w:bookmarkEnd w:id="160"/>
      <w:bookmarkStart w:id="161" w:name="4ca15890c98f4fb2963652a94cdc8283"/>
      <w:r>
        <w:rPr>
          <w:rFonts w:ascii="Calibri" w:eastAsia="Calibri" w:hAnsi="Calibri" w:cs="Calibri"/>
          <w:b/>
          <w:i w:val="0"/>
          <w:color w:val="000000"/>
          <w:sz w:val="20"/>
          <w:u w:val="none"/>
        </w:rPr>
        <w:t>18.4.-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reconocidos en el estado de resultados.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6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30"/>
        <w:gridCol w:w="945"/>
        <w:gridCol w:w="945"/>
        <w:gridCol w:w="945"/>
        <w:gridCol w:w="945"/>
        <w:gridCol w:w="1740"/>
      </w:tblGrid>
      <w:tr>
        <w:tblPrEx>
          <w:tblW w:w="8550" w:type="dxa"/>
          <w:tblInd w:w="1417" w:type="dxa"/>
          <w:tblLayout w:type="fixed"/>
        </w:tblPrEx>
        <w:trPr>
          <w:cantSplit/>
          <w:trHeight w:hRule="auto" w:val="0"/>
        </w:trPr>
        <w:tc>
          <w:tcPr>
            <w:tcW w:w="30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reconocidos en el estado de resultados por función</w:t>
            </w:r>
          </w:p>
        </w:tc>
        <w:tc>
          <w:tcPr>
            <w:tcW w:w="18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Indemnización por años de servicios</w:t>
            </w:r>
          </w:p>
        </w:tc>
        <w:tc>
          <w:tcPr>
            <w:tcW w:w="18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Premios por antigüedad</w:t>
            </w:r>
          </w:p>
        </w:tc>
        <w:tc>
          <w:tcPr>
            <w:tcW w:w="174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Línea del estado de resultados</w:t>
            </w:r>
          </w:p>
        </w:tc>
      </w:tr>
      <w:tr>
        <w:tblPrEx>
          <w:tblW w:w="8550" w:type="dxa"/>
          <w:tblInd w:w="1417" w:type="dxa"/>
          <w:tblLayout w:type="fixed"/>
        </w:tblPrEx>
        <w:trPr>
          <w:cantSplit/>
          <w:trHeight w:hRule="auto" w:val="0"/>
        </w:trPr>
        <w:tc>
          <w:tcPr>
            <w:tcW w:w="3030" w:type="dxa"/>
            <w:vMerge/>
            <w:tcBorders>
              <w:top w:val="nil"/>
              <w:left w:val="single" w:sz="2" w:space="0" w:color="000000"/>
              <w:bottom w:val="nil"/>
              <w:right w:val="nil"/>
            </w:tcBorders>
          </w:tcPr>
          <w:p>
            <w:pPr>
              <w:keepNext/>
              <w:pageBreakBefore w:val="0"/>
            </w:pP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74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3030" w:type="dxa"/>
            <w:vMerge/>
            <w:tcBorders>
              <w:top w:val="nil"/>
              <w:left w:val="single" w:sz="2" w:space="0" w:color="000000"/>
              <w:bottom w:val="nil"/>
              <w:right w:val="nil"/>
            </w:tcBorders>
          </w:tcPr>
          <w:p>
            <w:pPr>
              <w:keepNext/>
              <w:pageBreakBefore w:val="0"/>
            </w:pP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74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303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740" w:type="dxa"/>
            <w:vMerge/>
            <w:tcBorders>
              <w:top w:val="nil"/>
              <w:left w:val="single" w:sz="4" w:space="0" w:color="FFFFFF"/>
              <w:bottom w:val="single" w:sz="2" w:space="0" w:color="000000"/>
              <w:right w:val="single" w:sz="2" w:space="0" w:color="000000"/>
            </w:tcBorders>
          </w:tcPr>
          <w:p>
            <w:pPr>
              <w:keepNext/>
              <w:pageBreakBefore w:val="0"/>
            </w:pPr>
          </w:p>
        </w:tc>
      </w:tr>
      <w:tr>
        <w:tblPrEx>
          <w:tblW w:w="8550" w:type="dxa"/>
          <w:tblInd w:w="1417"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Costo del servicio corriente plan de beneficios definidos.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30.277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40.470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3.796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6.946</w:t>
            </w:r>
          </w:p>
        </w:tc>
        <w:tc>
          <w:tcPr>
            <w:tcW w:w="174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 - gastos de administración.</w:t>
            </w:r>
          </w:p>
        </w:tc>
      </w:tr>
      <w:tr>
        <w:tblPrEx>
          <w:tblW w:w="8550" w:type="dxa"/>
          <w:tblInd w:w="1417"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Costo por intereses plan de beneficios definidos.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13.177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22.923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1.521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2.603</w:t>
            </w:r>
          </w:p>
        </w:tc>
        <w:tc>
          <w:tcPr>
            <w:tcW w:w="174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Costos Financieros.</w:t>
            </w:r>
          </w:p>
        </w:tc>
      </w:tr>
      <w:tr>
        <w:tblPrEx>
          <w:tblW w:w="8550" w:type="dxa"/>
          <w:tblInd w:w="1417" w:type="dxa"/>
          <w:tblLayout w:type="fixed"/>
        </w:tblPrEx>
        <w:trPr>
          <w:cantSplit/>
          <w:trHeight w:hRule="exact" w:val="225"/>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4"/>
                <w:u w:val="none"/>
              </w:rPr>
              <w:t>Total</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43.454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63.393</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5.317</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9.549</w:t>
            </w:r>
          </w:p>
        </w:tc>
        <w:tc>
          <w:tcPr>
            <w:tcW w:w="174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62" w:name="Section85"/>
      <w:bookmarkEnd w:id="162"/>
      <w:bookmarkStart w:id="163" w:name="c953c93fd5564807aeafdc69331137bf"/>
      <w:r>
        <w:rPr>
          <w:rFonts w:ascii="Calibri" w:eastAsia="Calibri" w:hAnsi="Calibri" w:cs="Calibri"/>
          <w:b/>
          <w:i w:val="0"/>
          <w:color w:val="000000"/>
          <w:sz w:val="20"/>
          <w:u w:val="none"/>
        </w:rPr>
        <w:t>18.5.-</w:t>
      </w:r>
      <w:r>
        <w:rPr>
          <w:rFonts w:ascii="Calibri" w:eastAsia="Calibri" w:hAnsi="Calibri" w:cs="Calibri"/>
          <w:b/>
          <w:i w:val="0"/>
          <w:color w:val="000000"/>
          <w:sz w:val="20"/>
          <w:u w:val="none"/>
        </w:rPr>
        <w:tab/>
      </w:r>
      <w:r>
        <w:rPr>
          <w:rFonts w:ascii="Calibri" w:eastAsia="Calibri" w:hAnsi="Calibri" w:cs="Calibri"/>
          <w:b/>
          <w:i w:val="0"/>
          <w:color w:val="000000"/>
          <w:sz w:val="20"/>
          <w:u w:val="none"/>
        </w:rPr>
        <w:t>Hipótesis actuariales.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hipótesis actuariales utilizadas al cierre de estos estados financieros han sido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562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2385"/>
      </w:tblGrid>
      <w:tr>
        <w:tblPrEx>
          <w:tblW w:w="5625" w:type="dxa"/>
          <w:tblInd w:w="1417" w:type="dxa"/>
          <w:tblLayout w:type="fixed"/>
        </w:tblPrEx>
        <w:trPr>
          <w:cantSplit/>
          <w:trHeight w:hRule="auto" w:val="0"/>
        </w:trPr>
        <w:tc>
          <w:tcPr>
            <w:tcW w:w="5625" w:type="dxa"/>
            <w:gridSpan w:val="2"/>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r>
      <w:tr>
        <w:tblPrEx>
          <w:tblW w:w="5625" w:type="dxa"/>
          <w:tblInd w:w="1417" w:type="dxa"/>
          <w:tblLayout w:type="fixed"/>
        </w:tblPrEx>
        <w:trPr>
          <w:cantSplit/>
          <w:trHeight w:hRule="auto" w:val="0"/>
        </w:trPr>
        <w:tc>
          <w:tcPr>
            <w:tcW w:w="324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Tasa de descuento real utilizada.</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2,11 %</w:t>
            </w:r>
          </w:p>
        </w:tc>
      </w:tr>
      <w:tr>
        <w:tblPrEx>
          <w:tblW w:w="5625"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futuros de salarios.</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2,90 %</w:t>
            </w:r>
          </w:p>
        </w:tc>
      </w:tr>
      <w:tr>
        <w:tblPrEx>
          <w:tblW w:w="5625"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Tabla de mortalidad.</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RV-2020</w:t>
            </w:r>
          </w:p>
        </w:tc>
      </w:tr>
      <w:tr>
        <w:tblPrEx>
          <w:tblW w:w="5625"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Tasa de rotación anual.</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1,65 %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supuestos respecto a la tasa futura de mortalidad se fijan sobre la base de asesoría actuarial de acuerdo con las estadísticas publicadas y con la experiencia en Chile.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cálculo del pasivo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se aplicó la misma metodología utilizada en el ejercicio anterior. Respecto a lo anterior, Transformadores Tusan S.A. contrató a Mercer (Argentina) S.A., para la determinación de las obligaciones por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la sensibilidad del valor del pasivo actuarial por beneficios definidos ante variaciones de un 1% en la tasa de descuento genera los siguientes efectos: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de la tasa de descuento</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Disminución de 1%</w:t>
            </w:r>
            <w:r>
              <w:br/>
            </w:r>
            <w:r>
              <w:rPr>
                <w:rFonts w:ascii="Calibri" w:eastAsia="Calibri" w:hAnsi="Calibri" w:cs="Calibri"/>
                <w:b/>
                <w:i w:val="0"/>
                <w:color w:val="FFFFFF"/>
                <w:sz w:val="16"/>
                <w:u w:val="none"/>
              </w:rPr>
              <w:t>M$</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Incremento de 1%</w:t>
            </w:r>
            <w:r>
              <w:br/>
            </w: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Efecto en las obligaciones por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83.850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(71.513)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1417" w:right="0" w:hanging="709"/>
        <w:jc w:val="both"/>
        <w:outlineLvl w:val="1"/>
        <w:rPr>
          <w:rFonts w:ascii="Times New Roman" w:eastAsia="Times New Roman" w:hAnsi="Times New Roman" w:cs="Times New Roman"/>
          <w:b/>
          <w:i w:val="0"/>
          <w:color w:val="000000"/>
          <w:sz w:val="24"/>
          <w:u w:val="none"/>
        </w:rPr>
      </w:pPr>
      <w:bookmarkStart w:id="164" w:name="Section86"/>
      <w:bookmarkEnd w:id="164"/>
      <w:bookmarkStart w:id="165" w:name="1195ecff9752457bb511caddc4e6fc36"/>
      <w:r>
        <w:rPr>
          <w:rFonts w:ascii="Calibri" w:eastAsia="Calibri" w:hAnsi="Calibri" w:cs="Calibri"/>
          <w:b/>
          <w:i w:val="0"/>
          <w:color w:val="000000"/>
          <w:sz w:val="20"/>
          <w:u w:val="none"/>
        </w:rPr>
        <w:t>18.6.-</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 y plazo de los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flujo previsto de prestaciones para los próximos años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como sigue: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95.630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7.570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103.200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71.804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9.740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81.544</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51.458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10.020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61.478</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35.183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6.938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42.121</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96.005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10.214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106.219</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225.911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26.739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252.650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285.381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28.889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314.270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861.372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100.110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961.482</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exact" w:val="585"/>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8" w:space="0" w:color="FFFFFF"/>
              <w:right w:val="nil"/>
            </w:tcBorders>
            <w:tcMar>
              <w:top w:w="0" w:type="dxa"/>
              <w:left w:w="53" w:type="dxa"/>
              <w:bottom w:w="0" w:type="dxa"/>
              <w:right w:w="53" w:type="dxa"/>
            </w:tcMar>
            <w:vAlign w:val="top"/>
          </w:tcPr>
          <w:p>
            <w:pPr>
              <w:keepNext/>
              <w:pageBreakBefore w:val="0"/>
              <w:spacing w:before="48" w:after="3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8" w:space="0" w:color="FFFFFF"/>
              <w:right w:val="nil"/>
            </w:tcBorders>
            <w:tcMar>
              <w:top w:w="0" w:type="dxa"/>
              <w:left w:w="53" w:type="dxa"/>
              <w:bottom w:w="0" w:type="dxa"/>
              <w:right w:w="53" w:type="dxa"/>
            </w:tcMar>
            <w:vAlign w:val="top"/>
          </w:tcPr>
          <w:p>
            <w:pPr>
              <w:keepNext/>
              <w:pageBreakBefore w:val="0"/>
              <w:spacing w:before="48" w:after="3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8" w:space="0" w:color="FFFFFF"/>
              <w:right w:val="single" w:sz="2" w:space="0" w:color="000000"/>
            </w:tcBorders>
            <w:tcMar>
              <w:top w:w="0" w:type="dxa"/>
              <w:left w:w="53" w:type="dxa"/>
              <w:bottom w:w="0" w:type="dxa"/>
              <w:right w:w="53" w:type="dxa"/>
            </w:tcMar>
            <w:vAlign w:val="top"/>
          </w:tcPr>
          <w:p>
            <w:pPr>
              <w:keepNext/>
              <w:pageBreakBefore w:val="0"/>
              <w:spacing w:before="48" w:after="3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exact" w:val="255"/>
        </w:trPr>
        <w:tc>
          <w:tcPr>
            <w:tcW w:w="4950" w:type="dxa"/>
            <w:vMerge/>
            <w:tcBorders>
              <w:top w:val="nil"/>
              <w:left w:val="single" w:sz="2" w:space="0" w:color="000000"/>
              <w:bottom w:val="nil"/>
              <w:right w:val="nil"/>
            </w:tcBorders>
          </w:tcPr>
          <w:p>
            <w:pPr>
              <w:keepNext/>
              <w:pageBreakBefore w:val="0"/>
            </w:pPr>
          </w:p>
        </w:tc>
        <w:tc>
          <w:tcPr>
            <w:tcW w:w="1200" w:type="dxa"/>
            <w:tcBorders>
              <w:top w:val="single" w:sz="8"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8"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8"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exact" w:val="255"/>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93.459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8.979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102.438</w:t>
            </w: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46.597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7.849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54.446</w:t>
            </w: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58.385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12.890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71.275</w:t>
            </w: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43.732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4.514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48.246</w:t>
            </w: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94.538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9.736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104.274</w:t>
            </w: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205.863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25.104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230.967</w:t>
            </w: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286.577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25.722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312.299</w:t>
            </w: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829.151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94.794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923.945</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66" w:name="Section87"/>
      <w:bookmarkEnd w:id="166"/>
      <w:bookmarkStart w:id="167" w:name="f876b8c0edcb407c934b6bd1ec129a41"/>
      <w:r>
        <w:rPr>
          <w:rFonts w:ascii="Calibri" w:eastAsia="Calibri" w:hAnsi="Calibri" w:cs="Calibri"/>
          <w:b/>
          <w:i w:val="0"/>
          <w:color w:val="000000"/>
          <w:sz w:val="20"/>
          <w:u w:val="none"/>
        </w:rPr>
        <w:t>19.-</w:t>
      </w:r>
      <w:r>
        <w:rPr>
          <w:rFonts w:ascii="Calibri" w:eastAsia="Calibri" w:hAnsi="Calibri" w:cs="Calibri"/>
          <w:b/>
          <w:i w:val="0"/>
          <w:color w:val="000000"/>
          <w:sz w:val="20"/>
          <w:u w:val="none"/>
        </w:rPr>
        <w:tab/>
      </w:r>
      <w:r>
        <w:rPr>
          <w:rFonts w:ascii="Calibri" w:eastAsia="Calibri" w:hAnsi="Calibri" w:cs="Calibri"/>
          <w:b/>
          <w:i w:val="0"/>
          <w:color w:val="000000"/>
          <w:sz w:val="20"/>
          <w:u w:val="none"/>
        </w:rPr>
        <w:t>PATRIMONIO NETO.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67"/>
    </w:p>
    <w:p>
      <w:pPr>
        <w:keepNext/>
        <w:keepLines/>
        <w:pageBreakBefore w:val="0"/>
        <w:widowControl w:val="0"/>
        <w:numPr>
          <w:ilvl w:val="0"/>
          <w:numId w:val="0"/>
        </w:numPr>
        <w:tabs>
          <w:tab w:val="left" w:pos="700"/>
        </w:tabs>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68" w:name="Section88"/>
      <w:bookmarkEnd w:id="168"/>
      <w:bookmarkStart w:id="169" w:name="dde5e04e5d924c7c88fe92c6e95d93a4"/>
      <w:r>
        <w:rPr>
          <w:rFonts w:ascii="Calibri" w:eastAsia="Calibri" w:hAnsi="Calibri" w:cs="Calibri"/>
          <w:b/>
          <w:i w:val="0"/>
          <w:color w:val="000000"/>
          <w:sz w:val="20"/>
          <w:u w:val="none"/>
        </w:rPr>
        <w:t>19.1.-</w:t>
      </w:r>
      <w:r>
        <w:rPr>
          <w:rFonts w:ascii="Calibri" w:eastAsia="Calibri" w:hAnsi="Calibri" w:cs="Calibri"/>
          <w:b/>
          <w:i w:val="0"/>
          <w:color w:val="000000"/>
          <w:sz w:val="20"/>
          <w:u w:val="none"/>
        </w:rPr>
        <w:tab/>
      </w:r>
      <w:r>
        <w:rPr>
          <w:rFonts w:ascii="Calibri" w:eastAsia="Calibri" w:hAnsi="Calibri" w:cs="Calibri"/>
          <w:b/>
          <w:i w:val="0"/>
          <w:color w:val="000000"/>
          <w:sz w:val="20"/>
          <w:u w:val="none"/>
        </w:rPr>
        <w:t>Gestión de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6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objetivos de Transformadores Tusan S.A. al administrar el capital son el salvaguardar la capacidad de continuar como empresa en marcha con el propósito de generar retornos a sus accionistas, beneficios a otros grupos de interés y mantener una estructura de capital óptima para reducir el costo del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Consistente con la industria, la sociedad monitorea su capital sobre la base del ratio de apalancamiento. Esta ratio se calcula dividiendo la deuda neta por el capital total. La deuda neta corresponde al total del endeudamiento (incluyendo el endeudamiento corriente y no corriente) menos el efectivo y equivalentes de efectivo. El capital total corresponde al patrimonio tal y como se muestra en el estado de situación financiera consolidado más la deuda neta.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sentido, Transformadores Tusan S.A. ha combinado distintas fuentes de financiamiento tales como: flujos de la operación, préstamos de empresas relacionadas y sistema de tesorería centralizada.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footerReference w:type="default" r:id="rId45"/>
          <w:type w:val="continuous"/>
          <w:pgSz w:w="12240" w:h="15840"/>
          <w:pgMar w:top="1134" w:right="1134" w:bottom="1134" w:left="1134" w:header="0" w:footer="561"/>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0" w:name="Section89"/>
      <w:bookmarkEnd w:id="170"/>
      <w:bookmarkStart w:id="171" w:name="feef6c19921841f29d910d2220b0cdac"/>
      <w:r>
        <w:rPr>
          <w:rFonts w:ascii="Calibri" w:eastAsia="Calibri" w:hAnsi="Calibri" w:cs="Calibri"/>
          <w:b/>
          <w:i w:val="0"/>
          <w:color w:val="000000"/>
          <w:sz w:val="20"/>
          <w:u w:val="none"/>
        </w:rPr>
        <w:t>19.2.-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suscrito y pagado.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1"/>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capital suscrito y pagado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asciende a M$ 3.333.729.</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type w:val="continuous"/>
          <w:pgSz w:w="12240" w:h="15840"/>
          <w:pgMar w:top="1134" w:right="1134" w:bottom="1134" w:left="1134" w:header="0" w:footer="561"/>
          <w:cols w:space="708"/>
        </w:sectPr>
      </w:pPr>
    </w:p>
    <w:p>
      <w:pPr>
        <w:pStyle w:val="Heading2-wk"/>
        <w:keepNext/>
        <w:keepLines/>
        <w:pageBreakBefore w:val="0"/>
        <w:widowControl w:val="0"/>
        <w:numPr>
          <w:ilvl w:val="0"/>
          <w:numId w:val="0"/>
        </w:numPr>
        <w:tabs>
          <w:tab w:val="left" w:pos="700"/>
        </w:tabs>
        <w:spacing w:before="0" w:after="0" w:line="240" w:lineRule="exact"/>
        <w:ind w:left="720" w:right="0" w:firstLine="0"/>
        <w:jc w:val="both"/>
        <w:outlineLvl w:val="1"/>
        <w:rPr>
          <w:rFonts w:ascii="Times New Roman" w:eastAsia="Times New Roman" w:hAnsi="Times New Roman" w:cs="Times New Roman"/>
          <w:b/>
          <w:i w:val="0"/>
          <w:color w:val="000000"/>
          <w:sz w:val="24"/>
          <w:u w:val="none"/>
        </w:rPr>
      </w:pPr>
      <w:bookmarkStart w:id="172" w:name="Section90"/>
      <w:bookmarkEnd w:id="172"/>
      <w:bookmarkStart w:id="173" w:name="7eaca5b3589f46df8ce891267f429925"/>
      <w:r>
        <w:rPr>
          <w:rFonts w:ascii="Calibri" w:eastAsia="Calibri" w:hAnsi="Calibri" w:cs="Calibri"/>
          <w:b/>
          <w:i w:val="0"/>
          <w:color w:val="000000"/>
          <w:sz w:val="20"/>
          <w:u w:val="none"/>
        </w:rPr>
        <w:t>19.3.-</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de acciones suscritas y pagadas.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3"/>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el capital de Transformadores Tusan S.A., está representado por 100.000 acciones sin valor nominal, de un voto por acción.</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type w:val="continuous"/>
          <w:pgSz w:w="12240" w:h="15840"/>
          <w:pgMar w:top="1134" w:right="1134" w:bottom="1134" w:left="1134" w:header="0" w:footer="561"/>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4" w:name="Section91"/>
      <w:bookmarkEnd w:id="174"/>
      <w:bookmarkStart w:id="175" w:name="3b467888c9ae49b5b4b1a7a0fc816533"/>
      <w:r>
        <w:rPr>
          <w:rFonts w:ascii="Calibri" w:eastAsia="Calibri" w:hAnsi="Calibri" w:cs="Calibri"/>
          <w:b/>
          <w:i w:val="0"/>
          <w:color w:val="000000"/>
          <w:sz w:val="20"/>
          <w:u w:val="none"/>
        </w:rPr>
        <w:t>19.4.-</w:t>
      </w:r>
      <w:r>
        <w:rPr>
          <w:rFonts w:ascii="Calibri" w:eastAsia="Calibri" w:hAnsi="Calibri" w:cs="Calibri"/>
          <w:b/>
          <w:i w:val="0"/>
          <w:color w:val="000000"/>
          <w:sz w:val="20"/>
          <w:u w:val="none"/>
        </w:rPr>
        <w:tab/>
      </w:r>
      <w:r>
        <w:rPr>
          <w:rFonts w:ascii="Calibri" w:eastAsia="Calibri" w:hAnsi="Calibri" w:cs="Calibri"/>
          <w:b/>
          <w:i w:val="0"/>
          <w:color w:val="000000"/>
          <w:sz w:val="20"/>
          <w:u w:val="none"/>
        </w:rPr>
        <w:t>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5"/>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Junta Ordinaria de Accionistas de la Sociedad, celebrada el 18 de abril de 2024, se aprobó el pago del dividendo definitivo N° 36 de $ 6.048 por acción con cargo a las utilidades del ejercicio 2023, el cual se pagó con fecha 07 de mayo de 2024, por un total de M$ 604.800.</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Luego, en Junta Ordinaria de Accionistas de la Sociedad, celebrada el 21 de abril de 2025, se aprobó el pago del dividendo definitivo N° 37 de $ 19.013 por acción con cargo a las utilidades del ejercicio 2024, el cual se pagó con fecha 25 de abril de 2025, por un total de M$ 1.901.300, de los cuales M$ 1.140.723 se encontraban provisionados al 31 de diciembre de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2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acuerdo a la política de dividendos de la Sociedad al 31 de diciembre de 2025 se provisionó un dividendo equivalente al 30% sobre las utilidades del ejercicio por un monto de M$ 1.053.447.</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type w:val="continuous"/>
          <w:pgSz w:w="12240" w:h="15840"/>
          <w:pgMar w:top="1134" w:right="1134" w:bottom="1134" w:left="1134" w:header="0" w:footer="561"/>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6" w:name="Section92"/>
      <w:bookmarkEnd w:id="176"/>
      <w:bookmarkStart w:id="177" w:name="3c8eec64bb15488fb4cfd512c828909d"/>
      <w:r>
        <w:rPr>
          <w:rFonts w:ascii="Calibri" w:eastAsia="Calibri" w:hAnsi="Calibri" w:cs="Calibri"/>
          <w:b/>
          <w:i w:val="0"/>
          <w:color w:val="000000"/>
          <w:sz w:val="20"/>
          <w:u w:val="none"/>
        </w:rPr>
        <w:t>19.5.-</w:t>
      </w:r>
      <w:r>
        <w:rPr>
          <w:rFonts w:ascii="Calibri" w:eastAsia="Calibri" w:hAnsi="Calibri" w:cs="Calibri"/>
          <w:b/>
          <w:i w:val="0"/>
          <w:color w:val="000000"/>
          <w:sz w:val="20"/>
          <w:u w:val="none"/>
        </w:rPr>
        <w:tab/>
      </w:r>
      <w:r>
        <w:rPr>
          <w:rFonts w:ascii="Calibri" w:eastAsia="Calibri" w:hAnsi="Calibri" w:cs="Calibri"/>
          <w:b/>
          <w:i w:val="0"/>
          <w:color w:val="000000"/>
          <w:sz w:val="20"/>
          <w:u w:val="none"/>
        </w:rPr>
        <w:t>Reservas.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177"/>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de otras reservas dentro del patrimonio, se incluyen los siguientes conceptos: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2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19.5.1-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ganancias y pérdidas por planes de beneficios definidos.</w:t>
      </w:r>
    </w:p>
    <w:p>
      <w:pPr>
        <w:keepNext w:val="0"/>
        <w:keepLines/>
        <w:pageBreakBefore w:val="0"/>
        <w:widowControl w:val="0"/>
        <w:numPr>
          <w:ilvl w:val="0"/>
          <w:numId w:val="0"/>
        </w:numPr>
        <w:spacing w:before="0" w:after="0" w:line="264"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20" w:lineRule="exact"/>
        <w:ind w:left="211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 a las variaciones de los valores actuariales de la provisión por beneficios definidos de empleados.</w:t>
      </w:r>
    </w:p>
    <w:p>
      <w:pPr>
        <w:keepNext w:val="0"/>
        <w:keepLines/>
        <w:pageBreakBefore w:val="0"/>
        <w:widowControl w:val="0"/>
        <w:numPr>
          <w:ilvl w:val="0"/>
          <w:numId w:val="0"/>
        </w:numPr>
        <w:spacing w:before="0" w:after="0" w:line="264"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saldos acumulados por la aplicación de la NIC 19 se han reconocido en otros resultados integrales, producto de lo anterior el saldo de estas reservas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ascienden a M$ (230.713) y M$ (289.435)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ambos netos de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19.5.2.-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rubro se incluyen otras reservas que se reconocen de inversiones en subsidiarias.</w:t>
      </w:r>
    </w:p>
    <w:p>
      <w:pPr>
        <w:pStyle w:val="Normal-wk"/>
        <w:keepNext w:val="0"/>
        <w:keepLines/>
        <w:pageBreakBefore w:val="0"/>
        <w:widowControl w:val="0"/>
        <w:numPr>
          <w:ilvl w:val="0"/>
          <w:numId w:val="0"/>
        </w:numPr>
        <w:spacing w:before="0" w:after="0" w:line="288" w:lineRule="auto"/>
        <w:ind w:left="2124" w:right="0" w:firstLine="6"/>
        <w:jc w:val="both"/>
        <w:outlineLvl w:val="9"/>
        <w:sectPr>
          <w:type w:val="continuous"/>
          <w:pgSz w:w="12240" w:h="15840"/>
          <w:pgMar w:top="1134" w:right="1134" w:bottom="1134" w:left="1134" w:header="0" w:footer="561"/>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8" w:name="Section93"/>
      <w:bookmarkEnd w:id="178"/>
      <w:bookmarkStart w:id="179" w:name="33564f383b6c4aa29aafc43b9c680b30"/>
      <w:r>
        <w:rPr>
          <w:rFonts w:ascii="Calibri" w:eastAsia="Calibri" w:hAnsi="Calibri" w:cs="Calibri"/>
          <w:b/>
          <w:i w:val="0"/>
          <w:color w:val="000000"/>
          <w:sz w:val="20"/>
          <w:u w:val="none"/>
        </w:rPr>
        <w:t>19.6.-</w:t>
      </w:r>
      <w:r>
        <w:rPr>
          <w:rFonts w:ascii="Calibri" w:eastAsia="Calibri" w:hAnsi="Calibri" w:cs="Calibri"/>
          <w:b/>
          <w:i w:val="0"/>
          <w:color w:val="000000"/>
          <w:sz w:val="20"/>
          <w:u w:val="none"/>
        </w:rPr>
        <w:tab/>
      </w:r>
      <w:r>
        <w:rPr>
          <w:rFonts w:ascii="Calibri" w:eastAsia="Calibri" w:hAnsi="Calibri" w:cs="Calibri"/>
          <w:b/>
          <w:i w:val="0"/>
          <w:color w:val="000000"/>
          <w:sz w:val="20"/>
          <w:u w:val="none"/>
        </w:rPr>
        <w:t>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9"/>
    </w:p>
    <w:p>
      <w:pPr>
        <w:pStyle w:val="Normal-wk"/>
        <w:keepNext w:val="0"/>
        <w:keepLines/>
        <w:pageBreakBefore w:val="0"/>
        <w:widowControl w:val="0"/>
        <w:numPr>
          <w:ilvl w:val="0"/>
          <w:numId w:val="0"/>
        </w:numPr>
        <w:spacing w:before="0" w:after="0" w:line="288" w:lineRule="auto"/>
        <w:ind w:left="1413" w:right="0" w:firstLine="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siguientes son las participaciones no controladoras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20"/>
        <w:gridCol w:w="3330"/>
        <w:gridCol w:w="600"/>
        <w:gridCol w:w="1200"/>
        <w:gridCol w:w="1200"/>
        <w:gridCol w:w="1200"/>
        <w:gridCol w:w="1200"/>
        <w:gridCol w:w="1200"/>
        <w:gridCol w:w="1200"/>
      </w:tblGrid>
      <w:tr>
        <w:tblPrEx>
          <w:tblW w:w="12150" w:type="dxa"/>
          <w:tblInd w:w="1417" w:type="dxa"/>
          <w:tblLayout w:type="fixed"/>
        </w:tblPrEx>
        <w:trPr>
          <w:cantSplit/>
          <w:trHeight w:hRule="auto" w:val="0"/>
        </w:trPr>
        <w:tc>
          <w:tcPr>
            <w:tcW w:w="10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Rut</w:t>
            </w:r>
          </w:p>
        </w:tc>
        <w:tc>
          <w:tcPr>
            <w:tcW w:w="333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Nombre de la subsidiaria</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País de origen</w:t>
            </w:r>
          </w:p>
        </w:tc>
        <w:tc>
          <w:tcPr>
            <w:tcW w:w="24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Porcentaje de participación en subsidiarias de la participación no controladora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Participación no controladora en patrimonio</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 (pérdida) atribuible a participación no controladora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Participación no controladora en patrimonio</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 (pérdida) atribuible a participación no controladora</w:t>
            </w:r>
          </w:p>
        </w:tc>
      </w:tr>
      <w:tr>
        <w:tblPrEx>
          <w:tblW w:w="12150" w:type="dxa"/>
          <w:tblInd w:w="1417" w:type="dxa"/>
          <w:tblLayout w:type="fixed"/>
        </w:tblPrEx>
        <w:trPr>
          <w:cantSplit/>
          <w:trHeight w:hRule="auto" w:val="0"/>
        </w:trPr>
        <w:tc>
          <w:tcPr>
            <w:tcW w:w="1020" w:type="dxa"/>
            <w:vMerge/>
            <w:tcBorders>
              <w:top w:val="nil"/>
              <w:left w:val="single" w:sz="2" w:space="0" w:color="000000"/>
              <w:bottom w:val="nil"/>
              <w:right w:val="nil"/>
            </w:tcBorders>
          </w:tcPr>
          <w:p>
            <w:pPr>
              <w:keepNext/>
              <w:pageBreakBefore w:val="0"/>
            </w:pPr>
          </w:p>
        </w:tc>
        <w:tc>
          <w:tcPr>
            <w:tcW w:w="333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24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40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150" w:type="dxa"/>
          <w:tblInd w:w="1417" w:type="dxa"/>
          <w:tblLayout w:type="fixed"/>
        </w:tblPrEx>
        <w:trPr>
          <w:cantSplit/>
          <w:trHeight w:hRule="auto" w:val="0"/>
        </w:trPr>
        <w:tc>
          <w:tcPr>
            <w:tcW w:w="1020" w:type="dxa"/>
            <w:vMerge/>
            <w:tcBorders>
              <w:top w:val="nil"/>
              <w:left w:val="single" w:sz="2" w:space="0" w:color="000000"/>
              <w:bottom w:val="single" w:sz="2" w:space="0" w:color="000000"/>
              <w:right w:val="nil"/>
            </w:tcBorders>
          </w:tcPr>
          <w:p>
            <w:pPr>
              <w:keepNext/>
              <w:pageBreakBefore w:val="0"/>
            </w:pPr>
          </w:p>
        </w:tc>
        <w:tc>
          <w:tcPr>
            <w:tcW w:w="333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150" w:type="dxa"/>
          <w:tblInd w:w="1417" w:type="dxa"/>
          <w:tblLayout w:type="fixed"/>
        </w:tblPrEx>
        <w:trPr>
          <w:cantSplit/>
          <w:trHeight w:hRule="auto" w:val="0"/>
        </w:trPr>
        <w:tc>
          <w:tcPr>
            <w:tcW w:w="10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78.512.190-2</w:t>
            </w:r>
          </w:p>
        </w:tc>
        <w:tc>
          <w:tcPr>
            <w:tcW w:w="33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Energy Sur Ingeniería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6"/>
                <w:u w:val="none"/>
              </w:rPr>
              <w:tab/>
              <w:t>45,00000 %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6"/>
                <w:u w:val="none"/>
              </w:rPr>
              <w:tab/>
              <w:t>45,00000 %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654.522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41.102</w:t>
            </w:r>
          </w:p>
        </w:tc>
      </w:tr>
      <w:tr>
        <w:tblPrEx>
          <w:tblW w:w="12150" w:type="dxa"/>
          <w:tblInd w:w="1417" w:type="dxa"/>
          <w:tblLayout w:type="fixed"/>
        </w:tblPrEx>
        <w:trPr>
          <w:cantSplit/>
          <w:trHeight w:hRule="auto" w:val="0"/>
        </w:trPr>
        <w:tc>
          <w:tcPr>
            <w:tcW w:w="735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654.522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41.102</w:t>
            </w:r>
          </w:p>
        </w:tc>
      </w:tr>
    </w:tbl>
    <w:p>
      <w:pPr>
        <w:keepNext w:val="0"/>
        <w:keepLines/>
        <w:pageBreakBefore w:val="0"/>
        <w:widowControl w:val="0"/>
        <w:numPr>
          <w:ilvl w:val="0"/>
          <w:numId w:val="0"/>
        </w:numPr>
        <w:spacing w:before="0" w:after="0" w:line="288" w:lineRule="auto"/>
        <w:ind w:left="-142" w:right="-661"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661"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661" w:firstLine="0"/>
        <w:jc w:val="both"/>
        <w:outlineLvl w:val="9"/>
        <w:rPr>
          <w:rFonts w:ascii="Calibri" w:eastAsia="Calibri" w:hAnsi="Calibri" w:cs="Calibri"/>
          <w:b w:val="0"/>
          <w:i w:val="0"/>
          <w:color w:val="000000"/>
          <w:sz w:val="20"/>
          <w:u w:val="none"/>
        </w:rPr>
        <w:sectPr>
          <w:headerReference w:type="default" r:id="rId46"/>
          <w:footerReference w:type="default" r:id="rId47"/>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0" w:name="Section94"/>
      <w:bookmarkEnd w:id="180"/>
      <w:bookmarkStart w:id="181" w:name="8b312d4d7a3c4b7183f7347217dab445"/>
      <w:r>
        <w:rPr>
          <w:rFonts w:ascii="Calibri" w:eastAsia="Calibri" w:hAnsi="Calibri" w:cs="Calibri"/>
          <w:b/>
          <w:i w:val="0"/>
          <w:color w:val="000000"/>
          <w:sz w:val="20"/>
          <w:u w:val="none"/>
        </w:rPr>
        <w:t>19.7.-</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con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1"/>
    </w:p>
    <w:p>
      <w:pPr>
        <w:pStyle w:val="Normal-wk"/>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hay transacciones con participaciones no controladoras.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3"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Estas transacciones, de existir, se contabilizan de acuerdo con lo descrito en Nota 3.4.2, imputando la diferencia entre el monto pagado y el valor libros de la inversión adquirida a otras reservas del patrimonio neto, en el rubro “otros incrementos (decrementos) en patrimonio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48"/>
          <w:footerReference w:type="default" r:id="rId49"/>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82" w:name="Section95"/>
      <w:bookmarkEnd w:id="182"/>
      <w:bookmarkStart w:id="183" w:name="fec6e421ea6d48d4b53c29be19f7d990"/>
      <w:r>
        <w:rPr>
          <w:rFonts w:ascii="Calibri" w:eastAsia="Calibri" w:hAnsi="Calibri" w:cs="Calibri"/>
          <w:b/>
          <w:i w:val="0"/>
          <w:color w:val="000000"/>
          <w:sz w:val="20"/>
          <w:u w:val="none"/>
        </w:rPr>
        <w:t>19.8.-</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del movimiento en reservas de los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3"/>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75"/>
        <w:gridCol w:w="675"/>
        <w:gridCol w:w="675"/>
        <w:gridCol w:w="675"/>
        <w:gridCol w:w="675"/>
        <w:gridCol w:w="675"/>
        <w:gridCol w:w="675"/>
        <w:gridCol w:w="675"/>
        <w:gridCol w:w="675"/>
        <w:gridCol w:w="675"/>
      </w:tblGrid>
      <w:tr>
        <w:tblPrEx>
          <w:tblW w:w="8550" w:type="dxa"/>
          <w:tblInd w:w="1417" w:type="dxa"/>
          <w:tblLayout w:type="fixed"/>
        </w:tblPrEx>
        <w:trPr>
          <w:cantSplit/>
          <w:trHeight w:hRule="auto" w:val="0"/>
          <w:tblHeader/>
        </w:trPr>
        <w:tc>
          <w:tcPr>
            <w:tcW w:w="247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0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02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blHeader/>
        </w:trPr>
        <w:tc>
          <w:tcPr>
            <w:tcW w:w="247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50" w:type="dxa"/>
          <w:tblInd w:w="1417" w:type="dxa"/>
          <w:tblLayout w:type="fixed"/>
        </w:tblPrEx>
        <w:trPr>
          <w:cantSplit/>
          <w:trHeight w:hRule="auto" w:val="0"/>
          <w:tblHeader/>
        </w:trPr>
        <w:tc>
          <w:tcPr>
            <w:tcW w:w="24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blHeader/>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50" w:type="dxa"/>
          <w:tblInd w:w="1417" w:type="dxa"/>
          <w:tblLayout w:type="fixed"/>
        </w:tblPrEx>
        <w:trPr>
          <w:cantSplit/>
          <w:trHeight w:hRule="exact" w:val="6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50" w:type="dxa"/>
          <w:tblInd w:w="1417" w:type="dxa"/>
          <w:tblLayout w:type="fixed"/>
        </w:tblPrEx>
        <w:trPr>
          <w:cantSplit/>
          <w:trHeight w:hRule="auto" w:val="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75"/>
        <w:gridCol w:w="675"/>
        <w:gridCol w:w="675"/>
        <w:gridCol w:w="675"/>
        <w:gridCol w:w="675"/>
        <w:gridCol w:w="675"/>
        <w:gridCol w:w="675"/>
        <w:gridCol w:w="675"/>
        <w:gridCol w:w="675"/>
        <w:gridCol w:w="675"/>
      </w:tblGrid>
      <w:tr>
        <w:tblPrEx>
          <w:tblW w:w="8550" w:type="dxa"/>
          <w:tblInd w:w="1417" w:type="dxa"/>
          <w:tblLayout w:type="fixed"/>
        </w:tblPrEx>
        <w:trPr>
          <w:cantSplit/>
          <w:trHeight w:hRule="auto" w:val="0"/>
          <w:tblHeader/>
        </w:trPr>
        <w:tc>
          <w:tcPr>
            <w:tcW w:w="247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02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blHeader/>
        </w:trPr>
        <w:tc>
          <w:tcPr>
            <w:tcW w:w="247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50" w:type="dxa"/>
          <w:tblInd w:w="1417" w:type="dxa"/>
          <w:tblLayout w:type="fixed"/>
        </w:tblPrEx>
        <w:trPr>
          <w:cantSplit/>
          <w:trHeight w:hRule="auto" w:val="0"/>
          <w:tblHeader/>
        </w:trPr>
        <w:tc>
          <w:tcPr>
            <w:tcW w:w="24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1.744.928</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25.291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1.770.219</w:t>
            </w:r>
          </w:p>
        </w:tc>
      </w:tr>
      <w:tr>
        <w:tblPrEx>
          <w:tblW w:w="8550" w:type="dxa"/>
          <w:tblInd w:w="1417" w:type="dxa"/>
          <w:tblLayout w:type="fixed"/>
        </w:tblPrEx>
        <w:trPr>
          <w:cantSplit/>
          <w:trHeight w:hRule="exact" w:val="6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79.226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(21.391)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57.835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79.226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(21.391)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57.835</w:t>
            </w:r>
          </w:p>
        </w:tc>
      </w:tr>
      <w:tr>
        <w:tblPrEx>
          <w:tblW w:w="8550" w:type="dxa"/>
          <w:tblInd w:w="1417" w:type="dxa"/>
          <w:tblLayout w:type="fixed"/>
        </w:tblPrEx>
        <w:trPr>
          <w:cantSplit/>
          <w:trHeight w:hRule="auto" w:val="0"/>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79.226</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(21.391)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57.835</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79.226</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(21.391)</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57.835</w:t>
            </w:r>
          </w:p>
        </w:tc>
      </w:tr>
      <w:tr>
        <w:tblPrEx>
          <w:tblW w:w="8550" w:type="dxa"/>
          <w:tblInd w:w="1417" w:type="dxa"/>
          <w:tblLayout w:type="fixed"/>
        </w:tblPrEx>
        <w:trPr>
          <w:cantSplit/>
          <w:trHeight w:hRule="auto" w:val="0"/>
        </w:trPr>
        <w:tc>
          <w:tcPr>
            <w:tcW w:w="2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2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1.802.763</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25.291</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1.828.054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59" w:lineRule="auto"/>
        <w:ind w:left="0" w:right="0" w:firstLine="0"/>
        <w:jc w:val="both"/>
        <w:outlineLvl w:val="0"/>
        <w:rPr>
          <w:rFonts w:ascii="Cambria" w:eastAsia="Cambria" w:hAnsi="Cambria" w:cs="Cambria"/>
          <w:b/>
          <w:i w:val="0"/>
          <w:color w:val="365F91"/>
          <w:sz w:val="28"/>
          <w:u w:val="none"/>
        </w:rPr>
      </w:pPr>
      <w:bookmarkStart w:id="184" w:name="Section96"/>
      <w:bookmarkEnd w:id="184"/>
      <w:bookmarkStart w:id="185" w:name="87723ecb9fd34e33bf371a2029714ff4"/>
      <w:r>
        <w:rPr>
          <w:rFonts w:ascii="Calibri" w:eastAsia="Calibri" w:hAnsi="Calibri" w:cs="Calibri"/>
          <w:b/>
          <w:i w:val="0"/>
          <w:color w:val="000000"/>
          <w:sz w:val="20"/>
          <w:u w:val="none"/>
        </w:rPr>
        <w:t>20.-</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ACTIVIDADES ORDINARIAS.</w:t>
      </w:r>
    </w:p>
    <w:p>
      <w:pPr>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16"/>
          <w:u w:val="none"/>
        </w:rPr>
      </w:pPr>
      <w:bookmarkEnd w:id="185"/>
    </w:p>
    <w:p>
      <w:pPr>
        <w:keepNext w:val="0"/>
        <w:keepLines/>
        <w:pageBreakBefore w:val="0"/>
        <w:widowControl w:val="0"/>
        <w:numPr>
          <w:ilvl w:val="0"/>
          <w:numId w:val="0"/>
        </w:numPr>
        <w:spacing w:before="0" w:after="0" w:line="259"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59" w:lineRule="auto"/>
        <w:ind w:left="0" w:right="0" w:firstLine="720"/>
        <w:jc w:val="both"/>
        <w:outlineLvl w:val="1"/>
        <w:rPr>
          <w:rFonts w:ascii="Times New Roman" w:eastAsia="Times New Roman" w:hAnsi="Times New Roman" w:cs="Times New Roman"/>
          <w:b/>
          <w:i w:val="0"/>
          <w:color w:val="000000"/>
          <w:sz w:val="24"/>
          <w:u w:val="none"/>
        </w:rPr>
      </w:pPr>
      <w:bookmarkStart w:id="186" w:name="Section97"/>
      <w:bookmarkEnd w:id="186"/>
      <w:bookmarkStart w:id="187" w:name="774fbf3599ab4253a10c1979e6591858"/>
      <w:r>
        <w:rPr>
          <w:rFonts w:ascii="Calibri" w:eastAsia="Calibri" w:hAnsi="Calibri" w:cs="Calibri"/>
          <w:b/>
          <w:i w:val="0"/>
          <w:color w:val="000000"/>
          <w:sz w:val="20"/>
          <w:u w:val="none"/>
        </w:rPr>
        <w:t>20.1.-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ordinarios.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Ingresos de actividades ordinarias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Ventas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7.201.606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mercaderías, materiales y equipos.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7.201.606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Prestaciones de servicios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19.141.543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mantenimiento de equipos a clientes.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7.201.606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construcción de obras e instalaciones eléctricas.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16.885.410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26.343.149</w:t>
            </w:r>
          </w:p>
        </w:tc>
      </w:tr>
    </w:tbl>
    <w:p>
      <w:pPr>
        <w:keepNext w:val="0"/>
        <w:keepLines/>
        <w:pageBreakBefore w:val="0"/>
        <w:widowControl w:val="0"/>
        <w:numPr>
          <w:ilvl w:val="0"/>
          <w:numId w:val="0"/>
        </w:numPr>
        <w:spacing w:before="0" w:after="0" w:line="259"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regist</w:t>
      </w:r>
      <w:r>
        <w:rPr>
          <w:rFonts w:ascii="Calibri" w:eastAsia="Calibri" w:hAnsi="Calibri" w:cs="Calibri"/>
          <w:b w:val="0"/>
          <w:i w:val="0"/>
          <w:color w:val="000000"/>
          <w:sz w:val="20"/>
          <w:highlight w:val="white"/>
          <w:u w:val="none"/>
        </w:rPr>
        <w:t>ra ventas con la relacionada Compañía General de Electricidad S.A. por M$ 25.917.564 que representan el 47,7% de sus ingr</w:t>
      </w:r>
      <w:r>
        <w:rPr>
          <w:rFonts w:ascii="Calibri" w:eastAsia="Calibri" w:hAnsi="Calibri" w:cs="Calibri"/>
          <w:b w:val="0"/>
          <w:i w:val="0"/>
          <w:color w:val="000000"/>
          <w:sz w:val="20"/>
          <w:u w:val="none"/>
        </w:rPr>
        <w:t xml:space="preserve">esos ordinarios en el ejercicio terminados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w:t>
      </w:r>
      <w:r>
        <w:rPr>
          <w:rFonts w:ascii="Calibri" w:eastAsia="Calibri" w:hAnsi="Calibri" w:cs="Calibri"/>
          <w:b w:val="0"/>
          <w:i w:val="0"/>
          <w:color w:val="000000"/>
          <w:sz w:val="20"/>
          <w:u w:val="none"/>
        </w:rPr>
        <w:t xml:space="preserve"> En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la sociedad registra ventas con la relacionada Compañía General de Electricidad S.A. por M$ 32.267.630 que representan el 70,5% sus ingresos ordinarios.</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88" w:name="Section98"/>
      <w:bookmarkEnd w:id="188"/>
      <w:bookmarkStart w:id="189" w:name="3e644fbf59464e3b826d53eb1e6b6246"/>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 RESULTADOS RELEVANTES.</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bookmarkEnd w:id="189"/>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del estado de resultados por función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que se adjunta, se descomponen como se indica en 21.1, 21.2, 21.3 y 21.4.</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por naturaleza del 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21.606.077</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2.194.505</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23.800.582</w:t>
            </w:r>
          </w:p>
        </w:tc>
      </w:tr>
    </w:tbl>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0" w:name="Section99"/>
      <w:bookmarkEnd w:id="190"/>
      <w:bookmarkStart w:id="191" w:name="d0a54454c84d4405b08a935c05c8bdfa"/>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por naturaleza.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Apertura de gastos por naturaleza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3.076.648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Gastos de operación y mantenimiento.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14.884.371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1.236.303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Costos de mercadotecnia.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6.890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Costos de transformadores.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4.420.385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Provisión de incobrables.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168.335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7.650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23.800.582</w:t>
            </w:r>
          </w:p>
        </w:tc>
      </w:tr>
    </w:tbl>
    <w:p>
      <w:pPr>
        <w:pStyle w:val="Normal-wk"/>
        <w:keepNext w:val="0"/>
        <w:keepLines/>
        <w:pageBreakBefore w:val="0"/>
        <w:widowControl w:val="0"/>
        <w:numPr>
          <w:ilvl w:val="0"/>
          <w:numId w:val="0"/>
        </w:numPr>
        <w:spacing w:before="0" w:after="0" w:line="259"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spacing w:before="0" w:after="0" w:line="259"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2" w:name="Section100"/>
      <w:bookmarkEnd w:id="192"/>
      <w:bookmarkStart w:id="193" w:name="b582e335877a409eb25bb8290384c3e1"/>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de personal.</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de personal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Sueldos y salarios.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2.187.004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a corto plazo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825.975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por terminación.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1.717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61.952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3.076.648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94" w:name="Section101"/>
      <w:bookmarkEnd w:id="194"/>
      <w:bookmarkStart w:id="195" w:name="4966bc508a7a4e8eac4de4935d8dda37"/>
      <w:r>
        <w:rPr>
          <w:rFonts w:ascii="Calibri" w:eastAsia="Calibri" w:hAnsi="Calibri" w:cs="Calibri"/>
          <w:b/>
          <w:i w:val="0"/>
          <w:color w:val="000000"/>
          <w:sz w:val="20"/>
          <w:u w:val="none"/>
        </w:rPr>
        <w:t>21.3.-</w:t>
      </w:r>
      <w:r>
        <w:rPr>
          <w:rFonts w:ascii="Calibri" w:eastAsia="Calibri" w:hAnsi="Calibri" w:cs="Calibri"/>
          <w:b/>
          <w:i w:val="0"/>
          <w:color w:val="000000"/>
          <w:sz w:val="20"/>
          <w:u w:val="none"/>
        </w:rPr>
        <w:tab/>
      </w:r>
      <w:r>
        <w:rPr>
          <w:rFonts w:ascii="Calibri" w:eastAsia="Calibri" w:hAnsi="Calibri" w:cs="Calibri"/>
          <w:b/>
          <w:i w:val="0"/>
          <w:color w:val="000000"/>
          <w:sz w:val="20"/>
          <w:u w:val="none"/>
        </w:rPr>
        <w:t>Depreciación y amortización.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Depreciación y retiros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166.565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1.770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depreciación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168.335</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Amortización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7.650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amortización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7.650</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175.985</w:t>
            </w:r>
          </w:p>
        </w:tc>
      </w:tr>
    </w:tbl>
    <w:p>
      <w:pPr>
        <w:keepNext/>
        <w:keepLines/>
        <w:pageBreakBefore w:val="0"/>
        <w:widowControl w:val="0"/>
        <w:numPr>
          <w:ilvl w:val="0"/>
          <w:numId w:val="0"/>
        </w:numPr>
        <w:spacing w:before="0" w:after="0" w:line="288" w:lineRule="auto"/>
        <w:ind w:left="709" w:right="48" w:firstLine="708"/>
        <w:jc w:val="both"/>
        <w:outlineLvl w:val="9"/>
        <w:rPr>
          <w:rFonts w:ascii="Times New Roman" w:eastAsia="Times New Roman" w:hAnsi="Times New Roman" w:cs="Times New Roman"/>
          <w:b/>
          <w:i w:val="0"/>
          <w:color w:val="000000"/>
          <w:sz w:val="20"/>
          <w:u w:val="none"/>
        </w:rPr>
      </w:pPr>
    </w:p>
    <w:p>
      <w:pPr>
        <w:keepNext/>
        <w:keepLines/>
        <w:pageBreakBefore w:val="0"/>
        <w:widowControl w:val="0"/>
        <w:numPr>
          <w:ilvl w:val="0"/>
          <w:numId w:val="0"/>
        </w:numPr>
        <w:spacing w:before="0" w:after="0" w:line="288" w:lineRule="auto"/>
        <w:ind w:left="709" w:right="48" w:firstLine="708"/>
        <w:jc w:val="both"/>
        <w:outlineLvl w:val="9"/>
        <w:rPr>
          <w:rFonts w:ascii="Times New Roman" w:eastAsia="Times New Roman" w:hAnsi="Times New Roman" w:cs="Times New Roman"/>
          <w:b/>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96" w:name="Section102"/>
      <w:bookmarkEnd w:id="196"/>
      <w:bookmarkStart w:id="197" w:name="d12d2c3a45f54d48ada835b979fd5d7e"/>
      <w:r>
        <w:rPr>
          <w:rFonts w:ascii="Calibri" w:eastAsia="Calibri" w:hAnsi="Calibri" w:cs="Calibri"/>
          <w:b/>
          <w:i w:val="0"/>
          <w:color w:val="000000"/>
          <w:sz w:val="20"/>
          <w:u w:val="none"/>
        </w:rPr>
        <w:t>21.4.-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ganancias (pérdidas).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7"/>
    </w:p>
    <w:tbl>
      <w:tblPr>
        <w:tblW w:w="84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940"/>
        <w:gridCol w:w="1275"/>
        <w:gridCol w:w="1275"/>
      </w:tblGrid>
      <w:tr>
        <w:tblPrEx>
          <w:tblW w:w="8490" w:type="dxa"/>
          <w:tblInd w:w="1417" w:type="dxa"/>
          <w:tblLayout w:type="fixed"/>
        </w:tblPrEx>
        <w:trPr>
          <w:cantSplit/>
          <w:trHeight w:hRule="auto" w:val="0"/>
        </w:trPr>
        <w:tc>
          <w:tcPr>
            <w:tcW w:w="59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127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7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490" w:type="dxa"/>
          <w:tblInd w:w="1417" w:type="dxa"/>
          <w:tblLayout w:type="fixed"/>
        </w:tblPrEx>
        <w:trPr>
          <w:cantSplit/>
          <w:trHeight w:hRule="auto" w:val="0"/>
        </w:trPr>
        <w:tc>
          <w:tcPr>
            <w:tcW w:w="5940" w:type="dxa"/>
            <w:vMerge/>
            <w:tcBorders>
              <w:top w:val="nil"/>
              <w:left w:val="single" w:sz="2" w:space="0" w:color="000000"/>
              <w:bottom w:val="nil"/>
              <w:right w:val="nil"/>
            </w:tcBorders>
          </w:tcPr>
          <w:p>
            <w:pPr>
              <w:keepNext/>
              <w:pageBreakBefore w:val="0"/>
            </w:pPr>
          </w:p>
        </w:tc>
        <w:tc>
          <w:tcPr>
            <w:tcW w:w="12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7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490" w:type="dxa"/>
          <w:tblInd w:w="1417" w:type="dxa"/>
          <w:tblLayout w:type="fixed"/>
        </w:tblPrEx>
        <w:trPr>
          <w:cantSplit/>
          <w:trHeight w:hRule="auto" w:val="0"/>
        </w:trPr>
        <w:tc>
          <w:tcPr>
            <w:tcW w:w="5940" w:type="dxa"/>
            <w:vMerge/>
            <w:tcBorders>
              <w:top w:val="nil"/>
              <w:left w:val="single" w:sz="2" w:space="0" w:color="000000"/>
              <w:bottom w:val="single" w:sz="2" w:space="0" w:color="000000"/>
              <w:right w:val="nil"/>
            </w:tcBorders>
          </w:tcPr>
          <w:p>
            <w:pPr>
              <w:keepNext/>
              <w:pageBreakBefore w:val="0"/>
            </w:pP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49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propiedades, planta y equipo.</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5.451</w:t>
            </w:r>
          </w:p>
        </w:tc>
      </w:tr>
      <w:tr>
        <w:tblPrEx>
          <w:tblW w:w="849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 (*).</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175</w:t>
            </w:r>
          </w:p>
        </w:tc>
      </w:tr>
      <w:tr>
        <w:tblPrEx>
          <w:tblW w:w="849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5.626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226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el ítem Otras ganancias (pérdidas) corresponde a provisión de juicios de contratistas de brigadas por M$ 28.684.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corresponde a devoluciones de Asociación de Fondo de Cesantía (AFC) por M$ 3.973.</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98" w:name="Section103"/>
      <w:bookmarkEnd w:id="198"/>
      <w:bookmarkStart w:id="199" w:name="c9ec37b79ac441c887e807befd1d6ecb"/>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RESULTADO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199"/>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adjuntos de ingresos financieros, costos financieros, resultados por unidades de reajustes y ganancias (pérdidas) de cambio en moneda extranjera del estado de resultados por función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financiero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Ingresos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comerciales.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por otros activos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1.080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23.243</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ingresos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24.323</w:t>
            </w:r>
          </w:p>
        </w:tc>
      </w:tr>
      <w:tr>
        <w:tblPrEx>
          <w:tblW w:w="9255" w:type="dxa"/>
          <w:tblInd w:w="709" w:type="dxa"/>
          <w:tblLayout w:type="fixed"/>
        </w:tblPrEx>
        <w:trPr>
          <w:cantSplit/>
          <w:trHeight w:hRule="auto" w:val="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Costos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préstamos empresas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(294.385)</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gastos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(61.208)</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bancarios por Importaciones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costos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(355.713)</w:t>
            </w:r>
          </w:p>
        </w:tc>
      </w:tr>
      <w:tr>
        <w:tblPrEx>
          <w:tblW w:w="9255" w:type="dxa"/>
          <w:tblInd w:w="709" w:type="dxa"/>
          <w:tblLayout w:type="fixed"/>
        </w:tblPrEx>
        <w:trPr>
          <w:cantSplit/>
          <w:trHeight w:hRule="auto" w:val="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ganancias (pérdidas) de cambio en moneda extranjera (Nota 22.1)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(6.300)</w:t>
            </w:r>
          </w:p>
        </w:tc>
      </w:tr>
      <w:tr>
        <w:tblPrEx>
          <w:tblW w:w="9255" w:type="dxa"/>
          <w:tblInd w:w="709" w:type="dxa"/>
          <w:tblLayout w:type="fixed"/>
        </w:tblPrEx>
        <w:trPr>
          <w:cantSplit/>
          <w:trHeight w:hRule="auto" w:val="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resultados por unidades de reajuste (Nota 22.2)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1.679</w:t>
            </w:r>
          </w:p>
        </w:tc>
      </w:tr>
      <w:tr>
        <w:tblPrEx>
          <w:tblW w:w="9255" w:type="dxa"/>
          <w:tblInd w:w="709" w:type="dxa"/>
          <w:tblLayout w:type="fixed"/>
        </w:tblPrEx>
        <w:trPr>
          <w:cantSplit/>
          <w:trHeight w:hRule="auto" w:val="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(336.011)</w:t>
            </w:r>
          </w:p>
        </w:tc>
      </w:tr>
    </w:tbl>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i w:val="0"/>
          <w:color w:val="000000"/>
          <w:sz w:val="20"/>
          <w:u w:val="none"/>
        </w:rPr>
      </w:pPr>
      <w:r>
        <w:rPr>
          <w:rFonts w:ascii="Calibri" w:eastAsia="Calibri" w:hAnsi="Calibri" w:cs="Calibri"/>
          <w:b w:val="0"/>
          <w:i w:val="0"/>
          <w:color w:val="000000"/>
          <w:sz w:val="20"/>
          <w:u w:val="none"/>
        </w:rPr>
        <w:t xml:space="preserve">(*) El ítem otros gastos de los costos financieros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está compuesto por costos de intereses de beneficios al personal en base a NIC 19 por M$ 55.673 y a gastos bancarios por M$ 92.203.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dicho ítem se compone por costos de intereses de beneficios al personal en base a NIC 19 por M$ 54.237.</w:t>
      </w: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00" w:name="Section104"/>
      <w:bookmarkEnd w:id="200"/>
      <w:bookmarkStart w:id="201" w:name="3a3df06b308d457f899e5dbddd8c83a6"/>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ganancias (pérdidas) de cambio en moneda extranjera.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0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de cambio en moneda extranjera.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Diferencias de cambio por activos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(20.454)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diferencias de cambio por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(20.462)</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Diferencias de cambio por pasivos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14.162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diferencias de cambio por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14.162</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diferencia de cambios neta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(6.300)</w:t>
            </w:r>
          </w:p>
        </w:tc>
      </w:tr>
    </w:tbl>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02" w:name="Section105"/>
      <w:bookmarkEnd w:id="202"/>
      <w:bookmarkStart w:id="203" w:name="2a7331a521b7420e9cf6c0416c7b40d4"/>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unidades de reajuste.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0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por unidades de reajuste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Unidades de reajuste por activos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2.019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unidades de reajuste por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1.679</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unidades de reajuste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1.679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04" w:name="Section106"/>
      <w:bookmarkEnd w:id="204"/>
      <w:bookmarkStart w:id="205" w:name="a2dfdc9b474e462799dde9353e7cb825"/>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5"/>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procedió a calcular y contabilizar el impuesto a la renta con una tasa del 27%, en base a lo dispuesto por la Ley N° 20.780, publicada en el Diario Oficial con fecha 29 de septiembre de 2014. La sociedad se encuentra incorporada al sistema de tributación parcialmente integrado.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6" w:name="Section107"/>
      <w:bookmarkEnd w:id="206"/>
      <w:bookmarkStart w:id="207" w:name="880e88a500b34e1eaf3795f2ba34605e"/>
      <w:r>
        <w:rPr>
          <w:rFonts w:ascii="Calibri" w:eastAsia="Calibri" w:hAnsi="Calibri" w:cs="Calibri"/>
          <w:b/>
          <w:i w:val="0"/>
          <w:color w:val="000000"/>
          <w:sz w:val="20"/>
          <w:u w:val="none"/>
        </w:rPr>
        <w:t>23.1.-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resultados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originó un cargo a resultados por impuesto a las ganancias ascendente a M$ 1.098.757 y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un cargo por M$ 1.197.863,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exact" w:val="255"/>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por partes corriente y diferida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exact" w:val="255"/>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exact" w:val="255"/>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corrientes a las ganancias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(567.386)</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Ajustes al impuesto corriente de períodos anteriores.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5.576</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por impuestos corrientes a las ganancias,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(561.810)</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diferidos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40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relacionado con el nacimiento y reversión de diferencias temporarias.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119.847</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ingreso por impuestos diferidos ,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119.847</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(441.963)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08" w:name="Section108"/>
      <w:bookmarkEnd w:id="208"/>
      <w:bookmarkStart w:id="209" w:name="695ed92da6fa4835b32cc9ea6290f2f9"/>
      <w:r>
        <w:rPr>
          <w:rFonts w:ascii="Calibri" w:eastAsia="Calibri" w:hAnsi="Calibri" w:cs="Calibri"/>
          <w:b/>
          <w:i w:val="0"/>
          <w:color w:val="000000"/>
          <w:sz w:val="20"/>
          <w:u w:val="none"/>
        </w:rPr>
        <w:t>23.2.-</w:t>
      </w:r>
      <w:r>
        <w:rPr>
          <w:rFonts w:ascii="Calibri" w:eastAsia="Calibri" w:hAnsi="Calibri" w:cs="Calibri"/>
          <w:b/>
          <w:i w:val="0"/>
          <w:color w:val="000000"/>
          <w:sz w:val="20"/>
          <w:u w:val="none"/>
        </w:rPr>
        <w:tab/>
      </w:r>
      <w:r>
        <w:rPr>
          <w:rFonts w:ascii="Calibri" w:eastAsia="Calibri" w:hAnsi="Calibri" w:cs="Calibri"/>
          <w:b/>
          <w:i w:val="0"/>
          <w:color w:val="000000"/>
          <w:sz w:val="20"/>
          <w:u w:val="none"/>
        </w:rPr>
        <w:t>Localización del efecto en resultados por impuestos a las ganancias.</w:t>
      </w: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bookmarkEnd w:id="209"/>
      <w:r>
        <w:rPr>
          <w:rFonts w:ascii="Calibri" w:eastAsia="Calibri" w:hAnsi="Calibri" w:cs="Calibri"/>
          <w:b w:val="0"/>
          <w:i w:val="0"/>
          <w:color w:val="000000"/>
          <w:sz w:val="20"/>
          <w:u w:val="none"/>
        </w:rPr>
        <w:t xml:space="preserve"> </w:t>
      </w: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extranjero y nacional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corrientes a las ganancias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por impuestos corrientes, neto, nacional.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(561.810)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por impuestos corrientes a las ganancias,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(561.810)</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diferidos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o Ingreso por impuestos diferidos, neto, nacional.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119.847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ingreso por impuestos diferidos ,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119.847</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(441.963)</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0" w:name="Section109"/>
      <w:bookmarkEnd w:id="210"/>
      <w:bookmarkStart w:id="211" w:name="33387462c64444c295964bfc6d1da68f"/>
      <w:r>
        <w:rPr>
          <w:rFonts w:ascii="Calibri" w:eastAsia="Calibri" w:hAnsi="Calibri" w:cs="Calibri"/>
          <w:b/>
          <w:i w:val="0"/>
          <w:color w:val="000000"/>
          <w:sz w:val="20"/>
          <w:u w:val="none"/>
        </w:rPr>
        <w:t>23.3.-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entre el resultado por impuestos a las ganancias contabilizado y la tasa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cuadro muestra la conciliación entre el impuesto a las ganancias contabilizado y el que resultaría de aplicar la tasa efectiva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770"/>
        <w:gridCol w:w="945"/>
        <w:gridCol w:w="945"/>
        <w:gridCol w:w="945"/>
        <w:gridCol w:w="945"/>
      </w:tblGrid>
      <w:tr>
        <w:tblPrEx>
          <w:tblW w:w="8550" w:type="dxa"/>
          <w:tblInd w:w="1417" w:type="dxa"/>
          <w:tblLayout w:type="fixed"/>
        </w:tblPrEx>
        <w:trPr>
          <w:cantSplit/>
          <w:trHeight w:hRule="auto" w:val="0"/>
        </w:trPr>
        <w:tc>
          <w:tcPr>
            <w:tcW w:w="477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Conciliación del gasto por impuestos utilizando la tasa legal con el gasto por impuestos utilizando la tasa efectiva</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4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4770" w:type="dxa"/>
            <w:vMerge/>
            <w:tcBorders>
              <w:top w:val="nil"/>
              <w:left w:val="single" w:sz="2" w:space="0" w:color="000000"/>
              <w:bottom w:val="nil"/>
              <w:right w:val="nil"/>
            </w:tcBorders>
          </w:tcPr>
          <w:p>
            <w:pPr>
              <w:keepNext/>
              <w:pageBreakBefore w:val="0"/>
            </w:pP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4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477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r>
      <w:tr>
        <w:tblPrEx>
          <w:tblW w:w="8550" w:type="dxa"/>
          <w:tblInd w:w="1417" w:type="dxa"/>
          <w:tblLayout w:type="fixed"/>
        </w:tblPrEx>
        <w:trPr>
          <w:cantSplit/>
          <w:trHeight w:hRule="exact" w:val="60"/>
        </w:trPr>
        <w:tc>
          <w:tcPr>
            <w:tcW w:w="4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contable</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2.212.182</w:t>
            </w:r>
          </w:p>
        </w:tc>
        <w:tc>
          <w:tcPr>
            <w:tcW w:w="94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60"/>
        </w:trPr>
        <w:tc>
          <w:tcPr>
            <w:tcW w:w="4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de (gasto) ingreso por impuestos a la tasa impositiva aplicable</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251"/>
              </w:tabs>
              <w:spacing w:before="0" w:after="0" w:line="240" w:lineRule="auto"/>
              <w:jc w:val="right"/>
            </w:pPr>
            <w:r>
              <w:rPr>
                <w:rFonts w:ascii="Calibri" w:eastAsia="Calibri" w:hAnsi="Calibri" w:cs="Calibri"/>
                <w:b/>
                <w:i w:val="0"/>
                <w:color w:val="FFFFFF"/>
                <w:sz w:val="14"/>
                <w:u w:val="none"/>
              </w:rPr>
              <w:tab/>
              <w:t>27,0</w:t>
              <w:tab/>
              <w:t>%</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(597.289)</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95"/>
              </w:tabs>
              <w:spacing w:before="0" w:after="0" w:line="240" w:lineRule="auto"/>
              <w:jc w:val="right"/>
            </w:pPr>
            <w:r>
              <w:rPr>
                <w:rFonts w:ascii="Calibri" w:eastAsia="Calibri" w:hAnsi="Calibri" w:cs="Calibri"/>
                <w:b/>
                <w:i w:val="0"/>
                <w:color w:val="FFFFFF"/>
                <w:sz w:val="14"/>
                <w:u w:val="none"/>
              </w:rPr>
              <w:tab/>
              <w:t>27,0</w:t>
              <w:tab/>
              <w:t>%</w:t>
            </w:r>
          </w:p>
        </w:tc>
      </w:tr>
      <w:tr>
        <w:tblPrEx>
          <w:tblW w:w="8550" w:type="dxa"/>
          <w:tblInd w:w="1417" w:type="dxa"/>
          <w:tblLayout w:type="fixed"/>
        </w:tblPrEx>
        <w:trPr>
          <w:cantSplit/>
          <w:trHeight w:hRule="auto" w:val="0"/>
        </w:trPr>
        <w:tc>
          <w:tcPr>
            <w:tcW w:w="4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Efecto fiscal de gastos no deducibles para la determinación de la ganancia (pérdida) tributable.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#DIV/0!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149.750</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67"/>
              </w:tabs>
              <w:spacing w:before="0" w:after="0" w:line="240" w:lineRule="auto"/>
              <w:jc w:val="right"/>
            </w:pPr>
            <w:r>
              <w:rPr>
                <w:rFonts w:ascii="Calibri" w:eastAsia="Calibri" w:hAnsi="Calibri" w:cs="Calibri"/>
                <w:b w:val="0"/>
                <w:i w:val="0"/>
                <w:color w:val="000000"/>
                <w:sz w:val="14"/>
                <w:u w:val="none"/>
              </w:rPr>
              <w:tab/>
              <w:t>(6,8)</w:t>
              <w:tab/>
              <w:t>%</w:t>
            </w:r>
          </w:p>
        </w:tc>
      </w:tr>
      <w:tr>
        <w:tblPrEx>
          <w:tblW w:w="8550" w:type="dxa"/>
          <w:tblInd w:w="1417" w:type="dxa"/>
          <w:tblLayout w:type="fixed"/>
        </w:tblPrEx>
        <w:trPr>
          <w:cantSplit/>
          <w:trHeight w:hRule="auto" w:val="0"/>
        </w:trPr>
        <w:tc>
          <w:tcPr>
            <w:tcW w:w="4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Efecto fiscal de pérdidas fiscales.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#DIV/0!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25"/>
              </w:tabs>
              <w:spacing w:before="0" w:after="0" w:line="240" w:lineRule="auto"/>
              <w:jc w:val="right"/>
            </w:pPr>
            <w:r>
              <w:rPr>
                <w:rFonts w:ascii="Calibri" w:eastAsia="Calibri" w:hAnsi="Calibri" w:cs="Calibri"/>
                <w:b w:val="0"/>
                <w:i w:val="0"/>
                <w:color w:val="000000"/>
                <w:sz w:val="14"/>
                <w:u w:val="none"/>
              </w:rPr>
              <w:tab/>
              <w:t>0,0</w:t>
              <w:tab/>
              <w:t>%</w:t>
            </w:r>
          </w:p>
        </w:tc>
      </w:tr>
      <w:tr>
        <w:tblPrEx>
          <w:tblW w:w="8550" w:type="dxa"/>
          <w:tblInd w:w="1417" w:type="dxa"/>
          <w:tblLayout w:type="fixed"/>
        </w:tblPrEx>
        <w:trPr>
          <w:cantSplit/>
          <w:trHeight w:hRule="auto" w:val="0"/>
        </w:trPr>
        <w:tc>
          <w:tcPr>
            <w:tcW w:w="4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efectos fiscales por conciliación entre la ganancia contable y gasto por impuestos (ingreso).</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#DIV/0!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5.576</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67"/>
              </w:tabs>
              <w:spacing w:before="0" w:after="0" w:line="240" w:lineRule="auto"/>
              <w:jc w:val="right"/>
            </w:pPr>
            <w:r>
              <w:rPr>
                <w:rFonts w:ascii="Calibri" w:eastAsia="Calibri" w:hAnsi="Calibri" w:cs="Calibri"/>
                <w:b w:val="0"/>
                <w:i w:val="0"/>
                <w:color w:val="000000"/>
                <w:sz w:val="14"/>
                <w:u w:val="none"/>
              </w:rPr>
              <w:tab/>
              <w:t>(0,3)</w:t>
              <w:tab/>
              <w:t>%</w:t>
            </w:r>
          </w:p>
        </w:tc>
      </w:tr>
      <w:tr>
        <w:tblPrEx>
          <w:tblW w:w="8550" w:type="dxa"/>
          <w:tblInd w:w="1417" w:type="dxa"/>
          <w:tblLayout w:type="fixed"/>
        </w:tblPrEx>
        <w:trPr>
          <w:cantSplit/>
          <w:trHeight w:hRule="auto" w:val="0"/>
        </w:trPr>
        <w:tc>
          <w:tcPr>
            <w:tcW w:w="4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ajustes al gasto por impuestos utilizando la tasa legal</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#DIV/0!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155.326</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68"/>
              </w:tabs>
              <w:spacing w:before="0" w:after="0" w:line="240" w:lineRule="auto"/>
              <w:jc w:val="right"/>
            </w:pPr>
            <w:r>
              <w:rPr>
                <w:rFonts w:ascii="Calibri" w:eastAsia="Calibri" w:hAnsi="Calibri" w:cs="Calibri"/>
                <w:b/>
                <w:i w:val="0"/>
                <w:color w:val="FFFFFF"/>
                <w:sz w:val="14"/>
                <w:u w:val="none"/>
              </w:rPr>
              <w:tab/>
              <w:t>(7,1)</w:t>
              <w:tab/>
              <w:t>%</w:t>
            </w:r>
          </w:p>
        </w:tc>
      </w:tr>
      <w:tr>
        <w:tblPrEx>
          <w:tblW w:w="8550" w:type="dxa"/>
          <w:tblInd w:w="1417" w:type="dxa"/>
          <w:tblLayout w:type="fixed"/>
        </w:tblPrEx>
        <w:trPr>
          <w:cantSplit/>
          <w:trHeight w:hRule="auto" w:val="0"/>
        </w:trPr>
        <w:tc>
          <w:tcPr>
            <w:tcW w:w="4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 (Gasto) ingreso por impuestos a las ganancias, operaciones continuadas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spacing w:before="0" w:after="0" w:line="240" w:lineRule="auto"/>
              <w:jc w:val="right"/>
            </w:pPr>
            <w:r>
              <w:rPr>
                <w:rFonts w:ascii="Calibri" w:eastAsia="Calibri" w:hAnsi="Calibri" w:cs="Calibri"/>
                <w:b/>
                <w:i w:val="0"/>
                <w:color w:val="FFFFFF"/>
                <w:sz w:val="14"/>
                <w:u w:val="none"/>
              </w:rPr>
              <w:t>#DIV/0!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(441.963)</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295"/>
              </w:tabs>
              <w:spacing w:before="0" w:after="0" w:line="240" w:lineRule="auto"/>
              <w:jc w:val="right"/>
            </w:pPr>
            <w:r>
              <w:rPr>
                <w:rFonts w:ascii="Calibri" w:eastAsia="Calibri" w:hAnsi="Calibri" w:cs="Calibri"/>
                <w:b/>
                <w:i w:val="0"/>
                <w:color w:val="FFFFFF"/>
                <w:sz w:val="14"/>
                <w:u w:val="none"/>
              </w:rPr>
              <w:tab/>
              <w:t>19,9</w:t>
              <w:tab/>
              <w:t>%</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detalle del efecto fiscal de </w:t>
      </w:r>
      <w:r>
        <w:rPr>
          <w:rFonts w:ascii="Calibri" w:eastAsia="Calibri" w:hAnsi="Calibri" w:cs="Calibri"/>
          <w:b w:val="0"/>
          <w:i w:val="0"/>
          <w:color w:val="000000"/>
          <w:sz w:val="20"/>
          <w:u w:val="none"/>
        </w:rPr>
        <w:t>gastos</w:t>
      </w:r>
      <w:r>
        <w:rPr>
          <w:rFonts w:ascii="Calibri" w:eastAsia="Calibri" w:hAnsi="Calibri" w:cs="Calibri"/>
          <w:b w:val="0"/>
          <w:i w:val="0"/>
          <w:sz w:val="20"/>
        </w:rPr>
        <w:t xml:space="preserve"> no deducibles para la determinación de la ganancia (pérdida) tributable es el siguiente: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3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645"/>
        <w:gridCol w:w="945"/>
        <w:gridCol w:w="945"/>
      </w:tblGrid>
      <w:tr>
        <w:tblPrEx>
          <w:tblW w:w="8535" w:type="dxa"/>
          <w:tblInd w:w="1417" w:type="dxa"/>
          <w:tblLayout w:type="fixed"/>
        </w:tblPrEx>
        <w:trPr>
          <w:cantSplit/>
          <w:trHeight w:hRule="auto" w:val="0"/>
        </w:trPr>
        <w:tc>
          <w:tcPr>
            <w:tcW w:w="66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Detalle Efecto fiscal de gastos no deducibles para la determinación de la ganancia (pérdida) tributable.</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4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35" w:type="dxa"/>
          <w:tblInd w:w="1417" w:type="dxa"/>
          <w:tblLayout w:type="fixed"/>
        </w:tblPrEx>
        <w:trPr>
          <w:cantSplit/>
          <w:trHeight w:hRule="auto" w:val="0"/>
        </w:trPr>
        <w:tc>
          <w:tcPr>
            <w:tcW w:w="6645" w:type="dxa"/>
            <w:vMerge/>
            <w:tcBorders>
              <w:top w:val="nil"/>
              <w:left w:val="single" w:sz="2" w:space="0" w:color="000000"/>
              <w:bottom w:val="nil"/>
              <w:right w:val="nil"/>
            </w:tcBorders>
          </w:tcPr>
          <w:p>
            <w:pPr>
              <w:keepNext/>
              <w:pageBreakBefore w:val="0"/>
            </w:pPr>
          </w:p>
        </w:tc>
        <w:tc>
          <w:tcPr>
            <w:tcW w:w="9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4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35" w:type="dxa"/>
          <w:tblInd w:w="1417" w:type="dxa"/>
          <w:tblLayout w:type="fixed"/>
        </w:tblPrEx>
        <w:trPr>
          <w:cantSplit/>
          <w:trHeight w:hRule="auto" w:val="0"/>
        </w:trPr>
        <w:tc>
          <w:tcPr>
            <w:tcW w:w="6645"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35" w:type="dxa"/>
          <w:tblInd w:w="1417" w:type="dxa"/>
          <w:tblLayout w:type="fixed"/>
        </w:tblPrEx>
        <w:trPr>
          <w:cantSplit/>
          <w:trHeight w:hRule="exact" w:val="60"/>
        </w:trPr>
        <w:tc>
          <w:tcPr>
            <w:tcW w:w="6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17" w:type="dxa"/>
          <w:tblLayout w:type="fixed"/>
        </w:tblPrEx>
        <w:trPr>
          <w:cantSplit/>
          <w:trHeight w:hRule="auto" w:val="0"/>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Correcciones monetarias (Capital propio tributario - Inversiones).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98.165</w:t>
            </w:r>
          </w:p>
        </w:tc>
      </w:tr>
      <w:tr>
        <w:tblPrEx>
          <w:tblW w:w="8535" w:type="dxa"/>
          <w:tblInd w:w="1417" w:type="dxa"/>
          <w:tblLayout w:type="fixed"/>
        </w:tblPrEx>
        <w:trPr>
          <w:cantSplit/>
          <w:trHeight w:hRule="auto" w:val="0"/>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Multas fiscales.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35" w:type="dxa"/>
          <w:tblInd w:w="1417" w:type="dxa"/>
          <w:tblLayout w:type="fixed"/>
        </w:tblPrEx>
        <w:trPr>
          <w:cantSplit/>
          <w:trHeight w:hRule="auto" w:val="0"/>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diferencias permanentes.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51.585</w:t>
            </w:r>
          </w:p>
        </w:tc>
      </w:tr>
      <w:tr>
        <w:tblPrEx>
          <w:tblW w:w="8535" w:type="dxa"/>
          <w:tblInd w:w="1417" w:type="dxa"/>
          <w:tblLayout w:type="fixed"/>
        </w:tblPrEx>
        <w:trPr>
          <w:cantSplit/>
          <w:trHeight w:hRule="auto" w:val="0"/>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149.750</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12" w:name="Section110"/>
      <w:bookmarkEnd w:id="212"/>
      <w:bookmarkStart w:id="213" w:name="21991283e1004223813326bc7ddd719e"/>
      <w:r>
        <w:rPr>
          <w:rFonts w:ascii="Calibri" w:eastAsia="Calibri" w:hAnsi="Calibri" w:cs="Calibri"/>
          <w:b/>
          <w:i w:val="0"/>
          <w:color w:val="000000"/>
          <w:sz w:val="20"/>
          <w:u w:val="none"/>
        </w:rPr>
        <w:t>23.4.-</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los resultados integrales por impuestos a las ganancias.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bookmarkEnd w:id="213"/>
    </w:p>
    <w:tbl>
      <w:tblPr>
        <w:tblW w:w="853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15"/>
        <w:gridCol w:w="870"/>
        <w:gridCol w:w="870"/>
        <w:gridCol w:w="870"/>
        <w:gridCol w:w="870"/>
        <w:gridCol w:w="870"/>
        <w:gridCol w:w="870"/>
      </w:tblGrid>
      <w:tr>
        <w:tblPrEx>
          <w:tblW w:w="8535" w:type="dxa"/>
          <w:tblInd w:w="1417" w:type="dxa"/>
          <w:tblLayout w:type="fixed"/>
        </w:tblPrEx>
        <w:trPr>
          <w:cantSplit/>
          <w:trHeight w:hRule="auto" w:val="0"/>
        </w:trPr>
        <w:tc>
          <w:tcPr>
            <w:tcW w:w="331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Importes antes de impuestos</w:t>
            </w:r>
          </w:p>
        </w:tc>
        <w:tc>
          <w:tcPr>
            <w:tcW w:w="2610" w:type="dxa"/>
            <w:gridSpan w:val="3"/>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2610"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35" w:type="dxa"/>
          <w:tblInd w:w="1417" w:type="dxa"/>
          <w:tblLayout w:type="fixed"/>
        </w:tblPrEx>
        <w:trPr>
          <w:cantSplit/>
          <w:trHeight w:hRule="auto" w:val="0"/>
        </w:trPr>
        <w:tc>
          <w:tcPr>
            <w:tcW w:w="3315" w:type="dxa"/>
            <w:vMerge/>
            <w:tcBorders>
              <w:top w:val="nil"/>
              <w:left w:val="single" w:sz="2" w:space="0" w:color="000000"/>
              <w:bottom w:val="nil"/>
              <w:right w:val="single" w:sz="4" w:space="0" w:color="FFFFFF"/>
            </w:tcBorders>
          </w:tcPr>
          <w:p>
            <w:pPr>
              <w:keepNext/>
              <w:pageBreakBefore w:val="0"/>
            </w:pPr>
          </w:p>
        </w:tc>
        <w:tc>
          <w:tcPr>
            <w:tcW w:w="2610" w:type="dxa"/>
            <w:gridSpan w:val="3"/>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610"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35" w:type="dxa"/>
          <w:tblInd w:w="1417" w:type="dxa"/>
          <w:tblLayout w:type="fixed"/>
        </w:tblPrEx>
        <w:trPr>
          <w:cantSplit/>
          <w:trHeight w:hRule="auto" w:val="0"/>
        </w:trPr>
        <w:tc>
          <w:tcPr>
            <w:tcW w:w="3315" w:type="dxa"/>
            <w:vMerge/>
            <w:tcBorders>
              <w:top w:val="nil"/>
              <w:left w:val="single" w:sz="2" w:space="0" w:color="000000"/>
              <w:bottom w:val="nil"/>
              <w:right w:val="nil"/>
            </w:tcBorders>
          </w:tcPr>
          <w:p>
            <w:pPr>
              <w:keepNext/>
              <w:pageBreakBefore w:val="0"/>
            </w:pPr>
          </w:p>
        </w:tc>
        <w:tc>
          <w:tcPr>
            <w:tcW w:w="87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4"/>
                <w:u w:val="none"/>
              </w:rPr>
              <w:t>Importe antes de impuestos</w:t>
            </w:r>
          </w:p>
        </w:tc>
        <w:tc>
          <w:tcPr>
            <w:tcW w:w="87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4"/>
                <w:u w:val="none"/>
              </w:rPr>
              <w:t>Gasto (ingreso) por impuesto a las ganancias</w:t>
            </w:r>
          </w:p>
        </w:tc>
        <w:tc>
          <w:tcPr>
            <w:tcW w:w="87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4"/>
                <w:u w:val="none"/>
              </w:rPr>
              <w:t>Importe después de impuestos</w:t>
            </w:r>
          </w:p>
        </w:tc>
        <w:tc>
          <w:tcPr>
            <w:tcW w:w="87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4"/>
                <w:u w:val="none"/>
              </w:rPr>
              <w:t>Importe antes de impuestos</w:t>
            </w:r>
          </w:p>
        </w:tc>
        <w:tc>
          <w:tcPr>
            <w:tcW w:w="87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4"/>
                <w:u w:val="none"/>
              </w:rPr>
              <w:t>Gasto (ingreso) por impuesto a las ganancias</w:t>
            </w:r>
          </w:p>
        </w:tc>
        <w:tc>
          <w:tcPr>
            <w:tcW w:w="87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4"/>
                <w:u w:val="none"/>
              </w:rPr>
              <w:t>Importe después de impuestos</w:t>
            </w:r>
          </w:p>
        </w:tc>
      </w:tr>
      <w:tr>
        <w:tblPrEx>
          <w:tblW w:w="8535" w:type="dxa"/>
          <w:tblInd w:w="1417" w:type="dxa"/>
          <w:tblLayout w:type="fixed"/>
        </w:tblPrEx>
        <w:trPr>
          <w:cantSplit/>
          <w:trHeight w:hRule="auto" w:val="0"/>
        </w:trPr>
        <w:tc>
          <w:tcPr>
            <w:tcW w:w="3315" w:type="dxa"/>
            <w:vMerge/>
            <w:tcBorders>
              <w:top w:val="nil"/>
              <w:left w:val="single" w:sz="2" w:space="0" w:color="000000"/>
              <w:bottom w:val="single" w:sz="2" w:space="0" w:color="000000"/>
              <w:right w:val="nil"/>
            </w:tcBorders>
          </w:tcPr>
          <w:p>
            <w:pPr>
              <w:keepNext/>
              <w:pageBreakBefore w:val="0"/>
            </w:pPr>
          </w:p>
        </w:tc>
        <w:tc>
          <w:tcPr>
            <w:tcW w:w="87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7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7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7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7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7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35" w:type="dxa"/>
          <w:tblInd w:w="1417" w:type="dxa"/>
          <w:tblLayout w:type="fixed"/>
        </w:tblPrEx>
        <w:trPr>
          <w:cantSplit/>
          <w:trHeight w:hRule="auto" w:val="0"/>
        </w:trPr>
        <w:tc>
          <w:tcPr>
            <w:tcW w:w="3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Ganancias (pérdidas) actuariales por planes de beneficios definidos.</w:t>
            </w:r>
          </w:p>
        </w:tc>
        <w:tc>
          <w:tcPr>
            <w:tcW w:w="87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#REF!</w:t>
            </w:r>
          </w:p>
        </w:tc>
        <w:tc>
          <w:tcPr>
            <w:tcW w:w="87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#REF!</w:t>
            </w:r>
          </w:p>
        </w:tc>
        <w:tc>
          <w:tcPr>
            <w:tcW w:w="87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#REF!</w:t>
            </w:r>
          </w:p>
        </w:tc>
        <w:tc>
          <w:tcPr>
            <w:tcW w:w="87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#REF!</w:t>
            </w:r>
          </w:p>
        </w:tc>
        <w:tc>
          <w:tcPr>
            <w:tcW w:w="87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#REF!</w:t>
            </w:r>
          </w:p>
        </w:tc>
        <w:tc>
          <w:tcPr>
            <w:tcW w:w="8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#REF!</w:t>
            </w:r>
          </w:p>
        </w:tc>
      </w:tr>
      <w:tr>
        <w:tblPrEx>
          <w:tblW w:w="8535" w:type="dxa"/>
          <w:tblInd w:w="1417" w:type="dxa"/>
          <w:tblLayout w:type="fixed"/>
        </w:tblPrEx>
        <w:trPr>
          <w:cantSplit/>
          <w:trHeight w:hRule="auto" w:val="0"/>
        </w:trPr>
        <w:tc>
          <w:tcPr>
            <w:tcW w:w="3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87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87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7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87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7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(21.391)</w:t>
            </w:r>
          </w:p>
        </w:tc>
        <w:tc>
          <w:tcPr>
            <w:tcW w:w="87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214" w:name="Section111"/>
      <w:bookmarkEnd w:id="214"/>
      <w:bookmarkStart w:id="215" w:name="370c3122c9c64e7abbe702eaaaac8455"/>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GANANCIAS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utilidad por acción básica se calcula dividiendo la utilidad atribuible a los accionistas de la sociedad entre el promedio ponderado de las acciones comunes en circulación en el año, excluyendo de existir, las acciones comunes adquiridas por la Sociedad y mantenidas como acciones de tesorería.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1.744.928</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y diluidas en operaciones continuadas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17.449.280,00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Cantidad de acciones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100.000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100.000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transacciones o conceptos que generen efecto dilutivo.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16" w:name="Section112"/>
      <w:bookmarkEnd w:id="216"/>
      <w:bookmarkStart w:id="217" w:name="6b852cfbd9d4459a8c05e1456ab516ff"/>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POR SEGMENTO.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7"/>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20"/>
        <w:jc w:val="both"/>
        <w:outlineLvl w:val="1"/>
        <w:rPr>
          <w:rFonts w:ascii="Times New Roman" w:eastAsia="Times New Roman" w:hAnsi="Times New Roman" w:cs="Times New Roman"/>
          <w:b/>
          <w:i w:val="0"/>
          <w:color w:val="000000"/>
          <w:sz w:val="24"/>
          <w:u w:val="none"/>
        </w:rPr>
      </w:pPr>
      <w:bookmarkStart w:id="218" w:name="Section113"/>
      <w:bookmarkEnd w:id="218"/>
      <w:bookmarkStart w:id="219" w:name="fdff53dc0eb1457e9ec4ccc3d0434749"/>
      <w:r>
        <w:rPr>
          <w:rFonts w:ascii="Calibri" w:eastAsia="Calibri" w:hAnsi="Calibri" w:cs="Calibri"/>
          <w:b/>
          <w:i w:val="0"/>
          <w:color w:val="000000"/>
          <w:sz w:val="20"/>
          <w:u w:val="none"/>
        </w:rPr>
        <w:t>25.1.-</w:t>
      </w:r>
      <w:r>
        <w:rPr>
          <w:rFonts w:ascii="Calibri" w:eastAsia="Calibri" w:hAnsi="Calibri" w:cs="Calibri"/>
          <w:b/>
          <w:i w:val="0"/>
          <w:color w:val="000000"/>
          <w:sz w:val="20"/>
          <w:u w:val="none"/>
        </w:rPr>
        <w:tab/>
      </w:r>
      <w:r>
        <w:rPr>
          <w:rFonts w:ascii="Calibri" w:eastAsia="Calibri" w:hAnsi="Calibri" w:cs="Calibri"/>
          <w:b/>
          <w:i w:val="0"/>
          <w:color w:val="000000"/>
          <w:sz w:val="20"/>
          <w:u w:val="none"/>
        </w:rPr>
        <w:t>Criterios de segmentación.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219"/>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Gerencia ha determinado los segmentos operativos sobre la base de los informes revisados por el comité ejecutivo estratégico. El comité considera el negocio desde una perspectiva asociada al tipo de servicio o producto vendido (Servicios).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segmento operativo reportable deriva sus ingresos de la fabricación y comercialización de transformadores eléctricos. En relación con las características del negocio de dicho segmento (ver nota 2).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indicadores utilizados por el comité ejecutivo para la medición de desempeño y asignación de recursos a cada segmento están vinculados con el margen de cada actividad y su EBITDA (Donde Ebitda se determina como (+) Ganancias (pérdidas) de actividades operacionales (+) Depreciación y retiros (+) Amortización).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que se entrega al comité ejecutivo estratégico de los segmentos reportables a nivel de estado de situación, estado de resultados por función y el estado de flujo de efectivo, es la siguiente:</w:t>
      </w:r>
    </w:p>
    <w:p>
      <w:pPr>
        <w:pStyle w:val="Normal-wk"/>
        <w:keepNext w:val="0"/>
        <w:keepLines/>
        <w:pageBreakBefore w:val="0"/>
        <w:widowControl w:val="0"/>
        <w:numPr>
          <w:ilvl w:val="0"/>
          <w:numId w:val="0"/>
        </w:numPr>
        <w:spacing w:before="0" w:after="0" w:line="240" w:lineRule="exact"/>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20" w:name="Section114"/>
      <w:bookmarkEnd w:id="220"/>
      <w:bookmarkStart w:id="221" w:name="6bad75d7771f4e59a7984b530129ff6b"/>
      <w:r>
        <w:rPr>
          <w:rFonts w:ascii="Calibri" w:eastAsia="Calibri" w:hAnsi="Calibri" w:cs="Calibri"/>
          <w:b/>
          <w:i w:val="0"/>
          <w:color w:val="000000"/>
          <w:sz w:val="20"/>
          <w:u w:val="none"/>
        </w:rPr>
        <w:t>25.2.-</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patrimoniales.</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221"/>
    </w:p>
    <w:p>
      <w:pPr>
        <w:pStyle w:val="Normal-wk"/>
        <w:keepNext w:val="0"/>
        <w:keepLines/>
        <w:pageBreakBefore w:val="0"/>
        <w:widowControl w:val="0"/>
        <w:numPr>
          <w:ilvl w:val="0"/>
          <w:numId w:val="0"/>
        </w:numPr>
        <w:tabs>
          <w:tab w:val="left" w:pos="700"/>
        </w:tabs>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25.2.1.-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Activos por segmentos.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gridCol w:w="1200"/>
        <w:gridCol w:w="1200"/>
        <w:gridCol w:w="1200"/>
      </w:tblGrid>
      <w:tr>
        <w:tblPrEx>
          <w:tblW w:w="12120" w:type="dxa"/>
          <w:tblInd w:w="1440" w:type="dxa"/>
          <w:tblLayout w:type="fixed"/>
        </w:tblPrEx>
        <w:trPr>
          <w:cantSplit/>
          <w:trHeight w:hRule="auto" w:val="0"/>
          <w:tblHeader/>
        </w:trPr>
        <w:tc>
          <w:tcPr>
            <w:tcW w:w="49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w:t>
            </w:r>
          </w:p>
        </w:tc>
        <w:tc>
          <w:tcPr>
            <w:tcW w:w="24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c>
          <w:tcPr>
            <w:tcW w:w="2400" w:type="dxa"/>
            <w:gridSpan w:val="2"/>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120" w:type="dxa"/>
          <w:tblInd w:w="1440" w:type="dxa"/>
          <w:tblLayout w:type="fixed"/>
        </w:tblPrEx>
        <w:trPr>
          <w:cantSplit/>
          <w:trHeight w:hRule="auto" w:val="0"/>
          <w:tblHeader/>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20" w:type="dxa"/>
          <w:tblInd w:w="1440" w:type="dxa"/>
          <w:tblLayout w:type="fixed"/>
        </w:tblPrEx>
        <w:trPr>
          <w:cantSplit/>
          <w:trHeight w:hRule="auto" w:val="0"/>
          <w:tblHeader/>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20" w:type="dxa"/>
          <w:tblInd w:w="1440" w:type="dxa"/>
          <w:tblLayout w:type="fixed"/>
        </w:tblPrEx>
        <w:trPr>
          <w:cantSplit/>
          <w:trHeight w:hRule="exact" w:val="60"/>
          <w:tblHeader/>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blHeader/>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blHeader/>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787.831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787.831</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no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42.363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42.363</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4.334.868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4.334.868</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5.069.372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(75.292)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4.994.080</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Inventarios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14.061.757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14.061.757</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52.697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(52.697)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24.348.888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(127.989)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24.220.899</w:t>
            </w:r>
          </w:p>
        </w:tc>
      </w:tr>
      <w:tr>
        <w:tblPrEx>
          <w:tblW w:w="121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4" w:space="0" w:color="FFFFFF"/>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Inversiones contabilizadas utilizando el método de la participación.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799.971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(799.971)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0</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intangibles distintos de la plusvalía.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53.552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53.552</w:t>
            </w:r>
          </w:p>
        </w:tc>
      </w:tr>
      <w:tr>
        <w:tblPrEx>
          <w:tblW w:w="12120" w:type="dxa"/>
          <w:tblInd w:w="1440" w:type="dxa"/>
          <w:tblLayout w:type="fixed"/>
        </w:tblPrEx>
        <w:trPr>
          <w:cantSplit/>
          <w:trHeight w:hRule="exact" w:val="225"/>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6.094.410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6.094.410</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impuestos diferidos.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316.763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316.763</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7.264.695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(799.971)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6.464.724</w:t>
            </w:r>
          </w:p>
        </w:tc>
      </w:tr>
      <w:tr>
        <w:tblPrEx>
          <w:tblW w:w="121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31.613.583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(927.960)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30.685.624</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25.2.2.-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Pasivos y Patrimonio por segmentos.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1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gridCol w:w="1200"/>
        <w:gridCol w:w="1200"/>
        <w:gridCol w:w="1200"/>
      </w:tblGrid>
      <w:tr>
        <w:tblPrEx>
          <w:tblW w:w="12120" w:type="dxa"/>
          <w:tblInd w:w="1440" w:type="dxa"/>
          <w:tblLayout w:type="fixed"/>
        </w:tblPrEx>
        <w:trPr>
          <w:cantSplit/>
          <w:trHeight w:hRule="auto" w:val="0"/>
          <w:tblHeader/>
        </w:trPr>
        <w:tc>
          <w:tcPr>
            <w:tcW w:w="49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120" w:type="dxa"/>
          <w:tblInd w:w="1440" w:type="dxa"/>
          <w:tblLayout w:type="fixed"/>
        </w:tblPrEx>
        <w:trPr>
          <w:cantSplit/>
          <w:trHeight w:hRule="auto" w:val="0"/>
          <w:tblHeader/>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20" w:type="dxa"/>
          <w:tblInd w:w="1440" w:type="dxa"/>
          <w:tblLayout w:type="fixed"/>
        </w:tblPrEx>
        <w:trPr>
          <w:cantSplit/>
          <w:trHeight w:hRule="auto" w:val="0"/>
          <w:tblHeader/>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20" w:type="dxa"/>
          <w:tblInd w:w="1440" w:type="dxa"/>
          <w:tblLayout w:type="fixed"/>
        </w:tblPrEx>
        <w:trPr>
          <w:cantSplit/>
          <w:trHeight w:hRule="exact" w:val="60"/>
          <w:tblHeader/>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blHeader/>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7.167.136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7.167.136</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7.365.918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(75.292)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7.290.626</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550.397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(52.697)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497.700</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pasivos corrientes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15.083.451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(127.989)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14.955.462</w:t>
            </w:r>
          </w:p>
        </w:tc>
      </w:tr>
      <w:tr>
        <w:tblPrEx>
          <w:tblW w:w="121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Provisiones no corrientes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923.945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923.945</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923.945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923.945</w:t>
            </w:r>
          </w:p>
        </w:tc>
      </w:tr>
      <w:tr>
        <w:tblPrEx>
          <w:tblW w:w="121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DE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16.007.396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(127.989)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15.879.407</w:t>
            </w:r>
          </w:p>
        </w:tc>
      </w:tr>
      <w:tr>
        <w:tblPrEx>
          <w:tblW w:w="12120" w:type="dxa"/>
          <w:tblInd w:w="1440"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Capital emitido y pagado.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3.463.255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(129.526)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3.333.729</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Ganancias (pérdidas) acumuladas.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12.666.236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(1.346.057)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11.320.179</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Primas de emisión.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954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954</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reservas.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(524.257)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21.090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(503.167)</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15.606.188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(1.454.493)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14.151.695</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Participaciones no controladoras.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654.522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654.522</w:t>
            </w: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15.606.188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(799.971)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14.806.217</w:t>
            </w:r>
          </w:p>
        </w:tc>
      </w:tr>
      <w:tr>
        <w:tblPrEx>
          <w:tblW w:w="121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PASIVOS Y PATRIMONIO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31.613.584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(927.960)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30.685.624</w:t>
            </w:r>
          </w:p>
        </w:tc>
      </w:tr>
    </w:tbl>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sectPr>
          <w:headerReference w:type="default" r:id="rId50"/>
          <w:footerReference w:type="default" r:id="rId51"/>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left"/>
        <w:outlineLvl w:val="1"/>
        <w:rPr>
          <w:rFonts w:ascii="Times New Roman" w:eastAsia="Times New Roman" w:hAnsi="Times New Roman" w:cs="Times New Roman"/>
          <w:b w:val="0"/>
          <w:i w:val="0"/>
          <w:color w:val="000000"/>
          <w:sz w:val="24"/>
          <w:u w:val="none"/>
        </w:rPr>
      </w:pPr>
      <w:bookmarkStart w:id="222" w:name="Section115"/>
      <w:bookmarkEnd w:id="222"/>
      <w:bookmarkStart w:id="223" w:name="e445eabea8b647578781d579cf254a1f"/>
      <w:r>
        <w:rPr>
          <w:rFonts w:ascii="Calibri" w:eastAsia="Calibri" w:hAnsi="Calibri" w:cs="Calibri"/>
          <w:b w:val="0"/>
          <w:i w:val="0"/>
          <w:color w:val="000000"/>
          <w:sz w:val="20"/>
          <w:u w:val="none"/>
        </w:rPr>
        <w:t>25.3.-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Cuadros de resultados por segmentos.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23"/>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645"/>
        <w:gridCol w:w="1035"/>
        <w:gridCol w:w="1035"/>
        <w:gridCol w:w="1035"/>
        <w:gridCol w:w="1035"/>
        <w:gridCol w:w="1035"/>
        <w:gridCol w:w="1035"/>
      </w:tblGrid>
      <w:tr>
        <w:tblPrEx>
          <w:tblW w:w="12855" w:type="dxa"/>
          <w:tblInd w:w="709" w:type="dxa"/>
          <w:tblLayout w:type="fixed"/>
        </w:tblPrEx>
        <w:trPr>
          <w:cantSplit/>
          <w:trHeight w:hRule="exact" w:val="225"/>
          <w:tblHeader/>
        </w:trPr>
        <w:tc>
          <w:tcPr>
            <w:tcW w:w="66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RESULTADOS POR FUNCIÓN</w:t>
            </w:r>
          </w:p>
        </w:tc>
        <w:tc>
          <w:tcPr>
            <w:tcW w:w="20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c>
          <w:tcPr>
            <w:tcW w:w="20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07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55" w:type="dxa"/>
          <w:tblInd w:w="709" w:type="dxa"/>
          <w:tblLayout w:type="fixed"/>
        </w:tblPrEx>
        <w:trPr>
          <w:cantSplit/>
          <w:trHeight w:hRule="exact" w:val="225"/>
          <w:tblHeader/>
        </w:trPr>
        <w:tc>
          <w:tcPr>
            <w:tcW w:w="6645" w:type="dxa"/>
            <w:vMerge/>
            <w:tcBorders>
              <w:top w:val="nil"/>
              <w:left w:val="single" w:sz="2" w:space="0" w:color="000000"/>
              <w:bottom w:val="nil"/>
              <w:right w:val="nil"/>
            </w:tcBorders>
          </w:tcPr>
          <w:p>
            <w:pPr>
              <w:keepNext/>
              <w:pageBreakBefore w:val="0"/>
            </w:pPr>
          </w:p>
        </w:tc>
        <w:tc>
          <w:tcPr>
            <w:tcW w:w="10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3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12855" w:type="dxa"/>
          <w:tblInd w:w="709" w:type="dxa"/>
          <w:tblLayout w:type="fixed"/>
        </w:tblPrEx>
        <w:trPr>
          <w:cantSplit/>
          <w:trHeight w:hRule="exact" w:val="225"/>
          <w:tblHeader/>
        </w:trPr>
        <w:tc>
          <w:tcPr>
            <w:tcW w:w="6645" w:type="dxa"/>
            <w:vMerge/>
            <w:tcBorders>
              <w:top w:val="nil"/>
              <w:left w:val="single" w:sz="2" w:space="0" w:color="000000"/>
              <w:bottom w:val="nil"/>
              <w:right w:val="nil"/>
            </w:tcBorders>
          </w:tcPr>
          <w:p>
            <w:pPr>
              <w:keepNext/>
              <w:pageBreakBefore w:val="0"/>
            </w:pPr>
          </w:p>
        </w:tc>
        <w:tc>
          <w:tcPr>
            <w:tcW w:w="10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3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12855" w:type="dxa"/>
          <w:tblInd w:w="709" w:type="dxa"/>
          <w:tblLayout w:type="fixed"/>
        </w:tblPrEx>
        <w:trPr>
          <w:cantSplit/>
          <w:trHeight w:hRule="exact" w:val="225"/>
          <w:tblHeader/>
        </w:trPr>
        <w:tc>
          <w:tcPr>
            <w:tcW w:w="6645" w:type="dxa"/>
            <w:vMerge/>
            <w:tcBorders>
              <w:top w:val="nil"/>
              <w:left w:val="single" w:sz="2" w:space="0" w:color="000000"/>
              <w:bottom w:val="single" w:sz="2" w:space="0" w:color="000000"/>
              <w:right w:val="nil"/>
            </w:tcBorders>
          </w:tcPr>
          <w:p>
            <w:pPr>
              <w:keepNext/>
              <w:pageBreakBefore w:val="0"/>
            </w:pPr>
          </w:p>
        </w:tc>
        <w:tc>
          <w:tcPr>
            <w:tcW w:w="10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3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855" w:type="dxa"/>
          <w:tblInd w:w="709" w:type="dxa"/>
          <w:tblLayout w:type="fixed"/>
        </w:tblPrEx>
        <w:trPr>
          <w:cantSplit/>
          <w:trHeight w:hRule="exact" w:val="225"/>
          <w:tblHeader/>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Ingresos de actividades ordinarias.</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26.431.557</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(88.408)</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26.343.149</w:t>
            </w:r>
          </w:p>
        </w:tc>
      </w:tr>
      <w:tr>
        <w:tblPrEx>
          <w:tblW w:w="12855" w:type="dxa"/>
          <w:tblInd w:w="709" w:type="dxa"/>
          <w:tblLayout w:type="fixed"/>
        </w:tblPrEx>
        <w:trPr>
          <w:cantSplit/>
          <w:trHeight w:hRule="exact" w:val="225"/>
          <w:tblHeader/>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(21.694.485)</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88.408</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(21.606.077)</w:t>
            </w:r>
          </w:p>
        </w:tc>
      </w:tr>
      <w:tr>
        <w:tblPrEx>
          <w:tblW w:w="12855" w:type="dxa"/>
          <w:tblInd w:w="709" w:type="dxa"/>
          <w:tblLayout w:type="fixed"/>
        </w:tblPrEx>
        <w:trPr>
          <w:cantSplit/>
          <w:trHeight w:hRule="exact" w:val="225"/>
          <w:tblHeader/>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bruta</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4.737.072</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4.737.072</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(2.194.505)</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(2.194.505)</w:t>
            </w:r>
          </w:p>
        </w:tc>
      </w:tr>
      <w:tr>
        <w:tblPrEx>
          <w:tblW w:w="12855" w:type="dxa"/>
          <w:tblInd w:w="709" w:type="dxa"/>
          <w:tblLayout w:type="fixed"/>
        </w:tblPrEx>
        <w:trPr>
          <w:cantSplit/>
          <w:trHeight w:hRule="exact" w:val="37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Deterioro de valor de ganancias y reversión de pérdidas por deterioro de valor (pérdidas por deterioro de valor) determinado de acuerdo con la NIIF 9.</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5.626</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5.626</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Ganancias (pérdidas) de actividades operacionales.</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2.548.193</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2.548.193</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Ingresos financieros.</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27.527</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(3.204)</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24.323</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Costos financieros.</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(358.917)</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3.204</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(355.713)</w:t>
            </w:r>
          </w:p>
        </w:tc>
      </w:tr>
      <w:tr>
        <w:tblPrEx>
          <w:tblW w:w="12855" w:type="dxa"/>
          <w:tblInd w:w="709" w:type="dxa"/>
          <w:tblLayout w:type="fixed"/>
        </w:tblPrEx>
        <w:trPr>
          <w:cantSplit/>
          <w:trHeight w:hRule="exact" w:val="37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Participación en ganancia (pérdida) de asociadas y negocios conjuntos que se contabilicen utilizando el método de la participación.</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30.911</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(30.911)</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jc w:val="right"/>
            </w:pP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Ganancias (pérdidas) de cambio en moneda extranjera.</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(6.300)</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(6.300)</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Resultados por unidades de reajuste.</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1.679</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1.679</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 antes de impuesto</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2.243.093</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(30.911)</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2.212.182</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 (gasto) por impuestos a las ganancias.</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(441.963)</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(441.963)</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1.801.130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(30.911)</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1.770.219</w:t>
            </w:r>
          </w:p>
        </w:tc>
      </w:tr>
      <w:tr>
        <w:tblPrEx>
          <w:tblW w:w="12855" w:type="dxa"/>
          <w:tblInd w:w="709" w:type="dxa"/>
          <w:tblLayout w:type="fixed"/>
        </w:tblPrEx>
        <w:trPr>
          <w:cantSplit/>
          <w:trHeight w:hRule="exact" w:val="60"/>
        </w:trPr>
        <w:tc>
          <w:tcPr>
            <w:tcW w:w="6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 atribuible a</w:t>
            </w:r>
          </w:p>
        </w:tc>
        <w:tc>
          <w:tcPr>
            <w:tcW w:w="10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 atribuible a los propietarios de la controladora.</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1.801.130</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(56.202)</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1.744.928</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 atribuible a participaciones no controladoras.</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25.291</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25.291</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1.826.421</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(56.202)</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1.770.219</w:t>
            </w:r>
          </w:p>
        </w:tc>
      </w:tr>
      <w:tr>
        <w:tblPrEx>
          <w:tblW w:w="12855" w:type="dxa"/>
          <w:tblInd w:w="709" w:type="dxa"/>
          <w:tblLayout w:type="fixed"/>
        </w:tblPrEx>
        <w:trPr>
          <w:cantSplit/>
          <w:trHeight w:hRule="exact" w:val="60"/>
        </w:trPr>
        <w:tc>
          <w:tcPr>
            <w:tcW w:w="6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60"/>
        </w:trPr>
        <w:tc>
          <w:tcPr>
            <w:tcW w:w="6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 y retiros.</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168.335</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168.335</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Amortización.</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7.650</w:t>
            </w: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7.650</w:t>
            </w:r>
          </w:p>
        </w:tc>
      </w:tr>
      <w:tr>
        <w:tblPrEx>
          <w:tblW w:w="12855" w:type="dxa"/>
          <w:tblInd w:w="709" w:type="dxa"/>
          <w:tblLayout w:type="fixed"/>
        </w:tblPrEx>
        <w:trPr>
          <w:cantSplit/>
          <w:trHeight w:hRule="exact" w:val="225"/>
        </w:trPr>
        <w:tc>
          <w:tcPr>
            <w:tcW w:w="6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EBITDA</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2.724.178</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24" w:name="Section116"/>
      <w:bookmarkEnd w:id="224"/>
      <w:bookmarkStart w:id="225" w:name="fec641c399fe4bd1837e6ec425140229"/>
      <w:r>
        <w:rPr>
          <w:rFonts w:ascii="Calibri" w:eastAsia="Calibri" w:hAnsi="Calibri" w:cs="Calibri"/>
          <w:b/>
          <w:i w:val="0"/>
          <w:color w:val="000000"/>
          <w:sz w:val="20"/>
          <w:u w:val="none"/>
        </w:rPr>
        <w:t>25.4.-</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Flujos de efectivo por segmento por método directo.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25"/>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1200"/>
        <w:gridCol w:w="1200"/>
        <w:gridCol w:w="1200"/>
        <w:gridCol w:w="1200"/>
        <w:gridCol w:w="1200"/>
        <w:gridCol w:w="1200"/>
      </w:tblGrid>
      <w:tr>
        <w:tblPrEx>
          <w:tblW w:w="12855" w:type="dxa"/>
          <w:tblInd w:w="709" w:type="dxa"/>
          <w:tblLayout w:type="fixed"/>
        </w:tblPrEx>
        <w:trPr>
          <w:cantSplit/>
          <w:trHeight w:hRule="auto" w:val="0"/>
        </w:trPr>
        <w:tc>
          <w:tcPr>
            <w:tcW w:w="56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FLUJO DE EFECTIVO POR MÉTODO DIRECTO</w:t>
            </w:r>
          </w:p>
        </w:tc>
        <w:tc>
          <w:tcPr>
            <w:tcW w:w="24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c>
          <w:tcPr>
            <w:tcW w:w="2400" w:type="dxa"/>
            <w:gridSpan w:val="2"/>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55" w:type="dxa"/>
          <w:tblInd w:w="709" w:type="dxa"/>
          <w:tblLayout w:type="fixed"/>
        </w:tblPrEx>
        <w:trPr>
          <w:cantSplit/>
          <w:trHeight w:hRule="auto" w:val="0"/>
        </w:trPr>
        <w:tc>
          <w:tcPr>
            <w:tcW w:w="56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12855" w:type="dxa"/>
          <w:tblInd w:w="709" w:type="dxa"/>
          <w:tblLayout w:type="fixed"/>
        </w:tblPrEx>
        <w:trPr>
          <w:cantSplit/>
          <w:trHeight w:hRule="auto" w:val="0"/>
        </w:trPr>
        <w:tc>
          <w:tcPr>
            <w:tcW w:w="56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12855" w:type="dxa"/>
          <w:tblInd w:w="709" w:type="dxa"/>
          <w:tblLayout w:type="fixed"/>
        </w:tblPrEx>
        <w:trPr>
          <w:cantSplit/>
          <w:trHeight w:hRule="auto" w:val="0"/>
        </w:trPr>
        <w:tc>
          <w:tcPr>
            <w:tcW w:w="56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5.900.177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(76.996)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5.823.181</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(5.710.269)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100.000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(5.610.269)</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financiación.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(2.252.289)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(23.004)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(2.275.293)</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 antes del efecto de los cambios en la tasa de cambio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(2.062.381)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(2.062.381)</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Efectos de la variación en la tasa de cambio sobre el 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(20.454)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(20.454)</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(2.082.835)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(2.082.835)</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 al principio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3.324.140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3.324.140</w:t>
            </w:r>
          </w:p>
        </w:tc>
      </w:tr>
      <w:tr>
        <w:tblPrEx>
          <w:tblW w:w="12855" w:type="dxa"/>
          <w:tblInd w:w="709" w:type="dxa"/>
          <w:tblLayout w:type="fixed"/>
        </w:tblPrEx>
        <w:trPr>
          <w:cantSplit/>
          <w:trHeight w:hRule="exact" w:val="24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Efectivo y equivalentes al efectivo al final del período o ejercicio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1.241.305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1.241.305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26" w:name="Section117"/>
      <w:bookmarkEnd w:id="226"/>
      <w:bookmarkStart w:id="227" w:name="2e14e48d306242a9833beb431a3263e2"/>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7"/>
    </w:p>
    <w:p>
      <w:pPr>
        <w:keepNext w:val="0"/>
        <w:keepLines/>
        <w:pageBreakBefore w:val="0"/>
        <w:widowControl w:val="0"/>
        <w:numPr>
          <w:ilvl w:val="0"/>
          <w:numId w:val="0"/>
        </w:numPr>
        <w:spacing w:before="0" w:after="0" w:line="288" w:lineRule="auto"/>
        <w:ind w:left="0" w:right="0" w:firstLine="0"/>
        <w:jc w:val="both"/>
        <w:outlineLvl w:val="9"/>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28" w:name="Section118"/>
      <w:bookmarkEnd w:id="228"/>
      <w:bookmarkStart w:id="229" w:name="1ad0b7f238fd4c56ba561ebe5132be2f"/>
      <w:r>
        <w:rPr>
          <w:rFonts w:ascii="Calibri" w:eastAsia="Calibri" w:hAnsi="Calibri" w:cs="Calibri"/>
          <w:b/>
          <w:i w:val="0"/>
          <w:color w:val="000000"/>
          <w:sz w:val="20"/>
          <w:u w:val="none"/>
        </w:rPr>
        <w:t>26.1.-</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9"/>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071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05"/>
        <w:gridCol w:w="1005"/>
        <w:gridCol w:w="1260"/>
        <w:gridCol w:w="1095"/>
        <w:gridCol w:w="1095"/>
        <w:gridCol w:w="1095"/>
        <w:gridCol w:w="60"/>
        <w:gridCol w:w="1095"/>
      </w:tblGrid>
      <w:tr>
        <w:tblPrEx>
          <w:tblW w:w="10710" w:type="dxa"/>
          <w:tblInd w:w="1417" w:type="dxa"/>
          <w:tblLayout w:type="fixed"/>
        </w:tblPrEx>
        <w:trPr>
          <w:cantSplit/>
          <w:trHeight w:hRule="auto" w:val="0"/>
        </w:trPr>
        <w:tc>
          <w:tcPr>
            <w:tcW w:w="4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Resumen moneda extranjera</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26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1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09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0710" w:type="dxa"/>
          <w:tblInd w:w="1417" w:type="dxa"/>
          <w:tblLayout w:type="fixed"/>
        </w:tblPrEx>
        <w:trPr>
          <w:cantSplit/>
          <w:trHeight w:hRule="auto" w:val="0"/>
        </w:trPr>
        <w:tc>
          <w:tcPr>
            <w:tcW w:w="4005"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260"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0710" w:type="dxa"/>
          <w:tblInd w:w="1417" w:type="dxa"/>
          <w:tblLayout w:type="fixed"/>
        </w:tblPrEx>
        <w:trPr>
          <w:cantSplit/>
          <w:trHeight w:hRule="auto" w:val="0"/>
        </w:trPr>
        <w:tc>
          <w:tcPr>
            <w:tcW w:w="4005" w:type="dxa"/>
            <w:vMerge/>
            <w:tcBorders>
              <w:top w:val="nil"/>
              <w:left w:val="single" w:sz="2" w:space="0" w:color="000000"/>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2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0710" w:type="dxa"/>
          <w:tblInd w:w="1417" w:type="dxa"/>
          <w:tblLayout w:type="fixed"/>
        </w:tblPrEx>
        <w:trPr>
          <w:cantSplit/>
          <w:trHeight w:hRule="exact" w:val="6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Activos corrientes.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Activos corrientes.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0710" w:type="dxa"/>
          <w:tblInd w:w="1417" w:type="dxa"/>
          <w:tblLayout w:type="fixed"/>
        </w:tblPrEx>
        <w:trPr>
          <w:cantSplit/>
          <w:trHeight w:hRule="auto" w:val="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 activos en moneda extranjera</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M/e</w:t>
            </w:r>
          </w:p>
        </w:tc>
        <w:tc>
          <w:tcPr>
            <w:tcW w:w="12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0710" w:type="dxa"/>
          <w:tblInd w:w="1417" w:type="dxa"/>
          <w:tblLayout w:type="fixed"/>
        </w:tblPrEx>
        <w:trPr>
          <w:cantSplit/>
          <w:trHeight w:hRule="auto" w:val="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corrientes.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corrientes.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0710" w:type="dxa"/>
          <w:tblInd w:w="1417" w:type="dxa"/>
          <w:tblLayout w:type="fixed"/>
        </w:tblPrEx>
        <w:trPr>
          <w:cantSplit/>
          <w:trHeight w:hRule="auto" w:val="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2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071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05"/>
        <w:gridCol w:w="1005"/>
        <w:gridCol w:w="1260"/>
        <w:gridCol w:w="1095"/>
        <w:gridCol w:w="1095"/>
        <w:gridCol w:w="1095"/>
        <w:gridCol w:w="60"/>
        <w:gridCol w:w="1095"/>
      </w:tblGrid>
      <w:tr>
        <w:tblPrEx>
          <w:tblW w:w="10710" w:type="dxa"/>
          <w:tblInd w:w="1417" w:type="dxa"/>
          <w:tblLayout w:type="fixed"/>
        </w:tblPrEx>
        <w:trPr>
          <w:cantSplit/>
          <w:trHeight w:hRule="auto" w:val="0"/>
        </w:trPr>
        <w:tc>
          <w:tcPr>
            <w:tcW w:w="4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Resumen moneda extranjera</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26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1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09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0710" w:type="dxa"/>
          <w:tblInd w:w="1417" w:type="dxa"/>
          <w:tblLayout w:type="fixed"/>
        </w:tblPrEx>
        <w:trPr>
          <w:cantSplit/>
          <w:trHeight w:hRule="auto" w:val="0"/>
        </w:trPr>
        <w:tc>
          <w:tcPr>
            <w:tcW w:w="4005"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260"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0710" w:type="dxa"/>
          <w:tblInd w:w="1417" w:type="dxa"/>
          <w:tblLayout w:type="fixed"/>
        </w:tblPrEx>
        <w:trPr>
          <w:cantSplit/>
          <w:trHeight w:hRule="auto" w:val="0"/>
        </w:trPr>
        <w:tc>
          <w:tcPr>
            <w:tcW w:w="4005" w:type="dxa"/>
            <w:vMerge/>
            <w:tcBorders>
              <w:top w:val="nil"/>
              <w:left w:val="single" w:sz="2" w:space="0" w:color="000000"/>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2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0710" w:type="dxa"/>
          <w:tblInd w:w="1417" w:type="dxa"/>
          <w:tblLayout w:type="fixed"/>
        </w:tblPrEx>
        <w:trPr>
          <w:cantSplit/>
          <w:trHeight w:hRule="exact" w:val="6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Activos corrientes.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1.199.124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1.199.124</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1.199.124</w:t>
            </w:r>
          </w:p>
        </w:tc>
        <w:tc>
          <w:tcPr>
            <w:tcW w:w="109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1.199.124</w:t>
            </w: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Activos corrientes.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21.564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21.564</w:t>
            </w: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21.564</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21.564</w:t>
            </w:r>
          </w:p>
        </w:tc>
      </w:tr>
      <w:tr>
        <w:tblPrEx>
          <w:tblW w:w="10710" w:type="dxa"/>
          <w:tblInd w:w="1417" w:type="dxa"/>
          <w:tblLayout w:type="fixed"/>
        </w:tblPrEx>
        <w:trPr>
          <w:cantSplit/>
          <w:trHeight w:hRule="auto" w:val="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 activos en moneda extranjera</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M/e</w:t>
            </w:r>
          </w:p>
        </w:tc>
        <w:tc>
          <w:tcPr>
            <w:tcW w:w="12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1.220.688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1.220.688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1.220.688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1.220.688</w:t>
            </w:r>
          </w:p>
        </w:tc>
      </w:tr>
      <w:tr>
        <w:tblPrEx>
          <w:tblW w:w="10710" w:type="dxa"/>
          <w:tblInd w:w="1417" w:type="dxa"/>
          <w:tblLayout w:type="fixed"/>
        </w:tblPrEx>
        <w:trPr>
          <w:cantSplit/>
          <w:trHeight w:hRule="auto" w:val="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corrientes.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29.076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29.076</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29.076</w:t>
            </w:r>
          </w:p>
        </w:tc>
        <w:tc>
          <w:tcPr>
            <w:tcW w:w="109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29.076</w:t>
            </w: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corrientes.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2.617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2.617</w:t>
            </w: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2.617</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2.617</w:t>
            </w:r>
          </w:p>
        </w:tc>
      </w:tr>
      <w:tr>
        <w:tblPrEx>
          <w:tblW w:w="10710" w:type="dxa"/>
          <w:tblInd w:w="1417" w:type="dxa"/>
          <w:tblLayout w:type="fixed"/>
        </w:tblPrEx>
        <w:trPr>
          <w:cantSplit/>
          <w:trHeight w:hRule="auto" w:val="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2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31.693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31.693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31.693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31.693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0" w:name="Section119"/>
      <w:bookmarkEnd w:id="230"/>
      <w:bookmarkStart w:id="231" w:name="5c0603455c7b41e2bae0359a7ec6da31"/>
      <w:r>
        <w:rPr>
          <w:rFonts w:ascii="Calibri" w:eastAsia="Calibri" w:hAnsi="Calibri" w:cs="Calibri"/>
          <w:b/>
          <w:i w:val="0"/>
          <w:color w:val="000000"/>
          <w:sz w:val="20"/>
          <w:u w:val="none"/>
        </w:rPr>
        <w:t>26.2.-</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1"/>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071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05"/>
        <w:gridCol w:w="1005"/>
        <w:gridCol w:w="1260"/>
        <w:gridCol w:w="1095"/>
        <w:gridCol w:w="1095"/>
        <w:gridCol w:w="1095"/>
        <w:gridCol w:w="60"/>
        <w:gridCol w:w="1095"/>
      </w:tblGrid>
      <w:tr>
        <w:tblPrEx>
          <w:tblW w:w="10710" w:type="dxa"/>
          <w:tblInd w:w="1417" w:type="dxa"/>
          <w:tblLayout w:type="fixed"/>
        </w:tblPrEx>
        <w:trPr>
          <w:cantSplit/>
          <w:trHeight w:hRule="auto" w:val="0"/>
          <w:tblHeader/>
        </w:trPr>
        <w:tc>
          <w:tcPr>
            <w:tcW w:w="4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26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1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09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0710" w:type="dxa"/>
          <w:tblInd w:w="1417" w:type="dxa"/>
          <w:tblLayout w:type="fixed"/>
        </w:tblPrEx>
        <w:trPr>
          <w:cantSplit/>
          <w:trHeight w:hRule="auto" w:val="0"/>
          <w:tblHeader/>
        </w:trPr>
        <w:tc>
          <w:tcPr>
            <w:tcW w:w="4005"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260"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0710" w:type="dxa"/>
          <w:tblInd w:w="1417" w:type="dxa"/>
          <w:tblLayout w:type="fixed"/>
        </w:tblPrEx>
        <w:trPr>
          <w:cantSplit/>
          <w:trHeight w:hRule="auto" w:val="0"/>
          <w:tblHeader/>
        </w:trPr>
        <w:tc>
          <w:tcPr>
            <w:tcW w:w="4005" w:type="dxa"/>
            <w:vMerge/>
            <w:tcBorders>
              <w:top w:val="nil"/>
              <w:left w:val="single" w:sz="2" w:space="0" w:color="000000"/>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2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0710" w:type="dxa"/>
          <w:tblInd w:w="1417" w:type="dxa"/>
          <w:tblLayout w:type="fixed"/>
        </w:tblPrEx>
        <w:trPr>
          <w:cantSplit/>
          <w:trHeight w:hRule="exact" w:val="60"/>
          <w:tblHeader/>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blHeader/>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0710" w:type="dxa"/>
          <w:tblInd w:w="1417" w:type="dxa"/>
          <w:tblLayout w:type="fixed"/>
        </w:tblPrEx>
        <w:trPr>
          <w:cantSplit/>
          <w:trHeight w:hRule="auto" w:val="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en moneda extranjera</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2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071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05"/>
        <w:gridCol w:w="1005"/>
        <w:gridCol w:w="1260"/>
        <w:gridCol w:w="1095"/>
        <w:gridCol w:w="1095"/>
        <w:gridCol w:w="1095"/>
        <w:gridCol w:w="60"/>
        <w:gridCol w:w="1095"/>
      </w:tblGrid>
      <w:tr>
        <w:tblPrEx>
          <w:tblW w:w="10710" w:type="dxa"/>
          <w:tblInd w:w="1417" w:type="dxa"/>
          <w:tblLayout w:type="fixed"/>
        </w:tblPrEx>
        <w:trPr>
          <w:cantSplit/>
          <w:trHeight w:hRule="auto" w:val="0"/>
          <w:tblHeader/>
        </w:trPr>
        <w:tc>
          <w:tcPr>
            <w:tcW w:w="4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26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1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09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0710" w:type="dxa"/>
          <w:tblInd w:w="1417" w:type="dxa"/>
          <w:tblLayout w:type="fixed"/>
        </w:tblPrEx>
        <w:trPr>
          <w:cantSplit/>
          <w:trHeight w:hRule="auto" w:val="0"/>
          <w:tblHeader/>
        </w:trPr>
        <w:tc>
          <w:tcPr>
            <w:tcW w:w="4005"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260"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0710" w:type="dxa"/>
          <w:tblInd w:w="1417" w:type="dxa"/>
          <w:tblLayout w:type="fixed"/>
        </w:tblPrEx>
        <w:trPr>
          <w:cantSplit/>
          <w:trHeight w:hRule="auto" w:val="0"/>
          <w:tblHeader/>
        </w:trPr>
        <w:tc>
          <w:tcPr>
            <w:tcW w:w="4005" w:type="dxa"/>
            <w:vMerge/>
            <w:tcBorders>
              <w:top w:val="nil"/>
              <w:left w:val="single" w:sz="2" w:space="0" w:color="000000"/>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2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0710" w:type="dxa"/>
          <w:tblInd w:w="1417" w:type="dxa"/>
          <w:tblLayout w:type="fixed"/>
        </w:tblPrEx>
        <w:trPr>
          <w:cantSplit/>
          <w:trHeight w:hRule="exact" w:val="60"/>
          <w:tblHeader/>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blHeader/>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2.222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2.222</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2.222</w:t>
            </w:r>
          </w:p>
        </w:tc>
        <w:tc>
          <w:tcPr>
            <w:tcW w:w="109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2.222</w:t>
            </w: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1.196.902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1.196.902</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1.196.902</w:t>
            </w:r>
          </w:p>
        </w:tc>
        <w:tc>
          <w:tcPr>
            <w:tcW w:w="109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1.196.902</w:t>
            </w: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21.564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21.564</w:t>
            </w: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21.564</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21.564</w:t>
            </w:r>
          </w:p>
        </w:tc>
      </w:tr>
      <w:tr>
        <w:tblPrEx>
          <w:tblW w:w="10710" w:type="dxa"/>
          <w:tblInd w:w="1417" w:type="dxa"/>
          <w:tblLayout w:type="fixed"/>
        </w:tblPrEx>
        <w:trPr>
          <w:cantSplit/>
          <w:trHeight w:hRule="auto" w:val="0"/>
        </w:trPr>
        <w:tc>
          <w:tcPr>
            <w:tcW w:w="4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710"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en moneda extranjera</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2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1.220.688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1.220.688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1.220.688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1.220.688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2" w:name="Section120"/>
      <w:bookmarkEnd w:id="232"/>
      <w:bookmarkStart w:id="233" w:name="ab1fde03c842420a88f9e60ab6558789"/>
      <w:r>
        <w:rPr>
          <w:rFonts w:ascii="Calibri" w:eastAsia="Calibri" w:hAnsi="Calibri" w:cs="Calibri"/>
          <w:b/>
          <w:i w:val="0"/>
          <w:color w:val="000000"/>
          <w:sz w:val="20"/>
          <w:u w:val="none"/>
        </w:rPr>
        <w:t>26.3.-</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pasivos.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3"/>
    </w:p>
    <w:p>
      <w:pPr>
        <w:pStyle w:val="Normal-wk"/>
        <w:keepNext w:val="0"/>
        <w:keepLines/>
        <w:pageBreakBefore w:val="0"/>
        <w:widowControl w:val="0"/>
        <w:numPr>
          <w:ilvl w:val="0"/>
          <w:numId w:val="0"/>
        </w:numPr>
        <w:spacing w:before="0" w:after="0" w:line="288" w:lineRule="auto"/>
        <w:ind w:left="1417"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014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95"/>
        <w:gridCol w:w="660"/>
        <w:gridCol w:w="1005"/>
        <w:gridCol w:w="1005"/>
        <w:gridCol w:w="1005"/>
        <w:gridCol w:w="1005"/>
        <w:gridCol w:w="60"/>
        <w:gridCol w:w="1005"/>
      </w:tblGrid>
      <w:tr>
        <w:tblPrEx>
          <w:tblW w:w="10140" w:type="dxa"/>
          <w:tblInd w:w="1417" w:type="dxa"/>
          <w:tblLayout w:type="fixed"/>
        </w:tblPrEx>
        <w:trPr>
          <w:cantSplit/>
          <w:trHeight w:hRule="auto" w:val="0"/>
          <w:tblHeader/>
        </w:trPr>
        <w:tc>
          <w:tcPr>
            <w:tcW w:w="43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pasivos corrientes y no corrientes</w:t>
            </w:r>
          </w:p>
        </w:tc>
        <w:tc>
          <w:tcPr>
            <w:tcW w:w="66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pasivos</w:t>
            </w:r>
          </w:p>
        </w:tc>
      </w:tr>
      <w:tr>
        <w:tblPrEx>
          <w:tblW w:w="10140" w:type="dxa"/>
          <w:tblInd w:w="1417" w:type="dxa"/>
          <w:tblLayout w:type="fixed"/>
        </w:tblPrEx>
        <w:trPr>
          <w:cantSplit/>
          <w:trHeight w:hRule="auto" w:val="0"/>
          <w:tblHeader/>
        </w:trPr>
        <w:tc>
          <w:tcPr>
            <w:tcW w:w="4395" w:type="dxa"/>
            <w:vMerge/>
            <w:tcBorders>
              <w:top w:val="nil"/>
              <w:left w:val="single" w:sz="2" w:space="0" w:color="000000"/>
              <w:bottom w:val="nil"/>
              <w:right w:val="single" w:sz="4" w:space="0" w:color="FFFFFF"/>
            </w:tcBorders>
          </w:tcPr>
          <w:p>
            <w:pPr>
              <w:keepNext/>
              <w:pageBreakBefore w:val="0"/>
            </w:pPr>
          </w:p>
        </w:tc>
        <w:tc>
          <w:tcPr>
            <w:tcW w:w="660"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0140" w:type="dxa"/>
          <w:tblInd w:w="1417" w:type="dxa"/>
          <w:tblLayout w:type="fixed"/>
        </w:tblPrEx>
        <w:trPr>
          <w:cantSplit/>
          <w:trHeight w:hRule="auto" w:val="0"/>
          <w:tblHeader/>
        </w:trPr>
        <w:tc>
          <w:tcPr>
            <w:tcW w:w="4395" w:type="dxa"/>
            <w:vMerge/>
            <w:tcBorders>
              <w:top w:val="nil"/>
              <w:left w:val="single" w:sz="2" w:space="0" w:color="000000"/>
              <w:bottom w:val="single" w:sz="2" w:space="0" w:color="000000"/>
              <w:right w:val="single" w:sz="4" w:space="0" w:color="FFFFFF"/>
            </w:tcBorders>
          </w:tcPr>
          <w:p>
            <w:pPr>
              <w:keepNext/>
              <w:pageBreakBefore w:val="0"/>
            </w:pPr>
          </w:p>
        </w:tc>
        <w:tc>
          <w:tcPr>
            <w:tcW w:w="660" w:type="dxa"/>
            <w:vMerge/>
            <w:tcBorders>
              <w:top w:val="nil"/>
              <w:left w:val="nil"/>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0140" w:type="dxa"/>
          <w:tblInd w:w="1417" w:type="dxa"/>
          <w:tblLayout w:type="fixed"/>
        </w:tblPrEx>
        <w:trPr>
          <w:cantSplit/>
          <w:trHeight w:hRule="exact" w:val="60"/>
          <w:tblHeader/>
        </w:trPr>
        <w:tc>
          <w:tcPr>
            <w:tcW w:w="4395" w:type="dxa"/>
            <w:tcBorders>
              <w:top w:val="single" w:sz="2" w:space="0" w:color="000000"/>
              <w:left w:val="nil"/>
              <w:bottom w:val="single" w:sz="8" w:space="0" w:color="D9D9D9"/>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8" w:space="0" w:color="D9D9D9"/>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8" w:space="0" w:color="D9D9D9"/>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8" w:space="0" w:color="D9D9D9"/>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140" w:type="dxa"/>
          <w:tblInd w:w="1417" w:type="dxa"/>
          <w:tblLayout w:type="fixed"/>
        </w:tblPrEx>
        <w:trPr>
          <w:cantSplit/>
          <w:trHeight w:hRule="auto" w:val="0"/>
        </w:trPr>
        <w:tc>
          <w:tcPr>
            <w:tcW w:w="4395" w:type="dxa"/>
            <w:tcBorders>
              <w:top w:val="single" w:sz="8" w:space="0" w:color="D9D9D9"/>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8" w:space="0" w:color="D9D9D9"/>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8" w:space="0" w:color="D9D9D9"/>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8" w:space="0" w:color="D9D9D9"/>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0140" w:type="dxa"/>
          <w:tblInd w:w="1417" w:type="dxa"/>
          <w:tblLayout w:type="fixed"/>
        </w:tblPrEx>
        <w:trPr>
          <w:cantSplit/>
          <w:trHeight w:hRule="auto" w:val="0"/>
        </w:trPr>
        <w:tc>
          <w:tcPr>
            <w:tcW w:w="4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0140" w:type="dxa"/>
          <w:tblInd w:w="1417" w:type="dxa"/>
          <w:tblLayout w:type="fixed"/>
        </w:tblPrEx>
        <w:trPr>
          <w:cantSplit/>
          <w:trHeight w:hRule="auto" w:val="0"/>
        </w:trPr>
        <w:tc>
          <w:tcPr>
            <w:tcW w:w="4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140" w:type="dxa"/>
          <w:tblInd w:w="1417" w:type="dxa"/>
          <w:tblLayout w:type="fixed"/>
        </w:tblPrEx>
        <w:trPr>
          <w:cantSplit/>
          <w:trHeight w:hRule="auto" w:val="0"/>
        </w:trPr>
        <w:tc>
          <w:tcPr>
            <w:tcW w:w="4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014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95"/>
        <w:gridCol w:w="660"/>
        <w:gridCol w:w="1005"/>
        <w:gridCol w:w="1005"/>
        <w:gridCol w:w="1005"/>
        <w:gridCol w:w="1005"/>
        <w:gridCol w:w="60"/>
        <w:gridCol w:w="1005"/>
      </w:tblGrid>
      <w:tr>
        <w:tblPrEx>
          <w:tblW w:w="10140" w:type="dxa"/>
          <w:tblInd w:w="1417" w:type="dxa"/>
          <w:tblLayout w:type="fixed"/>
        </w:tblPrEx>
        <w:trPr>
          <w:cantSplit/>
          <w:trHeight w:hRule="auto" w:val="0"/>
          <w:tblHeader/>
        </w:trPr>
        <w:tc>
          <w:tcPr>
            <w:tcW w:w="43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pasivos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pasivos</w:t>
            </w:r>
          </w:p>
        </w:tc>
      </w:tr>
      <w:tr>
        <w:tblPrEx>
          <w:tblW w:w="10140" w:type="dxa"/>
          <w:tblInd w:w="1417" w:type="dxa"/>
          <w:tblLayout w:type="fixed"/>
        </w:tblPrEx>
        <w:trPr>
          <w:cantSplit/>
          <w:trHeight w:hRule="auto" w:val="0"/>
          <w:tblHeader/>
        </w:trPr>
        <w:tc>
          <w:tcPr>
            <w:tcW w:w="4395"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0140" w:type="dxa"/>
          <w:tblInd w:w="1417" w:type="dxa"/>
          <w:tblLayout w:type="fixed"/>
        </w:tblPrEx>
        <w:trPr>
          <w:cantSplit/>
          <w:trHeight w:hRule="auto" w:val="0"/>
          <w:tblHeader/>
        </w:trPr>
        <w:tc>
          <w:tcPr>
            <w:tcW w:w="4395"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0140" w:type="dxa"/>
          <w:tblInd w:w="1417" w:type="dxa"/>
          <w:tblLayout w:type="fixed"/>
        </w:tblPrEx>
        <w:trPr>
          <w:cantSplit/>
          <w:trHeight w:hRule="exact" w:val="60"/>
          <w:tblHeader/>
        </w:trPr>
        <w:tc>
          <w:tcPr>
            <w:tcW w:w="4395" w:type="dxa"/>
            <w:tcBorders>
              <w:top w:val="single" w:sz="2" w:space="0" w:color="000000"/>
              <w:left w:val="nil"/>
              <w:bottom w:val="single" w:sz="8" w:space="0" w:color="D9D9D9"/>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8" w:space="0" w:color="D9D9D9"/>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8" w:space="0" w:color="D9D9D9"/>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8" w:space="0" w:color="D9D9D9"/>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140" w:type="dxa"/>
          <w:tblInd w:w="1417" w:type="dxa"/>
          <w:tblLayout w:type="fixed"/>
        </w:tblPrEx>
        <w:trPr>
          <w:cantSplit/>
          <w:trHeight w:hRule="auto" w:val="0"/>
        </w:trPr>
        <w:tc>
          <w:tcPr>
            <w:tcW w:w="4395" w:type="dxa"/>
            <w:tcBorders>
              <w:top w:val="single" w:sz="8" w:space="0" w:color="D9D9D9"/>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8" w:space="0" w:color="D9D9D9"/>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8" w:space="0" w:color="D9D9D9"/>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29.076</w:t>
            </w:r>
          </w:p>
        </w:tc>
        <w:tc>
          <w:tcPr>
            <w:tcW w:w="1005" w:type="dxa"/>
            <w:tcBorders>
              <w:top w:val="single" w:sz="8" w:space="0" w:color="D9D9D9"/>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29.076</w:t>
            </w: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29.076</w:t>
            </w:r>
          </w:p>
        </w:tc>
        <w:tc>
          <w:tcPr>
            <w:tcW w:w="100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29.076</w:t>
            </w:r>
          </w:p>
        </w:tc>
      </w:tr>
      <w:tr>
        <w:tblPrEx>
          <w:tblW w:w="10140" w:type="dxa"/>
          <w:tblInd w:w="1417" w:type="dxa"/>
          <w:tblLayout w:type="fixed"/>
        </w:tblPrEx>
        <w:trPr>
          <w:cantSplit/>
          <w:trHeight w:hRule="auto" w:val="0"/>
        </w:trPr>
        <w:tc>
          <w:tcPr>
            <w:tcW w:w="4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2.617</w:t>
            </w: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2.617</w:t>
            </w:r>
          </w:p>
        </w:tc>
        <w:tc>
          <w:tcPr>
            <w:tcW w:w="10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2.617</w:t>
            </w:r>
          </w:p>
        </w:tc>
      </w:tr>
      <w:tr>
        <w:tblPrEx>
          <w:tblW w:w="10140" w:type="dxa"/>
          <w:tblInd w:w="1417" w:type="dxa"/>
          <w:tblLayout w:type="fixed"/>
        </w:tblPrEx>
        <w:trPr>
          <w:cantSplit/>
          <w:trHeight w:hRule="auto" w:val="0"/>
        </w:trPr>
        <w:tc>
          <w:tcPr>
            <w:tcW w:w="4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0140" w:type="dxa"/>
          <w:tblInd w:w="1417" w:type="dxa"/>
          <w:tblLayout w:type="fixed"/>
        </w:tblPrEx>
        <w:trPr>
          <w:cantSplit/>
          <w:trHeight w:hRule="auto" w:val="0"/>
        </w:trPr>
        <w:tc>
          <w:tcPr>
            <w:tcW w:w="4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31.693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31.693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31.693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31.693</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footerReference w:type="default" r:id="rId52"/>
          <w:type w:val="continuous"/>
          <w:pgSz w:w="15840" w:h="12240" w:orient="landscape"/>
          <w:pgMar w:top="1134" w:right="1134" w:bottom="1134" w:left="1134" w:header="0" w:footer="38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34" w:name="Section121"/>
      <w:bookmarkEnd w:id="234"/>
      <w:bookmarkStart w:id="235" w:name="be54849c00ed48e0b686e11bdb6e7422"/>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CONTINGENCIAS, JUICIOS Y OTROS.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5"/>
    </w:p>
    <w:p>
      <w:pPr>
        <w:keepNext w:val="0"/>
        <w:keepLines/>
        <w:pageBreakBefore w:val="0"/>
        <w:widowControl w:val="0"/>
        <w:numPr>
          <w:ilvl w:val="0"/>
          <w:numId w:val="0"/>
        </w:numPr>
        <w:spacing w:before="0" w:after="0" w:line="288" w:lineRule="auto"/>
        <w:ind w:left="0" w:right="0" w:firstLine="0"/>
        <w:jc w:val="both"/>
        <w:outlineLvl w:val="9"/>
        <w:sectPr>
          <w:headerReference w:type="default" r:id="rId53"/>
          <w:footerReference w:type="default" r:id="rId54"/>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6" w:name="Section122"/>
      <w:bookmarkEnd w:id="236"/>
      <w:bookmarkStart w:id="237" w:name="d290b62138c74aa3a2f17ad127b9b17d"/>
      <w:r>
        <w:rPr>
          <w:rFonts w:ascii="Calibri" w:eastAsia="Calibri" w:hAnsi="Calibri" w:cs="Calibri"/>
          <w:b/>
          <w:i w:val="0"/>
          <w:color w:val="000000"/>
          <w:sz w:val="20"/>
          <w:u w:val="none"/>
        </w:rPr>
        <w:t>27.1.-</w:t>
      </w:r>
      <w:r>
        <w:rPr>
          <w:rFonts w:ascii="Calibri" w:eastAsia="Calibri" w:hAnsi="Calibri" w:cs="Calibri"/>
          <w:b/>
          <w:i w:val="0"/>
          <w:color w:val="000000"/>
          <w:sz w:val="20"/>
          <w:u w:val="none"/>
        </w:rPr>
        <w:tab/>
      </w:r>
      <w:r>
        <w:rPr>
          <w:rFonts w:ascii="Calibri" w:eastAsia="Calibri" w:hAnsi="Calibri" w:cs="Calibri"/>
          <w:b/>
          <w:i w:val="0"/>
          <w:color w:val="000000"/>
          <w:sz w:val="20"/>
          <w:u w:val="none"/>
        </w:rPr>
        <w:t>Juicios y otras acciones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7"/>
    </w:p>
    <w:tbl>
      <w:tblPr>
        <w:tblW w:w="811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1725"/>
        <w:gridCol w:w="165"/>
        <w:gridCol w:w="5340"/>
      </w:tblGrid>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keepNext/>
              <w:pageBreakBefore w:val="0"/>
              <w:spacing w:before="43" w:after="20" w:line="240" w:lineRule="auto"/>
              <w:jc w:val="left"/>
            </w:pPr>
            <w:r>
              <w:rPr>
                <w:rFonts w:ascii="Calibri" w:eastAsia="Calibri" w:hAnsi="Calibri" w:cs="Calibri"/>
                <w:b w:val="0"/>
                <w:i w:val="0"/>
                <w:color w:val="000000"/>
                <w:sz w:val="20"/>
                <w:u w:val="none"/>
              </w:rPr>
              <w:t>27.1.1.-</w:t>
            </w: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Style w:val="Normal-wk"/>
              <w:keepNext/>
              <w:pageBreakBefore w:val="0"/>
              <w:spacing w:before="43" w:after="20" w:line="288" w:lineRule="auto"/>
              <w:ind w:right="1418"/>
              <w:jc w:val="both"/>
            </w:pPr>
            <w:r>
              <w:rPr>
                <w:rFonts w:ascii="Calibri" w:eastAsia="Calibri" w:hAnsi="Calibri" w:cs="Calibri"/>
                <w:b w:val="0"/>
                <w:i w:val="0"/>
                <w:color w:val="000000"/>
                <w:sz w:val="20"/>
                <w:u w:val="none"/>
              </w:rPr>
              <w:t>"Arias con Actis SpA."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01 de Julio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1° Juzgado de letras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T-1004-2025.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Tutela.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M$ 10.927.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Audiencia de juicio.</w:t>
            </w:r>
          </w:p>
        </w:tc>
      </w:tr>
      <w:tr>
        <w:tblPrEx>
          <w:tblW w:w="8115" w:type="dxa"/>
          <w:tblInd w:w="1417" w:type="dxa"/>
          <w:tblLayout w:type="fixed"/>
        </w:tblPrEx>
        <w:trPr>
          <w:cantSplit/>
          <w:trHeight w:hRule="exact" w:val="30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keepNext/>
              <w:pageBreakBefore w:val="0"/>
              <w:spacing w:before="43" w:after="20" w:line="240" w:lineRule="auto"/>
              <w:jc w:val="left"/>
            </w:pPr>
            <w:r>
              <w:rPr>
                <w:rFonts w:ascii="Calibri" w:eastAsia="Calibri" w:hAnsi="Calibri" w:cs="Calibri"/>
                <w:b w:val="0"/>
                <w:i w:val="0"/>
                <w:color w:val="000000"/>
                <w:sz w:val="20"/>
                <w:u w:val="none"/>
              </w:rPr>
              <w:t>27.1.2.-</w:t>
            </w: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"Avalos con Provider"</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01 de Junio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Juzgado de Letras del Trabajo de Antofagasta.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M-258-2025.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Despido indirecto y nulidad.</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M$ 8.388.-</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Audiencia única.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keepNext/>
              <w:pageBreakBefore w:val="0"/>
              <w:spacing w:before="43" w:after="20" w:line="240" w:lineRule="auto"/>
              <w:jc w:val="left"/>
            </w:pPr>
            <w:r>
              <w:rPr>
                <w:rFonts w:ascii="Calibri" w:eastAsia="Calibri" w:hAnsi="Calibri" w:cs="Calibri"/>
                <w:b w:val="0"/>
                <w:i w:val="0"/>
                <w:color w:val="000000"/>
                <w:sz w:val="20"/>
                <w:u w:val="none"/>
              </w:rPr>
              <w:t>27.1.3.-</w:t>
            </w: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"Herrera con Equans"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01 de Julio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1° Juzgado de Letras del Trabajo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T-2119-2025.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Tutela.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M$ 24.056.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Audiencia de juicio 18 de enero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keepNext/>
              <w:pageBreakBefore w:val="0"/>
              <w:spacing w:before="43" w:after="20" w:line="240" w:lineRule="auto"/>
              <w:jc w:val="left"/>
            </w:pPr>
            <w:r>
              <w:rPr>
                <w:rFonts w:ascii="Calibri" w:eastAsia="Calibri" w:hAnsi="Calibri" w:cs="Calibri"/>
                <w:b w:val="0"/>
                <w:i w:val="0"/>
                <w:color w:val="000000"/>
                <w:sz w:val="20"/>
                <w:u w:val="none"/>
              </w:rPr>
              <w:t>27.1.4.-</w:t>
            </w: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"Carrasco con Provider"</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01 de Diciembre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1° Juzgado de Letras del Trabajo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M-5293-2025.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Despido indirecto, nulidad y cobro de prestaciones.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keepNext/>
              <w:pageBreakBefore w:val="0"/>
              <w:spacing w:before="43" w:after="20" w:line="240" w:lineRule="auto"/>
              <w:jc w:val="both"/>
            </w:pPr>
            <w:r>
              <w:rPr>
                <w:rFonts w:ascii="Calibri" w:eastAsia="Calibri" w:hAnsi="Calibri" w:cs="Calibri"/>
                <w:b w:val="0"/>
                <w:i w:val="0"/>
                <w:color w:val="000000"/>
                <w:sz w:val="20"/>
                <w:u w:val="none"/>
              </w:rPr>
              <w:t>M$ 2.327.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Audiencia única.</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709" w:right="0" w:hanging="709"/>
        <w:jc w:val="both"/>
        <w:outlineLvl w:val="0"/>
        <w:rPr>
          <w:rFonts w:ascii="Cambria" w:eastAsia="Cambria" w:hAnsi="Cambria" w:cs="Cambria"/>
          <w:b/>
          <w:i w:val="0"/>
          <w:color w:val="365F91"/>
          <w:sz w:val="28"/>
          <w:u w:val="none"/>
        </w:rPr>
      </w:pPr>
      <w:bookmarkStart w:id="238" w:name="Section123"/>
      <w:bookmarkEnd w:id="238"/>
      <w:bookmarkStart w:id="239" w:name="a0db7c3d1cd84941987b1533d2b16466"/>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GARANTÍAS COMPROMETIDAS CON TERCEROS, OTROS ACTIVOS Y PASIVOS CONTINGENTES Y OTROS COMPROMISOS.</w:t>
      </w:r>
    </w:p>
    <w:p>
      <w:pPr>
        <w:keepNext w:val="0"/>
        <w:keepLines/>
        <w:pageBreakBefore w:val="0"/>
        <w:widowControl w:val="0"/>
        <w:numPr>
          <w:ilvl w:val="0"/>
          <w:numId w:val="0"/>
        </w:numPr>
        <w:spacing w:before="0" w:after="0" w:line="288" w:lineRule="auto"/>
        <w:ind w:left="709" w:right="0" w:hanging="709"/>
        <w:jc w:val="both"/>
        <w:outlineLvl w:val="9"/>
        <w:rPr>
          <w:rFonts w:ascii="Calibri" w:eastAsia="Calibri" w:hAnsi="Calibri" w:cs="Calibri"/>
          <w:b w:val="0"/>
          <w:i w:val="0"/>
          <w:color w:val="000000"/>
          <w:sz w:val="20"/>
          <w:u w:val="none"/>
        </w:rPr>
      </w:pPr>
      <w:bookmarkEnd w:id="23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la Sociedad y subsidiaria registran las siguientes garantías: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95"/>
        <w:gridCol w:w="705"/>
        <w:gridCol w:w="855"/>
        <w:gridCol w:w="2355"/>
        <w:gridCol w:w="4245"/>
      </w:tblGrid>
      <w:tr>
        <w:tblPrEx>
          <w:tblW w:w="9255" w:type="dxa"/>
          <w:tblInd w:w="709" w:type="dxa"/>
          <w:tblLayout w:type="fixed"/>
        </w:tblPrEx>
        <w:trPr>
          <w:cantSplit/>
          <w:trHeight w:hRule="auto" w:val="0"/>
        </w:trPr>
        <w:tc>
          <w:tcPr>
            <w:tcW w:w="10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Entidad Bancaria</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Vencimiento</w:t>
            </w:r>
          </w:p>
        </w:tc>
        <w:tc>
          <w:tcPr>
            <w:tcW w:w="23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Beneficiario</w:t>
            </w:r>
          </w:p>
        </w:tc>
        <w:tc>
          <w:tcPr>
            <w:tcW w:w="424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Costo</w:t>
            </w:r>
          </w:p>
        </w:tc>
      </w:tr>
      <w:tr>
        <w:tblPrEx>
          <w:tblW w:w="9255" w:type="dxa"/>
          <w:tblInd w:w="709" w:type="dxa"/>
          <w:tblLayout w:type="fixed"/>
        </w:tblPrEx>
        <w:trPr>
          <w:cantSplit/>
          <w:trHeight w:hRule="auto" w:val="0"/>
        </w:trPr>
        <w:tc>
          <w:tcPr>
            <w:tcW w:w="109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855" w:type="dxa"/>
            <w:vMerge/>
            <w:tcBorders>
              <w:top w:val="nil"/>
              <w:left w:val="single" w:sz="4" w:space="0" w:color="FFFFFF"/>
              <w:bottom w:val="single" w:sz="2" w:space="0" w:color="000000"/>
              <w:right w:val="nil"/>
            </w:tcBorders>
          </w:tcPr>
          <w:p>
            <w:pPr>
              <w:keepNext/>
              <w:pageBreakBefore w:val="0"/>
            </w:pPr>
          </w:p>
        </w:tc>
        <w:tc>
          <w:tcPr>
            <w:tcW w:w="2355" w:type="dxa"/>
            <w:vMerge/>
            <w:tcBorders>
              <w:top w:val="nil"/>
              <w:left w:val="single" w:sz="4" w:space="0" w:color="FFFFFF"/>
              <w:bottom w:val="single" w:sz="2" w:space="0" w:color="000000"/>
              <w:right w:val="nil"/>
            </w:tcBorders>
          </w:tcPr>
          <w:p>
            <w:pPr>
              <w:keepNext/>
              <w:pageBreakBefore w:val="0"/>
            </w:pPr>
          </w:p>
        </w:tc>
        <w:tc>
          <w:tcPr>
            <w:tcW w:w="4245" w:type="dxa"/>
            <w:vMerge/>
            <w:tcBorders>
              <w:top w:val="nil"/>
              <w:left w:val="single" w:sz="4" w:space="0" w:color="FFFFFF"/>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Banco Chile</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320"/>
              </w:tabs>
              <w:spacing w:before="0" w:after="0" w:line="240" w:lineRule="auto"/>
              <w:jc w:val="right"/>
            </w:pPr>
            <w:r>
              <w:rPr>
                <w:rFonts w:ascii="Calibri" w:eastAsia="Calibri" w:hAnsi="Calibri" w:cs="Calibri"/>
                <w:b w:val="0"/>
                <w:i w:val="0"/>
                <w:color w:val="000000"/>
                <w:sz w:val="14"/>
                <w:u w:val="none"/>
              </w:rPr>
              <w:tab/>
              <w:t>2.444</w:t>
            </w:r>
          </w:p>
        </w:tc>
        <w:tc>
          <w:tcPr>
            <w:tcW w:w="8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05-11-2025</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SQM Salar S.A</w:t>
            </w:r>
          </w:p>
        </w:tc>
        <w:tc>
          <w:tcPr>
            <w:tcW w:w="424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Garantizar la calidad y fabricación de los suministros de la orden de compra N° 3000018973.</w:t>
            </w: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Banco Bice</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79"/>
              </w:tabs>
              <w:spacing w:before="0" w:after="0" w:line="240" w:lineRule="auto"/>
              <w:jc w:val="right"/>
            </w:pPr>
            <w:r>
              <w:rPr>
                <w:rFonts w:ascii="Calibri" w:eastAsia="Calibri" w:hAnsi="Calibri" w:cs="Calibri"/>
                <w:b w:val="0"/>
                <w:i w:val="0"/>
                <w:color w:val="000000"/>
                <w:sz w:val="14"/>
                <w:u w:val="none"/>
              </w:rPr>
              <w:tab/>
              <w:t>418.800</w:t>
            </w:r>
          </w:p>
        </w:tc>
        <w:tc>
          <w:tcPr>
            <w:tcW w:w="8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30-10-2025</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424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both"/>
            </w:pPr>
            <w:r>
              <w:rPr>
                <w:rFonts w:ascii="Calibri" w:eastAsia="Calibri" w:hAnsi="Calibri" w:cs="Calibri"/>
                <w:b w:val="0"/>
                <w:i w:val="0"/>
                <w:color w:val="000000"/>
                <w:sz w:val="14"/>
                <w:u w:val="none"/>
              </w:rPr>
              <w:t>Para garantizar a CGE S.A. el cumplimiento de las obligaciones que emanan del Contrato de Prestación de Servicios de brigadas de inspección de pérdidas y entidad OLCA de fecha 01 de octubre de 2022.</w:t>
            </w: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421.244</w:t>
            </w:r>
          </w:p>
        </w:tc>
        <w:tc>
          <w:tcPr>
            <w:tcW w:w="85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p>
        </w:tc>
        <w:tc>
          <w:tcPr>
            <w:tcW w:w="235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p>
        </w:tc>
        <w:tc>
          <w:tcPr>
            <w:tcW w:w="424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la Sociedad y subsidiaria registran las siguientes garantías: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95"/>
        <w:gridCol w:w="705"/>
        <w:gridCol w:w="855"/>
        <w:gridCol w:w="2280"/>
        <w:gridCol w:w="4320"/>
      </w:tblGrid>
      <w:tr>
        <w:tblPrEx>
          <w:tblW w:w="9255" w:type="dxa"/>
          <w:tblInd w:w="709" w:type="dxa"/>
          <w:tblLayout w:type="fixed"/>
        </w:tblPrEx>
        <w:trPr>
          <w:cantSplit/>
          <w:trHeight w:hRule="auto" w:val="0"/>
        </w:trPr>
        <w:tc>
          <w:tcPr>
            <w:tcW w:w="10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Entidad Bancaria</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Vencimiento</w:t>
            </w:r>
          </w:p>
        </w:tc>
        <w:tc>
          <w:tcPr>
            <w:tcW w:w="22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Beneficiario</w:t>
            </w:r>
          </w:p>
        </w:tc>
        <w:tc>
          <w:tcPr>
            <w:tcW w:w="432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Costo</w:t>
            </w:r>
          </w:p>
        </w:tc>
      </w:tr>
      <w:tr>
        <w:tblPrEx>
          <w:tblW w:w="9255" w:type="dxa"/>
          <w:tblInd w:w="709" w:type="dxa"/>
          <w:tblLayout w:type="fixed"/>
        </w:tblPrEx>
        <w:trPr>
          <w:cantSplit/>
          <w:trHeight w:hRule="auto" w:val="0"/>
        </w:trPr>
        <w:tc>
          <w:tcPr>
            <w:tcW w:w="109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855" w:type="dxa"/>
            <w:vMerge/>
            <w:tcBorders>
              <w:top w:val="nil"/>
              <w:left w:val="single" w:sz="4" w:space="0" w:color="FFFFFF"/>
              <w:bottom w:val="single" w:sz="2" w:space="0" w:color="000000"/>
              <w:right w:val="nil"/>
            </w:tcBorders>
          </w:tcPr>
          <w:p>
            <w:pPr>
              <w:keepNext/>
              <w:pageBreakBefore w:val="0"/>
            </w:pPr>
          </w:p>
        </w:tc>
        <w:tc>
          <w:tcPr>
            <w:tcW w:w="2280" w:type="dxa"/>
            <w:vMerge/>
            <w:tcBorders>
              <w:top w:val="nil"/>
              <w:left w:val="single" w:sz="4" w:space="0" w:color="FFFFFF"/>
              <w:bottom w:val="single" w:sz="2" w:space="0" w:color="000000"/>
              <w:right w:val="nil"/>
            </w:tcBorders>
          </w:tcPr>
          <w:p>
            <w:pPr>
              <w:keepNext/>
              <w:pageBreakBefore w:val="0"/>
            </w:pPr>
          </w:p>
        </w:tc>
        <w:tc>
          <w:tcPr>
            <w:tcW w:w="4320" w:type="dxa"/>
            <w:vMerge/>
            <w:tcBorders>
              <w:top w:val="nil"/>
              <w:left w:val="single" w:sz="4" w:space="0" w:color="FFFFFF"/>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Banco Chile</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250"/>
              </w:tabs>
              <w:spacing w:before="0" w:after="0" w:line="240" w:lineRule="auto"/>
              <w:jc w:val="right"/>
            </w:pPr>
            <w:r>
              <w:rPr>
                <w:rFonts w:ascii="Calibri" w:eastAsia="Calibri" w:hAnsi="Calibri" w:cs="Calibri"/>
                <w:b w:val="0"/>
                <w:i w:val="0"/>
                <w:color w:val="000000"/>
                <w:sz w:val="14"/>
                <w:u w:val="none"/>
              </w:rPr>
              <w:tab/>
              <w:t>93.500</w:t>
            </w:r>
          </w:p>
        </w:tc>
        <w:tc>
          <w:tcPr>
            <w:tcW w:w="8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30-04-2024</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432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both"/>
            </w:pPr>
            <w:r>
              <w:rPr>
                <w:rFonts w:ascii="Calibri" w:eastAsia="Calibri" w:hAnsi="Calibri" w:cs="Calibri"/>
                <w:b w:val="0"/>
                <w:i w:val="0"/>
                <w:color w:val="000000"/>
                <w:sz w:val="14"/>
                <w:u w:val="none"/>
              </w:rPr>
              <w:t>Para garantizar cumplimiento de obligaciones de contrato de reparación de transformadores de distribución</w:t>
            </w: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Banco Santander</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79"/>
              </w:tabs>
              <w:spacing w:before="0" w:after="0" w:line="240" w:lineRule="auto"/>
              <w:jc w:val="right"/>
            </w:pPr>
            <w:r>
              <w:rPr>
                <w:rFonts w:ascii="Calibri" w:eastAsia="Calibri" w:hAnsi="Calibri" w:cs="Calibri"/>
                <w:b w:val="0"/>
                <w:i w:val="0"/>
                <w:color w:val="000000"/>
                <w:sz w:val="14"/>
                <w:u w:val="none"/>
              </w:rPr>
              <w:tab/>
              <w:t>418.800</w:t>
            </w:r>
          </w:p>
        </w:tc>
        <w:tc>
          <w:tcPr>
            <w:tcW w:w="8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30-10-2024</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432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both"/>
            </w:pPr>
            <w:r>
              <w:rPr>
                <w:rFonts w:ascii="Calibri" w:eastAsia="Calibri" w:hAnsi="Calibri" w:cs="Calibri"/>
                <w:b w:val="0"/>
                <w:i w:val="0"/>
                <w:color w:val="000000"/>
                <w:sz w:val="14"/>
                <w:u w:val="none"/>
              </w:rPr>
              <w:t>Para garantizar a CGE S.A. el cumplimiento de las obligaciones que emanan del Contrato de Prestación de Servicios de brigadas de inspección de pérdidas y entidad OLCA de fecha 01 de octubre de 2022.</w:t>
            </w: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Banco Chile</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250"/>
              </w:tabs>
              <w:spacing w:before="0" w:after="0" w:line="240" w:lineRule="auto"/>
              <w:jc w:val="right"/>
            </w:pPr>
            <w:r>
              <w:rPr>
                <w:rFonts w:ascii="Calibri" w:eastAsia="Calibri" w:hAnsi="Calibri" w:cs="Calibri"/>
                <w:b w:val="0"/>
                <w:i w:val="0"/>
                <w:color w:val="000000"/>
                <w:sz w:val="14"/>
                <w:u w:val="none"/>
              </w:rPr>
              <w:tab/>
              <w:t>29.151</w:t>
            </w:r>
          </w:p>
        </w:tc>
        <w:tc>
          <w:tcPr>
            <w:tcW w:w="8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30-01-2024</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432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both"/>
            </w:pPr>
            <w:r>
              <w:rPr>
                <w:rFonts w:ascii="Calibri" w:eastAsia="Calibri" w:hAnsi="Calibri" w:cs="Calibri"/>
                <w:b w:val="0"/>
                <w:i w:val="0"/>
                <w:color w:val="000000"/>
                <w:sz w:val="14"/>
                <w:u w:val="none"/>
              </w:rPr>
              <w:t>Para garantizar a CGE S.A. el cumplimiento de las obligaciones que emanan del Contrato servicio de suministro de transformadores de distribución N° CLG_082104.</w:t>
            </w: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Banco Chile</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250"/>
              </w:tabs>
              <w:spacing w:before="0" w:after="0" w:line="240" w:lineRule="auto"/>
              <w:jc w:val="right"/>
            </w:pPr>
            <w:r>
              <w:rPr>
                <w:rFonts w:ascii="Calibri" w:eastAsia="Calibri" w:hAnsi="Calibri" w:cs="Calibri"/>
                <w:b w:val="0"/>
                <w:i w:val="0"/>
                <w:color w:val="000000"/>
                <w:sz w:val="14"/>
                <w:u w:val="none"/>
              </w:rPr>
              <w:tab/>
              <w:t>11.500</w:t>
            </w:r>
          </w:p>
        </w:tc>
        <w:tc>
          <w:tcPr>
            <w:tcW w:w="8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23-09-2024</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SQM Industrial S.A.</w:t>
            </w:r>
          </w:p>
        </w:tc>
        <w:tc>
          <w:tcPr>
            <w:tcW w:w="432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both"/>
            </w:pPr>
            <w:r>
              <w:rPr>
                <w:rFonts w:ascii="Calibri" w:eastAsia="Calibri" w:hAnsi="Calibri" w:cs="Calibri"/>
                <w:b w:val="0"/>
                <w:i w:val="0"/>
                <w:color w:val="000000"/>
                <w:sz w:val="14"/>
                <w:u w:val="none"/>
              </w:rPr>
              <w:t>Garantizar concepto por calidad, funcionamiento y desempeño del equipo por un valor equivalente al 10% del valor total de la O/C N° 3100006902.</w:t>
            </w: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Banco Chile</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320"/>
              </w:tabs>
              <w:spacing w:before="0" w:after="0" w:line="240" w:lineRule="auto"/>
              <w:jc w:val="right"/>
            </w:pPr>
            <w:r>
              <w:rPr>
                <w:rFonts w:ascii="Calibri" w:eastAsia="Calibri" w:hAnsi="Calibri" w:cs="Calibri"/>
                <w:b w:val="0"/>
                <w:i w:val="0"/>
                <w:color w:val="000000"/>
                <w:sz w:val="14"/>
                <w:u w:val="none"/>
              </w:rPr>
              <w:tab/>
              <w:t>4.747</w:t>
            </w:r>
          </w:p>
        </w:tc>
        <w:tc>
          <w:tcPr>
            <w:tcW w:w="8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23-09-2024</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SQM Salar S.A</w:t>
            </w:r>
          </w:p>
        </w:tc>
        <w:tc>
          <w:tcPr>
            <w:tcW w:w="432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both"/>
            </w:pPr>
            <w:r>
              <w:rPr>
                <w:rFonts w:ascii="Calibri" w:eastAsia="Calibri" w:hAnsi="Calibri" w:cs="Calibri"/>
                <w:b w:val="0"/>
                <w:i w:val="0"/>
                <w:color w:val="000000"/>
                <w:sz w:val="14"/>
                <w:u w:val="none"/>
              </w:rPr>
              <w:t>Para Garantizar la calidad y fabricación de los suministro de la OC N° 3000014398.</w:t>
            </w: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Banco Chile</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320"/>
              </w:tabs>
              <w:spacing w:before="0" w:after="0" w:line="240" w:lineRule="auto"/>
              <w:jc w:val="right"/>
            </w:pPr>
            <w:r>
              <w:rPr>
                <w:rFonts w:ascii="Calibri" w:eastAsia="Calibri" w:hAnsi="Calibri" w:cs="Calibri"/>
                <w:b w:val="0"/>
                <w:i w:val="0"/>
                <w:color w:val="000000"/>
                <w:sz w:val="14"/>
                <w:u w:val="none"/>
              </w:rPr>
              <w:tab/>
              <w:t>2.852</w:t>
            </w:r>
          </w:p>
        </w:tc>
        <w:tc>
          <w:tcPr>
            <w:tcW w:w="8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15-10-2024</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432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both"/>
            </w:pPr>
            <w:r>
              <w:rPr>
                <w:rFonts w:ascii="Calibri" w:eastAsia="Calibri" w:hAnsi="Calibri" w:cs="Calibri"/>
                <w:b w:val="0"/>
                <w:i w:val="0"/>
                <w:color w:val="000000"/>
                <w:sz w:val="14"/>
                <w:u w:val="none"/>
              </w:rPr>
              <w:t>Garantizar el cumplimiento de las obligaciones que emanan del contrato de servicios de reparación filtraciones mayores T1 SE Alameda / RFQ_815 N° 202310 / E205 / 23A /863867002 / C01167.</w:t>
            </w: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Banco Chile</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320"/>
              </w:tabs>
              <w:spacing w:before="0" w:after="0" w:line="240" w:lineRule="auto"/>
              <w:jc w:val="right"/>
            </w:pPr>
            <w:r>
              <w:rPr>
                <w:rFonts w:ascii="Calibri" w:eastAsia="Calibri" w:hAnsi="Calibri" w:cs="Calibri"/>
                <w:b w:val="0"/>
                <w:i w:val="0"/>
                <w:color w:val="000000"/>
                <w:sz w:val="14"/>
                <w:u w:val="none"/>
              </w:rPr>
              <w:tab/>
              <w:t>2.975</w:t>
            </w:r>
          </w:p>
        </w:tc>
        <w:tc>
          <w:tcPr>
            <w:tcW w:w="8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15-10-2024</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432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both"/>
            </w:pPr>
            <w:r>
              <w:rPr>
                <w:rFonts w:ascii="Calibri" w:eastAsia="Calibri" w:hAnsi="Calibri" w:cs="Calibri"/>
                <w:b w:val="0"/>
                <w:i w:val="0"/>
                <w:color w:val="000000"/>
                <w:sz w:val="14"/>
                <w:u w:val="none"/>
              </w:rPr>
              <w:t>Garantizar el cumplimiento de las obligaciones que emanan del contrato de servicios de reparación filtraciones mayores T2 SE Alameda / RFQ_817 N° 202310 / E205 / 23A /863867002 / C01168.</w:t>
            </w:r>
          </w:p>
        </w:tc>
      </w:tr>
      <w:tr>
        <w:tblPrEx>
          <w:tblW w:w="92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563.525</w:t>
            </w:r>
          </w:p>
        </w:tc>
        <w:tc>
          <w:tcPr>
            <w:tcW w:w="85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p>
        </w:tc>
        <w:tc>
          <w:tcPr>
            <w:tcW w:w="228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p>
        </w:tc>
        <w:tc>
          <w:tcPr>
            <w:tcW w:w="432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40" w:name="Section124"/>
      <w:bookmarkEnd w:id="240"/>
      <w:bookmarkStart w:id="241" w:name="417d4819a4f84cca8f289dd528301e64"/>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1"/>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distribución de personal de Transformadores Tusan S.A. y subsidiaria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1095"/>
        <w:gridCol w:w="1095"/>
        <w:gridCol w:w="1095"/>
        <w:gridCol w:w="1095"/>
        <w:gridCol w:w="1095"/>
      </w:tblGrid>
      <w:tr>
        <w:tblPrEx>
          <w:tblW w:w="9255" w:type="dxa"/>
          <w:tblInd w:w="709"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Subsidiaria / área</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del ejercicio</w:t>
            </w:r>
          </w:p>
        </w:tc>
      </w:tr>
      <w:tr>
        <w:tblPrEx>
          <w:tblW w:w="9255" w:type="dxa"/>
          <w:tblInd w:w="709" w:type="dxa"/>
          <w:tblLayout w:type="fixed"/>
        </w:tblPrEx>
        <w:trPr>
          <w:cantSplit/>
          <w:trHeight w:hRule="auto" w:val="0"/>
        </w:trPr>
        <w:tc>
          <w:tcPr>
            <w:tcW w:w="3780"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Gerentes y ejecutivos principales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Profesionales y técnicos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Trabajadores y otros</w:t>
            </w:r>
          </w:p>
        </w:tc>
        <w:tc>
          <w:tcPr>
            <w:tcW w:w="109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095" w:type="dxa"/>
            <w:vMerge/>
            <w:tcBorders>
              <w:top w:val="nil"/>
              <w:left w:val="nil"/>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3780"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exact" w:val="6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Transformadores Tusan S.A.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Energy Sur Ingeniería S.A.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1095"/>
        <w:gridCol w:w="1095"/>
        <w:gridCol w:w="1095"/>
        <w:gridCol w:w="1095"/>
        <w:gridCol w:w="1095"/>
      </w:tblGrid>
      <w:tr>
        <w:tblPrEx>
          <w:tblW w:w="9255" w:type="dxa"/>
          <w:tblInd w:w="709"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Subsidiaria / área</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del ejercicio</w:t>
            </w:r>
          </w:p>
        </w:tc>
      </w:tr>
      <w:tr>
        <w:tblPrEx>
          <w:tblW w:w="9255" w:type="dxa"/>
          <w:tblInd w:w="709" w:type="dxa"/>
          <w:tblLayout w:type="fixed"/>
        </w:tblPrEx>
        <w:trPr>
          <w:cantSplit/>
          <w:trHeight w:hRule="auto" w:val="0"/>
        </w:trPr>
        <w:tc>
          <w:tcPr>
            <w:tcW w:w="3780"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Gerentes y ejecutivos principales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Profesionales y técnicos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Trabajadores y otros</w:t>
            </w:r>
          </w:p>
        </w:tc>
        <w:tc>
          <w:tcPr>
            <w:tcW w:w="109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095" w:type="dxa"/>
            <w:vMerge/>
            <w:tcBorders>
              <w:top w:val="nil"/>
              <w:left w:val="nil"/>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3780"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exact" w:val="6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Transformadores Tusan S.A.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163</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205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193</w:t>
            </w: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Energy Sur Ingeniería S.A.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w:t>
            </w: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w:t>
            </w:r>
          </w:p>
        </w:tc>
      </w:tr>
      <w:tr>
        <w:tblPrEx>
          <w:tblW w:w="9255" w:type="dxa"/>
          <w:tblInd w:w="709" w:type="dxa"/>
          <w:tblLayout w:type="fixed"/>
        </w:tblPrEx>
        <w:trPr>
          <w:cantSplit/>
          <w:trHeight w:hRule="auto" w:val="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234</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42" w:name="Section125"/>
      <w:bookmarkEnd w:id="242"/>
      <w:bookmarkStart w:id="243" w:name="8d41b5564e0c4e7b9cf4df71889ac099"/>
      <w:r>
        <w:rPr>
          <w:rFonts w:ascii="Calibri" w:eastAsia="Calibri" w:hAnsi="Calibri" w:cs="Calibri"/>
          <w:b/>
          <w:i w:val="0"/>
          <w:color w:val="000000"/>
          <w:sz w:val="20"/>
          <w:u w:val="none"/>
        </w:rPr>
        <w:t>30.-</w:t>
      </w:r>
      <w:r>
        <w:rPr>
          <w:rFonts w:ascii="Calibri" w:eastAsia="Calibri" w:hAnsi="Calibri" w:cs="Calibri"/>
          <w:b/>
          <w:i w:val="0"/>
          <w:color w:val="000000"/>
          <w:sz w:val="20"/>
          <w:u w:val="none"/>
        </w:rPr>
        <w:tab/>
      </w:r>
      <w:r>
        <w:rPr>
          <w:rFonts w:ascii="Calibri" w:eastAsia="Calibri" w:hAnsi="Calibri" w:cs="Calibri"/>
          <w:b/>
          <w:i w:val="0"/>
          <w:color w:val="000000"/>
          <w:sz w:val="20"/>
          <w:u w:val="none"/>
        </w:rPr>
        <w:t>MEDIO AMBIENTE.</w:t>
      </w:r>
    </w:p>
    <w:p>
      <w:pPr>
        <w:keepNext w:val="0"/>
        <w:keepLines/>
        <w:pageBreakBefore w:val="0"/>
        <w:widowControl w:val="0"/>
        <w:numPr>
          <w:ilvl w:val="0"/>
          <w:numId w:val="0"/>
        </w:numPr>
        <w:spacing w:before="0" w:after="0" w:line="288" w:lineRule="auto"/>
        <w:ind w:left="0" w:right="48" w:firstLine="0"/>
        <w:jc w:val="both"/>
        <w:outlineLvl w:val="9"/>
        <w:rPr>
          <w:rFonts w:ascii="Calibri" w:eastAsia="Calibri" w:hAnsi="Calibri" w:cs="Calibri"/>
          <w:b w:val="0"/>
          <w:i w:val="0"/>
          <w:color w:val="000000"/>
          <w:sz w:val="20"/>
          <w:u w:val="none"/>
        </w:rPr>
      </w:pPr>
      <w:bookmarkEnd w:id="243"/>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y subsidiaria, participan en el mercado de la fabricación y comercialización de transformadores y hacen esfuerzos permanentes por mejorar su desempeño ambiental. A su vez, estas empresas cumplen y hacen seguimiento proactivo a la normativa ambiental de manera de cumplirla cabalmente en forma sostenida. Además de lo anterior, todos los procesos productivos y de servicios en que la empresa participa cumplen con la normativa y reglamentación existente sobre la materia.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44" w:name="Section126"/>
      <w:bookmarkEnd w:id="244"/>
      <w:bookmarkStart w:id="245" w:name="651756c39db443c4abeba445ec442494"/>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HECHOS POSTERIORES.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5"/>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Entre el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fecha de cierre de los estados financieros consolidados, y su fecha de presentación, no han ocurrido hechos significativos de carácter financiero-contable que pudieran afectar el patrimonio de la Sociedad o la interpretación de éstos.</w:t>
      </w:r>
    </w:p>
    <w:sectPr>
      <w:type w:val="continuous"/>
      <w:pgSz w:w="12240" w:h="15840"/>
      <w:pgMar w:top="1134" w:right="1134" w:bottom="1134"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498.9pt;height:1.98pt">
          <v:imagedata r:id="rId1" o:title=""/>
          <o:lock v:ext="edit" aspectratio="t"/>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498.9pt;height:1.98pt">
          <v:imagedata r:id="rId1" o:title=""/>
          <o:lock v:ext="edit" aspectratio="t"/>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498.9pt;height:1.98pt">
          <v:imagedata r:id="rId1" o:title=""/>
          <o:lock v:ext="edit" aspectratio="t"/>
        </v:shape>
      </w:pict>
    </w:r>
  </w:p>
  <w:p>
    <w:pPr>
      <w:pStyle w:val="Normal-wk"/>
      <w:keepNext w:val="0"/>
      <w:keepLines/>
      <w:pageBreakBefore w:val="0"/>
      <w:widowControl w:val="0"/>
      <w:numPr>
        <w:ilvl w:val="0"/>
        <w:numId w:val="0"/>
      </w:numPr>
      <w:tabs>
        <w:tab w:val="right" w:pos="9400"/>
      </w:tabs>
      <w:spacing w:before="0" w:after="0" w:line="240" w:lineRule="exact"/>
      <w:ind w:left="0" w:right="0" w:firstLine="0"/>
      <w:jc w:val="both"/>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both"/>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677.48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p>
  <w:p>
    <w:pPr>
      <w:keepNext w:val="0"/>
      <w:keepLines/>
      <w:pageBreakBefore w:val="0"/>
      <w:widowControl w:val="0"/>
      <w:numPr>
        <w:ilvl w:val="0"/>
        <w:numId w:val="0"/>
      </w:numPr>
      <w:tabs>
        <w:tab w:val="left" w:pos="700"/>
      </w:tabs>
      <w:spacing w:before="0" w:after="0" w:line="288" w:lineRule="auto"/>
      <w:ind w:left="0" w:right="0" w:firstLine="0"/>
      <w:jc w:val="righ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498.9pt;height:1.98pt">
          <v:imagedata r:id="rId1" o:title=""/>
          <o:lock v:ext="edit" aspectratio="t"/>
        </v:shape>
      </w:pict>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498.9pt;height:1.98pt">
          <v:imagedata r:id="rId1" o:title=""/>
          <o:lock v:ext="edit" aspectratio="t"/>
        </v:shape>
      </w:pict>
    </w:r>
  </w:p>
  <w:p>
    <w:pPr>
      <w:pStyle w:val="Normal-wk"/>
      <w:keepNext w:val="0"/>
      <w:keepLines/>
      <w:pageBreakBefore w:val="0"/>
      <w:widowControl w:val="0"/>
      <w:numPr>
        <w:ilvl w:val="0"/>
        <w:numId w:val="0"/>
      </w:numPr>
      <w:tabs>
        <w:tab w:val="right" w:pos="9400"/>
      </w:tabs>
      <w:spacing w:before="0" w:after="0" w:line="240" w:lineRule="exact"/>
      <w:ind w:left="0" w:right="0" w:firstLine="0"/>
      <w:jc w:val="both"/>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498.9pt;height:1.98pt">
          <v:imagedata r:id="rId1" o:title=""/>
          <o:lock v:ext="edit" aspectratio="t"/>
        </v:shape>
      </w:pic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17</w:t>
    </w:r>
    <w:r>
      <w:rPr>
        <w:rFonts w:ascii="Calibri" w:eastAsia="Calibri" w:hAnsi="Calibri" w:cs="Calibri"/>
        <w:b w:val="0"/>
        <w:i w:val="0"/>
        <w:color w:val="000000"/>
        <w:sz w:val="20"/>
        <w:u w:val="none"/>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18</w:t>
    </w:r>
    <w:r>
      <w:rPr>
        <w:rFonts w:ascii="Calibri" w:eastAsia="Calibri" w:hAnsi="Calibri" w:cs="Calibri"/>
        <w:b w:val="0"/>
        <w:i w:val="0"/>
        <w:color w:val="000000"/>
        <w:sz w:val="20"/>
        <w:u w:val="none"/>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277" w:right="277"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277" w:right="277"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31</w:t>
    </w:r>
    <w:r>
      <w:rPr>
        <w:rFonts w:ascii="Calibri" w:eastAsia="Calibri" w:hAnsi="Calibri" w:cs="Calibri"/>
        <w:b w:val="0"/>
        <w:i w:val="0"/>
        <w:color w:val="000000"/>
        <w:sz w:val="20"/>
        <w:u w:val="none"/>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9"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115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32</w:t>
    </w:r>
    <w:r>
      <w:rPr>
        <w:rFonts w:ascii="Calibri" w:eastAsia="Calibri" w:hAnsi="Calibri" w:cs="Calibri"/>
        <w:b w:val="0"/>
        <w:i w:val="0"/>
        <w:sz w:val="20"/>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0"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35</w:t>
    </w:r>
    <w:r>
      <w:rPr>
        <w:rFonts w:ascii="Calibri" w:eastAsia="Calibri" w:hAnsi="Calibri" w:cs="Calibri"/>
        <w:b w:val="0"/>
        <w:i w:val="0"/>
        <w:sz w:val="20"/>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1"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36</w:t>
    </w:r>
    <w:r>
      <w:rPr>
        <w:rFonts w:ascii="Calibri" w:eastAsia="Calibri" w:hAnsi="Calibri" w:cs="Calibri"/>
        <w:b w:val="0"/>
        <w:i w:val="0"/>
        <w:color w:val="000000"/>
        <w:sz w:val="20"/>
        <w:u w:val="none"/>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2"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39</w:t>
    </w:r>
    <w:r>
      <w:rPr>
        <w:rFonts w:ascii="Calibri" w:eastAsia="Calibri" w:hAnsi="Calibri" w:cs="Calibri"/>
        <w:b w:val="0"/>
        <w:i w:val="0"/>
        <w:color w:val="000000"/>
        <w:sz w:val="20"/>
        <w:u w:val="none"/>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3"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41</w:t>
    </w:r>
    <w:r>
      <w:rPr>
        <w:rFonts w:ascii="Calibri" w:eastAsia="Calibri" w:hAnsi="Calibri" w:cs="Calibri"/>
        <w:b w:val="0"/>
        <w:i w:val="0"/>
        <w:color w:val="000000"/>
        <w:sz w:val="20"/>
        <w:u w:val="none"/>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4"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43</w:t>
    </w:r>
    <w:r>
      <w:rPr>
        <w:rFonts w:ascii="Calibri" w:eastAsia="Calibri" w:hAnsi="Calibri" w:cs="Calibri"/>
        <w:b w:val="0"/>
        <w:i w:val="0"/>
        <w:color w:val="000000"/>
        <w:sz w:val="20"/>
        <w:u w:val="none"/>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5" type="#_x0000_t75" style="width:470.2pt;height:1.5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6"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45</w:t>
    </w:r>
    <w:r>
      <w:rPr>
        <w:rFonts w:ascii="Calibri" w:eastAsia="Calibri" w:hAnsi="Calibri" w:cs="Calibri"/>
        <w:b w:val="0"/>
        <w:i w:val="0"/>
        <w:color w:val="000000"/>
        <w:sz w:val="20"/>
        <w:u w:val="none"/>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7"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49</w:t>
    </w:r>
    <w:r>
      <w:rPr>
        <w:rFonts w:ascii="Calibri" w:eastAsia="Calibri" w:hAnsi="Calibri" w:cs="Calibri"/>
        <w:b w:val="0"/>
        <w:i w:val="0"/>
        <w:color w:val="000000"/>
        <w:sz w:val="20"/>
        <w:u w:val="none"/>
      </w:rPr>
      <w:fldChar w:fldCharType="end"/>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8"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50</w:t>
    </w:r>
    <w:r>
      <w:rPr>
        <w:rFonts w:ascii="Calibri" w:eastAsia="Calibri" w:hAnsi="Calibri" w:cs="Calibri"/>
        <w:b w:val="0"/>
        <w:i w:val="0"/>
        <w:color w:val="000000"/>
        <w:sz w:val="20"/>
        <w:u w:val="none"/>
      </w:rPr>
      <w:fldChar w:fldCharType="end"/>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9"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56</w:t>
    </w:r>
    <w:r>
      <w:rPr>
        <w:rFonts w:ascii="Calibri" w:eastAsia="Calibri" w:hAnsi="Calibri" w:cs="Calibri"/>
        <w:b w:val="0"/>
        <w:i w:val="0"/>
        <w:color w:val="000000"/>
        <w:sz w:val="20"/>
        <w:u w:val="none"/>
      </w:rP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0" type="#_x0000_t75" style="width:470.2pt;height:1.5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1"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57</w:t>
    </w:r>
    <w:r>
      <w:rPr>
        <w:rFonts w:ascii="Calibri" w:eastAsia="Calibri" w:hAnsi="Calibri" w:cs="Calibri"/>
        <w:b w:val="0"/>
        <w:i w:val="0"/>
        <w:color w:val="000000"/>
        <w:sz w:val="20"/>
        <w:u w:val="none"/>
      </w:rPr>
      <w:fldChar w:fldCharType="end"/>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2"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63</w:t>
    </w:r>
    <w:r>
      <w:rPr>
        <w:rFonts w:ascii="Calibri" w:eastAsia="Calibri" w:hAnsi="Calibri" w:cs="Calibri"/>
        <w:b w:val="0"/>
        <w:i w:val="0"/>
        <w:color w:val="000000"/>
        <w:sz w:val="20"/>
        <w:u w:val="none"/>
      </w:rP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3"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69</w:t>
    </w:r>
    <w:r>
      <w:rPr>
        <w:rFonts w:ascii="Calibri" w:eastAsia="Calibri" w:hAnsi="Calibri" w:cs="Calibri"/>
        <w:b w:val="0"/>
        <w:i w:val="0"/>
        <w:color w:val="000000"/>
        <w:sz w:val="20"/>
        <w:u w:val="none"/>
      </w:rPr>
      <w:fldChar w:fldCharType="end"/>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4"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fldChar w:fldCharType="end"/>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5"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71</w:t>
    </w:r>
    <w:r>
      <w:rPr>
        <w:rFonts w:ascii="Calibri" w:eastAsia="Calibri" w:hAnsi="Calibri" w:cs="Calibri"/>
        <w:b w:val="0"/>
        <w:i w:val="0"/>
        <w:color w:val="000000"/>
        <w:sz w:val="20"/>
        <w:u w:val="none"/>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3600" w:right="0" w:firstLine="72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147.38pt;height:59.53pt">
          <v:imagedata r:id="rId1" o:title=""/>
          <o:lock v:ext="edit" aspectratio="t"/>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720"/>
        </w:tabs>
        <w:ind w:left="720" w:hanging="360"/>
      </w:pPr>
      <w:rPr>
        <w:rFonts w:ascii="Calibri" w:eastAsia="Calibri" w:hAnsi="Calibri" w:cs="Calibri"/>
        <w:b/>
        <w:i w:val="0"/>
        <w:strike w:val="0"/>
        <w:color w:val="000000"/>
        <w:sz w:val="20"/>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hybridMultilevel"/>
    <w:tmpl w:val="0000000E"/>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3">
    <w:name w:val="Car Car3"/>
    <w:qFormat/>
    <w:pPr>
      <w:keepNext w:val="0"/>
      <w:spacing w:before="0" w:after="0" w:line="288" w:lineRule="auto"/>
      <w:ind w:left="0" w:firstLine="0"/>
      <w:jc w:val="both"/>
    </w:pPr>
    <w:rPr>
      <w:rFonts w:ascii="Calibri" w:eastAsia="Calibri" w:hAnsi="Calibri" w:cs="Calibri"/>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spacing w:line="288" w:lineRule="auto"/>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customStyle="1" w:styleId="TOC1-wk-1">
    <w:name w:val="TOC 1-wk-1"/>
    <w:qFormat/>
    <w:pPr>
      <w:spacing w:line="288" w:lineRule="auto"/>
      <w:ind w:left="426" w:hanging="426"/>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4.xml" /><Relationship Id="rId12" Type="http://schemas.openxmlformats.org/officeDocument/2006/relationships/header" Target="header4.xml" /><Relationship Id="rId13" Type="http://schemas.openxmlformats.org/officeDocument/2006/relationships/footer" Target="footer5.xml" /><Relationship Id="rId14" Type="http://schemas.openxmlformats.org/officeDocument/2006/relationships/header" Target="header5.xml" /><Relationship Id="rId15" Type="http://schemas.openxmlformats.org/officeDocument/2006/relationships/footer" Target="footer6.xml" /><Relationship Id="rId16" Type="http://schemas.openxmlformats.org/officeDocument/2006/relationships/header" Target="header6.xml" /><Relationship Id="rId17" Type="http://schemas.openxmlformats.org/officeDocument/2006/relationships/footer" Target="footer7.xml" /><Relationship Id="rId18" Type="http://schemas.openxmlformats.org/officeDocument/2006/relationships/header" Target="head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9.xml" /><Relationship Id="rId22" Type="http://schemas.openxmlformats.org/officeDocument/2006/relationships/header" Target="header9.xml" /><Relationship Id="rId23" Type="http://schemas.openxmlformats.org/officeDocument/2006/relationships/footer" Target="footer10.xml" /><Relationship Id="rId24" Type="http://schemas.openxmlformats.org/officeDocument/2006/relationships/header" Target="header10.xml" /><Relationship Id="rId25" Type="http://schemas.openxmlformats.org/officeDocument/2006/relationships/footer" Target="footer11.xml" /><Relationship Id="rId26" Type="http://schemas.openxmlformats.org/officeDocument/2006/relationships/header" Target="header11.xml" /><Relationship Id="rId27" Type="http://schemas.openxmlformats.org/officeDocument/2006/relationships/footer" Target="footer12.xml" /><Relationship Id="rId28" Type="http://schemas.openxmlformats.org/officeDocument/2006/relationships/header" Target="header12.xml" /><Relationship Id="rId29" Type="http://schemas.openxmlformats.org/officeDocument/2006/relationships/footer" Target="footer13.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4.xml" /><Relationship Id="rId32" Type="http://schemas.openxmlformats.org/officeDocument/2006/relationships/header" Target="header14.xml" /><Relationship Id="rId33" Type="http://schemas.openxmlformats.org/officeDocument/2006/relationships/footer" Target="footer15.xml" /><Relationship Id="rId34" Type="http://schemas.openxmlformats.org/officeDocument/2006/relationships/header" Target="header15.xml" /><Relationship Id="rId35" Type="http://schemas.openxmlformats.org/officeDocument/2006/relationships/footer" Target="footer16.xml" /><Relationship Id="rId36" Type="http://schemas.openxmlformats.org/officeDocument/2006/relationships/footer" Target="footer17.xml" /><Relationship Id="rId37" Type="http://schemas.openxmlformats.org/officeDocument/2006/relationships/header" Target="header16.xml" /><Relationship Id="rId38" Type="http://schemas.openxmlformats.org/officeDocument/2006/relationships/footer" Target="footer18.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9.xml" /><Relationship Id="rId41" Type="http://schemas.openxmlformats.org/officeDocument/2006/relationships/header" Target="header18.xml" /><Relationship Id="rId42" Type="http://schemas.openxmlformats.org/officeDocument/2006/relationships/footer" Target="footer20.xml" /><Relationship Id="rId43" Type="http://schemas.openxmlformats.org/officeDocument/2006/relationships/header" Target="header19.xml" /><Relationship Id="rId44" Type="http://schemas.openxmlformats.org/officeDocument/2006/relationships/footer" Target="footer21.xml" /><Relationship Id="rId45" Type="http://schemas.openxmlformats.org/officeDocument/2006/relationships/footer" Target="footer22.xml" /><Relationship Id="rId46" Type="http://schemas.openxmlformats.org/officeDocument/2006/relationships/header" Target="header20.xml" /><Relationship Id="rId47" Type="http://schemas.openxmlformats.org/officeDocument/2006/relationships/footer" Target="footer23.xml" /><Relationship Id="rId48" Type="http://schemas.openxmlformats.org/officeDocument/2006/relationships/header" Target="header21.xml" /><Relationship Id="rId49" Type="http://schemas.openxmlformats.org/officeDocument/2006/relationships/footer" Target="footer24.xml" /><Relationship Id="rId5" Type="http://schemas.openxmlformats.org/officeDocument/2006/relationships/footer" Target="footer1.xml" /><Relationship Id="rId50" Type="http://schemas.openxmlformats.org/officeDocument/2006/relationships/header" Target="header22.xml" /><Relationship Id="rId51" Type="http://schemas.openxmlformats.org/officeDocument/2006/relationships/footer" Target="footer25.xml" /><Relationship Id="rId52" Type="http://schemas.openxmlformats.org/officeDocument/2006/relationships/footer" Target="footer26.xml" /><Relationship Id="rId53" Type="http://schemas.openxmlformats.org/officeDocument/2006/relationships/header" Target="header23.xml" /><Relationship Id="rId54" Type="http://schemas.openxmlformats.org/officeDocument/2006/relationships/footer" Target="footer27.xml" /><Relationship Id="rId55" Type="http://schemas.openxmlformats.org/officeDocument/2006/relationships/theme" Target="theme/theme1.xml" /><Relationship Id="rId56" Type="http://schemas.openxmlformats.org/officeDocument/2006/relationships/numbering" Target="numbering.xml" /><Relationship Id="rId57" Type="http://schemas.openxmlformats.org/officeDocument/2006/relationships/styles" Target="styles.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image" Target="media/image2.png"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_rels/footer13.xml.rels><?xml version="1.0" encoding="utf-8" standalone="yes"?><Relationships xmlns="http://schemas.openxmlformats.org/package/2006/relationships"><Relationship Id="rId1" Type="http://schemas.openxmlformats.org/officeDocument/2006/relationships/image" Target="media/image2.png" /></Relationships>
</file>

<file path=word/_rels/footer14.xml.rels><?xml version="1.0" encoding="utf-8" standalone="yes"?><Relationships xmlns="http://schemas.openxmlformats.org/package/2006/relationships"><Relationship Id="rId1" Type="http://schemas.openxmlformats.org/officeDocument/2006/relationships/image" Target="media/image2.png" /></Relationships>
</file>

<file path=word/_rels/footer15.xml.rels><?xml version="1.0" encoding="utf-8" standalone="yes"?><Relationships xmlns="http://schemas.openxmlformats.org/package/2006/relationships"><Relationship Id="rId1" Type="http://schemas.openxmlformats.org/officeDocument/2006/relationships/image" Target="media/image2.png" /></Relationships>
</file>

<file path=word/_rels/footer16.xml.rels><?xml version="1.0" encoding="utf-8" standalone="yes"?><Relationships xmlns="http://schemas.openxmlformats.org/package/2006/relationships"><Relationship Id="rId1" Type="http://schemas.openxmlformats.org/officeDocument/2006/relationships/image" Target="media/image2.png" /></Relationships>
</file>

<file path=word/_rels/footer17.xml.rels><?xml version="1.0" encoding="utf-8" standalone="yes"?><Relationships xmlns="http://schemas.openxmlformats.org/package/2006/relationships"><Relationship Id="rId1" Type="http://schemas.openxmlformats.org/officeDocument/2006/relationships/image" Target="media/image3.png" /></Relationships>
</file>

<file path=word/_rels/footer18.xml.rels><?xml version="1.0" encoding="utf-8" standalone="yes"?><Relationships xmlns="http://schemas.openxmlformats.org/package/2006/relationships"><Relationship Id="rId1" Type="http://schemas.openxmlformats.org/officeDocument/2006/relationships/image" Target="media/image2.png" /></Relationships>
</file>

<file path=word/_rels/footer19.xml.rels><?xml version="1.0" encoding="utf-8" standalone="yes"?><Relationships xmlns="http://schemas.openxmlformats.org/package/2006/relationships"><Relationship Id="rId1" Type="http://schemas.openxmlformats.org/officeDocument/2006/relationships/image" Target="media/image2.png" /></Relationships>
</file>

<file path=word/_rels/footer20.xml.rels><?xml version="1.0" encoding="utf-8" standalone="yes"?><Relationships xmlns="http://schemas.openxmlformats.org/package/2006/relationships"><Relationship Id="rId1" Type="http://schemas.openxmlformats.org/officeDocument/2006/relationships/image" Target="media/image2.png" /></Relationships>
</file>

<file path=word/_rels/footer21.xml.rels><?xml version="1.0" encoding="utf-8" standalone="yes"?><Relationships xmlns="http://schemas.openxmlformats.org/package/2006/relationships"><Relationship Id="rId1" Type="http://schemas.openxmlformats.org/officeDocument/2006/relationships/image" Target="media/image2.png" /></Relationships>
</file>

<file path=word/_rels/footer22.xml.rels><?xml version="1.0" encoding="utf-8" standalone="yes"?><Relationships xmlns="http://schemas.openxmlformats.org/package/2006/relationships"><Relationship Id="rId1" Type="http://schemas.openxmlformats.org/officeDocument/2006/relationships/image" Target="media/image3.png" /></Relationships>
</file>

<file path=word/_rels/footer23.xml.rels><?xml version="1.0" encoding="utf-8" standalone="yes"?><Relationships xmlns="http://schemas.openxmlformats.org/package/2006/relationships"><Relationship Id="rId1" Type="http://schemas.openxmlformats.org/officeDocument/2006/relationships/image" Target="media/image2.png" /></Relationships>
</file>

<file path=word/_rels/footer24.xml.rels><?xml version="1.0" encoding="utf-8" standalone="yes"?><Relationships xmlns="http://schemas.openxmlformats.org/package/2006/relationships"><Relationship Id="rId1" Type="http://schemas.openxmlformats.org/officeDocument/2006/relationships/image" Target="media/image2.png" /></Relationships>
</file>

<file path=word/_rels/footer25.xml.rels><?xml version="1.0" encoding="utf-8" standalone="yes"?><Relationships xmlns="http://schemas.openxmlformats.org/package/2006/relationships"><Relationship Id="rId1" Type="http://schemas.openxmlformats.org/officeDocument/2006/relationships/image" Target="media/image2.png" /></Relationships>
</file>

<file path=word/_rels/footer26.xml.rels><?xml version="1.0" encoding="utf-8" standalone="yes"?><Relationships xmlns="http://schemas.openxmlformats.org/package/2006/relationships"><Relationship Id="rId1" Type="http://schemas.openxmlformats.org/officeDocument/2006/relationships/image" Target="media/image2.png" /></Relationships>
</file>

<file path=word/_rels/footer27.xml.rels><?xml version="1.0" encoding="utf-8" standalone="yes"?><Relationships xmlns="http://schemas.openxmlformats.org/package/2006/relationships"><Relationship Id="rId1" Type="http://schemas.openxmlformats.org/officeDocument/2006/relationships/image" Target="media/image2.png"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73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E514 (ESP) - EE.FF 06-2026  - Transformadores Tusan S.A.</dc:title>
  <cp:revision>1</cp:revision>
</cp:coreProperties>
</file>