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Cómo hacer copias en Workiva</w:t>
      </w:r>
    </w:p>
    <w:p>
      <w:pPr>
        <w:pBdr>
          <w:bottom w:val="single" w:color="2E5C9A" w:sz="10" w:space="5"/>
        </w:pBdr>
        <w:spacing w:after="240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Files → clic derecho → Copy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Los pasos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Clic derecho sobre la carpeta (o el archivo) en Files y elija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Copy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Revise la lista de archivos incluidos y presione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Next</w:t>
      </w:r>
      <w:r>
        <w:rPr>
          <w:rFonts w:ascii="Calibri" w:cs="Calibri" w:eastAsia="Calibri" w:hAnsi="Calibri"/>
          <w:sz w:val="21"/>
          <w:szCs w:val="21"/>
        </w:rPr>
        <w:t xml:space="preserve">. Los Filings nunca se copian.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Copy includes</w:t>
      </w:r>
      <w:r>
        <w:rPr>
          <w:rFonts w:ascii="Calibri" w:cs="Calibri" w:eastAsia="Calibri" w:hAnsi="Calibri"/>
          <w:sz w:val="21"/>
          <w:szCs w:val="21"/>
        </w:rPr>
        <w:t xml:space="preserve">, marque o desmarque las casillas según la lista de abajo.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Revise el desplegable de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Links and Process References</w:t>
      </w:r>
      <w:r>
        <w:rPr>
          <w:rFonts w:ascii="Calibri" w:cs="Calibri" w:eastAsia="Calibri" w:hAnsi="Calibri"/>
          <w:sz w:val="21"/>
          <w:szCs w:val="21"/>
        </w:rPr>
        <w:t xml:space="preserve">: es la única opción que puede arruinar la copia.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Location Settings</w:t>
      </w:r>
      <w:r>
        <w:rPr>
          <w:rFonts w:ascii="Calibri" w:cs="Calibri" w:eastAsia="Calibri" w:hAnsi="Calibri"/>
          <w:sz w:val="21"/>
          <w:szCs w:val="21"/>
        </w:rPr>
        <w:t xml:space="preserve">, escriba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New Folder Name</w:t>
      </w:r>
      <w:r>
        <w:rPr>
          <w:rFonts w:ascii="Calibri" w:cs="Calibri" w:eastAsia="Calibri" w:hAnsi="Calibri"/>
          <w:sz w:val="21"/>
          <w:szCs w:val="21"/>
        </w:rPr>
        <w:t xml:space="preserve"> del período nuevo y elija el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Location</w:t>
      </w:r>
      <w:r>
        <w:rPr>
          <w:rFonts w:ascii="Calibri" w:cs="Calibri" w:eastAsia="Calibri" w:hAnsi="Calibri"/>
          <w:sz w:val="21"/>
          <w:szCs w:val="21"/>
        </w:rPr>
        <w:t xml:space="preserve">: la carpeta del año, no la del mes anterior.</w:t>
      </w:r>
    </w:p>
    <w:p>
      <w:pPr>
        <w:pStyle w:val="ListParagraph"/>
        <w:numPr>
          <w:ilvl w:val="0"/>
          <w:numId w:val="2"/>
        </w:numPr>
        <w:spacing w:after="100" w:line="276"/>
      </w:pPr>
      <w:r>
        <w:rPr>
          <w:rFonts w:ascii="Calibri" w:cs="Calibri" w:eastAsia="Calibri" w:hAnsi="Calibri"/>
          <w:sz w:val="21"/>
          <w:szCs w:val="21"/>
        </w:rPr>
        <w:t xml:space="preserve">Presione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Copy</w:t>
      </w:r>
      <w:r>
        <w:rPr>
          <w:rFonts w:ascii="Calibri" w:cs="Calibri" w:eastAsia="Calibri" w:hAnsi="Calibri"/>
          <w:sz w:val="21"/>
          <w:szCs w:val="21"/>
        </w:rPr>
        <w:t xml:space="preserve">. La copia corre en segundo plano y llega un aviso por correo cuando termina.</w:t>
      </w:r>
    </w:p>
    <w:p>
      <w:pPr>
        <w:spacing w:after="60" w:before="100"/>
        <w:jc w:val="center"/>
      </w:pPr>
      <w:r>
        <w:drawing>
          <wp:inline distT="0" distB="0" distL="0" distR="0">
            <wp:extent cx="3543300" cy="4810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3300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Paso 1: clic derecho sobre la carpeta y elegir Copy. Ojo: Copy URL solo copia el vínculo y Move no deja duplicado.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Qué marcar en Copy includes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Entre paréntesis va el estado con que viene cada casilla por defecto.</w:t>
      </w:r>
    </w:p>
    <w:p>
      <w:pPr>
        <w:spacing w:after="60" w:before="100"/>
        <w:jc w:val="center"/>
      </w:pPr>
      <w:r>
        <w:drawing>
          <wp:inline distT="0" distB="0" distL="0" distR="0">
            <wp:extent cx="5905500" cy="565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Pasos 3 y 4: las casillas de Copy includes y el desplegable de links abierto con sus dos opciones.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All comments</w:t>
      </w:r>
      <w:r>
        <w:rPr>
          <w:rFonts w:ascii="Calibri" w:cs="Calibri" w:eastAsia="Calibri" w:hAnsi="Calibri"/>
          <w:sz w:val="21"/>
          <w:szCs w:val="21"/>
        </w:rPr>
        <w:t xml:space="preserve"> (desmarcada): déjela así. Los comentarios del período anterior ya no aplican.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Outline labels</w:t>
      </w:r>
      <w:r>
        <w:rPr>
          <w:rFonts w:ascii="Calibri" w:cs="Calibri" w:eastAsia="Calibri" w:hAnsi="Calibri"/>
          <w:sz w:val="21"/>
          <w:szCs w:val="21"/>
        </w:rPr>
        <w:t xml:space="preserve"> (marcada): desmárquela, o el período nuevo nace con secciones marcadas como revisadas.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Attachments</w:t>
      </w:r>
      <w:r>
        <w:rPr>
          <w:rFonts w:ascii="Calibri" w:cs="Calibri" w:eastAsia="Calibri" w:hAnsi="Calibri"/>
          <w:sz w:val="21"/>
          <w:szCs w:val="21"/>
        </w:rPr>
        <w:t xml:space="preserve"> (desmarcada): márquela solo si los adjuntos son parte fija del reporte y no evidencia del período.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Automations</w:t>
      </w:r>
      <w:r>
        <w:rPr>
          <w:rFonts w:ascii="Calibri" w:cs="Calibri" w:eastAsia="Calibri" w:hAnsi="Calibri"/>
          <w:sz w:val="21"/>
          <w:szCs w:val="21"/>
        </w:rPr>
        <w:t xml:space="preserve"> (marcada): déjela marcada.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Document Markup</w:t>
      </w:r>
      <w:r>
        <w:rPr>
          <w:rFonts w:ascii="Calibri" w:cs="Calibri" w:eastAsia="Calibri" w:hAnsi="Calibri"/>
          <w:sz w:val="21"/>
          <w:szCs w:val="21"/>
        </w:rPr>
        <w:t xml:space="preserve"> (desmarcada): déjela así. El marcado es evidencia de la revisión del período anterior.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Links and Process References</w:t>
      </w:r>
      <w:r>
        <w:rPr>
          <w:rFonts w:ascii="Calibri" w:cs="Calibri" w:eastAsia="Calibri" w:hAnsi="Calibri"/>
          <w:sz w:val="21"/>
          <w:szCs w:val="21"/>
        </w:rPr>
        <w:t xml:space="preserve"> (marcada): déjela marcada y revise su desplegable — ver más abajo.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Maintain managed destination links</w:t>
      </w:r>
      <w:r>
        <w:rPr>
          <w:rFonts w:ascii="Calibri" w:cs="Calibri" w:eastAsia="Calibri" w:hAnsi="Calibri"/>
          <w:sz w:val="21"/>
          <w:szCs w:val="21"/>
        </w:rPr>
        <w:t xml:space="preserve"> 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Include metadata for all source smart links</w:t>
      </w:r>
      <w:r>
        <w:rPr>
          <w:rFonts w:ascii="Calibri" w:cs="Calibri" w:eastAsia="Calibri" w:hAnsi="Calibri"/>
          <w:sz w:val="21"/>
          <w:szCs w:val="21"/>
        </w:rPr>
        <w:t xml:space="preserve"> (ambas marcadas): déjelas marcadas; conservan los enlaces de destino y los nombres de los smart links.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Connections</w:t>
      </w:r>
      <w:r>
        <w:rPr>
          <w:rFonts w:ascii="Calibri" w:cs="Calibri" w:eastAsia="Calibri" w:hAnsi="Calibri"/>
          <w:sz w:val="21"/>
          <w:szCs w:val="21"/>
        </w:rPr>
        <w:t xml:space="preserve"> (marcada): déjela marcada, con “Incoming and outgoing connections”.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Input cell values</w:t>
      </w:r>
      <w:r>
        <w:rPr>
          <w:rFonts w:ascii="Calibri" w:cs="Calibri" w:eastAsia="Calibri" w:hAnsi="Calibri"/>
          <w:sz w:val="21"/>
          <w:szCs w:val="21"/>
        </w:rPr>
        <w:t xml:space="preserve"> (desmarcada): déjela así; los datos del período se cargan de cero.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Input mode in enabled sections</w:t>
      </w:r>
      <w:r>
        <w:rPr>
          <w:rFonts w:ascii="Calibri" w:cs="Calibri" w:eastAsia="Calibri" w:hAnsi="Calibri"/>
          <w:sz w:val="21"/>
          <w:szCs w:val="21"/>
        </w:rPr>
        <w:t xml:space="preserve"> (desmarcada): márquela si el equipo carga datos con Input Mode.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El desplegable que hay que mirar sí o sí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Links and Process References viene siempre en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“Create copies of all source files”</w:t>
      </w:r>
      <w:r>
        <w:rPr>
          <w:rFonts w:ascii="Calibri" w:cs="Calibri" w:eastAsia="Calibri" w:hAnsi="Calibri"/>
          <w:sz w:val="21"/>
          <w:szCs w:val="21"/>
        </w:rPr>
        <w:t xml:space="preserve">: duplica también los archivos fuente y enlaza la copia a esos duplicados. Eso es lo correcto cuando las fuentes son del período y avanzan con él.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Si las fuentes viven fuera de la carpeta y son únicas y permanentes, hay que cambiarlo a mano 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“Keep links to original source files”</w:t>
      </w:r>
      <w:r>
        <w:rPr>
          <w:rFonts w:ascii="Calibri" w:cs="Calibri" w:eastAsia="Calibri" w:hAnsi="Calibri"/>
          <w:sz w:val="21"/>
          <w:szCs w:val="21"/>
        </w:rPr>
        <w:t xml:space="preserve">: no crea copias de las fuentes y la copia sigue leyendo de las originales.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9C1B1B"/>
          <w:sz w:val="21"/>
          <w:szCs w:val="21"/>
        </w:rPr>
        <w:t xml:space="preserve">Elegir mal deja el período nuevo mostrando cifras del anterior, o llena el workspace de duplicados que nadie pidió.</w:t>
      </w:r>
    </w:p>
    <w:p>
      <w:pPr>
        <w:spacing w:after="60" w:before="100"/>
        <w:jc w:val="center"/>
      </w:pPr>
      <w:r>
        <w:drawing>
          <wp:inline distT="0" distB="0" distL="0" distR="0">
            <wp:extent cx="5905500" cy="3629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Las dos casillas de Smart links van marcadas. Abajo, New Folder Name es obligatorio y Location define dónde queda la copia.</w:t>
      </w:r>
    </w:p>
    <w:p>
      <w:pPr>
        <w:pStyle w:val="Heading1"/>
        <w:pBdr>
          <w:bottom w:val="single" w:color="2E5C9A" w:sz="8" w:space="4"/>
        </w:pBdr>
        <w:spacing w:after="140" w:before="300"/>
      </w:pPr>
      <w:r>
        <w:rPr>
          <w:rFonts w:ascii="Calibri" w:cs="Calibri" w:eastAsia="Calibri" w:hAnsi="Calibri"/>
          <w:b/>
          <w:bCs/>
          <w:color w:val="1F3864"/>
          <w:sz w:val="27"/>
          <w:szCs w:val="27"/>
        </w:rPr>
        <w:t xml:space="preserve">Después de copiar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Abra dos o tres archivos y verifique que sus enlaces apunten a donde usted decidió, no al período anterior.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Actualice las fechas dentro de documentos y planillas, y revise Document Health.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Confirme que la carpeta quedó en la ubicación correcta y con el nombre del período nuevo.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rFonts w:ascii="Calibri" w:cs="Calibri" w:eastAsia="Calibri" w:hAnsi="Calibri"/>
          <w:sz w:val="21"/>
          <w:szCs w:val="21"/>
        </w:rPr>
        <w:t xml:space="preserve">Mantenga la nomenclatura: prefijos (CHN) / (LC) y código de sociedad (E110, E200, E205…) sin alterar, o los scripts del Auditor dejan de reconocer los archivos.</w:t>
      </w:r>
    </w:p>
    <w:p>
      <w:pPr>
        <w:spacing w:after="0" w:line="276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Referencia: Workiva Support Center — “Copy a file or folder” (support.workiva.com/hc/en-us/articles/360035639992).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9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0063a7d2a24c6d8a77b996d0642ca42084d457.png"/><Relationship Id="rId8" Type="http://schemas.openxmlformats.org/officeDocument/2006/relationships/image" Target="media/9d1d0e21ed8087b013e44e9fbc30d9a6f7f2e4ee.png"/><Relationship Id="rId9" Type="http://schemas.openxmlformats.org/officeDocument/2006/relationships/image" Target="media/30175dc170a91338e758431eac679020fe4249a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Cómo hacer copias en Workiva</dc:title>
  <dc:creator>Auditoría CGE</dc:creator>
  <cp:lastModifiedBy>Un-named</cp:lastModifiedBy>
  <cp:revision>1</cp:revision>
  <dcterms:created xsi:type="dcterms:W3CDTF">2026-08-25T20:16:36.268Z</dcterms:created>
  <dcterms:modified xsi:type="dcterms:W3CDTF">2026-08-25T20:16:36.269Z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