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60"/>
      </w:pPr>
      <w:r>
        <w:rPr>
          <w:rFonts w:ascii="Calibri" w:cs="Calibri" w:eastAsia="Calibri" w:hAnsi="Calibri"/>
          <w:b/>
          <w:bCs/>
          <w:color w:val="2E5C9A"/>
          <w:sz w:val="20"/>
          <w:szCs w:val="20"/>
        </w:rPr>
        <w:t xml:space="preserve">PROCEDIMIENTO OPERATIVO — AUDITORÍA CGE</w:t>
      </w:r>
    </w:p>
    <w:p>
      <w:pPr>
        <w:spacing w:after="100"/>
      </w:pPr>
      <w:r>
        <w:rPr>
          <w:rFonts w:ascii="Calibri" w:cs="Calibri" w:eastAsia="Calibri" w:hAnsi="Calibri"/>
          <w:b/>
          <w:bCs/>
          <w:color w:val="1F3864"/>
          <w:sz w:val="52"/>
          <w:szCs w:val="52"/>
        </w:rPr>
        <w:t xml:space="preserve">Cómo hacer copias en Workiva</w:t>
      </w:r>
    </w:p>
    <w:p>
      <w:pPr>
        <w:pBdr>
          <w:bottom w:val="single" w:color="2E5C9A" w:sz="12" w:space="6"/>
        </w:pBdr>
        <w:spacing w:after="260"/>
      </w:pPr>
      <w:r>
        <w:rPr>
          <w:rFonts w:ascii="Calibri" w:cs="Calibri" w:eastAsia="Calibri" w:hAnsi="Calibri"/>
          <w:color w:val="444444"/>
          <w:sz w:val="24"/>
          <w:szCs w:val="24"/>
        </w:rPr>
        <w:t xml:space="preserve">Paso a paso de la ventana Copy, opción por opción, con la configuración recomendada para copiar la carpeta del mes</w:t>
      </w:r>
    </w:p>
    <w:p>
      <w:pPr>
        <w:spacing w:after="160"/>
      </w:pPr>
    </w:p>
    <w:tbl>
      <w:tblPr>
        <w:tblW w:type="dxa" w:w="10080"/>
        <w:tblBorders>
          <w:top w:val="single" w:color="AAB7CE" w:sz="4"/>
          <w:left w:val="single" w:color="AAB7CE" w:sz="4"/>
          <w:bottom w:val="single" w:color="AAB7CE" w:sz="4"/>
          <w:right w:val="single" w:color="AAB7CE" w:sz="4"/>
          <w:insideH w:val="single" w:color="AAB7CE" w:sz="4"/>
          <w:insideV w:val="single" w:color="AAB7CE" w:sz="4"/>
        </w:tblBorders>
      </w:tblPr>
      <w:tblGrid>
        <w:gridCol w:w="2600"/>
        <w:gridCol w:w="7480"/>
      </w:tblGrid>
      <w:tr>
        <w:trPr>
          <w:tblHeader/>
        </w:trPr>
        <w:tc>
          <w:tcPr>
            <w:tcW w:type="dxa" w:w="2600"/>
            <w:shd w:fill="D9E1F2" w:color="auto" w:val="clear"/>
            <w:tcMar>
              <w:top w:type="dxa" w:w="80"/>
              <w:left w:type="dxa" w:w="110"/>
              <w:bottom w:type="dxa" w:w="80"/>
              <w:right w:type="dxa" w:w="110"/>
            </w:tcMar>
          </w:tcPr>
          <w:p>
            <w:pPr>
              <w:spacing w:after="0" w:line="260"/>
            </w:pPr>
            <w:r>
              <w:rPr>
                <w:rFonts w:ascii="Calibri" w:cs="Calibri" w:eastAsia="Calibri" w:hAnsi="Calibri"/>
                <w:b/>
                <w:bCs/>
                <w:color w:val="1F3864"/>
                <w:sz w:val="19"/>
                <w:szCs w:val="19"/>
              </w:rPr>
              <w:t xml:space="preserve">Campo</w:t>
            </w:r>
          </w:p>
        </w:tc>
        <w:tc>
          <w:tcPr>
            <w:tcW w:type="dxa" w:w="7480"/>
            <w:shd w:fill="D9E1F2" w:color="auto" w:val="clear"/>
            <w:tcMar>
              <w:top w:type="dxa" w:w="80"/>
              <w:left w:type="dxa" w:w="110"/>
              <w:bottom w:type="dxa" w:w="80"/>
              <w:right w:type="dxa" w:w="110"/>
            </w:tcMar>
          </w:tcPr>
          <w:p>
            <w:pPr>
              <w:spacing w:after="0" w:line="260"/>
            </w:pPr>
            <w:r>
              <w:rPr>
                <w:rFonts w:ascii="Calibri" w:cs="Calibri" w:eastAsia="Calibri" w:hAnsi="Calibri"/>
                <w:b/>
                <w:bCs/>
                <w:color w:val="1F3864"/>
                <w:sz w:val="19"/>
                <w:szCs w:val="19"/>
              </w:rPr>
              <w:t xml:space="preserve">Detalle</w:t>
            </w:r>
          </w:p>
        </w:tc>
      </w:tr>
      <w:tr>
        <w:tc>
          <w:tcPr>
            <w:tcW w:type="dxa" w:w="2600"/>
            <w:tcMar>
              <w:top w:type="dxa" w:w="80"/>
              <w:left w:type="dxa" w:w="110"/>
              <w:bottom w:type="dxa" w:w="80"/>
              <w:right w:type="dxa" w:w="110"/>
            </w:tcMar>
          </w:tcPr>
          <w:p>
            <w:pPr>
              <w:spacing w:after="0" w:line="260"/>
            </w:pPr>
            <w:r>
              <w:rPr>
                <w:rFonts w:ascii="Calibri" w:cs="Calibri" w:eastAsia="Calibri" w:hAnsi="Calibri"/>
                <w:sz w:val="19"/>
                <w:szCs w:val="19"/>
              </w:rPr>
              <w:t xml:space="preserve">Aplica a</w:t>
            </w:r>
          </w:p>
        </w:tc>
        <w:tc>
          <w:tcPr>
            <w:tcW w:type="dxa" w:w="7480"/>
            <w:tcMar>
              <w:top w:type="dxa" w:w="80"/>
              <w:left w:type="dxa" w:w="110"/>
              <w:bottom w:type="dxa" w:w="80"/>
              <w:right w:type="dxa" w:w="110"/>
            </w:tcMar>
          </w:tcPr>
          <w:p>
            <w:pPr>
              <w:spacing w:after="0" w:line="260"/>
            </w:pPr>
            <w:r>
              <w:rPr>
                <w:rFonts w:ascii="Calibri" w:cs="Calibri" w:eastAsia="Calibri" w:hAnsi="Calibri"/>
                <w:sz w:val="19"/>
                <w:szCs w:val="19"/>
              </w:rPr>
              <w:t xml:space="preserve">Copia de carpetas y archivos dentro del mismo workspace de Workiva (menú Files → Copy)</w:t>
            </w:r>
          </w:p>
        </w:tc>
      </w:tr>
      <w:tr>
        <w:tc>
          <w:tcPr>
            <w:tcW w:type="dxa" w:w="26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Ejemplo usado</w:t>
            </w:r>
          </w:p>
        </w:tc>
        <w:tc>
          <w:tcPr>
            <w:tcW w:type="dxa" w:w="74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Copiar la carpeta 2026 › 08 Agosto 2026 (con Activo fijo y Reportes) para generar el mes siguiente</w:t>
            </w:r>
          </w:p>
        </w:tc>
      </w:tr>
      <w:tr>
        <w:tc>
          <w:tcPr>
            <w:tcW w:type="dxa" w:w="2600"/>
            <w:tcMar>
              <w:top w:type="dxa" w:w="80"/>
              <w:left w:type="dxa" w:w="110"/>
              <w:bottom w:type="dxa" w:w="80"/>
              <w:right w:type="dxa" w:w="110"/>
            </w:tcMar>
          </w:tcPr>
          <w:p>
            <w:pPr>
              <w:spacing w:after="0" w:line="260"/>
            </w:pPr>
            <w:r>
              <w:rPr>
                <w:rFonts w:ascii="Calibri" w:cs="Calibri" w:eastAsia="Calibri" w:hAnsi="Calibri"/>
                <w:sz w:val="19"/>
                <w:szCs w:val="19"/>
              </w:rPr>
              <w:t xml:space="preserve">Dirigido a</w:t>
            </w:r>
          </w:p>
        </w:tc>
        <w:tc>
          <w:tcPr>
            <w:tcW w:type="dxa" w:w="7480"/>
            <w:tcMar>
              <w:top w:type="dxa" w:w="80"/>
              <w:left w:type="dxa" w:w="110"/>
              <w:bottom w:type="dxa" w:w="80"/>
              <w:right w:type="dxa" w:w="110"/>
            </w:tcMar>
          </w:tcPr>
          <w:p>
            <w:pPr>
              <w:spacing w:after="0" w:line="260"/>
            </w:pPr>
            <w:r>
              <w:rPr>
                <w:rFonts w:ascii="Calibri" w:cs="Calibri" w:eastAsia="Calibri" w:hAnsi="Calibri"/>
                <w:sz w:val="19"/>
                <w:szCs w:val="19"/>
              </w:rPr>
              <w:t xml:space="preserve">Equipo de auditoría y preparación de reportes de CGE</w:t>
            </w:r>
          </w:p>
        </w:tc>
      </w:tr>
      <w:tr>
        <w:tc>
          <w:tcPr>
            <w:tcW w:type="dxa" w:w="26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Versión</w:t>
            </w:r>
          </w:p>
        </w:tc>
        <w:tc>
          <w:tcPr>
            <w:tcW w:type="dxa" w:w="74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2.0 — reescrita sobre la pantalla real de Workiva</w:t>
            </w:r>
          </w:p>
        </w:tc>
      </w:tr>
      <w:tr>
        <w:tc>
          <w:tcPr>
            <w:tcW w:type="dxa" w:w="2600"/>
            <w:tcMar>
              <w:top w:type="dxa" w:w="80"/>
              <w:left w:type="dxa" w:w="110"/>
              <w:bottom w:type="dxa" w:w="80"/>
              <w:right w:type="dxa" w:w="110"/>
            </w:tcMar>
          </w:tcPr>
          <w:p>
            <w:pPr>
              <w:spacing w:after="0" w:line="260"/>
            </w:pPr>
            <w:r>
              <w:rPr>
                <w:rFonts w:ascii="Calibri" w:cs="Calibri" w:eastAsia="Calibri" w:hAnsi="Calibri"/>
                <w:sz w:val="19"/>
                <w:szCs w:val="19"/>
              </w:rPr>
              <w:t xml:space="preserve">Fecha</w:t>
            </w:r>
          </w:p>
        </w:tc>
        <w:tc>
          <w:tcPr>
            <w:tcW w:type="dxa" w:w="7480"/>
            <w:tcMar>
              <w:top w:type="dxa" w:w="80"/>
              <w:left w:type="dxa" w:w="110"/>
              <w:bottom w:type="dxa" w:w="80"/>
              <w:right w:type="dxa" w:w="110"/>
            </w:tcMar>
          </w:tcPr>
          <w:p>
            <w:pPr>
              <w:spacing w:after="0" w:line="260"/>
            </w:pPr>
            <w:r>
              <w:rPr>
                <w:rFonts w:ascii="Calibri" w:cs="Calibri" w:eastAsia="Calibri" w:hAnsi="Calibri"/>
                <w:sz w:val="19"/>
                <w:szCs w:val="19"/>
              </w:rPr>
              <w:t xml:space="preserve">Agosto 2026</w:t>
            </w:r>
          </w:p>
        </w:tc>
      </w:tr>
    </w:tbl>
    <w:p>
      <w:pPr>
        <w:spacing w:after="220"/>
      </w:pPr>
    </w:p>
    <w:tbl>
      <w:tblPr>
        <w:tblW w:type="dxa" w:w="10080"/>
        <w:tblBorders>
          <w:top w:val="single" w:color="9C1B1B" w:sz="4"/>
          <w:left w:val="single" w:color="9C1B1B" w:sz="24"/>
          <w:bottom w:val="single" w:color="9C1B1B" w:sz="4"/>
          <w:right w:val="single" w:color="9C1B1B" w:sz="4"/>
          <w:insideH w:val="none"/>
          <w:insideV w:val="none"/>
        </w:tblBorders>
      </w:tblPr>
      <w:tblGrid>
        <w:gridCol w:w="10080"/>
      </w:tblGrid>
      <w:tr>
        <w:tc>
          <w:tcPr>
            <w:tcW w:type="dxa" w:w="10080"/>
            <w:shd w:fill="FBFCFE" w:color="auto" w:val="clear"/>
            <w:tcMar>
              <w:top w:type="dxa" w:w="80"/>
              <w:left w:type="dxa" w:w="110"/>
              <w:bottom w:type="dxa" w:w="80"/>
              <w:right w:type="dxa" w:w="110"/>
            </w:tcMar>
          </w:tcPr>
          <w:p>
            <w:pPr>
              <w:spacing w:after="40"/>
            </w:pPr>
            <w:r>
              <w:rPr>
                <w:rFonts w:ascii="Calibri" w:cs="Calibri" w:eastAsia="Calibri" w:hAnsi="Calibri"/>
                <w:b/>
                <w:bCs/>
                <w:color w:val="9C1B1B"/>
                <w:sz w:val="20"/>
                <w:szCs w:val="20"/>
              </w:rPr>
              <w:t xml:space="preserve">La única decisión que realmente pesa</w:t>
            </w:r>
          </w:p>
          <w:p>
            <w:pPr>
              <w:spacing w:after="0" w:line="260"/>
            </w:pPr>
            <w:r>
              <w:rPr>
                <w:rFonts w:ascii="Calibri" w:cs="Calibri" w:eastAsia="Calibri" w:hAnsi="Calibri"/>
                <w:sz w:val="20"/>
                <w:szCs w:val="20"/>
              </w:rPr>
              <w:t xml:space="preserve">En la ventana Copy hay una lista larga de casillas, pero la que puede arruinar el trabajo es una sola: el desplegable de Links and Process References. Viene por defecto en "Create copies of all source files" (duplica también los archivos fuente). Si lo que usted quiere es que la copia siga leyendo de los archivos originales, tiene que cambiarlo a mano a "Keep links to original source files". Todo lo demás se corrige después; esto no.</w:t>
            </w:r>
          </w:p>
        </w:tc>
      </w:tr>
    </w:tbl>
    <w:p>
      <w:r>
        <w:br w:type="page"/>
      </w:r>
    </w:p>
    <w:p>
      <w:pPr>
        <w:pStyle w:val="Heading1"/>
        <w:pBdr>
          <w:bottom w:val="single" w:color="2E5C9A" w:sz="8" w:space="4"/>
        </w:pBdr>
        <w:spacing w:after="160" w:before="320"/>
      </w:pPr>
      <w:r>
        <w:rPr>
          <w:rFonts w:ascii="Calibri" w:cs="Calibri" w:eastAsia="Calibri" w:hAnsi="Calibri"/>
          <w:b/>
          <w:bCs/>
          <w:color w:val="1F3864"/>
          <w:sz w:val="30"/>
          <w:szCs w:val="30"/>
        </w:rPr>
        <w:t xml:space="preserve">Contenido</w:t>
      </w:r>
    </w:p>
    <w:p>
      <w:pPr>
        <w:spacing w:after="70"/>
        <w:ind w:left="200"/>
      </w:pPr>
      <w:r>
        <w:rPr>
          <w:rFonts w:ascii="Calibri" w:cs="Calibri" w:eastAsia="Calibri" w:hAnsi="Calibri"/>
          <w:color w:val="333333"/>
          <w:sz w:val="21"/>
          <w:szCs w:val="21"/>
        </w:rPr>
        <w:t xml:space="preserve">1. La copia en una mirada (resumen de los 6 pasos)</w:t>
      </w:r>
    </w:p>
    <w:p>
      <w:pPr>
        <w:spacing w:after="70"/>
        <w:ind w:left="200"/>
      </w:pPr>
      <w:r>
        <w:rPr>
          <w:rFonts w:ascii="Calibri" w:cs="Calibri" w:eastAsia="Calibri" w:hAnsi="Calibri"/>
          <w:color w:val="333333"/>
          <w:sz w:val="21"/>
          <w:szCs w:val="21"/>
        </w:rPr>
        <w:t xml:space="preserve">2. Paso 1 — Preparar antes de copiar</w:t>
      </w:r>
    </w:p>
    <w:p>
      <w:pPr>
        <w:spacing w:after="70"/>
        <w:ind w:left="200"/>
      </w:pPr>
      <w:r>
        <w:rPr>
          <w:rFonts w:ascii="Calibri" w:cs="Calibri" w:eastAsia="Calibri" w:hAnsi="Calibri"/>
          <w:color w:val="333333"/>
          <w:sz w:val="21"/>
          <w:szCs w:val="21"/>
        </w:rPr>
        <w:t xml:space="preserve">3. Paso 2 — Abrir el menú y elegir Copy</w:t>
      </w:r>
    </w:p>
    <w:p>
      <w:pPr>
        <w:spacing w:after="70"/>
        <w:ind w:left="200"/>
      </w:pPr>
      <w:r>
        <w:rPr>
          <w:rFonts w:ascii="Calibri" w:cs="Calibri" w:eastAsia="Calibri" w:hAnsi="Calibri"/>
          <w:color w:val="333333"/>
          <w:sz w:val="21"/>
          <w:szCs w:val="21"/>
        </w:rPr>
        <w:t xml:space="preserve">4. Paso 3 — Revisar los archivos seleccionados</w:t>
      </w:r>
    </w:p>
    <w:p>
      <w:pPr>
        <w:spacing w:after="70"/>
        <w:ind w:left="200"/>
      </w:pPr>
      <w:r>
        <w:rPr>
          <w:rFonts w:ascii="Calibri" w:cs="Calibri" w:eastAsia="Calibri" w:hAnsi="Calibri"/>
          <w:color w:val="333333"/>
          <w:sz w:val="21"/>
          <w:szCs w:val="21"/>
        </w:rPr>
        <w:t xml:space="preserve">5. Paso 4 — Copy includes: casilla por casilla</w:t>
      </w:r>
    </w:p>
    <w:p>
      <w:pPr>
        <w:spacing w:after="70"/>
        <w:ind w:left="200"/>
      </w:pPr>
      <w:r>
        <w:rPr>
          <w:rFonts w:ascii="Calibri" w:cs="Calibri" w:eastAsia="Calibri" w:hAnsi="Calibri"/>
          <w:color w:val="333333"/>
          <w:sz w:val="21"/>
          <w:szCs w:val="21"/>
        </w:rPr>
        <w:t xml:space="preserve">6. Paso 5 — Links and Process References (la opción crítica)</w:t>
      </w:r>
    </w:p>
    <w:p>
      <w:pPr>
        <w:spacing w:after="70"/>
        <w:ind w:left="200"/>
      </w:pPr>
      <w:r>
        <w:rPr>
          <w:rFonts w:ascii="Calibri" w:cs="Calibri" w:eastAsia="Calibri" w:hAnsi="Calibri"/>
          <w:color w:val="333333"/>
          <w:sz w:val="21"/>
          <w:szCs w:val="21"/>
        </w:rPr>
        <w:t xml:space="preserve">7. Paso 6 — Connections</w:t>
      </w:r>
    </w:p>
    <w:p>
      <w:pPr>
        <w:spacing w:after="70"/>
        <w:ind w:left="200"/>
      </w:pPr>
      <w:r>
        <w:rPr>
          <w:rFonts w:ascii="Calibri" w:cs="Calibri" w:eastAsia="Calibri" w:hAnsi="Calibri"/>
          <w:color w:val="333333"/>
          <w:sz w:val="21"/>
          <w:szCs w:val="21"/>
        </w:rPr>
        <w:t xml:space="preserve">8. Paso 7 — Location Settings: nombre y ubicación</w:t>
      </w:r>
    </w:p>
    <w:p>
      <w:pPr>
        <w:spacing w:after="70"/>
        <w:ind w:left="200"/>
      </w:pPr>
      <w:r>
        <w:rPr>
          <w:rFonts w:ascii="Calibri" w:cs="Calibri" w:eastAsia="Calibri" w:hAnsi="Calibri"/>
          <w:color w:val="333333"/>
          <w:sz w:val="21"/>
          <w:szCs w:val="21"/>
        </w:rPr>
        <w:t xml:space="preserve">9. Paso 8 — Presionar Copy y qué pasa después</w:t>
      </w:r>
    </w:p>
    <w:p>
      <w:pPr>
        <w:spacing w:after="70"/>
        <w:ind w:left="200"/>
      </w:pPr>
      <w:r>
        <w:rPr>
          <w:rFonts w:ascii="Calibri" w:cs="Calibri" w:eastAsia="Calibri" w:hAnsi="Calibri"/>
          <w:color w:val="333333"/>
          <w:sz w:val="21"/>
          <w:szCs w:val="21"/>
        </w:rPr>
        <w:t xml:space="preserve">10. Configuración recomendada (hoja de referencia rápida)</w:t>
      </w:r>
    </w:p>
    <w:p>
      <w:pPr>
        <w:spacing w:after="70"/>
        <w:ind w:left="200"/>
      </w:pPr>
      <w:r>
        <w:rPr>
          <w:rFonts w:ascii="Calibri" w:cs="Calibri" w:eastAsia="Calibri" w:hAnsi="Calibri"/>
          <w:color w:val="333333"/>
          <w:sz w:val="21"/>
          <w:szCs w:val="21"/>
        </w:rPr>
        <w:t xml:space="preserve">11. Checklist posterior a la copia</w:t>
      </w:r>
    </w:p>
    <w:p>
      <w:pPr>
        <w:spacing w:after="70"/>
        <w:ind w:left="200"/>
      </w:pPr>
      <w:r>
        <w:rPr>
          <w:rFonts w:ascii="Calibri" w:cs="Calibri" w:eastAsia="Calibri" w:hAnsi="Calibri"/>
          <w:color w:val="333333"/>
          <w:sz w:val="21"/>
          <w:szCs w:val="21"/>
        </w:rPr>
        <w:t xml:space="preserve">12. Errores frecuentes y cómo resolverlos</w:t>
      </w:r>
    </w:p>
    <w:p>
      <w:pPr>
        <w:spacing w:after="70"/>
        <w:ind w:left="200"/>
      </w:pPr>
      <w:r>
        <w:rPr>
          <w:rFonts w:ascii="Calibri" w:cs="Calibri" w:eastAsia="Calibri" w:hAnsi="Calibri"/>
          <w:color w:val="333333"/>
          <w:sz w:val="21"/>
          <w:szCs w:val="21"/>
        </w:rPr>
        <w:t xml:space="preserve">13. Diferencias al copiar un archivo suelto en vez de una carpeta</w:t>
      </w:r>
    </w:p>
    <w:p>
      <w:pPr>
        <w:spacing w:after="70"/>
        <w:ind w:left="200"/>
      </w:pPr>
      <w:r>
        <w:rPr>
          <w:rFonts w:ascii="Calibri" w:cs="Calibri" w:eastAsia="Calibri" w:hAnsi="Calibri"/>
          <w:color w:val="333333"/>
          <w:sz w:val="21"/>
          <w:szCs w:val="21"/>
        </w:rPr>
        <w:t xml:space="preserve">14. Nomenclatura CGE y su efecto en los scripts del Auditor</w:t>
      </w:r>
    </w:p>
    <w:p>
      <w:pPr>
        <w:spacing w:after="70"/>
        <w:ind w:left="200"/>
      </w:pPr>
      <w:r>
        <w:rPr>
          <w:rFonts w:ascii="Calibri" w:cs="Calibri" w:eastAsia="Calibri" w:hAnsi="Calibri"/>
          <w:color w:val="333333"/>
          <w:sz w:val="21"/>
          <w:szCs w:val="21"/>
        </w:rPr>
        <w:t xml:space="preserve">15. Glosario y referencias</w:t>
      </w:r>
    </w:p>
    <w:p>
      <w:pPr>
        <w:pStyle w:val="Heading1"/>
        <w:pBdr>
          <w:bottom w:val="single" w:color="2E5C9A" w:sz="8" w:space="4"/>
        </w:pBdr>
        <w:spacing w:after="160" w:before="320"/>
      </w:pPr>
      <w:r>
        <w:rPr>
          <w:rFonts w:ascii="Calibri" w:cs="Calibri" w:eastAsia="Calibri" w:hAnsi="Calibri"/>
          <w:b/>
          <w:bCs/>
          <w:color w:val="1F3864"/>
          <w:sz w:val="30"/>
          <w:szCs w:val="30"/>
        </w:rPr>
        <w:t xml:space="preserve">1. La copia en una mirada (resumen de los 6 pasos)</w:t>
      </w:r>
    </w:p>
    <w:p>
      <w:pPr>
        <w:spacing w:after="120" w:line="276"/>
      </w:pPr>
      <w:r>
        <w:rPr>
          <w:rFonts w:ascii="Calibri" w:cs="Calibri" w:eastAsia="Calibri" w:hAnsi="Calibri"/>
          <w:sz w:val="21"/>
          <w:szCs w:val="21"/>
        </w:rPr>
        <w:t xml:space="preserve">Si ya conoce el procedimiento, esta tabla es todo lo que necesita. El detalle de cada paso viene después.</w:t>
      </w:r>
    </w:p>
    <w:tbl>
      <w:tblPr>
        <w:tblW w:type="dxa" w:w="10080"/>
        <w:tblBorders>
          <w:top w:val="single" w:color="AAB7CE" w:sz="4"/>
          <w:left w:val="single" w:color="AAB7CE" w:sz="4"/>
          <w:bottom w:val="single" w:color="AAB7CE" w:sz="4"/>
          <w:right w:val="single" w:color="AAB7CE" w:sz="4"/>
          <w:insideH w:val="single" w:color="AAB7CE" w:sz="4"/>
          <w:insideV w:val="single" w:color="AAB7CE" w:sz="4"/>
        </w:tblBorders>
      </w:tblPr>
      <w:tblGrid>
        <w:gridCol w:w="900"/>
        <w:gridCol w:w="3000"/>
        <w:gridCol w:w="6180"/>
      </w:tblGrid>
      <w:tr>
        <w:trPr>
          <w:tblHeader/>
        </w:trPr>
        <w:tc>
          <w:tcPr>
            <w:tcW w:type="dxa" w:w="900"/>
            <w:shd w:fill="D9E1F2" w:color="auto" w:val="clear"/>
            <w:tcMar>
              <w:top w:type="dxa" w:w="80"/>
              <w:left w:type="dxa" w:w="110"/>
              <w:bottom w:type="dxa" w:w="80"/>
              <w:right w:type="dxa" w:w="110"/>
            </w:tcMar>
          </w:tcPr>
          <w:p>
            <w:pPr>
              <w:spacing w:after="0" w:line="260"/>
            </w:pPr>
            <w:r>
              <w:rPr>
                <w:rFonts w:ascii="Calibri" w:cs="Calibri" w:eastAsia="Calibri" w:hAnsi="Calibri"/>
                <w:b/>
                <w:bCs/>
                <w:color w:val="1F3864"/>
                <w:sz w:val="19"/>
                <w:szCs w:val="19"/>
              </w:rPr>
              <w:t xml:space="preserve">Paso</w:t>
            </w:r>
          </w:p>
        </w:tc>
        <w:tc>
          <w:tcPr>
            <w:tcW w:type="dxa" w:w="3000"/>
            <w:shd w:fill="D9E1F2" w:color="auto" w:val="clear"/>
            <w:tcMar>
              <w:top w:type="dxa" w:w="80"/>
              <w:left w:type="dxa" w:w="110"/>
              <w:bottom w:type="dxa" w:w="80"/>
              <w:right w:type="dxa" w:w="110"/>
            </w:tcMar>
          </w:tcPr>
          <w:p>
            <w:pPr>
              <w:spacing w:after="0" w:line="260"/>
            </w:pPr>
            <w:r>
              <w:rPr>
                <w:rFonts w:ascii="Calibri" w:cs="Calibri" w:eastAsia="Calibri" w:hAnsi="Calibri"/>
                <w:b/>
                <w:bCs/>
                <w:color w:val="1F3864"/>
                <w:sz w:val="19"/>
                <w:szCs w:val="19"/>
              </w:rPr>
              <w:t xml:space="preserve">Dónde</w:t>
            </w:r>
          </w:p>
        </w:tc>
        <w:tc>
          <w:tcPr>
            <w:tcW w:type="dxa" w:w="6180"/>
            <w:shd w:fill="D9E1F2" w:color="auto" w:val="clear"/>
            <w:tcMar>
              <w:top w:type="dxa" w:w="80"/>
              <w:left w:type="dxa" w:w="110"/>
              <w:bottom w:type="dxa" w:w="80"/>
              <w:right w:type="dxa" w:w="110"/>
            </w:tcMar>
          </w:tcPr>
          <w:p>
            <w:pPr>
              <w:spacing w:after="0" w:line="260"/>
            </w:pPr>
            <w:r>
              <w:rPr>
                <w:rFonts w:ascii="Calibri" w:cs="Calibri" w:eastAsia="Calibri" w:hAnsi="Calibri"/>
                <w:b/>
                <w:bCs/>
                <w:color w:val="1F3864"/>
                <w:sz w:val="19"/>
                <w:szCs w:val="19"/>
              </w:rPr>
              <w:t xml:space="preserve">Qué hacer</w:t>
            </w:r>
          </w:p>
        </w:tc>
      </w:tr>
      <w:tr>
        <w:tc>
          <w:tcPr>
            <w:tcW w:type="dxa" w:w="900"/>
            <w:tcMar>
              <w:top w:type="dxa" w:w="80"/>
              <w:left w:type="dxa" w:w="110"/>
              <w:bottom w:type="dxa" w:w="80"/>
              <w:right w:type="dxa" w:w="110"/>
            </w:tcMar>
          </w:tcPr>
          <w:p>
            <w:pPr>
              <w:spacing w:after="0" w:line="260"/>
            </w:pPr>
            <w:r>
              <w:rPr>
                <w:rFonts w:ascii="Calibri" w:cs="Calibri" w:eastAsia="Calibri" w:hAnsi="Calibri"/>
                <w:sz w:val="19"/>
                <w:szCs w:val="19"/>
              </w:rPr>
              <w:t xml:space="preserve">1</w:t>
            </w:r>
          </w:p>
        </w:tc>
        <w:tc>
          <w:tcPr>
            <w:tcW w:type="dxa" w:w="3000"/>
            <w:tcMar>
              <w:top w:type="dxa" w:w="80"/>
              <w:left w:type="dxa" w:w="110"/>
              <w:bottom w:type="dxa" w:w="80"/>
              <w:right w:type="dxa" w:w="110"/>
            </w:tcMar>
          </w:tcPr>
          <w:p>
            <w:pPr>
              <w:spacing w:after="0" w:line="260"/>
            </w:pPr>
            <w:r>
              <w:rPr>
                <w:rFonts w:ascii="Calibri" w:cs="Calibri" w:eastAsia="Calibri" w:hAnsi="Calibri"/>
                <w:sz w:val="19"/>
                <w:szCs w:val="19"/>
              </w:rPr>
              <w:t xml:space="preserve">Files (árbol de carpetas)</w:t>
            </w:r>
          </w:p>
        </w:tc>
        <w:tc>
          <w:tcPr>
            <w:tcW w:type="dxa" w:w="6180"/>
            <w:tcMar>
              <w:top w:type="dxa" w:w="80"/>
              <w:left w:type="dxa" w:w="110"/>
              <w:bottom w:type="dxa" w:w="80"/>
              <w:right w:type="dxa" w:w="110"/>
            </w:tcMar>
          </w:tcPr>
          <w:p>
            <w:pPr>
              <w:spacing w:after="0" w:line="260"/>
            </w:pPr>
            <w:r>
              <w:rPr>
                <w:rFonts w:ascii="Calibri" w:cs="Calibri" w:eastAsia="Calibri" w:hAnsi="Calibri"/>
                <w:sz w:val="19"/>
                <w:szCs w:val="19"/>
              </w:rPr>
              <w:t xml:space="preserve">Ubicar la carpeta a copiar. Opcional: revisar Linked Files Report para saber con qué está enlazada.</w:t>
            </w:r>
          </w:p>
        </w:tc>
      </w:tr>
      <w:tr>
        <w:tc>
          <w:tcPr>
            <w:tcW w:type="dxa" w:w="9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2</w:t>
            </w:r>
          </w:p>
        </w:tc>
        <w:tc>
          <w:tcPr>
            <w:tcW w:type="dxa" w:w="30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Menú contextual</w:t>
            </w:r>
          </w:p>
        </w:tc>
        <w:tc>
          <w:tcPr>
            <w:tcW w:type="dxa" w:w="61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Clic derecho sobre la carpeta → Copy.</w:t>
            </w:r>
          </w:p>
        </w:tc>
      </w:tr>
      <w:tr>
        <w:tc>
          <w:tcPr>
            <w:tcW w:type="dxa" w:w="900"/>
            <w:tcMar>
              <w:top w:type="dxa" w:w="80"/>
              <w:left w:type="dxa" w:w="110"/>
              <w:bottom w:type="dxa" w:w="80"/>
              <w:right w:type="dxa" w:w="110"/>
            </w:tcMar>
          </w:tcPr>
          <w:p>
            <w:pPr>
              <w:spacing w:after="0" w:line="260"/>
            </w:pPr>
            <w:r>
              <w:rPr>
                <w:rFonts w:ascii="Calibri" w:cs="Calibri" w:eastAsia="Calibri" w:hAnsi="Calibri"/>
                <w:sz w:val="19"/>
                <w:szCs w:val="19"/>
              </w:rPr>
              <w:t xml:space="preserve">3</w:t>
            </w:r>
          </w:p>
        </w:tc>
        <w:tc>
          <w:tcPr>
            <w:tcW w:type="dxa" w:w="3000"/>
            <w:tcMar>
              <w:top w:type="dxa" w:w="80"/>
              <w:left w:type="dxa" w:w="110"/>
              <w:bottom w:type="dxa" w:w="80"/>
              <w:right w:type="dxa" w:w="110"/>
            </w:tcMar>
          </w:tcPr>
          <w:p>
            <w:pPr>
              <w:spacing w:after="0" w:line="260"/>
            </w:pPr>
            <w:r>
              <w:rPr>
                <w:rFonts w:ascii="Calibri" w:cs="Calibri" w:eastAsia="Calibri" w:hAnsi="Calibri"/>
                <w:sz w:val="19"/>
                <w:szCs w:val="19"/>
              </w:rPr>
              <w:t xml:space="preserve">Ventana Copy</w:t>
            </w:r>
          </w:p>
        </w:tc>
        <w:tc>
          <w:tcPr>
            <w:tcW w:type="dxa" w:w="6180"/>
            <w:tcMar>
              <w:top w:type="dxa" w:w="80"/>
              <w:left w:type="dxa" w:w="110"/>
              <w:bottom w:type="dxa" w:w="80"/>
              <w:right w:type="dxa" w:w="110"/>
            </w:tcMar>
          </w:tcPr>
          <w:p>
            <w:pPr>
              <w:spacing w:after="0" w:line="260"/>
            </w:pPr>
            <w:r>
              <w:rPr>
                <w:rFonts w:ascii="Calibri" w:cs="Calibri" w:eastAsia="Calibri" w:hAnsi="Calibri"/>
                <w:sz w:val="19"/>
                <w:szCs w:val="19"/>
              </w:rPr>
              <w:t xml:space="preserve">Revisar los archivos incluidos. Ojo: los Filings no se copian. → Next.</w:t>
            </w:r>
          </w:p>
        </w:tc>
      </w:tr>
      <w:tr>
        <w:tc>
          <w:tcPr>
            <w:tcW w:type="dxa" w:w="9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4</w:t>
            </w:r>
          </w:p>
        </w:tc>
        <w:tc>
          <w:tcPr>
            <w:tcW w:type="dxa" w:w="30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Copy includes</w:t>
            </w:r>
          </w:p>
        </w:tc>
        <w:tc>
          <w:tcPr>
            <w:tcW w:type="dxa" w:w="61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Marcar o desmarcar: All comments, Outline labels, Attachments, Automations, Document Markup, Links and Process References, Connections, Input cell values, Input mode in enabled sections.</w:t>
            </w:r>
          </w:p>
        </w:tc>
      </w:tr>
      <w:tr>
        <w:tc>
          <w:tcPr>
            <w:tcW w:type="dxa" w:w="900"/>
            <w:tcMar>
              <w:top w:type="dxa" w:w="80"/>
              <w:left w:type="dxa" w:w="110"/>
              <w:bottom w:type="dxa" w:w="80"/>
              <w:right w:type="dxa" w:w="110"/>
            </w:tcMar>
          </w:tcPr>
          <w:p>
            <w:pPr>
              <w:spacing w:after="0" w:line="260"/>
            </w:pPr>
            <w:r>
              <w:rPr>
                <w:rFonts w:ascii="Calibri" w:cs="Calibri" w:eastAsia="Calibri" w:hAnsi="Calibri"/>
                <w:sz w:val="19"/>
                <w:szCs w:val="19"/>
              </w:rPr>
              <w:t xml:space="preserve">5</w:t>
            </w:r>
          </w:p>
        </w:tc>
        <w:tc>
          <w:tcPr>
            <w:tcW w:type="dxa" w:w="3000"/>
            <w:tcMar>
              <w:top w:type="dxa" w:w="80"/>
              <w:left w:type="dxa" w:w="110"/>
              <w:bottom w:type="dxa" w:w="80"/>
              <w:right w:type="dxa" w:w="110"/>
            </w:tcMar>
          </w:tcPr>
          <w:p>
            <w:pPr>
              <w:spacing w:after="0" w:line="260"/>
            </w:pPr>
            <w:r>
              <w:rPr>
                <w:rFonts w:ascii="Calibri" w:cs="Calibri" w:eastAsia="Calibri" w:hAnsi="Calibri"/>
                <w:sz w:val="19"/>
                <w:szCs w:val="19"/>
              </w:rPr>
              <w:t xml:space="preserve">Desplegables</w:t>
            </w:r>
          </w:p>
        </w:tc>
        <w:tc>
          <w:tcPr>
            <w:tcW w:type="dxa" w:w="6180"/>
            <w:tcMar>
              <w:top w:type="dxa" w:w="80"/>
              <w:left w:type="dxa" w:w="110"/>
              <w:bottom w:type="dxa" w:w="80"/>
              <w:right w:type="dxa" w:w="110"/>
            </w:tcMar>
          </w:tcPr>
          <w:p>
            <w:pPr>
              <w:spacing w:after="0" w:line="260"/>
            </w:pPr>
            <w:r>
              <w:rPr>
                <w:rFonts w:ascii="Calibri" w:cs="Calibri" w:eastAsia="Calibri" w:hAnsi="Calibri"/>
                <w:sz w:val="19"/>
                <w:szCs w:val="19"/>
              </w:rPr>
              <w:t xml:space="preserve">Definir Links (Create copies / Keep links) y Connections (incoming / outgoing).</w:t>
            </w:r>
          </w:p>
        </w:tc>
      </w:tr>
      <w:tr>
        <w:tc>
          <w:tcPr>
            <w:tcW w:type="dxa" w:w="9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6</w:t>
            </w:r>
          </w:p>
        </w:tc>
        <w:tc>
          <w:tcPr>
            <w:tcW w:type="dxa" w:w="30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Location Settings</w:t>
            </w:r>
          </w:p>
        </w:tc>
        <w:tc>
          <w:tcPr>
            <w:tcW w:type="dxa" w:w="61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Escribir New Folder Name (obligatorio) y elegir Location. Presionar Copy y esperar el aviso por correo.</w:t>
            </w:r>
          </w:p>
        </w:tc>
      </w:tr>
    </w:tbl>
    <w:p>
      <w:pPr>
        <w:pStyle w:val="Heading1"/>
        <w:pBdr>
          <w:bottom w:val="single" w:color="2E5C9A" w:sz="8" w:space="4"/>
        </w:pBdr>
        <w:spacing w:after="160" w:before="320"/>
      </w:pPr>
      <w:r>
        <w:rPr>
          <w:rFonts w:ascii="Calibri" w:cs="Calibri" w:eastAsia="Calibri" w:hAnsi="Calibri"/>
          <w:b/>
          <w:bCs/>
          <w:color w:val="1F3864"/>
          <w:sz w:val="30"/>
          <w:szCs w:val="30"/>
        </w:rPr>
        <w:t xml:space="preserve">2. Paso 1 — Preparar antes de copiar</w:t>
      </w:r>
    </w:p>
    <w:p>
      <w:pPr>
        <w:spacing w:after="120" w:line="276"/>
      </w:pPr>
      <w:r>
        <w:rPr>
          <w:rFonts w:ascii="Calibri" w:cs="Calibri" w:eastAsia="Calibri" w:hAnsi="Calibri"/>
          <w:sz w:val="21"/>
          <w:szCs w:val="21"/>
        </w:rPr>
        <w:t xml:space="preserve">Dos minutos de preparación evitan tener que rehacer la copia completa.</w:t>
      </w:r>
    </w:p>
    <w:p>
      <w:pPr>
        <w:pStyle w:val="ListParagraph"/>
        <w:numPr>
          <w:ilvl w:val="0"/>
          <w:numId w:val="2"/>
        </w:numPr>
        <w:spacing w:after="90" w:line="276"/>
      </w:pPr>
      <w:r>
        <w:rPr>
          <w:rFonts w:ascii="Calibri" w:cs="Calibri" w:eastAsia="Calibri" w:hAnsi="Calibri"/>
          <w:sz w:val="21"/>
          <w:szCs w:val="21"/>
        </w:rPr>
        <w:t xml:space="preserve">Confirme que nadie esté editando los archivos que va a copiar. Lo que esté a medio guardar o con enlaces rotos se copia tal cual.</w:t>
      </w:r>
    </w:p>
    <w:p>
      <w:pPr>
        <w:pStyle w:val="ListParagraph"/>
        <w:numPr>
          <w:ilvl w:val="0"/>
          <w:numId w:val="2"/>
        </w:numPr>
        <w:spacing w:after="90" w:line="276"/>
      </w:pPr>
      <w:r>
        <w:rPr>
          <w:rFonts w:ascii="Calibri" w:cs="Calibri" w:eastAsia="Calibri" w:hAnsi="Calibri"/>
          <w:sz w:val="21"/>
          <w:szCs w:val="21"/>
        </w:rPr>
        <w:t xml:space="preserve">Publique (Publish) los archivos fuente si corresponde: la copia arrastra el </w:t>
      </w:r>
      <w:r>
        <w:rPr>
          <w:rFonts w:ascii="Calibri" w:cs="Calibri" w:eastAsia="Calibri" w:hAnsi="Calibri"/>
          <w:b/>
          <w:bCs/>
          <w:sz w:val="21"/>
          <w:szCs w:val="21"/>
        </w:rPr>
        <w:t xml:space="preserve">último valor publicado</w:t>
      </w:r>
      <w:r>
        <w:rPr>
          <w:rFonts w:ascii="Calibri" w:cs="Calibri" w:eastAsia="Calibri" w:hAnsi="Calibri"/>
          <w:sz w:val="21"/>
          <w:szCs w:val="21"/>
        </w:rPr>
        <w:t xml:space="preserve">, no lo que está sin publicar.</w:t>
      </w:r>
    </w:p>
    <w:p>
      <w:pPr>
        <w:pStyle w:val="ListParagraph"/>
        <w:numPr>
          <w:ilvl w:val="0"/>
          <w:numId w:val="2"/>
        </w:numPr>
        <w:spacing w:after="90" w:line="276"/>
      </w:pPr>
      <w:r>
        <w:rPr>
          <w:rFonts w:ascii="Calibri" w:cs="Calibri" w:eastAsia="Calibri" w:hAnsi="Calibri"/>
          <w:sz w:val="21"/>
          <w:szCs w:val="21"/>
        </w:rPr>
        <w:t xml:space="preserve">Si no tiene claro qué archivos están enlazados con la carpeta, use la opción </w:t>
      </w:r>
      <w:r>
        <w:rPr>
          <w:rFonts w:ascii="Calibri" w:cs="Calibri" w:eastAsia="Calibri" w:hAnsi="Calibri"/>
          <w:b/>
          <w:bCs/>
          <w:sz w:val="21"/>
          <w:szCs w:val="21"/>
        </w:rPr>
        <w:t xml:space="preserve">Linked Files Report</w:t>
      </w:r>
      <w:r>
        <w:rPr>
          <w:rFonts w:ascii="Calibri" w:cs="Calibri" w:eastAsia="Calibri" w:hAnsi="Calibri"/>
          <w:sz w:val="21"/>
          <w:szCs w:val="21"/>
        </w:rPr>
        <w:t xml:space="preserve"> del mismo menú contextual: le muestra el mapa de enlaces antes de decidir qué opción marcar en el paso 5.</w:t>
      </w:r>
    </w:p>
    <w:p>
      <w:pPr>
        <w:pStyle w:val="ListParagraph"/>
        <w:numPr>
          <w:ilvl w:val="0"/>
          <w:numId w:val="2"/>
        </w:numPr>
        <w:spacing w:after="90" w:line="276"/>
      </w:pPr>
      <w:r>
        <w:rPr>
          <w:rFonts w:ascii="Calibri" w:cs="Calibri" w:eastAsia="Calibri" w:hAnsi="Calibri"/>
          <w:sz w:val="21"/>
          <w:szCs w:val="21"/>
        </w:rPr>
        <w:t xml:space="preserve">Decida el nombre de la carpeta nueva respetando la convención que ya usa el workspace: </w:t>
      </w:r>
      <w:r>
        <w:rPr>
          <w:rFonts w:ascii="Calibri" w:cs="Calibri" w:eastAsia="Calibri" w:hAnsi="Calibri"/>
          <w:b/>
          <w:bCs/>
          <w:sz w:val="21"/>
          <w:szCs w:val="21"/>
        </w:rPr>
        <w:t xml:space="preserve">"09 Septiembre 2026"</w:t>
      </w:r>
      <w:r>
        <w:rPr>
          <w:rFonts w:ascii="Calibri" w:cs="Calibri" w:eastAsia="Calibri" w:hAnsi="Calibri"/>
          <w:sz w:val="21"/>
          <w:szCs w:val="21"/>
        </w:rPr>
        <w:t xml:space="preserve"> (número de mes con dos dígitos, nombre del mes y año), igual que "08 Agosto 2026".</w:t>
      </w:r>
    </w:p>
    <w:p>
      <w:pPr>
        <w:spacing w:after="60"/>
      </w:pPr>
    </w:p>
    <w:tbl>
      <w:tblPr>
        <w:tblW w:type="dxa" w:w="10080"/>
        <w:tblBorders>
          <w:top w:val="single" w:color="2E5C9A" w:sz="4"/>
          <w:left w:val="single" w:color="2E5C9A" w:sz="24"/>
          <w:bottom w:val="single" w:color="2E5C9A" w:sz="4"/>
          <w:right w:val="single" w:color="2E5C9A" w:sz="4"/>
          <w:insideH w:val="none"/>
          <w:insideV w:val="none"/>
        </w:tblBorders>
      </w:tblPr>
      <w:tblGrid>
        <w:gridCol w:w="10080"/>
      </w:tblGrid>
      <w:tr>
        <w:tc>
          <w:tcPr>
            <w:tcW w:type="dxa" w:w="10080"/>
            <w:shd w:fill="FBFCFE" w:color="auto" w:val="clear"/>
            <w:tcMar>
              <w:top w:type="dxa" w:w="80"/>
              <w:left w:type="dxa" w:w="110"/>
              <w:bottom w:type="dxa" w:w="80"/>
              <w:right w:type="dxa" w:w="110"/>
            </w:tcMar>
          </w:tcPr>
          <w:p>
            <w:pPr>
              <w:spacing w:after="40"/>
            </w:pPr>
            <w:r>
              <w:rPr>
                <w:rFonts w:ascii="Calibri" w:cs="Calibri" w:eastAsia="Calibri" w:hAnsi="Calibri"/>
                <w:b/>
                <w:bCs/>
                <w:color w:val="2E5C9A"/>
                <w:sz w:val="20"/>
                <w:szCs w:val="20"/>
              </w:rPr>
              <w:t xml:space="preserve">Sobre la carpeta destino</w:t>
            </w:r>
          </w:p>
          <w:p>
            <w:pPr>
              <w:spacing w:after="0" w:line="260"/>
            </w:pPr>
            <w:r>
              <w:rPr>
                <w:rFonts w:ascii="Calibri" w:cs="Calibri" w:eastAsia="Calibri" w:hAnsi="Calibri"/>
                <w:sz w:val="20"/>
                <w:szCs w:val="20"/>
              </w:rPr>
              <w:t xml:space="preserve">En la estructura actual (2024 / 2025 / 2026 con subcarpetas 01, 02, 03 … 08 Agosto 2026) la copia del mes va dentro de la carpeta del año. Eso se define en el campo Location del último paso, así que no necesita crear la carpeta antes: basta con elegir 2026 como Location y escribir el nombre del mes nuevo.</w:t>
            </w:r>
          </w:p>
        </w:tc>
      </w:tr>
    </w:tbl>
    <w:p>
      <w:pPr>
        <w:pStyle w:val="Heading1"/>
        <w:pBdr>
          <w:bottom w:val="single" w:color="2E5C9A" w:sz="8" w:space="4"/>
        </w:pBdr>
        <w:spacing w:after="160" w:before="320"/>
      </w:pPr>
      <w:r>
        <w:rPr>
          <w:rFonts w:ascii="Calibri" w:cs="Calibri" w:eastAsia="Calibri" w:hAnsi="Calibri"/>
          <w:b/>
          <w:bCs/>
          <w:color w:val="1F3864"/>
          <w:sz w:val="30"/>
          <w:szCs w:val="30"/>
        </w:rPr>
        <w:t xml:space="preserve">3. Paso 2 — Abrir el menú y elegir Copy</w:t>
      </w:r>
    </w:p>
    <w:p>
      <w:pPr>
        <w:spacing w:after="120" w:line="276"/>
      </w:pPr>
      <w:r>
        <w:rPr>
          <w:rFonts w:ascii="Calibri" w:cs="Calibri" w:eastAsia="Calibri" w:hAnsi="Calibri"/>
          <w:sz w:val="21"/>
          <w:szCs w:val="21"/>
        </w:rPr>
        <w:t xml:space="preserve">Haga clic derecho sobre la carpeta (o sobre el archivo) en el árbol de Files. Se abre el menú contextual, encabezado por su nivel de acceso — por ejemplo OWNER ACCESS.</w:t>
      </w:r>
    </w:p>
    <w:tbl>
      <w:tblPr>
        <w:tblW w:type="dxa" w:w="10080"/>
        <w:tblBorders>
          <w:top w:val="single" w:color="9AA6B8" w:sz="6"/>
          <w:left w:val="single" w:color="9AA6B8" w:sz="6"/>
          <w:bottom w:val="single" w:color="9AA6B8" w:sz="6"/>
          <w:right w:val="single" w:color="9AA6B8" w:sz="6"/>
          <w:insideH w:val="none"/>
          <w:insideV w:val="none"/>
        </w:tblBorders>
      </w:tblPr>
      <w:tblGrid>
        <w:gridCol w:w="10080"/>
      </w:tblGrid>
      <w:tr>
        <w:tc>
          <w:tcPr>
            <w:tcW w:type="dxa" w:w="10080"/>
            <w:shd w:fill="F7F9FC" w:color="auto" w:val="clear"/>
            <w:tcMar>
              <w:top w:type="dxa" w:w="80"/>
              <w:left w:type="dxa" w:w="110"/>
              <w:bottom w:type="dxa" w:w="80"/>
              <w:right w:type="dxa" w:w="110"/>
            </w:tcMar>
          </w:tcPr>
          <w:p>
            <w:pPr>
              <w:spacing w:after="80"/>
            </w:pPr>
            <w:r>
              <w:rPr>
                <w:rFonts w:ascii="Consolas" w:cs="Consolas" w:eastAsia="Consolas" w:hAnsi="Consolas"/>
                <w:b/>
                <w:bCs/>
                <w:color w:val="1F3864"/>
                <w:sz w:val="19"/>
                <w:szCs w:val="19"/>
              </w:rPr>
              <w:t xml:space="preserve">Menú contextual de una carpeta (OWNER ACCESS)</w:t>
            </w:r>
          </w:p>
          <w:p>
            <w:pPr>
              <w:spacing w:after="20" w:line="240"/>
            </w:pPr>
            <w:r>
              <w:rPr>
                <w:rFonts w:ascii="Consolas" w:cs="Consolas" w:eastAsia="Consolas" w:hAnsi="Consolas"/>
                <w:color w:val="222222"/>
                <w:sz w:val="18"/>
                <w:szCs w:val="18"/>
              </w:rPr>
              <w:t xml:space="preserve">Open                  Abrir la carpeta</w:t>
            </w:r>
          </w:p>
          <w:p>
            <w:pPr>
              <w:spacing w:after="20" w:line="240"/>
            </w:pPr>
            <w:r>
              <w:rPr>
                <w:rFonts w:ascii="Consolas" w:cs="Consolas" w:eastAsia="Consolas" w:hAnsi="Consolas"/>
                <w:color w:val="222222"/>
                <w:sz w:val="18"/>
                <w:szCs w:val="18"/>
              </w:rPr>
              <w:t xml:space="preserve">Star                  Marcarla como favorita</w:t>
            </w:r>
          </w:p>
          <w:p>
            <w:pPr>
              <w:spacing w:after="20" w:line="240"/>
            </w:pPr>
            <w:r>
              <w:rPr>
                <w:rFonts w:ascii="Consolas" w:cs="Consolas" w:eastAsia="Consolas" w:hAnsi="Consolas"/>
                <w:color w:val="222222"/>
                <w:sz w:val="18"/>
                <w:szCs w:val="18"/>
              </w:rPr>
              <w:t xml:space="preserve">Copy URL              Copiar el vínculo directo (no copia la carpeta)</w:t>
            </w:r>
          </w:p>
          <w:p>
            <w:pPr>
              <w:spacing w:after="20" w:line="240"/>
            </w:pPr>
            <w:r>
              <w:rPr>
                <w:rFonts w:ascii="Consolas" w:cs="Consolas" w:eastAsia="Consolas" w:hAnsi="Consolas"/>
                <w:color w:val="222222"/>
                <w:sz w:val="18"/>
                <w:szCs w:val="18"/>
              </w:rPr>
              <w:t xml:space="preserve">Rename                Renombrar</w:t>
            </w:r>
          </w:p>
          <w:p>
            <w:pPr>
              <w:spacing w:after="20" w:line="240"/>
            </w:pPr>
            <w:r>
              <w:rPr>
                <w:rFonts w:ascii="Consolas" w:cs="Consolas" w:eastAsia="Consolas" w:hAnsi="Consolas"/>
                <w:color w:val="222222"/>
                <w:sz w:val="18"/>
                <w:szCs w:val="18"/>
              </w:rPr>
              <w:t xml:space="preserve">Move                  Mover a otra ubicación (NO deja copia)</w:t>
            </w:r>
          </w:p>
          <w:p>
            <w:pPr>
              <w:spacing w:after="20" w:line="240"/>
            </w:pPr>
            <w:r>
              <w:rPr>
                <w:rFonts w:ascii="Consolas" w:cs="Consolas" w:eastAsia="Consolas" w:hAnsi="Consolas"/>
                <w:b/>
                <w:bCs/>
                <w:color w:val="9C1B1B"/>
                <w:sz w:val="18"/>
                <w:szCs w:val="18"/>
              </w:rPr>
              <w:t xml:space="preserve">Copy                  &lt;&lt;&lt; ESTA es la opción de copia</w:t>
            </w:r>
          </w:p>
          <w:p>
            <w:pPr>
              <w:spacing w:after="20" w:line="240"/>
            </w:pPr>
            <w:r>
              <w:rPr>
                <w:rFonts w:ascii="Consolas" w:cs="Consolas" w:eastAsia="Consolas" w:hAnsi="Consolas"/>
                <w:color w:val="222222"/>
                <w:sz w:val="18"/>
                <w:szCs w:val="18"/>
              </w:rPr>
              <w:t xml:space="preserve">Export Workiva File   Exportar fuera de Workiva</w:t>
            </w:r>
          </w:p>
          <w:p>
            <w:pPr>
              <w:spacing w:after="20" w:line="240"/>
            </w:pPr>
            <w:r>
              <w:rPr>
                <w:rFonts w:ascii="Consolas" w:cs="Consolas" w:eastAsia="Consolas" w:hAnsi="Consolas"/>
                <w:color w:val="222222"/>
                <w:sz w:val="18"/>
                <w:szCs w:val="18"/>
              </w:rPr>
              <w:t xml:space="preserve">Linked Files Report   Reporte de archivos enlazados (útil ANTES de copiar)</w:t>
            </w:r>
          </w:p>
          <w:p>
            <w:pPr>
              <w:spacing w:after="20" w:line="240"/>
            </w:pPr>
            <w:r>
              <w:rPr>
                <w:rFonts w:ascii="Consolas" w:cs="Consolas" w:eastAsia="Consolas" w:hAnsi="Consolas"/>
                <w:color w:val="222222"/>
                <w:sz w:val="18"/>
                <w:szCs w:val="18"/>
              </w:rPr>
              <w:t xml:space="preserve">Permissions &gt;         Administrar permisos</w:t>
            </w:r>
          </w:p>
          <w:p>
            <w:pPr>
              <w:spacing w:after="20" w:line="240"/>
            </w:pPr>
            <w:r>
              <w:rPr>
                <w:rFonts w:ascii="Consolas" w:cs="Consolas" w:eastAsia="Consolas" w:hAnsi="Consolas"/>
                <w:color w:val="222222"/>
                <w:sz w:val="18"/>
                <w:szCs w:val="18"/>
              </w:rPr>
              <w:t xml:space="preserve">Create PDF            Generar PDF</w:t>
            </w:r>
          </w:p>
          <w:p>
            <w:pPr>
              <w:spacing w:after="20" w:line="240"/>
            </w:pPr>
            <w:r>
              <w:rPr>
                <w:rFonts w:ascii="Consolas" w:cs="Consolas" w:eastAsia="Consolas" w:hAnsi="Consolas"/>
                <w:color w:val="222222"/>
                <w:sz w:val="18"/>
                <w:szCs w:val="18"/>
              </w:rPr>
              <w:t xml:space="preserve">Create XHTML file     Generar XHTML</w:t>
            </w:r>
          </w:p>
          <w:p>
            <w:pPr>
              <w:spacing w:after="20" w:line="240"/>
            </w:pPr>
            <w:r>
              <w:rPr>
                <w:rFonts w:ascii="Consolas" w:cs="Consolas" w:eastAsia="Consolas" w:hAnsi="Consolas"/>
                <w:color w:val="222222"/>
                <w:sz w:val="18"/>
                <w:szCs w:val="18"/>
              </w:rPr>
              <w:t xml:space="preserve">New Subfolder         Crear subcarpeta</w:t>
            </w:r>
          </w:p>
          <w:p>
            <w:pPr>
              <w:spacing w:after="20" w:line="240"/>
            </w:pPr>
            <w:r>
              <w:rPr>
                <w:rFonts w:ascii="Consolas" w:cs="Consolas" w:eastAsia="Consolas" w:hAnsi="Consolas"/>
                <w:color w:val="222222"/>
                <w:sz w:val="18"/>
                <w:szCs w:val="18"/>
              </w:rPr>
              <w:t xml:space="preserve">Create &gt;              Crear archivo nuevo</w:t>
            </w:r>
          </w:p>
          <w:p>
            <w:pPr>
              <w:spacing w:after="20" w:line="240"/>
            </w:pPr>
            <w:r>
              <w:rPr>
                <w:rFonts w:ascii="Consolas" w:cs="Consolas" w:eastAsia="Consolas" w:hAnsi="Consolas"/>
                <w:color w:val="222222"/>
                <w:sz w:val="18"/>
                <w:szCs w:val="18"/>
              </w:rPr>
              <w:t xml:space="preserve">Move to trash         Enviar a la papelera</w:t>
            </w:r>
          </w:p>
        </w:tc>
      </w:tr>
    </w:tbl>
    <w:p>
      <w:pPr>
        <w:spacing w:after="100"/>
      </w:pPr>
    </w:p>
    <w:p>
      <w:pPr>
        <w:spacing w:after="120" w:line="276"/>
      </w:pPr>
      <w:r>
        <w:rPr>
          <w:rFonts w:ascii="Calibri" w:cs="Calibri" w:eastAsia="Calibri" w:hAnsi="Calibri"/>
          <w:sz w:val="21"/>
          <w:szCs w:val="21"/>
        </w:rPr>
        <w:t xml:space="preserve">Dos confusiones habituales en este menú:</w:t>
      </w:r>
    </w:p>
    <w:p>
      <w:pPr>
        <w:pStyle w:val="ListParagraph"/>
        <w:numPr>
          <w:ilvl w:val="0"/>
          <w:numId w:val="3"/>
        </w:numPr>
        <w:spacing w:after="80" w:line="276"/>
      </w:pPr>
      <w:r>
        <w:rPr>
          <w:rFonts w:ascii="Calibri" w:cs="Calibri" w:eastAsia="Calibri" w:hAnsi="Calibri"/>
          <w:b/>
          <w:bCs/>
          <w:sz w:val="21"/>
          <w:szCs w:val="21"/>
        </w:rPr>
        <w:t xml:space="preserve">Copy URL</w:t>
      </w:r>
      <w:r>
        <w:rPr>
          <w:rFonts w:ascii="Calibri" w:cs="Calibri" w:eastAsia="Calibri" w:hAnsi="Calibri"/>
          <w:sz w:val="21"/>
          <w:szCs w:val="21"/>
        </w:rPr>
        <w:t xml:space="preserve"> no copia nada: solo copia al portapapeles el vínculo para pegarlo en un correo o chat.</w:t>
      </w:r>
    </w:p>
    <w:p>
      <w:pPr>
        <w:pStyle w:val="ListParagraph"/>
        <w:numPr>
          <w:ilvl w:val="0"/>
          <w:numId w:val="3"/>
        </w:numPr>
        <w:spacing w:after="80" w:line="276"/>
      </w:pPr>
      <w:r>
        <w:rPr>
          <w:rFonts w:ascii="Calibri" w:cs="Calibri" w:eastAsia="Calibri" w:hAnsi="Calibri"/>
          <w:b/>
          <w:bCs/>
          <w:sz w:val="21"/>
          <w:szCs w:val="21"/>
        </w:rPr>
        <w:t xml:space="preserve">Move</w:t>
      </w:r>
      <w:r>
        <w:rPr>
          <w:rFonts w:ascii="Calibri" w:cs="Calibri" w:eastAsia="Calibri" w:hAnsi="Calibri"/>
          <w:sz w:val="21"/>
          <w:szCs w:val="21"/>
        </w:rPr>
        <w:t xml:space="preserve"> traslada la carpeta y la saca de su ubicación actual. No genera duplicado. Si lo que quiere es conservar el original, use Copy.</w:t>
      </w:r>
    </w:p>
    <w:p>
      <w:pPr>
        <w:pStyle w:val="Heading1"/>
        <w:pBdr>
          <w:bottom w:val="single" w:color="2E5C9A" w:sz="8" w:space="4"/>
        </w:pBdr>
        <w:spacing w:after="160" w:before="320"/>
      </w:pPr>
      <w:r>
        <w:rPr>
          <w:rFonts w:ascii="Calibri" w:cs="Calibri" w:eastAsia="Calibri" w:hAnsi="Calibri"/>
          <w:b/>
          <w:bCs/>
          <w:color w:val="1F3864"/>
          <w:sz w:val="30"/>
          <w:szCs w:val="30"/>
        </w:rPr>
        <w:t xml:space="preserve">4. Paso 3 — Revisar los archivos seleccionados</w:t>
      </w:r>
    </w:p>
    <w:p>
      <w:pPr>
        <w:spacing w:after="120" w:line="276"/>
      </w:pPr>
      <w:r>
        <w:rPr>
          <w:rFonts w:ascii="Calibri" w:cs="Calibri" w:eastAsia="Calibri" w:hAnsi="Calibri"/>
          <w:sz w:val="21"/>
          <w:szCs w:val="21"/>
        </w:rPr>
        <w:t xml:space="preserve">La ventana Copy parte mostrando qué se va a copiar, con el mensaje: “Review the files you selected. Filings will not be copied.”</w:t>
      </w:r>
    </w:p>
    <w:p>
      <w:pPr>
        <w:pStyle w:val="ListParagraph"/>
        <w:numPr>
          <w:ilvl w:val="0"/>
          <w:numId w:val="3"/>
        </w:numPr>
        <w:spacing w:after="80" w:line="276"/>
      </w:pPr>
      <w:r>
        <w:rPr>
          <w:rFonts w:ascii="Calibri" w:cs="Calibri" w:eastAsia="Calibri" w:hAnsi="Calibri"/>
          <w:b/>
          <w:bCs/>
          <w:sz w:val="21"/>
          <w:szCs w:val="21"/>
        </w:rPr>
        <w:t xml:space="preserve">Revise que estén todos los archivos esperados. </w:t>
      </w:r>
      <w:r>
        <w:rPr>
          <w:rFonts w:ascii="Calibri" w:cs="Calibri" w:eastAsia="Calibri" w:hAnsi="Calibri"/>
          <w:sz w:val="21"/>
          <w:szCs w:val="21"/>
        </w:rPr>
        <w:t xml:space="preserve">Si falta alguno, casi siempre es porque usted no tiene permisos sobre él: consígalos antes de seguir, porque un archivo que no se copia deja un enlace apuntando al original.</w:t>
      </w:r>
    </w:p>
    <w:p>
      <w:pPr>
        <w:pStyle w:val="ListParagraph"/>
        <w:numPr>
          <w:ilvl w:val="0"/>
          <w:numId w:val="3"/>
        </w:numPr>
        <w:spacing w:after="80" w:line="276"/>
      </w:pPr>
      <w:r>
        <w:rPr>
          <w:rFonts w:ascii="Calibri" w:cs="Calibri" w:eastAsia="Calibri" w:hAnsi="Calibri"/>
          <w:b/>
          <w:bCs/>
          <w:sz w:val="21"/>
          <w:szCs w:val="21"/>
        </w:rPr>
        <w:t xml:space="preserve">Los Filings no se copian. </w:t>
      </w:r>
      <w:r>
        <w:rPr>
          <w:rFonts w:ascii="Calibri" w:cs="Calibri" w:eastAsia="Calibri" w:hAnsi="Calibri"/>
          <w:sz w:val="21"/>
          <w:szCs w:val="21"/>
        </w:rPr>
        <w:t xml:space="preserve">Las presentaciones regulatorias asociadas quedan fuera de la copia por diseño; si necesita una, se genera de nuevo desde la copia.</w:t>
      </w:r>
    </w:p>
    <w:p>
      <w:pPr>
        <w:spacing w:after="120" w:line="276"/>
      </w:pPr>
      <w:r>
        <w:rPr>
          <w:rFonts w:ascii="Calibri" w:cs="Calibri" w:eastAsia="Calibri" w:hAnsi="Calibri"/>
          <w:sz w:val="21"/>
          <w:szCs w:val="21"/>
        </w:rPr>
        <w:t xml:space="preserve">Confirme con Next para pasar a las opciones de copia. (El botón Back de la parte inferior le permite volver a esta lista sin perder lo que ya marcó.)</w:t>
      </w:r>
    </w:p>
    <w:p>
      <w:r>
        <w:br w:type="page"/>
      </w:r>
    </w:p>
    <w:p>
      <w:pPr>
        <w:pStyle w:val="Heading1"/>
        <w:pBdr>
          <w:bottom w:val="single" w:color="2E5C9A" w:sz="8" w:space="4"/>
        </w:pBdr>
        <w:spacing w:after="160" w:before="320"/>
      </w:pPr>
      <w:r>
        <w:rPr>
          <w:rFonts w:ascii="Calibri" w:cs="Calibri" w:eastAsia="Calibri" w:hAnsi="Calibri"/>
          <w:b/>
          <w:bCs/>
          <w:color w:val="1F3864"/>
          <w:sz w:val="30"/>
          <w:szCs w:val="30"/>
        </w:rPr>
        <w:t xml:space="preserve">5. Paso 4 — Copy includes: casilla por casilla</w:t>
      </w:r>
    </w:p>
    <w:p>
      <w:pPr>
        <w:spacing w:after="120" w:line="276"/>
      </w:pPr>
      <w:r>
        <w:rPr>
          <w:rFonts w:ascii="Calibri" w:cs="Calibri" w:eastAsia="Calibri" w:hAnsi="Calibri"/>
          <w:sz w:val="21"/>
          <w:szCs w:val="21"/>
        </w:rPr>
        <w:t xml:space="preserve">Bajo el título “Copy includes: Select items you'd like copied with your files” aparece la lista de casillas. Este es su orden real en pantalla, con el estado que trae Workiva por defecto:</w:t>
      </w:r>
    </w:p>
    <w:tbl>
      <w:tblPr>
        <w:tblW w:type="dxa" w:w="10080"/>
        <w:tblBorders>
          <w:top w:val="single" w:color="9AA6B8" w:sz="6"/>
          <w:left w:val="single" w:color="9AA6B8" w:sz="6"/>
          <w:bottom w:val="single" w:color="9AA6B8" w:sz="6"/>
          <w:right w:val="single" w:color="9AA6B8" w:sz="6"/>
          <w:insideH w:val="none"/>
          <w:insideV w:val="none"/>
        </w:tblBorders>
      </w:tblPr>
      <w:tblGrid>
        <w:gridCol w:w="10080"/>
      </w:tblGrid>
      <w:tr>
        <w:tc>
          <w:tcPr>
            <w:tcW w:type="dxa" w:w="10080"/>
            <w:shd w:fill="F7F9FC" w:color="auto" w:val="clear"/>
            <w:tcMar>
              <w:top w:type="dxa" w:w="80"/>
              <w:left w:type="dxa" w:w="110"/>
              <w:bottom w:type="dxa" w:w="80"/>
              <w:right w:type="dxa" w:w="110"/>
            </w:tcMar>
          </w:tcPr>
          <w:p>
            <w:pPr>
              <w:spacing w:after="80"/>
            </w:pPr>
            <w:r>
              <w:rPr>
                <w:rFonts w:ascii="Consolas" w:cs="Consolas" w:eastAsia="Consolas" w:hAnsi="Consolas"/>
                <w:b/>
                <w:bCs/>
                <w:color w:val="1F3864"/>
                <w:sz w:val="19"/>
                <w:szCs w:val="19"/>
              </w:rPr>
              <w:t xml:space="preserve">Copy includes — estado por defecto</w:t>
            </w:r>
          </w:p>
          <w:p>
            <w:pPr>
              <w:spacing w:after="20" w:line="240"/>
            </w:pPr>
            <w:r>
              <w:rPr>
                <w:rFonts w:ascii="Consolas" w:cs="Consolas" w:eastAsia="Consolas" w:hAnsi="Consolas"/>
                <w:color w:val="222222"/>
                <w:sz w:val="18"/>
                <w:szCs w:val="18"/>
              </w:rPr>
              <w:t xml:space="preserve">[ ]  All comments</w:t>
            </w:r>
          </w:p>
          <w:p>
            <w:pPr>
              <w:spacing w:after="20" w:line="240"/>
            </w:pPr>
            <w:r>
              <w:rPr>
                <w:rFonts w:ascii="Consolas" w:cs="Consolas" w:eastAsia="Consolas" w:hAnsi="Consolas"/>
                <w:color w:val="222222"/>
                <w:sz w:val="18"/>
                <w:szCs w:val="18"/>
              </w:rPr>
              <w:t xml:space="preserve">[X]  Outline labels</w:t>
            </w:r>
          </w:p>
          <w:p>
            <w:pPr>
              <w:spacing w:after="20" w:line="240"/>
            </w:pPr>
            <w:r>
              <w:rPr>
                <w:rFonts w:ascii="Consolas" w:cs="Consolas" w:eastAsia="Consolas" w:hAnsi="Consolas"/>
                <w:color w:val="222222"/>
                <w:sz w:val="18"/>
                <w:szCs w:val="18"/>
              </w:rPr>
              <w:t xml:space="preserve">[ ]  Attachments                    (?)</w:t>
            </w:r>
          </w:p>
          <w:p>
            <w:pPr>
              <w:spacing w:after="20" w:line="240"/>
            </w:pPr>
            <w:r>
              <w:rPr>
                <w:rFonts w:ascii="Consolas" w:cs="Consolas" w:eastAsia="Consolas" w:hAnsi="Consolas"/>
                <w:color w:val="222222"/>
                <w:sz w:val="18"/>
                <w:szCs w:val="18"/>
              </w:rPr>
              <w:t xml:space="preserve">[X]  Automations                    (?)</w:t>
            </w:r>
          </w:p>
          <w:p>
            <w:pPr>
              <w:spacing w:after="20" w:line="240"/>
            </w:pPr>
            <w:r>
              <w:rPr>
                <w:rFonts w:ascii="Consolas" w:cs="Consolas" w:eastAsia="Consolas" w:hAnsi="Consolas"/>
                <w:color w:val="222222"/>
                <w:sz w:val="18"/>
                <w:szCs w:val="18"/>
              </w:rPr>
              <w:t xml:space="preserve">[ ]  Document Markup                (?)</w:t>
            </w:r>
          </w:p>
          <w:p>
            <w:pPr>
              <w:spacing w:after="20" w:line="240"/>
            </w:pPr>
            <w:r>
              <w:rPr>
                <w:rFonts w:ascii="Consolas" w:cs="Consolas" w:eastAsia="Consolas" w:hAnsi="Consolas"/>
                <w:b/>
                <w:bCs/>
                <w:color w:val="222222"/>
                <w:sz w:val="18"/>
                <w:szCs w:val="18"/>
              </w:rPr>
              <w:t xml:space="preserve">[X]  Links and Process References</w:t>
            </w:r>
          </w:p>
          <w:p>
            <w:pPr>
              <w:spacing w:after="20" w:line="240"/>
            </w:pPr>
            <w:r>
              <w:rPr>
                <w:rFonts w:ascii="Consolas" w:cs="Consolas" w:eastAsia="Consolas" w:hAnsi="Consolas"/>
                <w:b/>
                <w:bCs/>
                <w:color w:val="9C1B1B"/>
                <w:sz w:val="18"/>
                <w:szCs w:val="18"/>
              </w:rPr>
              <w:t xml:space="preserve">       [ Create copies of all source files  v ]</w:t>
            </w:r>
          </w:p>
          <w:p>
            <w:pPr>
              <w:spacing w:after="20" w:line="240"/>
            </w:pPr>
            <w:r>
              <w:rPr>
                <w:rFonts w:ascii="Consolas" w:cs="Consolas" w:eastAsia="Consolas" w:hAnsi="Consolas"/>
                <w:color w:val="222222"/>
                <w:sz w:val="18"/>
                <w:szCs w:val="18"/>
              </w:rPr>
              <w:t xml:space="preserve">       Smart links</w:t>
            </w:r>
          </w:p>
          <w:p>
            <w:pPr>
              <w:spacing w:after="20" w:line="240"/>
            </w:pPr>
            <w:r>
              <w:rPr>
                <w:rFonts w:ascii="Consolas" w:cs="Consolas" w:eastAsia="Consolas" w:hAnsi="Consolas"/>
                <w:color w:val="222222"/>
                <w:sz w:val="18"/>
                <w:szCs w:val="18"/>
              </w:rPr>
              <w:t xml:space="preserve">         [X] Maintain managed destination links      (?)</w:t>
            </w:r>
          </w:p>
          <w:p>
            <w:pPr>
              <w:spacing w:after="20" w:line="240"/>
            </w:pPr>
            <w:r>
              <w:rPr>
                <w:rFonts w:ascii="Consolas" w:cs="Consolas" w:eastAsia="Consolas" w:hAnsi="Consolas"/>
                <w:color w:val="222222"/>
                <w:sz w:val="18"/>
                <w:szCs w:val="18"/>
              </w:rPr>
              <w:t xml:space="preserve">         [X] Include metadata for all source smart links  (?)</w:t>
            </w:r>
          </w:p>
          <w:p>
            <w:pPr>
              <w:spacing w:after="20" w:line="240"/>
            </w:pPr>
            <w:r>
              <w:rPr>
                <w:rFonts w:ascii="Consolas" w:cs="Consolas" w:eastAsia="Consolas" w:hAnsi="Consolas"/>
                <w:color w:val="222222"/>
                <w:sz w:val="18"/>
                <w:szCs w:val="18"/>
              </w:rPr>
              <w:t xml:space="preserve">[X]  Connections                    (?)</w:t>
            </w:r>
          </w:p>
          <w:p>
            <w:pPr>
              <w:spacing w:after="20" w:line="240"/>
            </w:pPr>
            <w:r>
              <w:rPr>
                <w:rFonts w:ascii="Consolas" w:cs="Consolas" w:eastAsia="Consolas" w:hAnsi="Consolas"/>
                <w:color w:val="222222"/>
                <w:sz w:val="18"/>
                <w:szCs w:val="18"/>
              </w:rPr>
              <w:t xml:space="preserve">       [ Incoming and outgoing connections  v ]</w:t>
            </w:r>
          </w:p>
          <w:p>
            <w:pPr>
              <w:spacing w:after="20" w:line="240"/>
            </w:pPr>
            <w:r>
              <w:rPr>
                <w:rFonts w:ascii="Consolas" w:cs="Consolas" w:eastAsia="Consolas" w:hAnsi="Consolas"/>
                <w:color w:val="222222"/>
                <w:sz w:val="18"/>
                <w:szCs w:val="18"/>
              </w:rPr>
              <w:t xml:space="preserve">[ ]  Input cell values</w:t>
            </w:r>
          </w:p>
          <w:p>
            <w:pPr>
              <w:spacing w:after="20" w:line="240"/>
            </w:pPr>
            <w:r>
              <w:rPr>
                <w:rFonts w:ascii="Consolas" w:cs="Consolas" w:eastAsia="Consolas" w:hAnsi="Consolas"/>
                <w:color w:val="222222"/>
                <w:sz w:val="18"/>
                <w:szCs w:val="18"/>
              </w:rPr>
              <w:t xml:space="preserve">[ ]  Input mode in enabled sections</w:t>
            </w:r>
          </w:p>
        </w:tc>
      </w:tr>
    </w:tbl>
    <w:p>
      <w:pPr>
        <w:spacing w:after="120"/>
      </w:pPr>
    </w:p>
    <w:p>
      <w:pPr>
        <w:pStyle w:val="Heading2"/>
        <w:spacing w:after="120" w:before="260"/>
      </w:pPr>
      <w:r>
        <w:rPr>
          <w:rFonts w:ascii="Calibri" w:cs="Calibri" w:eastAsia="Calibri" w:hAnsi="Calibri"/>
          <w:b/>
          <w:bCs/>
          <w:color w:val="2E5C9A"/>
          <w:sz w:val="25"/>
          <w:szCs w:val="25"/>
        </w:rPr>
        <w:t xml:space="preserve">5.1 All comments — comentarios</w:t>
      </w:r>
    </w:p>
    <w:tbl>
      <w:tblPr>
        <w:tblW w:type="dxa" w:w="10080"/>
        <w:tblBorders>
          <w:top w:val="single" w:color="AAB7CE" w:sz="4"/>
          <w:left w:val="single" w:color="AAB7CE" w:sz="4"/>
          <w:bottom w:val="single" w:color="AAB7CE" w:sz="4"/>
          <w:right w:val="single" w:color="AAB7CE" w:sz="4"/>
          <w:insideH w:val="single" w:color="AAB7CE" w:sz="4"/>
          <w:insideV w:val="single" w:color="AAB7CE" w:sz="4"/>
        </w:tblBorders>
      </w:tblPr>
      <w:tblGrid>
        <w:gridCol w:w="2400"/>
        <w:gridCol w:w="7680"/>
      </w:tblGrid>
      <w:tr>
        <w:trPr>
          <w:tblHeader/>
        </w:trPr>
        <w:tc>
          <w:tcPr>
            <w:tcW w:type="dxa" w:w="2400"/>
            <w:shd w:fill="D9E1F2" w:color="auto" w:val="clear"/>
            <w:tcMar>
              <w:top w:type="dxa" w:w="80"/>
              <w:left w:type="dxa" w:w="110"/>
              <w:bottom w:type="dxa" w:w="80"/>
              <w:right w:type="dxa" w:w="110"/>
            </w:tcMar>
          </w:tcPr>
          <w:p>
            <w:pPr>
              <w:spacing w:after="0" w:line="260"/>
            </w:pPr>
            <w:r>
              <w:rPr>
                <w:rFonts w:ascii="Calibri" w:cs="Calibri" w:eastAsia="Calibri" w:hAnsi="Calibri"/>
                <w:b/>
                <w:bCs/>
                <w:color w:val="1F3864"/>
                <w:sz w:val="19"/>
                <w:szCs w:val="19"/>
              </w:rPr>
              <w:t xml:space="preserve">Aspecto</w:t>
            </w:r>
          </w:p>
        </w:tc>
        <w:tc>
          <w:tcPr>
            <w:tcW w:type="dxa" w:w="7680"/>
            <w:shd w:fill="D9E1F2" w:color="auto" w:val="clear"/>
            <w:tcMar>
              <w:top w:type="dxa" w:w="80"/>
              <w:left w:type="dxa" w:w="110"/>
              <w:bottom w:type="dxa" w:w="80"/>
              <w:right w:type="dxa" w:w="110"/>
            </w:tcMar>
          </w:tcPr>
          <w:p>
            <w:pPr>
              <w:spacing w:after="0" w:line="260"/>
            </w:pPr>
            <w:r>
              <w:rPr>
                <w:rFonts w:ascii="Calibri" w:cs="Calibri" w:eastAsia="Calibri" w:hAnsi="Calibri"/>
                <w:b/>
                <w:bCs/>
                <w:color w:val="1F3864"/>
                <w:sz w:val="19"/>
                <w:szCs w:val="19"/>
              </w:rPr>
              <w:t xml:space="preserve">Detalle</w:t>
            </w:r>
          </w:p>
        </w:tc>
      </w:tr>
      <w:tr>
        <w:tc>
          <w:tcPr>
            <w:tcW w:type="dxa" w:w="2400"/>
            <w:tcMar>
              <w:top w:type="dxa" w:w="80"/>
              <w:left w:type="dxa" w:w="110"/>
              <w:bottom w:type="dxa" w:w="80"/>
              <w:right w:type="dxa" w:w="110"/>
            </w:tcMar>
          </w:tcPr>
          <w:p>
            <w:pPr>
              <w:spacing w:after="0" w:line="260"/>
            </w:pPr>
            <w:r>
              <w:rPr>
                <w:rFonts w:ascii="Calibri" w:cs="Calibri" w:eastAsia="Calibri" w:hAnsi="Calibri"/>
                <w:sz w:val="19"/>
                <w:szCs w:val="19"/>
              </w:rPr>
              <w:t xml:space="preserve">Por defecto</w:t>
            </w:r>
          </w:p>
        </w:tc>
        <w:tc>
          <w:tcPr>
            <w:tcW w:type="dxa" w:w="7680"/>
            <w:tcMar>
              <w:top w:type="dxa" w:w="80"/>
              <w:left w:type="dxa" w:w="110"/>
              <w:bottom w:type="dxa" w:w="80"/>
              <w:right w:type="dxa" w:w="110"/>
            </w:tcMar>
          </w:tcPr>
          <w:p>
            <w:pPr>
              <w:spacing w:after="0" w:line="260"/>
            </w:pPr>
            <w:r>
              <w:rPr>
                <w:rFonts w:ascii="Calibri" w:cs="Calibri" w:eastAsia="Calibri" w:hAnsi="Calibri"/>
                <w:sz w:val="19"/>
                <w:szCs w:val="19"/>
              </w:rPr>
              <w:t xml:space="preserve">Desmarcada</w:t>
            </w:r>
          </w:p>
        </w:tc>
      </w:tr>
      <w:tr>
        <w:tc>
          <w:tcPr>
            <w:tcW w:type="dxa" w:w="24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Si la marca</w:t>
            </w:r>
          </w:p>
        </w:tc>
        <w:tc>
          <w:tcPr>
            <w:tcW w:type="dxa" w:w="76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Se copian todos los comentarios del archivo, tanto los abiertos como los ya resueltos, con sus respuestas.</w:t>
            </w:r>
          </w:p>
        </w:tc>
      </w:tr>
      <w:tr>
        <w:tc>
          <w:tcPr>
            <w:tcW w:type="dxa" w:w="2400"/>
            <w:tcMar>
              <w:top w:type="dxa" w:w="80"/>
              <w:left w:type="dxa" w:w="110"/>
              <w:bottom w:type="dxa" w:w="80"/>
              <w:right w:type="dxa" w:w="110"/>
            </w:tcMar>
          </w:tcPr>
          <w:p>
            <w:pPr>
              <w:spacing w:after="0" w:line="260"/>
            </w:pPr>
            <w:r>
              <w:rPr>
                <w:rFonts w:ascii="Calibri" w:cs="Calibri" w:eastAsia="Calibri" w:hAnsi="Calibri"/>
                <w:sz w:val="19"/>
                <w:szCs w:val="19"/>
              </w:rPr>
              <w:t xml:space="preserve">Si la deja desmarcada</w:t>
            </w:r>
          </w:p>
        </w:tc>
        <w:tc>
          <w:tcPr>
            <w:tcW w:type="dxa" w:w="7680"/>
            <w:tcMar>
              <w:top w:type="dxa" w:w="80"/>
              <w:left w:type="dxa" w:w="110"/>
              <w:bottom w:type="dxa" w:w="80"/>
              <w:right w:type="dxa" w:w="110"/>
            </w:tcMar>
          </w:tcPr>
          <w:p>
            <w:pPr>
              <w:spacing w:after="0" w:line="260"/>
            </w:pPr>
            <w:r>
              <w:rPr>
                <w:rFonts w:ascii="Calibri" w:cs="Calibri" w:eastAsia="Calibri" w:hAnsi="Calibri"/>
                <w:sz w:val="19"/>
                <w:szCs w:val="19"/>
              </w:rPr>
              <w:t xml:space="preserve">La copia parte limpia, sin comentarios. El original conserva los suyos.</w:t>
            </w:r>
          </w:p>
        </w:tc>
      </w:tr>
      <w:tr>
        <w:tc>
          <w:tcPr>
            <w:tcW w:type="dxa" w:w="24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Recomendación</w:t>
            </w:r>
          </w:p>
        </w:tc>
        <w:tc>
          <w:tcPr>
            <w:tcW w:type="dxa" w:w="76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Dejarla desmarcada al copiar el mes siguiente: los comentarios del mes anterior ya están resueltos y solo ensucian la revisión. Márquela solo si la copia es un respaldo del mismo período y quiere conservar la discusión.</w:t>
            </w:r>
          </w:p>
        </w:tc>
      </w:tr>
    </w:tbl>
    <w:p>
      <w:pPr>
        <w:pStyle w:val="Heading2"/>
        <w:spacing w:after="120" w:before="260"/>
      </w:pPr>
      <w:r>
        <w:rPr>
          <w:rFonts w:ascii="Calibri" w:cs="Calibri" w:eastAsia="Calibri" w:hAnsi="Calibri"/>
          <w:b/>
          <w:bCs/>
          <w:color w:val="2E5C9A"/>
          <w:sz w:val="25"/>
          <w:szCs w:val="25"/>
        </w:rPr>
        <w:t xml:space="preserve">5.2 Outline labels — etiquetas de esquema</w:t>
      </w:r>
    </w:p>
    <w:tbl>
      <w:tblPr>
        <w:tblW w:type="dxa" w:w="10080"/>
        <w:tblBorders>
          <w:top w:val="single" w:color="AAB7CE" w:sz="4"/>
          <w:left w:val="single" w:color="AAB7CE" w:sz="4"/>
          <w:bottom w:val="single" w:color="AAB7CE" w:sz="4"/>
          <w:right w:val="single" w:color="AAB7CE" w:sz="4"/>
          <w:insideH w:val="single" w:color="AAB7CE" w:sz="4"/>
          <w:insideV w:val="single" w:color="AAB7CE" w:sz="4"/>
        </w:tblBorders>
      </w:tblPr>
      <w:tblGrid>
        <w:gridCol w:w="2400"/>
        <w:gridCol w:w="7680"/>
      </w:tblGrid>
      <w:tr>
        <w:trPr>
          <w:tblHeader/>
        </w:trPr>
        <w:tc>
          <w:tcPr>
            <w:tcW w:type="dxa" w:w="2400"/>
            <w:shd w:fill="D9E1F2" w:color="auto" w:val="clear"/>
            <w:tcMar>
              <w:top w:type="dxa" w:w="80"/>
              <w:left w:type="dxa" w:w="110"/>
              <w:bottom w:type="dxa" w:w="80"/>
              <w:right w:type="dxa" w:w="110"/>
            </w:tcMar>
          </w:tcPr>
          <w:p>
            <w:pPr>
              <w:spacing w:after="0" w:line="260"/>
            </w:pPr>
            <w:r>
              <w:rPr>
                <w:rFonts w:ascii="Calibri" w:cs="Calibri" w:eastAsia="Calibri" w:hAnsi="Calibri"/>
                <w:b/>
                <w:bCs/>
                <w:color w:val="1F3864"/>
                <w:sz w:val="19"/>
                <w:szCs w:val="19"/>
              </w:rPr>
              <w:t xml:space="preserve">Aspecto</w:t>
            </w:r>
          </w:p>
        </w:tc>
        <w:tc>
          <w:tcPr>
            <w:tcW w:type="dxa" w:w="7680"/>
            <w:shd w:fill="D9E1F2" w:color="auto" w:val="clear"/>
            <w:tcMar>
              <w:top w:type="dxa" w:w="80"/>
              <w:left w:type="dxa" w:w="110"/>
              <w:bottom w:type="dxa" w:w="80"/>
              <w:right w:type="dxa" w:w="110"/>
            </w:tcMar>
          </w:tcPr>
          <w:p>
            <w:pPr>
              <w:spacing w:after="0" w:line="260"/>
            </w:pPr>
            <w:r>
              <w:rPr>
                <w:rFonts w:ascii="Calibri" w:cs="Calibri" w:eastAsia="Calibri" w:hAnsi="Calibri"/>
                <w:b/>
                <w:bCs/>
                <w:color w:val="1F3864"/>
                <w:sz w:val="19"/>
                <w:szCs w:val="19"/>
              </w:rPr>
              <w:t xml:space="preserve">Detalle</w:t>
            </w:r>
          </w:p>
        </w:tc>
      </w:tr>
      <w:tr>
        <w:tc>
          <w:tcPr>
            <w:tcW w:type="dxa" w:w="2400"/>
            <w:tcMar>
              <w:top w:type="dxa" w:w="80"/>
              <w:left w:type="dxa" w:w="110"/>
              <w:bottom w:type="dxa" w:w="80"/>
              <w:right w:type="dxa" w:w="110"/>
            </w:tcMar>
          </w:tcPr>
          <w:p>
            <w:pPr>
              <w:spacing w:after="0" w:line="260"/>
            </w:pPr>
            <w:r>
              <w:rPr>
                <w:rFonts w:ascii="Calibri" w:cs="Calibri" w:eastAsia="Calibri" w:hAnsi="Calibri"/>
                <w:sz w:val="19"/>
                <w:szCs w:val="19"/>
              </w:rPr>
              <w:t xml:space="preserve">Por defecto</w:t>
            </w:r>
          </w:p>
        </w:tc>
        <w:tc>
          <w:tcPr>
            <w:tcW w:type="dxa" w:w="7680"/>
            <w:tcMar>
              <w:top w:type="dxa" w:w="80"/>
              <w:left w:type="dxa" w:w="110"/>
              <w:bottom w:type="dxa" w:w="80"/>
              <w:right w:type="dxa" w:w="110"/>
            </w:tcMar>
          </w:tcPr>
          <w:p>
            <w:pPr>
              <w:spacing w:after="0" w:line="260"/>
            </w:pPr>
            <w:r>
              <w:rPr>
                <w:rFonts w:ascii="Calibri" w:cs="Calibri" w:eastAsia="Calibri" w:hAnsi="Calibri"/>
                <w:sz w:val="19"/>
                <w:szCs w:val="19"/>
              </w:rPr>
              <w:t xml:space="preserve">Marcada</w:t>
            </w:r>
          </w:p>
        </w:tc>
      </w:tr>
      <w:tr>
        <w:tc>
          <w:tcPr>
            <w:tcW w:type="dxa" w:w="24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Qué son</w:t>
            </w:r>
          </w:p>
        </w:tc>
        <w:tc>
          <w:tcPr>
            <w:tcW w:type="dxa" w:w="76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Los puntos de color del Document Outline que indican el estado de avance de cada sección, incluidos los conjuntos de etiquetas personalizados del workspace.</w:t>
            </w:r>
          </w:p>
        </w:tc>
      </w:tr>
      <w:tr>
        <w:tc>
          <w:tcPr>
            <w:tcW w:type="dxa" w:w="2400"/>
            <w:tcMar>
              <w:top w:type="dxa" w:w="80"/>
              <w:left w:type="dxa" w:w="110"/>
              <w:bottom w:type="dxa" w:w="80"/>
              <w:right w:type="dxa" w:w="110"/>
            </w:tcMar>
          </w:tcPr>
          <w:p>
            <w:pPr>
              <w:spacing w:after="0" w:line="260"/>
            </w:pPr>
            <w:r>
              <w:rPr>
                <w:rFonts w:ascii="Calibri" w:cs="Calibri" w:eastAsia="Calibri" w:hAnsi="Calibri"/>
                <w:sz w:val="19"/>
                <w:szCs w:val="19"/>
              </w:rPr>
              <w:t xml:space="preserve">Si la marca</w:t>
            </w:r>
          </w:p>
        </w:tc>
        <w:tc>
          <w:tcPr>
            <w:tcW w:type="dxa" w:w="7680"/>
            <w:tcMar>
              <w:top w:type="dxa" w:w="80"/>
              <w:left w:type="dxa" w:w="110"/>
              <w:bottom w:type="dxa" w:w="80"/>
              <w:right w:type="dxa" w:w="110"/>
            </w:tcMar>
          </w:tcPr>
          <w:p>
            <w:pPr>
              <w:spacing w:after="0" w:line="260"/>
            </w:pPr>
            <w:r>
              <w:rPr>
                <w:rFonts w:ascii="Calibri" w:cs="Calibri" w:eastAsia="Calibri" w:hAnsi="Calibri"/>
                <w:sz w:val="19"/>
                <w:szCs w:val="19"/>
              </w:rPr>
              <w:t xml:space="preserve">La copia hereda el estado de avance del período anterior.</w:t>
            </w:r>
          </w:p>
        </w:tc>
      </w:tr>
      <w:tr>
        <w:tc>
          <w:tcPr>
            <w:tcW w:type="dxa" w:w="24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Recomendación</w:t>
            </w:r>
          </w:p>
        </w:tc>
        <w:tc>
          <w:tcPr>
            <w:tcW w:type="dxa" w:w="76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Desmárquela en la copia mensual. Si la deja marcada, el mes nuevo aparece con secciones ya marcadas como revisadas y alguien puede darlas por buenas sin haberlas mirado.</w:t>
            </w:r>
          </w:p>
        </w:tc>
      </w:tr>
    </w:tbl>
    <w:p>
      <w:pPr>
        <w:pStyle w:val="Heading2"/>
        <w:spacing w:after="120" w:before="260"/>
      </w:pPr>
      <w:r>
        <w:rPr>
          <w:rFonts w:ascii="Calibri" w:cs="Calibri" w:eastAsia="Calibri" w:hAnsi="Calibri"/>
          <w:b/>
          <w:bCs/>
          <w:color w:val="2E5C9A"/>
          <w:sz w:val="25"/>
          <w:szCs w:val="25"/>
        </w:rPr>
        <w:t xml:space="preserve">5.3 Attachments — archivos adjuntos</w:t>
      </w:r>
    </w:p>
    <w:tbl>
      <w:tblPr>
        <w:tblW w:type="dxa" w:w="10080"/>
        <w:tblBorders>
          <w:top w:val="single" w:color="AAB7CE" w:sz="4"/>
          <w:left w:val="single" w:color="AAB7CE" w:sz="4"/>
          <w:bottom w:val="single" w:color="AAB7CE" w:sz="4"/>
          <w:right w:val="single" w:color="AAB7CE" w:sz="4"/>
          <w:insideH w:val="single" w:color="AAB7CE" w:sz="4"/>
          <w:insideV w:val="single" w:color="AAB7CE" w:sz="4"/>
        </w:tblBorders>
      </w:tblPr>
      <w:tblGrid>
        <w:gridCol w:w="2400"/>
        <w:gridCol w:w="7680"/>
      </w:tblGrid>
      <w:tr>
        <w:trPr>
          <w:tblHeader/>
        </w:trPr>
        <w:tc>
          <w:tcPr>
            <w:tcW w:type="dxa" w:w="2400"/>
            <w:shd w:fill="D9E1F2" w:color="auto" w:val="clear"/>
            <w:tcMar>
              <w:top w:type="dxa" w:w="80"/>
              <w:left w:type="dxa" w:w="110"/>
              <w:bottom w:type="dxa" w:w="80"/>
              <w:right w:type="dxa" w:w="110"/>
            </w:tcMar>
          </w:tcPr>
          <w:p>
            <w:pPr>
              <w:spacing w:after="0" w:line="260"/>
            </w:pPr>
            <w:r>
              <w:rPr>
                <w:rFonts w:ascii="Calibri" w:cs="Calibri" w:eastAsia="Calibri" w:hAnsi="Calibri"/>
                <w:b/>
                <w:bCs/>
                <w:color w:val="1F3864"/>
                <w:sz w:val="19"/>
                <w:szCs w:val="19"/>
              </w:rPr>
              <w:t xml:space="preserve">Aspecto</w:t>
            </w:r>
          </w:p>
        </w:tc>
        <w:tc>
          <w:tcPr>
            <w:tcW w:type="dxa" w:w="7680"/>
            <w:shd w:fill="D9E1F2" w:color="auto" w:val="clear"/>
            <w:tcMar>
              <w:top w:type="dxa" w:w="80"/>
              <w:left w:type="dxa" w:w="110"/>
              <w:bottom w:type="dxa" w:w="80"/>
              <w:right w:type="dxa" w:w="110"/>
            </w:tcMar>
          </w:tcPr>
          <w:p>
            <w:pPr>
              <w:spacing w:after="0" w:line="260"/>
            </w:pPr>
            <w:r>
              <w:rPr>
                <w:rFonts w:ascii="Calibri" w:cs="Calibri" w:eastAsia="Calibri" w:hAnsi="Calibri"/>
                <w:b/>
                <w:bCs/>
                <w:color w:val="1F3864"/>
                <w:sz w:val="19"/>
                <w:szCs w:val="19"/>
              </w:rPr>
              <w:t xml:space="preserve">Detalle</w:t>
            </w:r>
          </w:p>
        </w:tc>
      </w:tr>
      <w:tr>
        <w:tc>
          <w:tcPr>
            <w:tcW w:type="dxa" w:w="2400"/>
            <w:tcMar>
              <w:top w:type="dxa" w:w="80"/>
              <w:left w:type="dxa" w:w="110"/>
              <w:bottom w:type="dxa" w:w="80"/>
              <w:right w:type="dxa" w:w="110"/>
            </w:tcMar>
          </w:tcPr>
          <w:p>
            <w:pPr>
              <w:spacing w:after="0" w:line="260"/>
            </w:pPr>
            <w:r>
              <w:rPr>
                <w:rFonts w:ascii="Calibri" w:cs="Calibri" w:eastAsia="Calibri" w:hAnsi="Calibri"/>
                <w:sz w:val="19"/>
                <w:szCs w:val="19"/>
              </w:rPr>
              <w:t xml:space="preserve">Por defecto</w:t>
            </w:r>
          </w:p>
        </w:tc>
        <w:tc>
          <w:tcPr>
            <w:tcW w:type="dxa" w:w="7680"/>
            <w:tcMar>
              <w:top w:type="dxa" w:w="80"/>
              <w:left w:type="dxa" w:w="110"/>
              <w:bottom w:type="dxa" w:w="80"/>
              <w:right w:type="dxa" w:w="110"/>
            </w:tcMar>
          </w:tcPr>
          <w:p>
            <w:pPr>
              <w:spacing w:after="0" w:line="260"/>
            </w:pPr>
            <w:r>
              <w:rPr>
                <w:rFonts w:ascii="Calibri" w:cs="Calibri" w:eastAsia="Calibri" w:hAnsi="Calibri"/>
                <w:sz w:val="19"/>
                <w:szCs w:val="19"/>
              </w:rPr>
              <w:t xml:space="preserve">Desmarcada</w:t>
            </w:r>
          </w:p>
        </w:tc>
      </w:tr>
      <w:tr>
        <w:tc>
          <w:tcPr>
            <w:tcW w:type="dxa" w:w="24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Qué son</w:t>
            </w:r>
          </w:p>
        </w:tc>
        <w:tc>
          <w:tcPr>
            <w:tcW w:type="dxa" w:w="76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Los respaldos adjuntos a secciones o celdas (soporte, evidencias, planillas de apoyo).</w:t>
            </w:r>
          </w:p>
        </w:tc>
      </w:tr>
      <w:tr>
        <w:tc>
          <w:tcPr>
            <w:tcW w:type="dxa" w:w="2400"/>
            <w:tcMar>
              <w:top w:type="dxa" w:w="80"/>
              <w:left w:type="dxa" w:w="110"/>
              <w:bottom w:type="dxa" w:w="80"/>
              <w:right w:type="dxa" w:w="110"/>
            </w:tcMar>
          </w:tcPr>
          <w:p>
            <w:pPr>
              <w:spacing w:after="0" w:line="260"/>
            </w:pPr>
            <w:r>
              <w:rPr>
                <w:rFonts w:ascii="Calibri" w:cs="Calibri" w:eastAsia="Calibri" w:hAnsi="Calibri"/>
                <w:sz w:val="19"/>
                <w:szCs w:val="19"/>
              </w:rPr>
              <w:t xml:space="preserve">Si la marca</w:t>
            </w:r>
          </w:p>
        </w:tc>
        <w:tc>
          <w:tcPr>
            <w:tcW w:type="dxa" w:w="7680"/>
            <w:tcMar>
              <w:top w:type="dxa" w:w="80"/>
              <w:left w:type="dxa" w:w="110"/>
              <w:bottom w:type="dxa" w:w="80"/>
              <w:right w:type="dxa" w:w="110"/>
            </w:tcMar>
          </w:tcPr>
          <w:p>
            <w:pPr>
              <w:spacing w:after="0" w:line="260"/>
            </w:pPr>
            <w:r>
              <w:rPr>
                <w:rFonts w:ascii="Calibri" w:cs="Calibri" w:eastAsia="Calibri" w:hAnsi="Calibri"/>
                <w:sz w:val="19"/>
                <w:szCs w:val="19"/>
              </w:rPr>
              <w:t xml:space="preserve">Los adjuntos viajan a la copia, pero su marcado (markup) sobre los adjuntos no se traslada.</w:t>
            </w:r>
          </w:p>
        </w:tc>
      </w:tr>
      <w:tr>
        <w:tc>
          <w:tcPr>
            <w:tcW w:type="dxa" w:w="24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Recomendación</w:t>
            </w:r>
          </w:p>
        </w:tc>
        <w:tc>
          <w:tcPr>
            <w:tcW w:type="dxa" w:w="76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Márquela si los adjuntos son parte de la estructura permanente del reporte (formatos, instructivos). Déjela desmarcada si los adjuntos son la evidencia del mes, que va a reemplazarse igual.</w:t>
            </w:r>
          </w:p>
        </w:tc>
      </w:tr>
    </w:tbl>
    <w:p>
      <w:pPr>
        <w:pStyle w:val="Heading2"/>
        <w:spacing w:after="120" w:before="260"/>
      </w:pPr>
      <w:r>
        <w:rPr>
          <w:rFonts w:ascii="Calibri" w:cs="Calibri" w:eastAsia="Calibri" w:hAnsi="Calibri"/>
          <w:b/>
          <w:bCs/>
          <w:color w:val="2E5C9A"/>
          <w:sz w:val="25"/>
          <w:szCs w:val="25"/>
        </w:rPr>
        <w:t xml:space="preserve">5.4 Automations — automatizaciones</w:t>
      </w:r>
    </w:p>
    <w:tbl>
      <w:tblPr>
        <w:tblW w:type="dxa" w:w="10080"/>
        <w:tblBorders>
          <w:top w:val="single" w:color="AAB7CE" w:sz="4"/>
          <w:left w:val="single" w:color="AAB7CE" w:sz="4"/>
          <w:bottom w:val="single" w:color="AAB7CE" w:sz="4"/>
          <w:right w:val="single" w:color="AAB7CE" w:sz="4"/>
          <w:insideH w:val="single" w:color="AAB7CE" w:sz="4"/>
          <w:insideV w:val="single" w:color="AAB7CE" w:sz="4"/>
        </w:tblBorders>
      </w:tblPr>
      <w:tblGrid>
        <w:gridCol w:w="2400"/>
        <w:gridCol w:w="7680"/>
      </w:tblGrid>
      <w:tr>
        <w:trPr>
          <w:tblHeader/>
        </w:trPr>
        <w:tc>
          <w:tcPr>
            <w:tcW w:type="dxa" w:w="2400"/>
            <w:shd w:fill="D9E1F2" w:color="auto" w:val="clear"/>
            <w:tcMar>
              <w:top w:type="dxa" w:w="80"/>
              <w:left w:type="dxa" w:w="110"/>
              <w:bottom w:type="dxa" w:w="80"/>
              <w:right w:type="dxa" w:w="110"/>
            </w:tcMar>
          </w:tcPr>
          <w:p>
            <w:pPr>
              <w:spacing w:after="0" w:line="260"/>
            </w:pPr>
            <w:r>
              <w:rPr>
                <w:rFonts w:ascii="Calibri" w:cs="Calibri" w:eastAsia="Calibri" w:hAnsi="Calibri"/>
                <w:b/>
                <w:bCs/>
                <w:color w:val="1F3864"/>
                <w:sz w:val="19"/>
                <w:szCs w:val="19"/>
              </w:rPr>
              <w:t xml:space="preserve">Aspecto</w:t>
            </w:r>
          </w:p>
        </w:tc>
        <w:tc>
          <w:tcPr>
            <w:tcW w:type="dxa" w:w="7680"/>
            <w:shd w:fill="D9E1F2" w:color="auto" w:val="clear"/>
            <w:tcMar>
              <w:top w:type="dxa" w:w="80"/>
              <w:left w:type="dxa" w:w="110"/>
              <w:bottom w:type="dxa" w:w="80"/>
              <w:right w:type="dxa" w:w="110"/>
            </w:tcMar>
          </w:tcPr>
          <w:p>
            <w:pPr>
              <w:spacing w:after="0" w:line="260"/>
            </w:pPr>
            <w:r>
              <w:rPr>
                <w:rFonts w:ascii="Calibri" w:cs="Calibri" w:eastAsia="Calibri" w:hAnsi="Calibri"/>
                <w:b/>
                <w:bCs/>
                <w:color w:val="1F3864"/>
                <w:sz w:val="19"/>
                <w:szCs w:val="19"/>
              </w:rPr>
              <w:t xml:space="preserve">Detalle</w:t>
            </w:r>
          </w:p>
        </w:tc>
      </w:tr>
      <w:tr>
        <w:tc>
          <w:tcPr>
            <w:tcW w:type="dxa" w:w="2400"/>
            <w:tcMar>
              <w:top w:type="dxa" w:w="80"/>
              <w:left w:type="dxa" w:w="110"/>
              <w:bottom w:type="dxa" w:w="80"/>
              <w:right w:type="dxa" w:w="110"/>
            </w:tcMar>
          </w:tcPr>
          <w:p>
            <w:pPr>
              <w:spacing w:after="0" w:line="260"/>
            </w:pPr>
            <w:r>
              <w:rPr>
                <w:rFonts w:ascii="Calibri" w:cs="Calibri" w:eastAsia="Calibri" w:hAnsi="Calibri"/>
                <w:sz w:val="19"/>
                <w:szCs w:val="19"/>
              </w:rPr>
              <w:t xml:space="preserve">Por defecto</w:t>
            </w:r>
          </w:p>
        </w:tc>
        <w:tc>
          <w:tcPr>
            <w:tcW w:type="dxa" w:w="7680"/>
            <w:tcMar>
              <w:top w:type="dxa" w:w="80"/>
              <w:left w:type="dxa" w:w="110"/>
              <w:bottom w:type="dxa" w:w="80"/>
              <w:right w:type="dxa" w:w="110"/>
            </w:tcMar>
          </w:tcPr>
          <w:p>
            <w:pPr>
              <w:spacing w:after="0" w:line="260"/>
            </w:pPr>
            <w:r>
              <w:rPr>
                <w:rFonts w:ascii="Calibri" w:cs="Calibri" w:eastAsia="Calibri" w:hAnsi="Calibri"/>
                <w:sz w:val="19"/>
                <w:szCs w:val="19"/>
              </w:rPr>
              <w:t xml:space="preserve">Marcada</w:t>
            </w:r>
          </w:p>
        </w:tc>
      </w:tr>
      <w:tr>
        <w:tc>
          <w:tcPr>
            <w:tcW w:type="dxa" w:w="24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Qué son</w:t>
            </w:r>
          </w:p>
        </w:tc>
        <w:tc>
          <w:tcPr>
            <w:tcW w:type="dxa" w:w="76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Las automatizaciones configuradas sobre los archivos (acciones que corren solas, actualizaciones programadas, flujos).</w:t>
            </w:r>
          </w:p>
        </w:tc>
      </w:tr>
      <w:tr>
        <w:tc>
          <w:tcPr>
            <w:tcW w:type="dxa" w:w="2400"/>
            <w:tcMar>
              <w:top w:type="dxa" w:w="80"/>
              <w:left w:type="dxa" w:w="110"/>
              <w:bottom w:type="dxa" w:w="80"/>
              <w:right w:type="dxa" w:w="110"/>
            </w:tcMar>
          </w:tcPr>
          <w:p>
            <w:pPr>
              <w:spacing w:after="0" w:line="260"/>
            </w:pPr>
            <w:r>
              <w:rPr>
                <w:rFonts w:ascii="Calibri" w:cs="Calibri" w:eastAsia="Calibri" w:hAnsi="Calibri"/>
                <w:sz w:val="19"/>
                <w:szCs w:val="19"/>
              </w:rPr>
              <w:t xml:space="preserve">Si la marca</w:t>
            </w:r>
          </w:p>
        </w:tc>
        <w:tc>
          <w:tcPr>
            <w:tcW w:type="dxa" w:w="7680"/>
            <w:tcMar>
              <w:top w:type="dxa" w:w="80"/>
              <w:left w:type="dxa" w:w="110"/>
              <w:bottom w:type="dxa" w:w="80"/>
              <w:right w:type="dxa" w:w="110"/>
            </w:tcMar>
          </w:tcPr>
          <w:p>
            <w:pPr>
              <w:spacing w:after="0" w:line="260"/>
            </w:pPr>
            <w:r>
              <w:rPr>
                <w:rFonts w:ascii="Calibri" w:cs="Calibri" w:eastAsia="Calibri" w:hAnsi="Calibri"/>
                <w:sz w:val="19"/>
                <w:szCs w:val="19"/>
              </w:rPr>
              <w:t xml:space="preserve">La copia queda con las mismas automatizaciones que el original.</w:t>
            </w:r>
          </w:p>
        </w:tc>
      </w:tr>
      <w:tr>
        <w:tc>
          <w:tcPr>
            <w:tcW w:type="dxa" w:w="24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Recomendación</w:t>
            </w:r>
          </w:p>
        </w:tc>
        <w:tc>
          <w:tcPr>
            <w:tcW w:type="dxa" w:w="76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Déjela marcada: es lo que permite que el mes nuevo funcione igual que el anterior sin reconfigurar. Revise después que las automatizaciones copiadas apunten a los archivos correctos del período nuevo.</w:t>
            </w:r>
          </w:p>
        </w:tc>
      </w:tr>
    </w:tbl>
    <w:p>
      <w:pPr>
        <w:pStyle w:val="Heading2"/>
        <w:spacing w:after="120" w:before="260"/>
      </w:pPr>
      <w:r>
        <w:rPr>
          <w:rFonts w:ascii="Calibri" w:cs="Calibri" w:eastAsia="Calibri" w:hAnsi="Calibri"/>
          <w:b/>
          <w:bCs/>
          <w:color w:val="2E5C9A"/>
          <w:sz w:val="25"/>
          <w:szCs w:val="25"/>
        </w:rPr>
        <w:t xml:space="preserve">5.5 Document Markup — marcado del documento</w:t>
      </w:r>
    </w:p>
    <w:tbl>
      <w:tblPr>
        <w:tblW w:type="dxa" w:w="10080"/>
        <w:tblBorders>
          <w:top w:val="single" w:color="AAB7CE" w:sz="4"/>
          <w:left w:val="single" w:color="AAB7CE" w:sz="4"/>
          <w:bottom w:val="single" w:color="AAB7CE" w:sz="4"/>
          <w:right w:val="single" w:color="AAB7CE" w:sz="4"/>
          <w:insideH w:val="single" w:color="AAB7CE" w:sz="4"/>
          <w:insideV w:val="single" w:color="AAB7CE" w:sz="4"/>
        </w:tblBorders>
      </w:tblPr>
      <w:tblGrid>
        <w:gridCol w:w="2400"/>
        <w:gridCol w:w="7680"/>
      </w:tblGrid>
      <w:tr>
        <w:trPr>
          <w:tblHeader/>
        </w:trPr>
        <w:tc>
          <w:tcPr>
            <w:tcW w:type="dxa" w:w="2400"/>
            <w:shd w:fill="D9E1F2" w:color="auto" w:val="clear"/>
            <w:tcMar>
              <w:top w:type="dxa" w:w="80"/>
              <w:left w:type="dxa" w:w="110"/>
              <w:bottom w:type="dxa" w:w="80"/>
              <w:right w:type="dxa" w:w="110"/>
            </w:tcMar>
          </w:tcPr>
          <w:p>
            <w:pPr>
              <w:spacing w:after="0" w:line="260"/>
            </w:pPr>
            <w:r>
              <w:rPr>
                <w:rFonts w:ascii="Calibri" w:cs="Calibri" w:eastAsia="Calibri" w:hAnsi="Calibri"/>
                <w:b/>
                <w:bCs/>
                <w:color w:val="1F3864"/>
                <w:sz w:val="19"/>
                <w:szCs w:val="19"/>
              </w:rPr>
              <w:t xml:space="preserve">Aspecto</w:t>
            </w:r>
          </w:p>
        </w:tc>
        <w:tc>
          <w:tcPr>
            <w:tcW w:type="dxa" w:w="7680"/>
            <w:shd w:fill="D9E1F2" w:color="auto" w:val="clear"/>
            <w:tcMar>
              <w:top w:type="dxa" w:w="80"/>
              <w:left w:type="dxa" w:w="110"/>
              <w:bottom w:type="dxa" w:w="80"/>
              <w:right w:type="dxa" w:w="110"/>
            </w:tcMar>
          </w:tcPr>
          <w:p>
            <w:pPr>
              <w:spacing w:after="0" w:line="260"/>
            </w:pPr>
            <w:r>
              <w:rPr>
                <w:rFonts w:ascii="Calibri" w:cs="Calibri" w:eastAsia="Calibri" w:hAnsi="Calibri"/>
                <w:b/>
                <w:bCs/>
                <w:color w:val="1F3864"/>
                <w:sz w:val="19"/>
                <w:szCs w:val="19"/>
              </w:rPr>
              <w:t xml:space="preserve">Detalle</w:t>
            </w:r>
          </w:p>
        </w:tc>
      </w:tr>
      <w:tr>
        <w:tc>
          <w:tcPr>
            <w:tcW w:type="dxa" w:w="2400"/>
            <w:tcMar>
              <w:top w:type="dxa" w:w="80"/>
              <w:left w:type="dxa" w:w="110"/>
              <w:bottom w:type="dxa" w:w="80"/>
              <w:right w:type="dxa" w:w="110"/>
            </w:tcMar>
          </w:tcPr>
          <w:p>
            <w:pPr>
              <w:spacing w:after="0" w:line="260"/>
            </w:pPr>
            <w:r>
              <w:rPr>
                <w:rFonts w:ascii="Calibri" w:cs="Calibri" w:eastAsia="Calibri" w:hAnsi="Calibri"/>
                <w:sz w:val="19"/>
                <w:szCs w:val="19"/>
              </w:rPr>
              <w:t xml:space="preserve">Por defecto</w:t>
            </w:r>
          </w:p>
        </w:tc>
        <w:tc>
          <w:tcPr>
            <w:tcW w:type="dxa" w:w="7680"/>
            <w:tcMar>
              <w:top w:type="dxa" w:w="80"/>
              <w:left w:type="dxa" w:w="110"/>
              <w:bottom w:type="dxa" w:w="80"/>
              <w:right w:type="dxa" w:w="110"/>
            </w:tcMar>
          </w:tcPr>
          <w:p>
            <w:pPr>
              <w:spacing w:after="0" w:line="260"/>
            </w:pPr>
            <w:r>
              <w:rPr>
                <w:rFonts w:ascii="Calibri" w:cs="Calibri" w:eastAsia="Calibri" w:hAnsi="Calibri"/>
                <w:sz w:val="19"/>
                <w:szCs w:val="19"/>
              </w:rPr>
              <w:t xml:space="preserve">Desmarcada</w:t>
            </w:r>
          </w:p>
        </w:tc>
      </w:tr>
      <w:tr>
        <w:tc>
          <w:tcPr>
            <w:tcW w:type="dxa" w:w="24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Qué es</w:t>
            </w:r>
          </w:p>
        </w:tc>
        <w:tc>
          <w:tcPr>
            <w:tcW w:type="dxa" w:w="76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Las marcas de revisión sobre el documento: tick marks, resaltados y anotaciones de auditoría.</w:t>
            </w:r>
          </w:p>
        </w:tc>
      </w:tr>
      <w:tr>
        <w:tc>
          <w:tcPr>
            <w:tcW w:type="dxa" w:w="2400"/>
            <w:tcMar>
              <w:top w:type="dxa" w:w="80"/>
              <w:left w:type="dxa" w:w="110"/>
              <w:bottom w:type="dxa" w:w="80"/>
              <w:right w:type="dxa" w:w="110"/>
            </w:tcMar>
          </w:tcPr>
          <w:p>
            <w:pPr>
              <w:spacing w:after="0" w:line="260"/>
            </w:pPr>
            <w:r>
              <w:rPr>
                <w:rFonts w:ascii="Calibri" w:cs="Calibri" w:eastAsia="Calibri" w:hAnsi="Calibri"/>
                <w:sz w:val="19"/>
                <w:szCs w:val="19"/>
              </w:rPr>
              <w:t xml:space="preserve">Si la marca</w:t>
            </w:r>
          </w:p>
        </w:tc>
        <w:tc>
          <w:tcPr>
            <w:tcW w:type="dxa" w:w="7680"/>
            <w:tcMar>
              <w:top w:type="dxa" w:w="80"/>
              <w:left w:type="dxa" w:w="110"/>
              <w:bottom w:type="dxa" w:w="80"/>
              <w:right w:type="dxa" w:w="110"/>
            </w:tcMar>
          </w:tcPr>
          <w:p>
            <w:pPr>
              <w:spacing w:after="0" w:line="260"/>
            </w:pPr>
            <w:r>
              <w:rPr>
                <w:rFonts w:ascii="Calibri" w:cs="Calibri" w:eastAsia="Calibri" w:hAnsi="Calibri"/>
                <w:sz w:val="19"/>
                <w:szCs w:val="19"/>
              </w:rPr>
              <w:t xml:space="preserve">El marcado del período anterior se copia al nuevo.</w:t>
            </w:r>
          </w:p>
        </w:tc>
      </w:tr>
      <w:tr>
        <w:tc>
          <w:tcPr>
            <w:tcW w:type="dxa" w:w="24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Recomendación</w:t>
            </w:r>
          </w:p>
        </w:tc>
        <w:tc>
          <w:tcPr>
            <w:tcW w:type="dxa" w:w="76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Dejarla desmarcada en la copia mensual: el marcado es evidencia de la revisión de ese mes y arrastrarlo puede dar por revisado algo que no se revisó. Márquela solo si su procedimiento pide conservar los tick marks como plantilla.</w:t>
            </w:r>
          </w:p>
        </w:tc>
      </w:tr>
    </w:tbl>
    <w:p>
      <w:pPr>
        <w:pStyle w:val="Heading2"/>
        <w:spacing w:after="120" w:before="260"/>
      </w:pPr>
      <w:r>
        <w:rPr>
          <w:rFonts w:ascii="Calibri" w:cs="Calibri" w:eastAsia="Calibri" w:hAnsi="Calibri"/>
          <w:b/>
          <w:bCs/>
          <w:color w:val="2E5C9A"/>
          <w:sz w:val="25"/>
          <w:szCs w:val="25"/>
        </w:rPr>
        <w:t xml:space="preserve">5.6 Input cell values — valores de celdas de entrada</w:t>
      </w:r>
    </w:p>
    <w:tbl>
      <w:tblPr>
        <w:tblW w:type="dxa" w:w="10080"/>
        <w:tblBorders>
          <w:top w:val="single" w:color="AAB7CE" w:sz="4"/>
          <w:left w:val="single" w:color="AAB7CE" w:sz="4"/>
          <w:bottom w:val="single" w:color="AAB7CE" w:sz="4"/>
          <w:right w:val="single" w:color="AAB7CE" w:sz="4"/>
          <w:insideH w:val="single" w:color="AAB7CE" w:sz="4"/>
          <w:insideV w:val="single" w:color="AAB7CE" w:sz="4"/>
        </w:tblBorders>
      </w:tblPr>
      <w:tblGrid>
        <w:gridCol w:w="2400"/>
        <w:gridCol w:w="7680"/>
      </w:tblGrid>
      <w:tr>
        <w:trPr>
          <w:tblHeader/>
        </w:trPr>
        <w:tc>
          <w:tcPr>
            <w:tcW w:type="dxa" w:w="2400"/>
            <w:shd w:fill="D9E1F2" w:color="auto" w:val="clear"/>
            <w:tcMar>
              <w:top w:type="dxa" w:w="80"/>
              <w:left w:type="dxa" w:w="110"/>
              <w:bottom w:type="dxa" w:w="80"/>
              <w:right w:type="dxa" w:w="110"/>
            </w:tcMar>
          </w:tcPr>
          <w:p>
            <w:pPr>
              <w:spacing w:after="0" w:line="260"/>
            </w:pPr>
            <w:r>
              <w:rPr>
                <w:rFonts w:ascii="Calibri" w:cs="Calibri" w:eastAsia="Calibri" w:hAnsi="Calibri"/>
                <w:b/>
                <w:bCs/>
                <w:color w:val="1F3864"/>
                <w:sz w:val="19"/>
                <w:szCs w:val="19"/>
              </w:rPr>
              <w:t xml:space="preserve">Aspecto</w:t>
            </w:r>
          </w:p>
        </w:tc>
        <w:tc>
          <w:tcPr>
            <w:tcW w:type="dxa" w:w="7680"/>
            <w:shd w:fill="D9E1F2" w:color="auto" w:val="clear"/>
            <w:tcMar>
              <w:top w:type="dxa" w:w="80"/>
              <w:left w:type="dxa" w:w="110"/>
              <w:bottom w:type="dxa" w:w="80"/>
              <w:right w:type="dxa" w:w="110"/>
            </w:tcMar>
          </w:tcPr>
          <w:p>
            <w:pPr>
              <w:spacing w:after="0" w:line="260"/>
            </w:pPr>
            <w:r>
              <w:rPr>
                <w:rFonts w:ascii="Calibri" w:cs="Calibri" w:eastAsia="Calibri" w:hAnsi="Calibri"/>
                <w:b/>
                <w:bCs/>
                <w:color w:val="1F3864"/>
                <w:sz w:val="19"/>
                <w:szCs w:val="19"/>
              </w:rPr>
              <w:t xml:space="preserve">Detalle</w:t>
            </w:r>
          </w:p>
        </w:tc>
      </w:tr>
      <w:tr>
        <w:tc>
          <w:tcPr>
            <w:tcW w:type="dxa" w:w="2400"/>
            <w:tcMar>
              <w:top w:type="dxa" w:w="80"/>
              <w:left w:type="dxa" w:w="110"/>
              <w:bottom w:type="dxa" w:w="80"/>
              <w:right w:type="dxa" w:w="110"/>
            </w:tcMar>
          </w:tcPr>
          <w:p>
            <w:pPr>
              <w:spacing w:after="0" w:line="260"/>
            </w:pPr>
            <w:r>
              <w:rPr>
                <w:rFonts w:ascii="Calibri" w:cs="Calibri" w:eastAsia="Calibri" w:hAnsi="Calibri"/>
                <w:sz w:val="19"/>
                <w:szCs w:val="19"/>
              </w:rPr>
              <w:t xml:space="preserve">Por defecto</w:t>
            </w:r>
          </w:p>
        </w:tc>
        <w:tc>
          <w:tcPr>
            <w:tcW w:type="dxa" w:w="7680"/>
            <w:tcMar>
              <w:top w:type="dxa" w:w="80"/>
              <w:left w:type="dxa" w:w="110"/>
              <w:bottom w:type="dxa" w:w="80"/>
              <w:right w:type="dxa" w:w="110"/>
            </w:tcMar>
          </w:tcPr>
          <w:p>
            <w:pPr>
              <w:spacing w:after="0" w:line="260"/>
            </w:pPr>
            <w:r>
              <w:rPr>
                <w:rFonts w:ascii="Calibri" w:cs="Calibri" w:eastAsia="Calibri" w:hAnsi="Calibri"/>
                <w:sz w:val="19"/>
                <w:szCs w:val="19"/>
              </w:rPr>
              <w:t xml:space="preserve">Desmarcada</w:t>
            </w:r>
          </w:p>
        </w:tc>
      </w:tr>
      <w:tr>
        <w:tc>
          <w:tcPr>
            <w:tcW w:type="dxa" w:w="24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Qué son</w:t>
            </w:r>
          </w:p>
        </w:tc>
        <w:tc>
          <w:tcPr>
            <w:tcW w:type="dxa" w:w="76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Los valores cargados manualmente en las celdas de entrada (input) de las planillas.</w:t>
            </w:r>
          </w:p>
        </w:tc>
      </w:tr>
      <w:tr>
        <w:tc>
          <w:tcPr>
            <w:tcW w:type="dxa" w:w="2400"/>
            <w:tcMar>
              <w:top w:type="dxa" w:w="80"/>
              <w:left w:type="dxa" w:w="110"/>
              <w:bottom w:type="dxa" w:w="80"/>
              <w:right w:type="dxa" w:w="110"/>
            </w:tcMar>
          </w:tcPr>
          <w:p>
            <w:pPr>
              <w:spacing w:after="0" w:line="260"/>
            </w:pPr>
            <w:r>
              <w:rPr>
                <w:rFonts w:ascii="Calibri" w:cs="Calibri" w:eastAsia="Calibri" w:hAnsi="Calibri"/>
                <w:sz w:val="19"/>
                <w:szCs w:val="19"/>
              </w:rPr>
              <w:t xml:space="preserve">Si la marca</w:t>
            </w:r>
          </w:p>
        </w:tc>
        <w:tc>
          <w:tcPr>
            <w:tcW w:type="dxa" w:w="7680"/>
            <w:tcMar>
              <w:top w:type="dxa" w:w="80"/>
              <w:left w:type="dxa" w:w="110"/>
              <w:bottom w:type="dxa" w:w="80"/>
              <w:right w:type="dxa" w:w="110"/>
            </w:tcMar>
          </w:tcPr>
          <w:p>
            <w:pPr>
              <w:spacing w:after="0" w:line="260"/>
            </w:pPr>
            <w:r>
              <w:rPr>
                <w:rFonts w:ascii="Calibri" w:cs="Calibri" w:eastAsia="Calibri" w:hAnsi="Calibri"/>
                <w:sz w:val="19"/>
                <w:szCs w:val="19"/>
              </w:rPr>
              <w:t xml:space="preserve">Esos valores aparecen en la copia de la planilla.</w:t>
            </w:r>
          </w:p>
        </w:tc>
      </w:tr>
      <w:tr>
        <w:tc>
          <w:tcPr>
            <w:tcW w:type="dxa" w:w="24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Recomendación</w:t>
            </w:r>
          </w:p>
        </w:tc>
        <w:tc>
          <w:tcPr>
            <w:tcW w:type="dxa" w:w="76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Desmarcada para el mes nuevo (los datos se cargan de cero). Márquela si necesita una copia idéntica para comparar o para respaldo.</w:t>
            </w:r>
          </w:p>
        </w:tc>
      </w:tr>
    </w:tbl>
    <w:p>
      <w:pPr>
        <w:pStyle w:val="Heading2"/>
        <w:spacing w:after="120" w:before="260"/>
      </w:pPr>
      <w:r>
        <w:rPr>
          <w:rFonts w:ascii="Calibri" w:cs="Calibri" w:eastAsia="Calibri" w:hAnsi="Calibri"/>
          <w:b/>
          <w:bCs/>
          <w:color w:val="2E5C9A"/>
          <w:sz w:val="25"/>
          <w:szCs w:val="25"/>
        </w:rPr>
        <w:t xml:space="preserve">5.7 Input mode in enabled sections — modo de entrada</w:t>
      </w:r>
    </w:p>
    <w:tbl>
      <w:tblPr>
        <w:tblW w:type="dxa" w:w="10080"/>
        <w:tblBorders>
          <w:top w:val="single" w:color="AAB7CE" w:sz="4"/>
          <w:left w:val="single" w:color="AAB7CE" w:sz="4"/>
          <w:bottom w:val="single" w:color="AAB7CE" w:sz="4"/>
          <w:right w:val="single" w:color="AAB7CE" w:sz="4"/>
          <w:insideH w:val="single" w:color="AAB7CE" w:sz="4"/>
          <w:insideV w:val="single" w:color="AAB7CE" w:sz="4"/>
        </w:tblBorders>
      </w:tblPr>
      <w:tblGrid>
        <w:gridCol w:w="2400"/>
        <w:gridCol w:w="7680"/>
      </w:tblGrid>
      <w:tr>
        <w:trPr>
          <w:tblHeader/>
        </w:trPr>
        <w:tc>
          <w:tcPr>
            <w:tcW w:type="dxa" w:w="2400"/>
            <w:shd w:fill="D9E1F2" w:color="auto" w:val="clear"/>
            <w:tcMar>
              <w:top w:type="dxa" w:w="80"/>
              <w:left w:type="dxa" w:w="110"/>
              <w:bottom w:type="dxa" w:w="80"/>
              <w:right w:type="dxa" w:w="110"/>
            </w:tcMar>
          </w:tcPr>
          <w:p>
            <w:pPr>
              <w:spacing w:after="0" w:line="260"/>
            </w:pPr>
            <w:r>
              <w:rPr>
                <w:rFonts w:ascii="Calibri" w:cs="Calibri" w:eastAsia="Calibri" w:hAnsi="Calibri"/>
                <w:b/>
                <w:bCs/>
                <w:color w:val="1F3864"/>
                <w:sz w:val="19"/>
                <w:szCs w:val="19"/>
              </w:rPr>
              <w:t xml:space="preserve">Aspecto</w:t>
            </w:r>
          </w:p>
        </w:tc>
        <w:tc>
          <w:tcPr>
            <w:tcW w:type="dxa" w:w="7680"/>
            <w:shd w:fill="D9E1F2" w:color="auto" w:val="clear"/>
            <w:tcMar>
              <w:top w:type="dxa" w:w="80"/>
              <w:left w:type="dxa" w:w="110"/>
              <w:bottom w:type="dxa" w:w="80"/>
              <w:right w:type="dxa" w:w="110"/>
            </w:tcMar>
          </w:tcPr>
          <w:p>
            <w:pPr>
              <w:spacing w:after="0" w:line="260"/>
            </w:pPr>
            <w:r>
              <w:rPr>
                <w:rFonts w:ascii="Calibri" w:cs="Calibri" w:eastAsia="Calibri" w:hAnsi="Calibri"/>
                <w:b/>
                <w:bCs/>
                <w:color w:val="1F3864"/>
                <w:sz w:val="19"/>
                <w:szCs w:val="19"/>
              </w:rPr>
              <w:t xml:space="preserve">Detalle</w:t>
            </w:r>
          </w:p>
        </w:tc>
      </w:tr>
      <w:tr>
        <w:tc>
          <w:tcPr>
            <w:tcW w:type="dxa" w:w="2400"/>
            <w:tcMar>
              <w:top w:type="dxa" w:w="80"/>
              <w:left w:type="dxa" w:w="110"/>
              <w:bottom w:type="dxa" w:w="80"/>
              <w:right w:type="dxa" w:w="110"/>
            </w:tcMar>
          </w:tcPr>
          <w:p>
            <w:pPr>
              <w:spacing w:after="0" w:line="260"/>
            </w:pPr>
            <w:r>
              <w:rPr>
                <w:rFonts w:ascii="Calibri" w:cs="Calibri" w:eastAsia="Calibri" w:hAnsi="Calibri"/>
                <w:sz w:val="19"/>
                <w:szCs w:val="19"/>
              </w:rPr>
              <w:t xml:space="preserve">Por defecto</w:t>
            </w:r>
          </w:p>
        </w:tc>
        <w:tc>
          <w:tcPr>
            <w:tcW w:type="dxa" w:w="7680"/>
            <w:tcMar>
              <w:top w:type="dxa" w:w="80"/>
              <w:left w:type="dxa" w:w="110"/>
              <w:bottom w:type="dxa" w:w="80"/>
              <w:right w:type="dxa" w:w="110"/>
            </w:tcMar>
          </w:tcPr>
          <w:p>
            <w:pPr>
              <w:spacing w:after="0" w:line="260"/>
            </w:pPr>
            <w:r>
              <w:rPr>
                <w:rFonts w:ascii="Calibri" w:cs="Calibri" w:eastAsia="Calibri" w:hAnsi="Calibri"/>
                <w:sz w:val="19"/>
                <w:szCs w:val="19"/>
              </w:rPr>
              <w:t xml:space="preserve">Desmarcada</w:t>
            </w:r>
          </w:p>
        </w:tc>
      </w:tr>
      <w:tr>
        <w:tc>
          <w:tcPr>
            <w:tcW w:type="dxa" w:w="24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Qué es</w:t>
            </w:r>
          </w:p>
        </w:tc>
        <w:tc>
          <w:tcPr>
            <w:tcW w:type="dxa" w:w="76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La configuración de Input Mode en las hojas donde está habilitado.</w:t>
            </w:r>
          </w:p>
        </w:tc>
      </w:tr>
      <w:tr>
        <w:tc>
          <w:tcPr>
            <w:tcW w:type="dxa" w:w="2400"/>
            <w:tcMar>
              <w:top w:type="dxa" w:w="80"/>
              <w:left w:type="dxa" w:w="110"/>
              <w:bottom w:type="dxa" w:w="80"/>
              <w:right w:type="dxa" w:w="110"/>
            </w:tcMar>
          </w:tcPr>
          <w:p>
            <w:pPr>
              <w:spacing w:after="0" w:line="260"/>
            </w:pPr>
            <w:r>
              <w:rPr>
                <w:rFonts w:ascii="Calibri" w:cs="Calibri" w:eastAsia="Calibri" w:hAnsi="Calibri"/>
                <w:sz w:val="19"/>
                <w:szCs w:val="19"/>
              </w:rPr>
              <w:t xml:space="preserve">Si la marca</w:t>
            </w:r>
          </w:p>
        </w:tc>
        <w:tc>
          <w:tcPr>
            <w:tcW w:type="dxa" w:w="7680"/>
            <w:tcMar>
              <w:top w:type="dxa" w:w="80"/>
              <w:left w:type="dxa" w:w="110"/>
              <w:bottom w:type="dxa" w:w="80"/>
              <w:right w:type="dxa" w:w="110"/>
            </w:tcMar>
          </w:tcPr>
          <w:p>
            <w:pPr>
              <w:spacing w:after="0" w:line="260"/>
            </w:pPr>
            <w:r>
              <w:rPr>
                <w:rFonts w:ascii="Calibri" w:cs="Calibri" w:eastAsia="Calibri" w:hAnsi="Calibri"/>
                <w:sz w:val="19"/>
                <w:szCs w:val="19"/>
              </w:rPr>
              <w:t xml:space="preserve">Las hojas que tenían Input Mode habilitado en el original lo mantienen habilitado en la copia.</w:t>
            </w:r>
          </w:p>
        </w:tc>
      </w:tr>
      <w:tr>
        <w:tc>
          <w:tcPr>
            <w:tcW w:type="dxa" w:w="24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Recomendación</w:t>
            </w:r>
          </w:p>
        </w:tc>
        <w:tc>
          <w:tcPr>
            <w:tcW w:type="dxa" w:w="76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Márquela si su equipo carga datos con Input Mode todos los meses: así no hay que volver a habilitarlo hoja por hoja.</w:t>
            </w:r>
          </w:p>
        </w:tc>
      </w:tr>
    </w:tbl>
    <w:p>
      <w:r>
        <w:br w:type="page"/>
      </w:r>
    </w:p>
    <w:p>
      <w:pPr>
        <w:pStyle w:val="Heading1"/>
        <w:pBdr>
          <w:bottom w:val="single" w:color="2E5C9A" w:sz="8" w:space="4"/>
        </w:pBdr>
        <w:spacing w:after="160" w:before="320"/>
      </w:pPr>
      <w:r>
        <w:rPr>
          <w:rFonts w:ascii="Calibri" w:cs="Calibri" w:eastAsia="Calibri" w:hAnsi="Calibri"/>
          <w:b/>
          <w:bCs/>
          <w:color w:val="1F3864"/>
          <w:sz w:val="30"/>
          <w:szCs w:val="30"/>
        </w:rPr>
        <w:t xml:space="preserve">6. Paso 5 — Links and Process References (la opción crítica)</w:t>
      </w:r>
    </w:p>
    <w:p>
      <w:pPr>
        <w:spacing w:after="120" w:line="276"/>
      </w:pPr>
      <w:r>
        <w:rPr>
          <w:rFonts w:ascii="Calibri" w:cs="Calibri" w:eastAsia="Calibri" w:hAnsi="Calibri"/>
          <w:sz w:val="21"/>
          <w:szCs w:val="21"/>
        </w:rPr>
        <w:t xml:space="preserve">Esta casilla viene marcada por defecto y controla de dónde tomarán sus datos los archivos copiados. Si copia un proceso, además determina si las acciones del proceso copiado conservan las referencias a archivos y secciones.</w:t>
      </w:r>
    </w:p>
    <w:p>
      <w:pPr>
        <w:spacing w:after="120" w:line="276"/>
      </w:pPr>
      <w:r>
        <w:rPr>
          <w:rFonts w:ascii="Calibri" w:cs="Calibri" w:eastAsia="Calibri" w:hAnsi="Calibri"/>
          <w:sz w:val="21"/>
          <w:szCs w:val="21"/>
        </w:rPr>
        <w:t xml:space="preserve">Al marcarla se habilita un desplegable con dos opciones. El valor por defecto es el primero:</w:t>
      </w:r>
    </w:p>
    <w:p>
      <w:pPr>
        <w:pStyle w:val="Heading2"/>
        <w:spacing w:after="120" w:before="260"/>
      </w:pPr>
      <w:r>
        <w:rPr>
          <w:rFonts w:ascii="Calibri" w:cs="Calibri" w:eastAsia="Calibri" w:hAnsi="Calibri"/>
          <w:b/>
          <w:bCs/>
          <w:color w:val="2E5C9A"/>
          <w:sz w:val="25"/>
          <w:szCs w:val="25"/>
        </w:rPr>
        <w:t xml:space="preserve">6.1 Create copies of all source files (valor por defecto)</w:t>
      </w:r>
    </w:p>
    <w:p>
      <w:pPr>
        <w:spacing w:after="120" w:line="276"/>
      </w:pPr>
      <w:r>
        <w:rPr>
          <w:rFonts w:ascii="Calibri" w:cs="Calibri" w:eastAsia="Calibri" w:hAnsi="Calibri"/>
          <w:sz w:val="21"/>
          <w:szCs w:val="21"/>
        </w:rPr>
        <w:t xml:space="preserve">Workiva copia también todos los archivos fuente que alimentan a su selección y reapunta los enlaces de la copia hacia esas nuevas fuentes. Queda un juego completo e independiente.</w:t>
      </w:r>
    </w:p>
    <w:p>
      <w:pPr>
        <w:pStyle w:val="ListParagraph"/>
        <w:numPr>
          <w:ilvl w:val="0"/>
          <w:numId w:val="3"/>
        </w:numPr>
        <w:spacing w:after="80" w:line="276"/>
      </w:pPr>
      <w:r>
        <w:rPr>
          <w:rFonts w:ascii="Calibri" w:cs="Calibri" w:eastAsia="Calibri" w:hAnsi="Calibri"/>
          <w:sz w:val="21"/>
          <w:szCs w:val="21"/>
        </w:rPr>
        <w:t xml:space="preserve">Ventaja: puede cambiar fechas y cifras del período nuevo sin tocar nada del período anterior.</w:t>
      </w:r>
    </w:p>
    <w:p>
      <w:pPr>
        <w:pStyle w:val="ListParagraph"/>
        <w:numPr>
          <w:ilvl w:val="0"/>
          <w:numId w:val="3"/>
        </w:numPr>
        <w:spacing w:after="80" w:line="276"/>
      </w:pPr>
      <w:r>
        <w:rPr>
          <w:rFonts w:ascii="Calibri" w:cs="Calibri" w:eastAsia="Calibri" w:hAnsi="Calibri"/>
          <w:sz w:val="21"/>
          <w:szCs w:val="21"/>
        </w:rPr>
        <w:t xml:space="preserve">Costo: se generan más archivos y la copia demora más.</w:t>
      </w:r>
    </w:p>
    <w:p>
      <w:pPr>
        <w:pStyle w:val="ListParagraph"/>
        <w:numPr>
          <w:ilvl w:val="0"/>
          <w:numId w:val="3"/>
        </w:numPr>
        <w:spacing w:after="80" w:line="276"/>
      </w:pPr>
      <w:r>
        <w:rPr>
          <w:rFonts w:ascii="Calibri" w:cs="Calibri" w:eastAsia="Calibri" w:hAnsi="Calibri"/>
          <w:sz w:val="21"/>
          <w:szCs w:val="21"/>
        </w:rPr>
        <w:t xml:space="preserve">Requisito: permiso sobre cada archivo fuente. El que no tenga, no se copia.</w:t>
      </w:r>
    </w:p>
    <w:p>
      <w:pPr>
        <w:spacing w:after="120" w:line="276"/>
      </w:pPr>
      <w:r>
        <w:rPr>
          <w:rFonts w:ascii="Calibri" w:cs="Calibri" w:eastAsia="Calibri" w:hAnsi="Calibri"/>
          <w:b/>
          <w:bCs/>
          <w:sz w:val="21"/>
          <w:szCs w:val="21"/>
        </w:rPr>
        <w:t xml:space="preserve">Úsela cuando: </w:t>
      </w:r>
      <w:r>
        <w:rPr>
          <w:rFonts w:ascii="Calibri" w:cs="Calibri" w:eastAsia="Calibri" w:hAnsi="Calibri"/>
          <w:sz w:val="21"/>
          <w:szCs w:val="21"/>
        </w:rPr>
        <w:t xml:space="preserve">está haciendo un roll forward completo, es decir, cuando las fuentes también son del período y deben duplicarse (bases mensuales, insumos que se rehacen cada mes).</w:t>
      </w:r>
    </w:p>
    <w:p>
      <w:pPr>
        <w:pStyle w:val="Heading2"/>
        <w:spacing w:after="120" w:before="260"/>
      </w:pPr>
      <w:r>
        <w:rPr>
          <w:rFonts w:ascii="Calibri" w:cs="Calibri" w:eastAsia="Calibri" w:hAnsi="Calibri"/>
          <w:b/>
          <w:bCs/>
          <w:color w:val="2E5C9A"/>
          <w:sz w:val="25"/>
          <w:szCs w:val="25"/>
        </w:rPr>
        <w:t xml:space="preserve">6.2 Keep links to original source files</w:t>
      </w:r>
    </w:p>
    <w:p>
      <w:pPr>
        <w:spacing w:after="120" w:line="276"/>
      </w:pPr>
      <w:r>
        <w:rPr>
          <w:rFonts w:ascii="Calibri" w:cs="Calibri" w:eastAsia="Calibri" w:hAnsi="Calibri"/>
          <w:sz w:val="21"/>
          <w:szCs w:val="21"/>
        </w:rPr>
        <w:t xml:space="preserve">Al elegir esta opción, Workiva muestra el aviso: “Won't create new copies of any linked source files”. Es decir, no se duplica ninguna fuente: los archivos nuevos quedan enlazados a las fuentes originales y siguen leyendo de ellas.</w:t>
      </w:r>
    </w:p>
    <w:p>
      <w:pPr>
        <w:pStyle w:val="ListParagraph"/>
        <w:numPr>
          <w:ilvl w:val="0"/>
          <w:numId w:val="3"/>
        </w:numPr>
        <w:spacing w:after="80" w:line="276"/>
      </w:pPr>
      <w:r>
        <w:rPr>
          <w:rFonts w:ascii="Calibri" w:cs="Calibri" w:eastAsia="Calibri" w:hAnsi="Calibri"/>
          <w:sz w:val="21"/>
          <w:szCs w:val="21"/>
        </w:rPr>
        <w:t xml:space="preserve">Ventaja: no llena el workspace de duplicados y la copia queda leyendo la fuente única y oficial.</w:t>
      </w:r>
    </w:p>
    <w:p>
      <w:pPr>
        <w:pStyle w:val="ListParagraph"/>
        <w:numPr>
          <w:ilvl w:val="0"/>
          <w:numId w:val="3"/>
        </w:numPr>
        <w:spacing w:after="80" w:line="276"/>
      </w:pPr>
      <w:r>
        <w:rPr>
          <w:rFonts w:ascii="Calibri" w:cs="Calibri" w:eastAsia="Calibri" w:hAnsi="Calibri"/>
          <w:sz w:val="21"/>
          <w:szCs w:val="21"/>
        </w:rPr>
        <w:t xml:space="preserve">Riesgo: si esa fuente cambia, cambian también los datos de la copia — y si la fuente es la del mes anterior, el mes nuevo nace mostrando cifras viejas.</w:t>
      </w:r>
    </w:p>
    <w:p>
      <w:pPr>
        <w:spacing w:after="120" w:line="276"/>
      </w:pPr>
      <w:r>
        <w:rPr>
          <w:rFonts w:ascii="Calibri" w:cs="Calibri" w:eastAsia="Calibri" w:hAnsi="Calibri"/>
          <w:b/>
          <w:bCs/>
          <w:sz w:val="21"/>
          <w:szCs w:val="21"/>
        </w:rPr>
        <w:t xml:space="preserve">Úsela cuando: </w:t>
      </w:r>
      <w:r>
        <w:rPr>
          <w:rFonts w:ascii="Calibri" w:cs="Calibri" w:eastAsia="Calibri" w:hAnsi="Calibri"/>
          <w:sz w:val="21"/>
          <w:szCs w:val="21"/>
        </w:rPr>
        <w:t xml:space="preserve">las fuentes viven fuera de la carpeta que está copiando y son permanentes (una maestra de parámetros, un catálogo de cuentas, una base corporativa única), o cuando quiere replicar solo la estructura de reportes sin duplicar los datos de origen.</w:t>
      </w:r>
    </w:p>
    <w:p>
      <w:pPr>
        <w:spacing w:after="80"/>
      </w:pPr>
    </w:p>
    <w:tbl>
      <w:tblPr>
        <w:tblW w:type="dxa" w:w="10080"/>
        <w:tblBorders>
          <w:top w:val="single" w:color="9C1B1B" w:sz="4"/>
          <w:left w:val="single" w:color="9C1B1B" w:sz="24"/>
          <w:bottom w:val="single" w:color="9C1B1B" w:sz="4"/>
          <w:right w:val="single" w:color="9C1B1B" w:sz="4"/>
          <w:insideH w:val="none"/>
          <w:insideV w:val="none"/>
        </w:tblBorders>
      </w:tblPr>
      <w:tblGrid>
        <w:gridCol w:w="10080"/>
      </w:tblGrid>
      <w:tr>
        <w:tc>
          <w:tcPr>
            <w:tcW w:type="dxa" w:w="10080"/>
            <w:shd w:fill="FBFCFE" w:color="auto" w:val="clear"/>
            <w:tcMar>
              <w:top w:type="dxa" w:w="80"/>
              <w:left w:type="dxa" w:w="110"/>
              <w:bottom w:type="dxa" w:w="80"/>
              <w:right w:type="dxa" w:w="110"/>
            </w:tcMar>
          </w:tcPr>
          <w:p>
            <w:pPr>
              <w:spacing w:after="40"/>
            </w:pPr>
            <w:r>
              <w:rPr>
                <w:rFonts w:ascii="Calibri" w:cs="Calibri" w:eastAsia="Calibri" w:hAnsi="Calibri"/>
                <w:b/>
                <w:bCs/>
                <w:color w:val="9C1B1B"/>
                <w:sz w:val="20"/>
                <w:szCs w:val="20"/>
              </w:rPr>
              <w:t xml:space="preserve">La confusión más común</w:t>
            </w:r>
          </w:p>
          <w:p>
            <w:pPr>
              <w:spacing w:after="0" w:line="260"/>
            </w:pPr>
            <w:r>
              <w:rPr>
                <w:rFonts w:ascii="Calibri" w:cs="Calibri" w:eastAsia="Calibri" w:hAnsi="Calibri"/>
                <w:sz w:val="20"/>
                <w:szCs w:val="20"/>
              </w:rPr>
              <w:t xml:space="preserve">El desplegable siempre parte en "Create copies of all source files". Mucha gente lo pasa por alto y termina con una copia entera de las fuentes que no necesitaba, o al revés: quería duplicar todo y no revisó que alguien lo hubiera dejado en "Keep links". Deténgase en este desplegable en cada copia: es un segundo y es la diferencia entre un mes limpio y un mes que hay que rehacer.</w:t>
            </w:r>
          </w:p>
        </w:tc>
      </w:tr>
    </w:tbl>
    <w:p>
      <w:pPr>
        <w:spacing w:after="80"/>
      </w:pPr>
    </w:p>
    <w:tbl>
      <w:tblPr>
        <w:tblW w:type="dxa" w:w="10080"/>
        <w:tblBorders>
          <w:top w:val="single" w:color="AAB7CE" w:sz="4"/>
          <w:left w:val="single" w:color="AAB7CE" w:sz="4"/>
          <w:bottom w:val="single" w:color="AAB7CE" w:sz="4"/>
          <w:right w:val="single" w:color="AAB7CE" w:sz="4"/>
          <w:insideH w:val="single" w:color="AAB7CE" w:sz="4"/>
          <w:insideV w:val="single" w:color="AAB7CE" w:sz="4"/>
        </w:tblBorders>
      </w:tblPr>
      <w:tblGrid>
        <w:gridCol w:w="2900"/>
        <w:gridCol w:w="3600"/>
        <w:gridCol w:w="3580"/>
      </w:tblGrid>
      <w:tr>
        <w:trPr>
          <w:tblHeader/>
        </w:trPr>
        <w:tc>
          <w:tcPr>
            <w:tcW w:type="dxa" w:w="2900"/>
            <w:shd w:fill="D9E1F2" w:color="auto" w:val="clear"/>
            <w:tcMar>
              <w:top w:type="dxa" w:w="80"/>
              <w:left w:type="dxa" w:w="110"/>
              <w:bottom w:type="dxa" w:w="80"/>
              <w:right w:type="dxa" w:w="110"/>
            </w:tcMar>
          </w:tcPr>
          <w:p>
            <w:pPr>
              <w:spacing w:after="0" w:line="260"/>
            </w:pPr>
            <w:r>
              <w:rPr>
                <w:rFonts w:ascii="Calibri" w:cs="Calibri" w:eastAsia="Calibri" w:hAnsi="Calibri"/>
                <w:b/>
                <w:bCs/>
                <w:color w:val="1F3864"/>
                <w:sz w:val="19"/>
                <w:szCs w:val="19"/>
              </w:rPr>
              <w:t xml:space="preserve">Opción</w:t>
            </w:r>
          </w:p>
        </w:tc>
        <w:tc>
          <w:tcPr>
            <w:tcW w:type="dxa" w:w="3600"/>
            <w:shd w:fill="D9E1F2" w:color="auto" w:val="clear"/>
            <w:tcMar>
              <w:top w:type="dxa" w:w="80"/>
              <w:left w:type="dxa" w:w="110"/>
              <w:bottom w:type="dxa" w:w="80"/>
              <w:right w:type="dxa" w:w="110"/>
            </w:tcMar>
          </w:tcPr>
          <w:p>
            <w:pPr>
              <w:spacing w:after="0" w:line="260"/>
            </w:pPr>
            <w:r>
              <w:rPr>
                <w:rFonts w:ascii="Calibri" w:cs="Calibri" w:eastAsia="Calibri" w:hAnsi="Calibri"/>
                <w:b/>
                <w:bCs/>
                <w:color w:val="1F3864"/>
                <w:sz w:val="19"/>
                <w:szCs w:val="19"/>
              </w:rPr>
              <w:t xml:space="preserve">Qué pasa con las fuentes</w:t>
            </w:r>
          </w:p>
        </w:tc>
        <w:tc>
          <w:tcPr>
            <w:tcW w:type="dxa" w:w="3580"/>
            <w:shd w:fill="D9E1F2" w:color="auto" w:val="clear"/>
            <w:tcMar>
              <w:top w:type="dxa" w:w="80"/>
              <w:left w:type="dxa" w:w="110"/>
              <w:bottom w:type="dxa" w:w="80"/>
              <w:right w:type="dxa" w:w="110"/>
            </w:tcMar>
          </w:tcPr>
          <w:p>
            <w:pPr>
              <w:spacing w:after="0" w:line="260"/>
            </w:pPr>
            <w:r>
              <w:rPr>
                <w:rFonts w:ascii="Calibri" w:cs="Calibri" w:eastAsia="Calibri" w:hAnsi="Calibri"/>
                <w:b/>
                <w:bCs/>
                <w:color w:val="1F3864"/>
                <w:sz w:val="19"/>
                <w:szCs w:val="19"/>
              </w:rPr>
              <w:t xml:space="preserve">Cuándo elegirla</w:t>
            </w:r>
          </w:p>
        </w:tc>
      </w:tr>
      <w:tr>
        <w:tc>
          <w:tcPr>
            <w:tcW w:type="dxa" w:w="2900"/>
            <w:tcMar>
              <w:top w:type="dxa" w:w="80"/>
              <w:left w:type="dxa" w:w="110"/>
              <w:bottom w:type="dxa" w:w="80"/>
              <w:right w:type="dxa" w:w="110"/>
            </w:tcMar>
          </w:tcPr>
          <w:p>
            <w:pPr>
              <w:spacing w:after="0" w:line="260"/>
            </w:pPr>
            <w:r>
              <w:rPr>
                <w:rFonts w:ascii="Calibri" w:cs="Calibri" w:eastAsia="Calibri" w:hAnsi="Calibri"/>
                <w:sz w:val="19"/>
                <w:szCs w:val="19"/>
              </w:rPr>
              <w:t xml:space="preserve">Create copies of all source files (por defecto)</w:t>
            </w:r>
          </w:p>
        </w:tc>
        <w:tc>
          <w:tcPr>
            <w:tcW w:type="dxa" w:w="3600"/>
            <w:tcMar>
              <w:top w:type="dxa" w:w="80"/>
              <w:left w:type="dxa" w:w="110"/>
              <w:bottom w:type="dxa" w:w="80"/>
              <w:right w:type="dxa" w:w="110"/>
            </w:tcMar>
          </w:tcPr>
          <w:p>
            <w:pPr>
              <w:spacing w:after="0" w:line="260"/>
            </w:pPr>
            <w:r>
              <w:rPr>
                <w:rFonts w:ascii="Calibri" w:cs="Calibri" w:eastAsia="Calibri" w:hAnsi="Calibri"/>
                <w:sz w:val="19"/>
                <w:szCs w:val="19"/>
              </w:rPr>
              <w:t xml:space="preserve">Se duplican y la copia se enlaza a los duplicados nuevos.</w:t>
            </w:r>
          </w:p>
        </w:tc>
        <w:tc>
          <w:tcPr>
            <w:tcW w:type="dxa" w:w="3580"/>
            <w:tcMar>
              <w:top w:type="dxa" w:w="80"/>
              <w:left w:type="dxa" w:w="110"/>
              <w:bottom w:type="dxa" w:w="80"/>
              <w:right w:type="dxa" w:w="110"/>
            </w:tcMar>
          </w:tcPr>
          <w:p>
            <w:pPr>
              <w:spacing w:after="0" w:line="260"/>
            </w:pPr>
            <w:r>
              <w:rPr>
                <w:rFonts w:ascii="Calibri" w:cs="Calibri" w:eastAsia="Calibri" w:hAnsi="Calibri"/>
                <w:sz w:val="19"/>
                <w:szCs w:val="19"/>
              </w:rPr>
              <w:t xml:space="preserve">Roll forward de mes o de cierre: todo el juego avanza de período.</w:t>
            </w:r>
          </w:p>
        </w:tc>
      </w:tr>
      <w:tr>
        <w:tc>
          <w:tcPr>
            <w:tcW w:type="dxa" w:w="29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Keep links to original source files</w:t>
            </w:r>
          </w:p>
        </w:tc>
        <w:tc>
          <w:tcPr>
            <w:tcW w:type="dxa" w:w="36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No se duplica ninguna fuente; la copia lee de las originales.</w:t>
            </w:r>
          </w:p>
        </w:tc>
        <w:tc>
          <w:tcPr>
            <w:tcW w:type="dxa" w:w="35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Fuentes únicas y permanentes que están fuera de la carpeta copiada.</w:t>
            </w:r>
          </w:p>
        </w:tc>
      </w:tr>
    </w:tbl>
    <w:p>
      <w:pPr>
        <w:pStyle w:val="Heading2"/>
        <w:spacing w:after="120" w:before="260"/>
      </w:pPr>
      <w:r>
        <w:rPr>
          <w:rFonts w:ascii="Calibri" w:cs="Calibri" w:eastAsia="Calibri" w:hAnsi="Calibri"/>
          <w:b/>
          <w:bCs/>
          <w:color w:val="2E5C9A"/>
          <w:sz w:val="25"/>
          <w:szCs w:val="25"/>
        </w:rPr>
        <w:t xml:space="preserve">6.3 Smart links: las dos casillas que aparecen debajo</w:t>
      </w:r>
    </w:p>
    <w:p>
      <w:pPr>
        <w:spacing w:after="120" w:line="276"/>
      </w:pPr>
      <w:r>
        <w:rPr>
          <w:rFonts w:ascii="Calibri" w:cs="Calibri" w:eastAsia="Calibri" w:hAnsi="Calibri"/>
          <w:sz w:val="21"/>
          <w:szCs w:val="21"/>
        </w:rPr>
        <w:t xml:space="preserve">Cuando el desplegable está en “Create copies of all source files”, Workiva muestra la sección Smart links con dos casillas, ambas marcadas por defecto:</w:t>
      </w:r>
    </w:p>
    <w:p>
      <w:pPr>
        <w:pStyle w:val="Heading3"/>
        <w:spacing w:after="100" w:before="200"/>
      </w:pPr>
      <w:r>
        <w:rPr>
          <w:rFonts w:ascii="Calibri" w:cs="Calibri" w:eastAsia="Calibri" w:hAnsi="Calibri"/>
          <w:b/>
          <w:bCs/>
          <w:color w:val="333333"/>
          <w:sz w:val="22"/>
          <w:szCs w:val="22"/>
        </w:rPr>
        <w:t xml:space="preserve">Maintain managed destination links</w:t>
      </w:r>
    </w:p>
    <w:p>
      <w:pPr>
        <w:spacing w:after="120" w:line="276"/>
      </w:pPr>
      <w:r>
        <w:rPr>
          <w:rFonts w:ascii="Calibri" w:cs="Calibri" w:eastAsia="Calibri" w:hAnsi="Calibri"/>
          <w:sz w:val="21"/>
          <w:szCs w:val="21"/>
        </w:rPr>
        <w:t xml:space="preserve">Conserva en la copia los enlaces de destino administrados, es decir, la copia mantiene su condición de destino de los datos en lugar de quedar como texto suelto. Déjela marcada salvo que quiera romper deliberadamente esa cadena.</w:t>
      </w:r>
    </w:p>
    <w:p>
      <w:pPr>
        <w:pStyle w:val="Heading3"/>
        <w:spacing w:after="100" w:before="200"/>
      </w:pPr>
      <w:r>
        <w:rPr>
          <w:rFonts w:ascii="Calibri" w:cs="Calibri" w:eastAsia="Calibri" w:hAnsi="Calibri"/>
          <w:b/>
          <w:bCs/>
          <w:color w:val="333333"/>
          <w:sz w:val="22"/>
          <w:szCs w:val="22"/>
        </w:rPr>
        <w:t xml:space="preserve">Include metadata for all source smart links</w:t>
      </w:r>
    </w:p>
    <w:p>
      <w:pPr>
        <w:spacing w:after="120" w:line="276"/>
      </w:pPr>
      <w:r>
        <w:rPr>
          <w:rFonts w:ascii="Calibri" w:cs="Calibri" w:eastAsia="Calibri" w:hAnsi="Calibri"/>
          <w:sz w:val="21"/>
          <w:szCs w:val="21"/>
        </w:rPr>
        <w:t xml:space="preserve">Conserva los nombres y descripciones de los smart links de origen copiados. Sin esto, los enlaces siguen funcionando pero pierden las etiquetas con que el equipo los identifica, y rastrear de dónde viene un número se vuelve mucho más lento. Déjela marcada.</w:t>
      </w:r>
    </w:p>
    <w:p>
      <w:pPr>
        <w:pStyle w:val="Heading1"/>
        <w:pBdr>
          <w:bottom w:val="single" w:color="2E5C9A" w:sz="8" w:space="4"/>
        </w:pBdr>
        <w:spacing w:after="160" w:before="320"/>
      </w:pPr>
      <w:r>
        <w:rPr>
          <w:rFonts w:ascii="Calibri" w:cs="Calibri" w:eastAsia="Calibri" w:hAnsi="Calibri"/>
          <w:b/>
          <w:bCs/>
          <w:color w:val="1F3864"/>
          <w:sz w:val="30"/>
          <w:szCs w:val="30"/>
        </w:rPr>
        <w:t xml:space="preserve">7. Paso 6 — Connections</w:t>
      </w:r>
    </w:p>
    <w:p>
      <w:pPr>
        <w:spacing w:after="120" w:line="276"/>
      </w:pPr>
      <w:r>
        <w:rPr>
          <w:rFonts w:ascii="Calibri" w:cs="Calibri" w:eastAsia="Calibri" w:hAnsi="Calibri"/>
          <w:sz w:val="21"/>
          <w:szCs w:val="21"/>
        </w:rPr>
        <w:t xml:space="preserve">La casilla Connections viene marcada por defecto y trae su propio desplegable. Cubre las conexiones entre consultas y tablas de Wdata, reportes y hojas de cálculo.</w:t>
      </w:r>
    </w:p>
    <w:tbl>
      <w:tblPr>
        <w:tblW w:type="dxa" w:w="10080"/>
        <w:tblBorders>
          <w:top w:val="single" w:color="AAB7CE" w:sz="4"/>
          <w:left w:val="single" w:color="AAB7CE" w:sz="4"/>
          <w:bottom w:val="single" w:color="AAB7CE" w:sz="4"/>
          <w:right w:val="single" w:color="AAB7CE" w:sz="4"/>
          <w:insideH w:val="single" w:color="AAB7CE" w:sz="4"/>
          <w:insideV w:val="single" w:color="AAB7CE" w:sz="4"/>
        </w:tblBorders>
      </w:tblPr>
      <w:tblGrid>
        <w:gridCol w:w="3200"/>
        <w:gridCol w:w="6880"/>
      </w:tblGrid>
      <w:tr>
        <w:trPr>
          <w:tblHeader/>
        </w:trPr>
        <w:tc>
          <w:tcPr>
            <w:tcW w:type="dxa" w:w="3200"/>
            <w:shd w:fill="D9E1F2" w:color="auto" w:val="clear"/>
            <w:tcMar>
              <w:top w:type="dxa" w:w="80"/>
              <w:left w:type="dxa" w:w="110"/>
              <w:bottom w:type="dxa" w:w="80"/>
              <w:right w:type="dxa" w:w="110"/>
            </w:tcMar>
          </w:tcPr>
          <w:p>
            <w:pPr>
              <w:spacing w:after="0" w:line="260"/>
            </w:pPr>
            <w:r>
              <w:rPr>
                <w:rFonts w:ascii="Calibri" w:cs="Calibri" w:eastAsia="Calibri" w:hAnsi="Calibri"/>
                <w:b/>
                <w:bCs/>
                <w:color w:val="1F3864"/>
                <w:sz w:val="19"/>
                <w:szCs w:val="19"/>
              </w:rPr>
              <w:t xml:space="preserve">Opción del desplegable</w:t>
            </w:r>
          </w:p>
        </w:tc>
        <w:tc>
          <w:tcPr>
            <w:tcW w:type="dxa" w:w="6880"/>
            <w:shd w:fill="D9E1F2" w:color="auto" w:val="clear"/>
            <w:tcMar>
              <w:top w:type="dxa" w:w="80"/>
              <w:left w:type="dxa" w:w="110"/>
              <w:bottom w:type="dxa" w:w="80"/>
              <w:right w:type="dxa" w:w="110"/>
            </w:tcMar>
          </w:tcPr>
          <w:p>
            <w:pPr>
              <w:spacing w:after="0" w:line="260"/>
            </w:pPr>
            <w:r>
              <w:rPr>
                <w:rFonts w:ascii="Calibri" w:cs="Calibri" w:eastAsia="Calibri" w:hAnsi="Calibri"/>
                <w:b/>
                <w:bCs/>
                <w:color w:val="1F3864"/>
                <w:sz w:val="19"/>
                <w:szCs w:val="19"/>
              </w:rPr>
              <w:t xml:space="preserve">Qué incluye</w:t>
            </w:r>
          </w:p>
        </w:tc>
      </w:tr>
      <w:tr>
        <w:tc>
          <w:tcPr>
            <w:tcW w:type="dxa" w:w="3200"/>
            <w:tcMar>
              <w:top w:type="dxa" w:w="80"/>
              <w:left w:type="dxa" w:w="110"/>
              <w:bottom w:type="dxa" w:w="80"/>
              <w:right w:type="dxa" w:w="110"/>
            </w:tcMar>
          </w:tcPr>
          <w:p>
            <w:pPr>
              <w:spacing w:after="0" w:line="260"/>
            </w:pPr>
            <w:r>
              <w:rPr>
                <w:rFonts w:ascii="Calibri" w:cs="Calibri" w:eastAsia="Calibri" w:hAnsi="Calibri"/>
                <w:sz w:val="19"/>
                <w:szCs w:val="19"/>
              </w:rPr>
              <w:t xml:space="preserve">Incoming and outgoing connections (por defecto)</w:t>
            </w:r>
          </w:p>
        </w:tc>
        <w:tc>
          <w:tcPr>
            <w:tcW w:type="dxa" w:w="6880"/>
            <w:tcMar>
              <w:top w:type="dxa" w:w="80"/>
              <w:left w:type="dxa" w:w="110"/>
              <w:bottom w:type="dxa" w:w="80"/>
              <w:right w:type="dxa" w:w="110"/>
            </w:tcMar>
          </w:tcPr>
          <w:p>
            <w:pPr>
              <w:spacing w:after="0" w:line="260"/>
            </w:pPr>
            <w:r>
              <w:rPr>
                <w:rFonts w:ascii="Calibri" w:cs="Calibri" w:eastAsia="Calibri" w:hAnsi="Calibri"/>
                <w:sz w:val="19"/>
                <w:szCs w:val="19"/>
              </w:rPr>
              <w:t xml:space="preserve">Ambos sentidos: lo que entra desde reportes, consultas Wdata y hojas, y lo que sale hacia tablas Wdata y hojas. Las conexiones salientes hacia hojas que no estén incluidas en la copia se ignoran.</w:t>
            </w:r>
          </w:p>
        </w:tc>
      </w:tr>
      <w:tr>
        <w:tc>
          <w:tcPr>
            <w:tcW w:type="dxa" w:w="32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Only incoming connections</w:t>
            </w:r>
          </w:p>
        </w:tc>
        <w:tc>
          <w:tcPr>
            <w:tcW w:type="dxa" w:w="68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Solo lo que entra: conexiones desde reportes, consultas Wdata y hojas.</w:t>
            </w:r>
          </w:p>
        </w:tc>
      </w:tr>
      <w:tr>
        <w:tc>
          <w:tcPr>
            <w:tcW w:type="dxa" w:w="3200"/>
            <w:tcMar>
              <w:top w:type="dxa" w:w="80"/>
              <w:left w:type="dxa" w:w="110"/>
              <w:bottom w:type="dxa" w:w="80"/>
              <w:right w:type="dxa" w:w="110"/>
            </w:tcMar>
          </w:tcPr>
          <w:p>
            <w:pPr>
              <w:spacing w:after="0" w:line="260"/>
            </w:pPr>
            <w:r>
              <w:rPr>
                <w:rFonts w:ascii="Calibri" w:cs="Calibri" w:eastAsia="Calibri" w:hAnsi="Calibri"/>
                <w:sz w:val="19"/>
                <w:szCs w:val="19"/>
              </w:rPr>
              <w:t xml:space="preserve">Only outgoing connections</w:t>
            </w:r>
          </w:p>
        </w:tc>
        <w:tc>
          <w:tcPr>
            <w:tcW w:type="dxa" w:w="6880"/>
            <w:tcMar>
              <w:top w:type="dxa" w:w="80"/>
              <w:left w:type="dxa" w:w="110"/>
              <w:bottom w:type="dxa" w:w="80"/>
              <w:right w:type="dxa" w:w="110"/>
            </w:tcMar>
          </w:tcPr>
          <w:p>
            <w:pPr>
              <w:spacing w:after="0" w:line="260"/>
            </w:pPr>
            <w:r>
              <w:rPr>
                <w:rFonts w:ascii="Calibri" w:cs="Calibri" w:eastAsia="Calibri" w:hAnsi="Calibri"/>
                <w:sz w:val="19"/>
                <w:szCs w:val="19"/>
              </w:rPr>
              <w:t xml:space="preserve">Solo lo que sale: conexiones hacia tablas Wdata y hojas.</w:t>
            </w:r>
          </w:p>
        </w:tc>
      </w:tr>
    </w:tbl>
    <w:p>
      <w:pPr>
        <w:spacing w:after="120" w:line="276"/>
      </w:pPr>
      <w:r>
        <w:rPr>
          <w:rFonts w:ascii="Calibri" w:cs="Calibri" w:eastAsia="Calibri" w:hAnsi="Calibri"/>
          <w:sz w:val="21"/>
          <w:szCs w:val="21"/>
        </w:rPr>
        <w:t xml:space="preserve">Recomendación: dejar la casilla marcada con “Incoming and outgoing connections”, que es lo que replica el comportamiento completo del período anterior.</w:t>
      </w:r>
    </w:p>
    <w:p>
      <w:pPr>
        <w:spacing w:after="60"/>
      </w:pPr>
    </w:p>
    <w:tbl>
      <w:tblPr>
        <w:tblW w:type="dxa" w:w="10080"/>
        <w:tblBorders>
          <w:top w:val="single" w:color="2E5C9A" w:sz="4"/>
          <w:left w:val="single" w:color="2E5C9A" w:sz="24"/>
          <w:bottom w:val="single" w:color="2E5C9A" w:sz="4"/>
          <w:right w:val="single" w:color="2E5C9A" w:sz="4"/>
          <w:insideH w:val="none"/>
          <w:insideV w:val="none"/>
        </w:tblBorders>
      </w:tblPr>
      <w:tblGrid>
        <w:gridCol w:w="10080"/>
      </w:tblGrid>
      <w:tr>
        <w:tc>
          <w:tcPr>
            <w:tcW w:type="dxa" w:w="10080"/>
            <w:shd w:fill="FBFCFE" w:color="auto" w:val="clear"/>
            <w:tcMar>
              <w:top w:type="dxa" w:w="80"/>
              <w:left w:type="dxa" w:w="110"/>
              <w:bottom w:type="dxa" w:w="80"/>
              <w:right w:type="dxa" w:w="110"/>
            </w:tcMar>
          </w:tcPr>
          <w:p>
            <w:pPr>
              <w:spacing w:after="40"/>
            </w:pPr>
            <w:r>
              <w:rPr>
                <w:rFonts w:ascii="Calibri" w:cs="Calibri" w:eastAsia="Calibri" w:hAnsi="Calibri"/>
                <w:b/>
                <w:bCs/>
                <w:color w:val="2E5C9A"/>
                <w:sz w:val="20"/>
                <w:szCs w:val="20"/>
              </w:rPr>
              <w:t xml:space="preserve">Detalle fino al copiar carpetas con placeholders</w:t>
            </w:r>
          </w:p>
          <w:p>
            <w:pPr>
              <w:spacing w:after="0" w:line="260"/>
            </w:pPr>
            <w:r>
              <w:rPr>
                <w:rFonts w:ascii="Calibri" w:cs="Calibri" w:eastAsia="Calibri" w:hAnsi="Calibri"/>
                <w:sz w:val="20"/>
                <w:szCs w:val="20"/>
              </w:rPr>
              <w:t xml:space="preserve">Si copia una carpeta que contiene archivos con placeholders, las conexiones solo se actualizan cuando la planilla del placeholder también está dentro de la carpeta copiada. Si esa planilla quedó fuera, las conexiones del placeholder no se modifican y siguen apuntando al origen original.</w:t>
            </w:r>
          </w:p>
        </w:tc>
      </w:tr>
    </w:tbl>
    <w:p>
      <w:pPr>
        <w:pStyle w:val="Heading1"/>
        <w:pBdr>
          <w:bottom w:val="single" w:color="2E5C9A" w:sz="8" w:space="4"/>
        </w:pBdr>
        <w:spacing w:after="160" w:before="320"/>
      </w:pPr>
      <w:r>
        <w:rPr>
          <w:rFonts w:ascii="Calibri" w:cs="Calibri" w:eastAsia="Calibri" w:hAnsi="Calibri"/>
          <w:b/>
          <w:bCs/>
          <w:color w:val="1F3864"/>
          <w:sz w:val="30"/>
          <w:szCs w:val="30"/>
        </w:rPr>
        <w:t xml:space="preserve">8. Paso 7 — Location Settings: nombre y ubicación</w:t>
      </w:r>
    </w:p>
    <w:p>
      <w:pPr>
        <w:spacing w:after="120" w:line="276"/>
      </w:pPr>
      <w:r>
        <w:rPr>
          <w:rFonts w:ascii="Calibri" w:cs="Calibri" w:eastAsia="Calibri" w:hAnsi="Calibri"/>
          <w:sz w:val="21"/>
          <w:szCs w:val="21"/>
        </w:rPr>
        <w:t xml:space="preserve">Al final de la ventana, bajo Location Settings, hay dos campos:</w:t>
      </w:r>
    </w:p>
    <w:tbl>
      <w:tblPr>
        <w:tblW w:type="dxa" w:w="10080"/>
        <w:tblBorders>
          <w:top w:val="single" w:color="AAB7CE" w:sz="4"/>
          <w:left w:val="single" w:color="AAB7CE" w:sz="4"/>
          <w:bottom w:val="single" w:color="AAB7CE" w:sz="4"/>
          <w:right w:val="single" w:color="AAB7CE" w:sz="4"/>
          <w:insideH w:val="single" w:color="AAB7CE" w:sz="4"/>
          <w:insideV w:val="single" w:color="AAB7CE" w:sz="4"/>
        </w:tblBorders>
      </w:tblPr>
      <w:tblGrid>
        <w:gridCol w:w="2800"/>
        <w:gridCol w:w="7280"/>
      </w:tblGrid>
      <w:tr>
        <w:trPr>
          <w:tblHeader/>
        </w:trPr>
        <w:tc>
          <w:tcPr>
            <w:tcW w:type="dxa" w:w="2800"/>
            <w:shd w:fill="D9E1F2" w:color="auto" w:val="clear"/>
            <w:tcMar>
              <w:top w:type="dxa" w:w="80"/>
              <w:left w:type="dxa" w:w="110"/>
              <w:bottom w:type="dxa" w:w="80"/>
              <w:right w:type="dxa" w:w="110"/>
            </w:tcMar>
          </w:tcPr>
          <w:p>
            <w:pPr>
              <w:spacing w:after="0" w:line="260"/>
            </w:pPr>
            <w:r>
              <w:rPr>
                <w:rFonts w:ascii="Calibri" w:cs="Calibri" w:eastAsia="Calibri" w:hAnsi="Calibri"/>
                <w:b/>
                <w:bCs/>
                <w:color w:val="1F3864"/>
                <w:sz w:val="19"/>
                <w:szCs w:val="19"/>
              </w:rPr>
              <w:t xml:space="preserve">Campo</w:t>
            </w:r>
          </w:p>
        </w:tc>
        <w:tc>
          <w:tcPr>
            <w:tcW w:type="dxa" w:w="7280"/>
            <w:shd w:fill="D9E1F2" w:color="auto" w:val="clear"/>
            <w:tcMar>
              <w:top w:type="dxa" w:w="80"/>
              <w:left w:type="dxa" w:w="110"/>
              <w:bottom w:type="dxa" w:w="80"/>
              <w:right w:type="dxa" w:w="110"/>
            </w:tcMar>
          </w:tcPr>
          <w:p>
            <w:pPr>
              <w:spacing w:after="0" w:line="260"/>
            </w:pPr>
            <w:r>
              <w:rPr>
                <w:rFonts w:ascii="Calibri" w:cs="Calibri" w:eastAsia="Calibri" w:hAnsi="Calibri"/>
                <w:b/>
                <w:bCs/>
                <w:color w:val="1F3864"/>
                <w:sz w:val="19"/>
                <w:szCs w:val="19"/>
              </w:rPr>
              <w:t xml:space="preserve">Qué poner</w:t>
            </w:r>
          </w:p>
        </w:tc>
      </w:tr>
      <w:tr>
        <w:tc>
          <w:tcPr>
            <w:tcW w:type="dxa" w:w="2800"/>
            <w:tcMar>
              <w:top w:type="dxa" w:w="80"/>
              <w:left w:type="dxa" w:w="110"/>
              <w:bottom w:type="dxa" w:w="80"/>
              <w:right w:type="dxa" w:w="110"/>
            </w:tcMar>
          </w:tcPr>
          <w:p>
            <w:pPr>
              <w:spacing w:after="0" w:line="260"/>
            </w:pPr>
            <w:r>
              <w:rPr>
                <w:rFonts w:ascii="Calibri" w:cs="Calibri" w:eastAsia="Calibri" w:hAnsi="Calibri"/>
                <w:sz w:val="19"/>
                <w:szCs w:val="19"/>
              </w:rPr>
              <w:t xml:space="preserve">New Folder Name (obligatorio, marcado con asterisco rojo)</w:t>
            </w:r>
          </w:p>
        </w:tc>
        <w:tc>
          <w:tcPr>
            <w:tcW w:type="dxa" w:w="7280"/>
            <w:tcMar>
              <w:top w:type="dxa" w:w="80"/>
              <w:left w:type="dxa" w:w="110"/>
              <w:bottom w:type="dxa" w:w="80"/>
              <w:right w:type="dxa" w:w="110"/>
            </w:tcMar>
          </w:tcPr>
          <w:p>
            <w:pPr>
              <w:spacing w:after="0" w:line="260"/>
            </w:pPr>
            <w:r>
              <w:rPr>
                <w:rFonts w:ascii="Calibri" w:cs="Calibri" w:eastAsia="Calibri" w:hAnsi="Calibri"/>
                <w:sz w:val="19"/>
                <w:szCs w:val="19"/>
              </w:rPr>
              <w:t xml:space="preserve">El nombre de la carpeta nueva. Workiva propone el nombre de la carpeta original (por ejemplo “08 Agosto 2026”): cámbielo aquí mismo por el del período nuevo, “09 Septiembre 2026”. Si copia un archivo, este campo se llama New File Name.</w:t>
            </w:r>
          </w:p>
        </w:tc>
      </w:tr>
      <w:tr>
        <w:tc>
          <w:tcPr>
            <w:tcW w:type="dxa" w:w="28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Location</w:t>
            </w:r>
          </w:p>
        </w:tc>
        <w:tc>
          <w:tcPr>
            <w:tcW w:type="dxa" w:w="72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La carpeta donde quedará la copia. Para la copia mensual, seleccione la carpeta del año (por ejemplo 2026), no la carpeta del mes; si elige el mes, la copia queda anidada dentro del mes anterior.</w:t>
            </w:r>
          </w:p>
        </w:tc>
      </w:tr>
    </w:tbl>
    <w:p>
      <w:pPr>
        <w:spacing w:after="60"/>
      </w:pPr>
    </w:p>
    <w:tbl>
      <w:tblPr>
        <w:tblW w:type="dxa" w:w="10080"/>
        <w:tblBorders>
          <w:top w:val="single" w:color="2E5C9A" w:sz="4"/>
          <w:left w:val="single" w:color="2E5C9A" w:sz="24"/>
          <w:bottom w:val="single" w:color="2E5C9A" w:sz="4"/>
          <w:right w:val="single" w:color="2E5C9A" w:sz="4"/>
          <w:insideH w:val="none"/>
          <w:insideV w:val="none"/>
        </w:tblBorders>
      </w:tblPr>
      <w:tblGrid>
        <w:gridCol w:w="10080"/>
      </w:tblGrid>
      <w:tr>
        <w:tc>
          <w:tcPr>
            <w:tcW w:type="dxa" w:w="10080"/>
            <w:shd w:fill="FBFCFE" w:color="auto" w:val="clear"/>
            <w:tcMar>
              <w:top w:type="dxa" w:w="80"/>
              <w:left w:type="dxa" w:w="110"/>
              <w:bottom w:type="dxa" w:w="80"/>
              <w:right w:type="dxa" w:w="110"/>
            </w:tcMar>
          </w:tcPr>
          <w:p>
            <w:pPr>
              <w:spacing w:after="40"/>
            </w:pPr>
            <w:r>
              <w:rPr>
                <w:rFonts w:ascii="Calibri" w:cs="Calibri" w:eastAsia="Calibri" w:hAnsi="Calibri"/>
                <w:b/>
                <w:bCs/>
                <w:color w:val="2E5C9A"/>
                <w:sz w:val="20"/>
                <w:szCs w:val="20"/>
              </w:rPr>
              <w:t xml:space="preserve">Renombre aquí, no después</w:t>
            </w:r>
          </w:p>
          <w:p>
            <w:pPr>
              <w:spacing w:after="0" w:line="260"/>
            </w:pPr>
            <w:r>
              <w:rPr>
                <w:rFonts w:ascii="Calibri" w:cs="Calibri" w:eastAsia="Calibri" w:hAnsi="Calibri"/>
                <w:sz w:val="20"/>
                <w:szCs w:val="20"/>
              </w:rPr>
              <w:t xml:space="preserve">Cambiar el nombre en este campo cuesta cinco segundos. Si deja el nombre por defecto y renombra después, durante ese rato hay dos carpetas iguales en el árbol y es exactamente el momento en que alguien abre la equivocada y trabaja sobre el mes anterior.</w:t>
            </w:r>
          </w:p>
        </w:tc>
      </w:tr>
    </w:tbl>
    <w:p>
      <w:pPr>
        <w:pStyle w:val="Heading1"/>
        <w:pBdr>
          <w:bottom w:val="single" w:color="2E5C9A" w:sz="8" w:space="4"/>
        </w:pBdr>
        <w:spacing w:after="160" w:before="320"/>
      </w:pPr>
      <w:r>
        <w:rPr>
          <w:rFonts w:ascii="Calibri" w:cs="Calibri" w:eastAsia="Calibri" w:hAnsi="Calibri"/>
          <w:b/>
          <w:bCs/>
          <w:color w:val="1F3864"/>
          <w:sz w:val="30"/>
          <w:szCs w:val="30"/>
        </w:rPr>
        <w:t xml:space="preserve">9. Paso 8 — Presionar Copy y qué pasa después</w:t>
      </w:r>
    </w:p>
    <w:p>
      <w:pPr>
        <w:pStyle w:val="ListParagraph"/>
        <w:numPr>
          <w:ilvl w:val="0"/>
          <w:numId w:val="4"/>
        </w:numPr>
        <w:spacing w:after="90" w:line="276"/>
      </w:pPr>
      <w:r>
        <w:rPr>
          <w:rFonts w:ascii="Calibri" w:cs="Calibri" w:eastAsia="Calibri" w:hAnsi="Calibri"/>
          <w:sz w:val="21"/>
          <w:szCs w:val="21"/>
        </w:rPr>
        <w:t xml:space="preserve">Presione el botón verde Copy. (Cancel descarta todo; Back vuelve a la lista de archivos sin perder lo configurado.)</w:t>
      </w:r>
    </w:p>
    <w:p>
      <w:pPr>
        <w:pStyle w:val="ListParagraph"/>
        <w:numPr>
          <w:ilvl w:val="0"/>
          <w:numId w:val="4"/>
        </w:numPr>
        <w:spacing w:after="90" w:line="276"/>
      </w:pPr>
      <w:r>
        <w:rPr>
          <w:rFonts w:ascii="Calibri" w:cs="Calibri" w:eastAsia="Calibri" w:hAnsi="Calibri"/>
          <w:sz w:val="21"/>
          <w:szCs w:val="21"/>
        </w:rPr>
        <w:t xml:space="preserve">La copia corre en segundo plano: puede seguir usando Workiva mientras tanto. En carpetas grandes puede tardar varios minutos.</w:t>
      </w:r>
    </w:p>
    <w:p>
      <w:pPr>
        <w:pStyle w:val="ListParagraph"/>
        <w:numPr>
          <w:ilvl w:val="0"/>
          <w:numId w:val="4"/>
        </w:numPr>
        <w:spacing w:after="90" w:line="276"/>
      </w:pPr>
      <w:r>
        <w:rPr>
          <w:rFonts w:ascii="Calibri" w:cs="Calibri" w:eastAsia="Calibri" w:hAnsi="Calibri"/>
          <w:sz w:val="21"/>
          <w:szCs w:val="21"/>
        </w:rPr>
        <w:t xml:space="preserve">Recibirá una notificación en la plataforma y un correo con el enlace a los archivos copiados.</w:t>
      </w:r>
    </w:p>
    <w:p>
      <w:pPr>
        <w:pStyle w:val="ListParagraph"/>
        <w:numPr>
          <w:ilvl w:val="0"/>
          <w:numId w:val="4"/>
        </w:numPr>
        <w:spacing w:after="90" w:line="276"/>
      </w:pPr>
      <w:r>
        <w:rPr>
          <w:rFonts w:ascii="Calibri" w:cs="Calibri" w:eastAsia="Calibri" w:hAnsi="Calibri"/>
          <w:sz w:val="21"/>
          <w:szCs w:val="21"/>
        </w:rPr>
        <w:t xml:space="preserve">Abra la carpeta nueva y ejecute el checklist del capítulo 11 antes de avisar al equipo que ya puede trabajar en ella.</w:t>
      </w:r>
    </w:p>
    <w:p>
      <w:pPr>
        <w:spacing w:after="60"/>
      </w:pPr>
    </w:p>
    <w:p>
      <w:pPr>
        <w:spacing w:after="120" w:line="276"/>
      </w:pPr>
      <w:r>
        <w:rPr>
          <w:rFonts w:ascii="Calibri" w:cs="Calibri" w:eastAsia="Calibri" w:hAnsi="Calibri"/>
          <w:i/>
          <w:iCs/>
          <w:sz w:val="21"/>
          <w:szCs w:val="21"/>
        </w:rPr>
        <w:t xml:space="preserve">Recuerde que, en toda copia, hay cosas que nunca viajan aunque no exista casilla para ellas: el historial de revisiones se reinicia, las tareas y el control de cambios no se copian, y los Filings quedan fuera. Los permisos, en cambio, sí se conservan dentro del mismo workspace.</w:t>
      </w:r>
    </w:p>
    <w:p>
      <w:r>
        <w:br w:type="page"/>
      </w:r>
    </w:p>
    <w:p>
      <w:pPr>
        <w:pStyle w:val="Heading1"/>
        <w:pBdr>
          <w:bottom w:val="single" w:color="2E5C9A" w:sz="8" w:space="4"/>
        </w:pBdr>
        <w:spacing w:after="160" w:before="320"/>
      </w:pPr>
      <w:r>
        <w:rPr>
          <w:rFonts w:ascii="Calibri" w:cs="Calibri" w:eastAsia="Calibri" w:hAnsi="Calibri"/>
          <w:b/>
          <w:bCs/>
          <w:color w:val="1F3864"/>
          <w:sz w:val="30"/>
          <w:szCs w:val="30"/>
        </w:rPr>
        <w:t xml:space="preserve">10. Configuración recomendada (hoja de referencia rápida)</w:t>
      </w:r>
    </w:p>
    <w:p>
      <w:pPr>
        <w:spacing w:after="120" w:line="276"/>
      </w:pPr>
      <w:r>
        <w:rPr>
          <w:rFonts w:ascii="Calibri" w:cs="Calibri" w:eastAsia="Calibri" w:hAnsi="Calibri"/>
          <w:sz w:val="21"/>
          <w:szCs w:val="21"/>
        </w:rPr>
        <w:t xml:space="preserve">Imprima esta página y téngala al lado. Columna “Mes nuevo”: copiar la carpeta del mes para trabajar el período siguiente. Columna “Respaldo”: copia de seguridad del mismo período, antes de un cambio grande.</w:t>
      </w:r>
    </w:p>
    <w:tbl>
      <w:tblPr>
        <w:tblW w:type="dxa" w:w="10080"/>
        <w:tblBorders>
          <w:top w:val="single" w:color="AAB7CE" w:sz="4"/>
          <w:left w:val="single" w:color="AAB7CE" w:sz="4"/>
          <w:bottom w:val="single" w:color="AAB7CE" w:sz="4"/>
          <w:right w:val="single" w:color="AAB7CE" w:sz="4"/>
          <w:insideH w:val="single" w:color="AAB7CE" w:sz="4"/>
          <w:insideV w:val="single" w:color="AAB7CE" w:sz="4"/>
        </w:tblBorders>
      </w:tblPr>
      <w:tblGrid>
        <w:gridCol w:w="3100"/>
        <w:gridCol w:w="1700"/>
        <w:gridCol w:w="1700"/>
        <w:gridCol w:w="3580"/>
      </w:tblGrid>
      <w:tr>
        <w:trPr>
          <w:tblHeader/>
        </w:trPr>
        <w:tc>
          <w:tcPr>
            <w:tcW w:type="dxa" w:w="3100"/>
            <w:shd w:fill="D9E1F2" w:color="auto" w:val="clear"/>
            <w:tcMar>
              <w:top w:type="dxa" w:w="80"/>
              <w:left w:type="dxa" w:w="110"/>
              <w:bottom w:type="dxa" w:w="80"/>
              <w:right w:type="dxa" w:w="110"/>
            </w:tcMar>
          </w:tcPr>
          <w:p>
            <w:pPr>
              <w:spacing w:after="0" w:line="260"/>
            </w:pPr>
            <w:r>
              <w:rPr>
                <w:rFonts w:ascii="Calibri" w:cs="Calibri" w:eastAsia="Calibri" w:hAnsi="Calibri"/>
                <w:b/>
                <w:bCs/>
                <w:color w:val="1F3864"/>
                <w:sz w:val="19"/>
                <w:szCs w:val="19"/>
              </w:rPr>
              <w:t xml:space="preserve">Opción en pantalla</w:t>
            </w:r>
          </w:p>
        </w:tc>
        <w:tc>
          <w:tcPr>
            <w:tcW w:type="dxa" w:w="1700"/>
            <w:shd w:fill="D9E1F2" w:color="auto" w:val="clear"/>
            <w:tcMar>
              <w:top w:type="dxa" w:w="80"/>
              <w:left w:type="dxa" w:w="110"/>
              <w:bottom w:type="dxa" w:w="80"/>
              <w:right w:type="dxa" w:w="110"/>
            </w:tcMar>
          </w:tcPr>
          <w:p>
            <w:pPr>
              <w:spacing w:after="0" w:line="260"/>
            </w:pPr>
            <w:r>
              <w:rPr>
                <w:rFonts w:ascii="Calibri" w:cs="Calibri" w:eastAsia="Calibri" w:hAnsi="Calibri"/>
                <w:b/>
                <w:bCs/>
                <w:color w:val="1F3864"/>
                <w:sz w:val="19"/>
                <w:szCs w:val="19"/>
              </w:rPr>
              <w:t xml:space="preserve">Por defecto</w:t>
            </w:r>
          </w:p>
        </w:tc>
        <w:tc>
          <w:tcPr>
            <w:tcW w:type="dxa" w:w="1700"/>
            <w:shd w:fill="D9E1F2" w:color="auto" w:val="clear"/>
            <w:tcMar>
              <w:top w:type="dxa" w:w="80"/>
              <w:left w:type="dxa" w:w="110"/>
              <w:bottom w:type="dxa" w:w="80"/>
              <w:right w:type="dxa" w:w="110"/>
            </w:tcMar>
          </w:tcPr>
          <w:p>
            <w:pPr>
              <w:spacing w:after="0" w:line="260"/>
            </w:pPr>
            <w:r>
              <w:rPr>
                <w:rFonts w:ascii="Calibri" w:cs="Calibri" w:eastAsia="Calibri" w:hAnsi="Calibri"/>
                <w:b/>
                <w:bCs/>
                <w:color w:val="1F3864"/>
                <w:sz w:val="19"/>
                <w:szCs w:val="19"/>
              </w:rPr>
              <w:t xml:space="preserve">Mes nuevo</w:t>
            </w:r>
          </w:p>
        </w:tc>
        <w:tc>
          <w:tcPr>
            <w:tcW w:type="dxa" w:w="3580"/>
            <w:shd w:fill="D9E1F2" w:color="auto" w:val="clear"/>
            <w:tcMar>
              <w:top w:type="dxa" w:w="80"/>
              <w:left w:type="dxa" w:w="110"/>
              <w:bottom w:type="dxa" w:w="80"/>
              <w:right w:type="dxa" w:w="110"/>
            </w:tcMar>
          </w:tcPr>
          <w:p>
            <w:pPr>
              <w:spacing w:after="0" w:line="260"/>
            </w:pPr>
            <w:r>
              <w:rPr>
                <w:rFonts w:ascii="Calibri" w:cs="Calibri" w:eastAsia="Calibri" w:hAnsi="Calibri"/>
                <w:b/>
                <w:bCs/>
                <w:color w:val="1F3864"/>
                <w:sz w:val="19"/>
                <w:szCs w:val="19"/>
              </w:rPr>
              <w:t xml:space="preserve">Respaldo</w:t>
            </w:r>
          </w:p>
        </w:tc>
      </w:tr>
      <w:tr>
        <w:tc>
          <w:tcPr>
            <w:tcW w:type="dxa" w:w="3100"/>
            <w:tcMar>
              <w:top w:type="dxa" w:w="80"/>
              <w:left w:type="dxa" w:w="110"/>
              <w:bottom w:type="dxa" w:w="80"/>
              <w:right w:type="dxa" w:w="110"/>
            </w:tcMar>
          </w:tcPr>
          <w:p>
            <w:pPr>
              <w:spacing w:after="0" w:line="260"/>
            </w:pPr>
            <w:r>
              <w:rPr>
                <w:rFonts w:ascii="Calibri" w:cs="Calibri" w:eastAsia="Calibri" w:hAnsi="Calibri"/>
                <w:sz w:val="19"/>
                <w:szCs w:val="19"/>
              </w:rPr>
              <w:t xml:space="preserve">All comments</w:t>
            </w:r>
          </w:p>
        </w:tc>
        <w:tc>
          <w:tcPr>
            <w:tcW w:type="dxa" w:w="1700"/>
            <w:tcMar>
              <w:top w:type="dxa" w:w="80"/>
              <w:left w:type="dxa" w:w="110"/>
              <w:bottom w:type="dxa" w:w="80"/>
              <w:right w:type="dxa" w:w="110"/>
            </w:tcMar>
          </w:tcPr>
          <w:p>
            <w:pPr>
              <w:spacing w:after="0" w:line="260"/>
            </w:pPr>
            <w:r>
              <w:rPr>
                <w:rFonts w:ascii="Calibri" w:cs="Calibri" w:eastAsia="Calibri" w:hAnsi="Calibri"/>
                <w:sz w:val="19"/>
                <w:szCs w:val="19"/>
              </w:rPr>
              <w:t xml:space="preserve">Desmarcada</w:t>
            </w:r>
          </w:p>
        </w:tc>
        <w:tc>
          <w:tcPr>
            <w:tcW w:type="dxa" w:w="1700"/>
            <w:tcMar>
              <w:top w:type="dxa" w:w="80"/>
              <w:left w:type="dxa" w:w="110"/>
              <w:bottom w:type="dxa" w:w="80"/>
              <w:right w:type="dxa" w:w="110"/>
            </w:tcMar>
          </w:tcPr>
          <w:p>
            <w:pPr>
              <w:spacing w:after="0" w:line="260"/>
            </w:pPr>
            <w:r>
              <w:rPr>
                <w:rFonts w:ascii="Calibri" w:cs="Calibri" w:eastAsia="Calibri" w:hAnsi="Calibri"/>
                <w:sz w:val="19"/>
                <w:szCs w:val="19"/>
              </w:rPr>
              <w:t xml:space="preserve">Desmarcada</w:t>
            </w:r>
          </w:p>
        </w:tc>
        <w:tc>
          <w:tcPr>
            <w:tcW w:type="dxa" w:w="3580"/>
            <w:tcMar>
              <w:top w:type="dxa" w:w="80"/>
              <w:left w:type="dxa" w:w="110"/>
              <w:bottom w:type="dxa" w:w="80"/>
              <w:right w:type="dxa" w:w="110"/>
            </w:tcMar>
          </w:tcPr>
          <w:p>
            <w:pPr>
              <w:spacing w:after="0" w:line="260"/>
            </w:pPr>
            <w:r>
              <w:rPr>
                <w:rFonts w:ascii="Calibri" w:cs="Calibri" w:eastAsia="Calibri" w:hAnsi="Calibri"/>
                <w:sz w:val="19"/>
                <w:szCs w:val="19"/>
              </w:rPr>
              <w:t xml:space="preserve">Marcada</w:t>
            </w:r>
          </w:p>
        </w:tc>
      </w:tr>
      <w:tr>
        <w:tc>
          <w:tcPr>
            <w:tcW w:type="dxa" w:w="31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Outline labels</w:t>
            </w:r>
          </w:p>
        </w:tc>
        <w:tc>
          <w:tcPr>
            <w:tcW w:type="dxa" w:w="17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Marcada</w:t>
            </w:r>
          </w:p>
        </w:tc>
        <w:tc>
          <w:tcPr>
            <w:tcW w:type="dxa" w:w="17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Desmarcada</w:t>
            </w:r>
          </w:p>
        </w:tc>
        <w:tc>
          <w:tcPr>
            <w:tcW w:type="dxa" w:w="35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Marcada</w:t>
            </w:r>
          </w:p>
        </w:tc>
      </w:tr>
      <w:tr>
        <w:tc>
          <w:tcPr>
            <w:tcW w:type="dxa" w:w="3100"/>
            <w:tcMar>
              <w:top w:type="dxa" w:w="80"/>
              <w:left w:type="dxa" w:w="110"/>
              <w:bottom w:type="dxa" w:w="80"/>
              <w:right w:type="dxa" w:w="110"/>
            </w:tcMar>
          </w:tcPr>
          <w:p>
            <w:pPr>
              <w:spacing w:after="0" w:line="260"/>
            </w:pPr>
            <w:r>
              <w:rPr>
                <w:rFonts w:ascii="Calibri" w:cs="Calibri" w:eastAsia="Calibri" w:hAnsi="Calibri"/>
                <w:sz w:val="19"/>
                <w:szCs w:val="19"/>
              </w:rPr>
              <w:t xml:space="preserve">Attachments</w:t>
            </w:r>
          </w:p>
        </w:tc>
        <w:tc>
          <w:tcPr>
            <w:tcW w:type="dxa" w:w="1700"/>
            <w:tcMar>
              <w:top w:type="dxa" w:w="80"/>
              <w:left w:type="dxa" w:w="110"/>
              <w:bottom w:type="dxa" w:w="80"/>
              <w:right w:type="dxa" w:w="110"/>
            </w:tcMar>
          </w:tcPr>
          <w:p>
            <w:pPr>
              <w:spacing w:after="0" w:line="260"/>
            </w:pPr>
            <w:r>
              <w:rPr>
                <w:rFonts w:ascii="Calibri" w:cs="Calibri" w:eastAsia="Calibri" w:hAnsi="Calibri"/>
                <w:sz w:val="19"/>
                <w:szCs w:val="19"/>
              </w:rPr>
              <w:t xml:space="preserve">Desmarcada</w:t>
            </w:r>
          </w:p>
        </w:tc>
        <w:tc>
          <w:tcPr>
            <w:tcW w:type="dxa" w:w="1700"/>
            <w:tcMar>
              <w:top w:type="dxa" w:w="80"/>
              <w:left w:type="dxa" w:w="110"/>
              <w:bottom w:type="dxa" w:w="80"/>
              <w:right w:type="dxa" w:w="110"/>
            </w:tcMar>
          </w:tcPr>
          <w:p>
            <w:pPr>
              <w:spacing w:after="0" w:line="260"/>
            </w:pPr>
            <w:r>
              <w:rPr>
                <w:rFonts w:ascii="Calibri" w:cs="Calibri" w:eastAsia="Calibri" w:hAnsi="Calibri"/>
                <w:sz w:val="19"/>
                <w:szCs w:val="19"/>
              </w:rPr>
              <w:t xml:space="preserve">Según el caso</w:t>
            </w:r>
          </w:p>
        </w:tc>
        <w:tc>
          <w:tcPr>
            <w:tcW w:type="dxa" w:w="3580"/>
            <w:tcMar>
              <w:top w:type="dxa" w:w="80"/>
              <w:left w:type="dxa" w:w="110"/>
              <w:bottom w:type="dxa" w:w="80"/>
              <w:right w:type="dxa" w:w="110"/>
            </w:tcMar>
          </w:tcPr>
          <w:p>
            <w:pPr>
              <w:spacing w:after="0" w:line="260"/>
            </w:pPr>
            <w:r>
              <w:rPr>
                <w:rFonts w:ascii="Calibri" w:cs="Calibri" w:eastAsia="Calibri" w:hAnsi="Calibri"/>
                <w:sz w:val="19"/>
                <w:szCs w:val="19"/>
              </w:rPr>
              <w:t xml:space="preserve">Marcada</w:t>
            </w:r>
          </w:p>
        </w:tc>
      </w:tr>
      <w:tr>
        <w:tc>
          <w:tcPr>
            <w:tcW w:type="dxa" w:w="31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Automations</w:t>
            </w:r>
          </w:p>
        </w:tc>
        <w:tc>
          <w:tcPr>
            <w:tcW w:type="dxa" w:w="17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Marcada</w:t>
            </w:r>
          </w:p>
        </w:tc>
        <w:tc>
          <w:tcPr>
            <w:tcW w:type="dxa" w:w="17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Marcada</w:t>
            </w:r>
          </w:p>
        </w:tc>
        <w:tc>
          <w:tcPr>
            <w:tcW w:type="dxa" w:w="35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Marcada</w:t>
            </w:r>
          </w:p>
        </w:tc>
      </w:tr>
      <w:tr>
        <w:tc>
          <w:tcPr>
            <w:tcW w:type="dxa" w:w="3100"/>
            <w:tcMar>
              <w:top w:type="dxa" w:w="80"/>
              <w:left w:type="dxa" w:w="110"/>
              <w:bottom w:type="dxa" w:w="80"/>
              <w:right w:type="dxa" w:w="110"/>
            </w:tcMar>
          </w:tcPr>
          <w:p>
            <w:pPr>
              <w:spacing w:after="0" w:line="260"/>
            </w:pPr>
            <w:r>
              <w:rPr>
                <w:rFonts w:ascii="Calibri" w:cs="Calibri" w:eastAsia="Calibri" w:hAnsi="Calibri"/>
                <w:sz w:val="19"/>
                <w:szCs w:val="19"/>
              </w:rPr>
              <w:t xml:space="preserve">Document Markup</w:t>
            </w:r>
          </w:p>
        </w:tc>
        <w:tc>
          <w:tcPr>
            <w:tcW w:type="dxa" w:w="1700"/>
            <w:tcMar>
              <w:top w:type="dxa" w:w="80"/>
              <w:left w:type="dxa" w:w="110"/>
              <w:bottom w:type="dxa" w:w="80"/>
              <w:right w:type="dxa" w:w="110"/>
            </w:tcMar>
          </w:tcPr>
          <w:p>
            <w:pPr>
              <w:spacing w:after="0" w:line="260"/>
            </w:pPr>
            <w:r>
              <w:rPr>
                <w:rFonts w:ascii="Calibri" w:cs="Calibri" w:eastAsia="Calibri" w:hAnsi="Calibri"/>
                <w:sz w:val="19"/>
                <w:szCs w:val="19"/>
              </w:rPr>
              <w:t xml:space="preserve">Desmarcada</w:t>
            </w:r>
          </w:p>
        </w:tc>
        <w:tc>
          <w:tcPr>
            <w:tcW w:type="dxa" w:w="1700"/>
            <w:tcMar>
              <w:top w:type="dxa" w:w="80"/>
              <w:left w:type="dxa" w:w="110"/>
              <w:bottom w:type="dxa" w:w="80"/>
              <w:right w:type="dxa" w:w="110"/>
            </w:tcMar>
          </w:tcPr>
          <w:p>
            <w:pPr>
              <w:spacing w:after="0" w:line="260"/>
            </w:pPr>
            <w:r>
              <w:rPr>
                <w:rFonts w:ascii="Calibri" w:cs="Calibri" w:eastAsia="Calibri" w:hAnsi="Calibri"/>
                <w:sz w:val="19"/>
                <w:szCs w:val="19"/>
              </w:rPr>
              <w:t xml:space="preserve">Desmarcada</w:t>
            </w:r>
          </w:p>
        </w:tc>
        <w:tc>
          <w:tcPr>
            <w:tcW w:type="dxa" w:w="3580"/>
            <w:tcMar>
              <w:top w:type="dxa" w:w="80"/>
              <w:left w:type="dxa" w:w="110"/>
              <w:bottom w:type="dxa" w:w="80"/>
              <w:right w:type="dxa" w:w="110"/>
            </w:tcMar>
          </w:tcPr>
          <w:p>
            <w:pPr>
              <w:spacing w:after="0" w:line="260"/>
            </w:pPr>
            <w:r>
              <w:rPr>
                <w:rFonts w:ascii="Calibri" w:cs="Calibri" w:eastAsia="Calibri" w:hAnsi="Calibri"/>
                <w:sz w:val="19"/>
                <w:szCs w:val="19"/>
              </w:rPr>
              <w:t xml:space="preserve">Marcada</w:t>
            </w:r>
          </w:p>
        </w:tc>
      </w:tr>
      <w:tr>
        <w:tc>
          <w:tcPr>
            <w:tcW w:type="dxa" w:w="31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Links and Process References</w:t>
            </w:r>
          </w:p>
        </w:tc>
        <w:tc>
          <w:tcPr>
            <w:tcW w:type="dxa" w:w="17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Marcada</w:t>
            </w:r>
          </w:p>
        </w:tc>
        <w:tc>
          <w:tcPr>
            <w:tcW w:type="dxa" w:w="17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Marcada</w:t>
            </w:r>
          </w:p>
        </w:tc>
        <w:tc>
          <w:tcPr>
            <w:tcW w:type="dxa" w:w="35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Marcada</w:t>
            </w:r>
          </w:p>
        </w:tc>
      </w:tr>
      <w:tr>
        <w:tc>
          <w:tcPr>
            <w:tcW w:type="dxa" w:w="3100"/>
            <w:tcMar>
              <w:top w:type="dxa" w:w="80"/>
              <w:left w:type="dxa" w:w="110"/>
              <w:bottom w:type="dxa" w:w="80"/>
              <w:right w:type="dxa" w:w="110"/>
            </w:tcMar>
          </w:tcPr>
          <w:p>
            <w:pPr>
              <w:spacing w:after="0" w:line="260"/>
            </w:pPr>
            <w:r>
              <w:rPr>
                <w:rFonts w:ascii="Calibri" w:cs="Calibri" w:eastAsia="Calibri" w:hAnsi="Calibri"/>
                <w:sz w:val="19"/>
                <w:szCs w:val="19"/>
              </w:rPr>
              <w:t xml:space="preserve">→ desplegable</w:t>
            </w:r>
          </w:p>
        </w:tc>
        <w:tc>
          <w:tcPr>
            <w:tcW w:type="dxa" w:w="1700"/>
            <w:tcMar>
              <w:top w:type="dxa" w:w="80"/>
              <w:left w:type="dxa" w:w="110"/>
              <w:bottom w:type="dxa" w:w="80"/>
              <w:right w:type="dxa" w:w="110"/>
            </w:tcMar>
          </w:tcPr>
          <w:p>
            <w:pPr>
              <w:spacing w:after="0" w:line="260"/>
            </w:pPr>
            <w:r>
              <w:rPr>
                <w:rFonts w:ascii="Calibri" w:cs="Calibri" w:eastAsia="Calibri" w:hAnsi="Calibri"/>
                <w:sz w:val="19"/>
                <w:szCs w:val="19"/>
              </w:rPr>
              <w:t xml:space="preserve">Create copies of all source files</w:t>
            </w:r>
          </w:p>
        </w:tc>
        <w:tc>
          <w:tcPr>
            <w:tcW w:type="dxa" w:w="1700"/>
            <w:tcMar>
              <w:top w:type="dxa" w:w="80"/>
              <w:left w:type="dxa" w:w="110"/>
              <w:bottom w:type="dxa" w:w="80"/>
              <w:right w:type="dxa" w:w="110"/>
            </w:tcMar>
          </w:tcPr>
          <w:p>
            <w:pPr>
              <w:spacing w:after="0" w:line="260"/>
            </w:pPr>
            <w:r>
              <w:rPr>
                <w:rFonts w:ascii="Calibri" w:cs="Calibri" w:eastAsia="Calibri" w:hAnsi="Calibri"/>
                <w:sz w:val="19"/>
                <w:szCs w:val="19"/>
              </w:rPr>
              <w:t xml:space="preserve">Create copies (o Keep links si las fuentes son externas y permanentes)</w:t>
            </w:r>
          </w:p>
        </w:tc>
        <w:tc>
          <w:tcPr>
            <w:tcW w:type="dxa" w:w="3580"/>
            <w:tcMar>
              <w:top w:type="dxa" w:w="80"/>
              <w:left w:type="dxa" w:w="110"/>
              <w:bottom w:type="dxa" w:w="80"/>
              <w:right w:type="dxa" w:w="110"/>
            </w:tcMar>
          </w:tcPr>
          <w:p>
            <w:pPr>
              <w:spacing w:after="0" w:line="260"/>
            </w:pPr>
            <w:r>
              <w:rPr>
                <w:rFonts w:ascii="Calibri" w:cs="Calibri" w:eastAsia="Calibri" w:hAnsi="Calibri"/>
                <w:sz w:val="19"/>
                <w:szCs w:val="19"/>
              </w:rPr>
              <w:t xml:space="preserve">Keep links to original source files</w:t>
            </w:r>
          </w:p>
        </w:tc>
      </w:tr>
      <w:tr>
        <w:tc>
          <w:tcPr>
            <w:tcW w:type="dxa" w:w="31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 Maintain managed destination links</w:t>
            </w:r>
          </w:p>
        </w:tc>
        <w:tc>
          <w:tcPr>
            <w:tcW w:type="dxa" w:w="17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Marcada</w:t>
            </w:r>
          </w:p>
        </w:tc>
        <w:tc>
          <w:tcPr>
            <w:tcW w:type="dxa" w:w="17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Marcada</w:t>
            </w:r>
          </w:p>
        </w:tc>
        <w:tc>
          <w:tcPr>
            <w:tcW w:type="dxa" w:w="35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Marcada</w:t>
            </w:r>
          </w:p>
        </w:tc>
      </w:tr>
      <w:tr>
        <w:tc>
          <w:tcPr>
            <w:tcW w:type="dxa" w:w="3100"/>
            <w:tcMar>
              <w:top w:type="dxa" w:w="80"/>
              <w:left w:type="dxa" w:w="110"/>
              <w:bottom w:type="dxa" w:w="80"/>
              <w:right w:type="dxa" w:w="110"/>
            </w:tcMar>
          </w:tcPr>
          <w:p>
            <w:pPr>
              <w:spacing w:after="0" w:line="260"/>
            </w:pPr>
            <w:r>
              <w:rPr>
                <w:rFonts w:ascii="Calibri" w:cs="Calibri" w:eastAsia="Calibri" w:hAnsi="Calibri"/>
                <w:sz w:val="19"/>
                <w:szCs w:val="19"/>
              </w:rPr>
              <w:t xml:space="preserve">→ Include metadata for all source smart links</w:t>
            </w:r>
          </w:p>
        </w:tc>
        <w:tc>
          <w:tcPr>
            <w:tcW w:type="dxa" w:w="1700"/>
            <w:tcMar>
              <w:top w:type="dxa" w:w="80"/>
              <w:left w:type="dxa" w:w="110"/>
              <w:bottom w:type="dxa" w:w="80"/>
              <w:right w:type="dxa" w:w="110"/>
            </w:tcMar>
          </w:tcPr>
          <w:p>
            <w:pPr>
              <w:spacing w:after="0" w:line="260"/>
            </w:pPr>
            <w:r>
              <w:rPr>
                <w:rFonts w:ascii="Calibri" w:cs="Calibri" w:eastAsia="Calibri" w:hAnsi="Calibri"/>
                <w:sz w:val="19"/>
                <w:szCs w:val="19"/>
              </w:rPr>
              <w:t xml:space="preserve">Marcada</w:t>
            </w:r>
          </w:p>
        </w:tc>
        <w:tc>
          <w:tcPr>
            <w:tcW w:type="dxa" w:w="1700"/>
            <w:tcMar>
              <w:top w:type="dxa" w:w="80"/>
              <w:left w:type="dxa" w:w="110"/>
              <w:bottom w:type="dxa" w:w="80"/>
              <w:right w:type="dxa" w:w="110"/>
            </w:tcMar>
          </w:tcPr>
          <w:p>
            <w:pPr>
              <w:spacing w:after="0" w:line="260"/>
            </w:pPr>
            <w:r>
              <w:rPr>
                <w:rFonts w:ascii="Calibri" w:cs="Calibri" w:eastAsia="Calibri" w:hAnsi="Calibri"/>
                <w:sz w:val="19"/>
                <w:szCs w:val="19"/>
              </w:rPr>
              <w:t xml:space="preserve">Marcada</w:t>
            </w:r>
          </w:p>
        </w:tc>
        <w:tc>
          <w:tcPr>
            <w:tcW w:type="dxa" w:w="3580"/>
            <w:tcMar>
              <w:top w:type="dxa" w:w="80"/>
              <w:left w:type="dxa" w:w="110"/>
              <w:bottom w:type="dxa" w:w="80"/>
              <w:right w:type="dxa" w:w="110"/>
            </w:tcMar>
          </w:tcPr>
          <w:p>
            <w:pPr>
              <w:spacing w:after="0" w:line="260"/>
            </w:pPr>
            <w:r>
              <w:rPr>
                <w:rFonts w:ascii="Calibri" w:cs="Calibri" w:eastAsia="Calibri" w:hAnsi="Calibri"/>
                <w:sz w:val="19"/>
                <w:szCs w:val="19"/>
              </w:rPr>
              <w:t xml:space="preserve">Marcada</w:t>
            </w:r>
          </w:p>
        </w:tc>
      </w:tr>
      <w:tr>
        <w:tc>
          <w:tcPr>
            <w:tcW w:type="dxa" w:w="31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Connections</w:t>
            </w:r>
          </w:p>
        </w:tc>
        <w:tc>
          <w:tcPr>
            <w:tcW w:type="dxa" w:w="17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Marcada</w:t>
            </w:r>
          </w:p>
        </w:tc>
        <w:tc>
          <w:tcPr>
            <w:tcW w:type="dxa" w:w="17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Marcada</w:t>
            </w:r>
          </w:p>
        </w:tc>
        <w:tc>
          <w:tcPr>
            <w:tcW w:type="dxa" w:w="35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Marcada</w:t>
            </w:r>
          </w:p>
        </w:tc>
      </w:tr>
      <w:tr>
        <w:tc>
          <w:tcPr>
            <w:tcW w:type="dxa" w:w="3100"/>
            <w:tcMar>
              <w:top w:type="dxa" w:w="80"/>
              <w:left w:type="dxa" w:w="110"/>
              <w:bottom w:type="dxa" w:w="80"/>
              <w:right w:type="dxa" w:w="110"/>
            </w:tcMar>
          </w:tcPr>
          <w:p>
            <w:pPr>
              <w:spacing w:after="0" w:line="260"/>
            </w:pPr>
            <w:r>
              <w:rPr>
                <w:rFonts w:ascii="Calibri" w:cs="Calibri" w:eastAsia="Calibri" w:hAnsi="Calibri"/>
                <w:sz w:val="19"/>
                <w:szCs w:val="19"/>
              </w:rPr>
              <w:t xml:space="preserve">→ desplegable</w:t>
            </w:r>
          </w:p>
        </w:tc>
        <w:tc>
          <w:tcPr>
            <w:tcW w:type="dxa" w:w="1700"/>
            <w:tcMar>
              <w:top w:type="dxa" w:w="80"/>
              <w:left w:type="dxa" w:w="110"/>
              <w:bottom w:type="dxa" w:w="80"/>
              <w:right w:type="dxa" w:w="110"/>
            </w:tcMar>
          </w:tcPr>
          <w:p>
            <w:pPr>
              <w:spacing w:after="0" w:line="260"/>
            </w:pPr>
            <w:r>
              <w:rPr>
                <w:rFonts w:ascii="Calibri" w:cs="Calibri" w:eastAsia="Calibri" w:hAnsi="Calibri"/>
                <w:sz w:val="19"/>
                <w:szCs w:val="19"/>
              </w:rPr>
              <w:t xml:space="preserve">Incoming and outgoing</w:t>
            </w:r>
          </w:p>
        </w:tc>
        <w:tc>
          <w:tcPr>
            <w:tcW w:type="dxa" w:w="1700"/>
            <w:tcMar>
              <w:top w:type="dxa" w:w="80"/>
              <w:left w:type="dxa" w:w="110"/>
              <w:bottom w:type="dxa" w:w="80"/>
              <w:right w:type="dxa" w:w="110"/>
            </w:tcMar>
          </w:tcPr>
          <w:p>
            <w:pPr>
              <w:spacing w:after="0" w:line="260"/>
            </w:pPr>
            <w:r>
              <w:rPr>
                <w:rFonts w:ascii="Calibri" w:cs="Calibri" w:eastAsia="Calibri" w:hAnsi="Calibri"/>
                <w:sz w:val="19"/>
                <w:szCs w:val="19"/>
              </w:rPr>
              <w:t xml:space="preserve">Incoming and outgoing</w:t>
            </w:r>
          </w:p>
        </w:tc>
        <w:tc>
          <w:tcPr>
            <w:tcW w:type="dxa" w:w="3580"/>
            <w:tcMar>
              <w:top w:type="dxa" w:w="80"/>
              <w:left w:type="dxa" w:w="110"/>
              <w:bottom w:type="dxa" w:w="80"/>
              <w:right w:type="dxa" w:w="110"/>
            </w:tcMar>
          </w:tcPr>
          <w:p>
            <w:pPr>
              <w:spacing w:after="0" w:line="260"/>
            </w:pPr>
            <w:r>
              <w:rPr>
                <w:rFonts w:ascii="Calibri" w:cs="Calibri" w:eastAsia="Calibri" w:hAnsi="Calibri"/>
                <w:sz w:val="19"/>
                <w:szCs w:val="19"/>
              </w:rPr>
              <w:t xml:space="preserve">Incoming and outgoing</w:t>
            </w:r>
          </w:p>
        </w:tc>
      </w:tr>
      <w:tr>
        <w:tc>
          <w:tcPr>
            <w:tcW w:type="dxa" w:w="31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Input cell values</w:t>
            </w:r>
          </w:p>
        </w:tc>
        <w:tc>
          <w:tcPr>
            <w:tcW w:type="dxa" w:w="17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Desmarcada</w:t>
            </w:r>
          </w:p>
        </w:tc>
        <w:tc>
          <w:tcPr>
            <w:tcW w:type="dxa" w:w="17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Desmarcada</w:t>
            </w:r>
          </w:p>
        </w:tc>
        <w:tc>
          <w:tcPr>
            <w:tcW w:type="dxa" w:w="35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Marcada</w:t>
            </w:r>
          </w:p>
        </w:tc>
      </w:tr>
      <w:tr>
        <w:tc>
          <w:tcPr>
            <w:tcW w:type="dxa" w:w="3100"/>
            <w:tcMar>
              <w:top w:type="dxa" w:w="80"/>
              <w:left w:type="dxa" w:w="110"/>
              <w:bottom w:type="dxa" w:w="80"/>
              <w:right w:type="dxa" w:w="110"/>
            </w:tcMar>
          </w:tcPr>
          <w:p>
            <w:pPr>
              <w:spacing w:after="0" w:line="260"/>
            </w:pPr>
            <w:r>
              <w:rPr>
                <w:rFonts w:ascii="Calibri" w:cs="Calibri" w:eastAsia="Calibri" w:hAnsi="Calibri"/>
                <w:sz w:val="19"/>
                <w:szCs w:val="19"/>
              </w:rPr>
              <w:t xml:space="preserve">Input mode in enabled sections</w:t>
            </w:r>
          </w:p>
        </w:tc>
        <w:tc>
          <w:tcPr>
            <w:tcW w:type="dxa" w:w="1700"/>
            <w:tcMar>
              <w:top w:type="dxa" w:w="80"/>
              <w:left w:type="dxa" w:w="110"/>
              <w:bottom w:type="dxa" w:w="80"/>
              <w:right w:type="dxa" w:w="110"/>
            </w:tcMar>
          </w:tcPr>
          <w:p>
            <w:pPr>
              <w:spacing w:after="0" w:line="260"/>
            </w:pPr>
            <w:r>
              <w:rPr>
                <w:rFonts w:ascii="Calibri" w:cs="Calibri" w:eastAsia="Calibri" w:hAnsi="Calibri"/>
                <w:sz w:val="19"/>
                <w:szCs w:val="19"/>
              </w:rPr>
              <w:t xml:space="preserve">Desmarcada</w:t>
            </w:r>
          </w:p>
        </w:tc>
        <w:tc>
          <w:tcPr>
            <w:tcW w:type="dxa" w:w="1700"/>
            <w:tcMar>
              <w:top w:type="dxa" w:w="80"/>
              <w:left w:type="dxa" w:w="110"/>
              <w:bottom w:type="dxa" w:w="80"/>
              <w:right w:type="dxa" w:w="110"/>
            </w:tcMar>
          </w:tcPr>
          <w:p>
            <w:pPr>
              <w:spacing w:after="0" w:line="260"/>
            </w:pPr>
            <w:r>
              <w:rPr>
                <w:rFonts w:ascii="Calibri" w:cs="Calibri" w:eastAsia="Calibri" w:hAnsi="Calibri"/>
                <w:sz w:val="19"/>
                <w:szCs w:val="19"/>
              </w:rPr>
              <w:t xml:space="preserve">Marcada</w:t>
            </w:r>
          </w:p>
        </w:tc>
        <w:tc>
          <w:tcPr>
            <w:tcW w:type="dxa" w:w="3580"/>
            <w:tcMar>
              <w:top w:type="dxa" w:w="80"/>
              <w:left w:type="dxa" w:w="110"/>
              <w:bottom w:type="dxa" w:w="80"/>
              <w:right w:type="dxa" w:w="110"/>
            </w:tcMar>
          </w:tcPr>
          <w:p>
            <w:pPr>
              <w:spacing w:after="0" w:line="260"/>
            </w:pPr>
            <w:r>
              <w:rPr>
                <w:rFonts w:ascii="Calibri" w:cs="Calibri" w:eastAsia="Calibri" w:hAnsi="Calibri"/>
                <w:sz w:val="19"/>
                <w:szCs w:val="19"/>
              </w:rPr>
              <w:t xml:space="preserve">Marcada</w:t>
            </w:r>
          </w:p>
        </w:tc>
      </w:tr>
      <w:tr>
        <w:tc>
          <w:tcPr>
            <w:tcW w:type="dxa" w:w="31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New Folder Name</w:t>
            </w:r>
          </w:p>
        </w:tc>
        <w:tc>
          <w:tcPr>
            <w:tcW w:type="dxa" w:w="17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Nombre del original</w:t>
            </w:r>
          </w:p>
        </w:tc>
        <w:tc>
          <w:tcPr>
            <w:tcW w:type="dxa" w:w="17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Nombre del período nuevo</w:t>
            </w:r>
          </w:p>
        </w:tc>
        <w:tc>
          <w:tcPr>
            <w:tcW w:type="dxa" w:w="35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Nombre + “RESPALDO” y fecha</w:t>
            </w:r>
          </w:p>
        </w:tc>
      </w:tr>
      <w:tr>
        <w:tc>
          <w:tcPr>
            <w:tcW w:type="dxa" w:w="3100"/>
            <w:tcMar>
              <w:top w:type="dxa" w:w="80"/>
              <w:left w:type="dxa" w:w="110"/>
              <w:bottom w:type="dxa" w:w="80"/>
              <w:right w:type="dxa" w:w="110"/>
            </w:tcMar>
          </w:tcPr>
          <w:p>
            <w:pPr>
              <w:spacing w:after="0" w:line="260"/>
            </w:pPr>
            <w:r>
              <w:rPr>
                <w:rFonts w:ascii="Calibri" w:cs="Calibri" w:eastAsia="Calibri" w:hAnsi="Calibri"/>
                <w:sz w:val="19"/>
                <w:szCs w:val="19"/>
              </w:rPr>
              <w:t xml:space="preserve">Location</w:t>
            </w:r>
          </w:p>
        </w:tc>
        <w:tc>
          <w:tcPr>
            <w:tcW w:type="dxa" w:w="1700"/>
            <w:tcMar>
              <w:top w:type="dxa" w:w="80"/>
              <w:left w:type="dxa" w:w="110"/>
              <w:bottom w:type="dxa" w:w="80"/>
              <w:right w:type="dxa" w:w="110"/>
            </w:tcMar>
          </w:tcPr>
          <w:p>
            <w:pPr>
              <w:spacing w:after="0" w:line="260"/>
            </w:pPr>
            <w:r>
              <w:rPr>
                <w:rFonts w:ascii="Calibri" w:cs="Calibri" w:eastAsia="Calibri" w:hAnsi="Calibri"/>
                <w:sz w:val="19"/>
                <w:szCs w:val="19"/>
              </w:rPr>
              <w:t xml:space="preserve">Carpeta actual</w:t>
            </w:r>
          </w:p>
        </w:tc>
        <w:tc>
          <w:tcPr>
            <w:tcW w:type="dxa" w:w="1700"/>
            <w:tcMar>
              <w:top w:type="dxa" w:w="80"/>
              <w:left w:type="dxa" w:w="110"/>
              <w:bottom w:type="dxa" w:w="80"/>
              <w:right w:type="dxa" w:w="110"/>
            </w:tcMar>
          </w:tcPr>
          <w:p>
            <w:pPr>
              <w:spacing w:after="0" w:line="260"/>
            </w:pPr>
            <w:r>
              <w:rPr>
                <w:rFonts w:ascii="Calibri" w:cs="Calibri" w:eastAsia="Calibri" w:hAnsi="Calibri"/>
                <w:sz w:val="19"/>
                <w:szCs w:val="19"/>
              </w:rPr>
              <w:t xml:space="preserve">Carpeta del año</w:t>
            </w:r>
          </w:p>
        </w:tc>
        <w:tc>
          <w:tcPr>
            <w:tcW w:type="dxa" w:w="3580"/>
            <w:tcMar>
              <w:top w:type="dxa" w:w="80"/>
              <w:left w:type="dxa" w:w="110"/>
              <w:bottom w:type="dxa" w:w="80"/>
              <w:right w:type="dxa" w:w="110"/>
            </w:tcMar>
          </w:tcPr>
          <w:p>
            <w:pPr>
              <w:spacing w:after="0" w:line="260"/>
            </w:pPr>
            <w:r>
              <w:rPr>
                <w:rFonts w:ascii="Calibri" w:cs="Calibri" w:eastAsia="Calibri" w:hAnsi="Calibri"/>
                <w:sz w:val="19"/>
                <w:szCs w:val="19"/>
              </w:rPr>
              <w:t xml:space="preserve">Carpeta de respaldos</w:t>
            </w:r>
          </w:p>
        </w:tc>
      </w:tr>
    </w:tbl>
    <w:p>
      <w:pPr>
        <w:pStyle w:val="Heading1"/>
        <w:pBdr>
          <w:bottom w:val="single" w:color="2E5C9A" w:sz="8" w:space="4"/>
        </w:pBdr>
        <w:spacing w:after="160" w:before="320"/>
      </w:pPr>
      <w:r>
        <w:rPr>
          <w:rFonts w:ascii="Calibri" w:cs="Calibri" w:eastAsia="Calibri" w:hAnsi="Calibri"/>
          <w:b/>
          <w:bCs/>
          <w:color w:val="1F3864"/>
          <w:sz w:val="30"/>
          <w:szCs w:val="30"/>
        </w:rPr>
        <w:t xml:space="preserve">11. Checklist posterior a la copia</w:t>
      </w:r>
    </w:p>
    <w:p>
      <w:pPr>
        <w:pStyle w:val="ListParagraph"/>
        <w:numPr>
          <w:ilvl w:val="0"/>
          <w:numId w:val="5"/>
        </w:numPr>
        <w:spacing w:after="90" w:line="276"/>
      </w:pPr>
      <w:r>
        <w:rPr>
          <w:rFonts w:ascii="Calibri" w:cs="Calibri" w:eastAsia="Calibri" w:hAnsi="Calibri"/>
          <w:sz w:val="21"/>
          <w:szCs w:val="21"/>
        </w:rPr>
        <w:t xml:space="preserve">Llegó la notificación y el correo, y la carpeta nueva contiene la misma cantidad de archivos que la original.</w:t>
      </w:r>
    </w:p>
    <w:p>
      <w:pPr>
        <w:pStyle w:val="ListParagraph"/>
        <w:numPr>
          <w:ilvl w:val="0"/>
          <w:numId w:val="5"/>
        </w:numPr>
        <w:spacing w:after="90" w:line="276"/>
      </w:pPr>
      <w:r>
        <w:rPr>
          <w:rFonts w:ascii="Calibri" w:cs="Calibri" w:eastAsia="Calibri" w:hAnsi="Calibri"/>
          <w:sz w:val="21"/>
          <w:szCs w:val="21"/>
        </w:rPr>
        <w:t xml:space="preserve">El nombre de la carpeta y su ubicación son los correctos (no quedó anidada dentro del mes anterior).</w:t>
      </w:r>
    </w:p>
    <w:p>
      <w:pPr>
        <w:pStyle w:val="ListParagraph"/>
        <w:numPr>
          <w:ilvl w:val="0"/>
          <w:numId w:val="5"/>
        </w:numPr>
        <w:spacing w:after="90" w:line="276"/>
      </w:pPr>
      <w:r>
        <w:rPr>
          <w:rFonts w:ascii="Calibri" w:cs="Calibri" w:eastAsia="Calibri" w:hAnsi="Calibri"/>
          <w:sz w:val="21"/>
          <w:szCs w:val="21"/>
        </w:rPr>
        <w:t xml:space="preserve">Abrir dos o tres archivos y revisar el origen de sus enlaces: deben apuntar a donde usted decidió en el paso 5, no al período anterior por descuido.</w:t>
      </w:r>
    </w:p>
    <w:p>
      <w:pPr>
        <w:pStyle w:val="ListParagraph"/>
        <w:numPr>
          <w:ilvl w:val="0"/>
          <w:numId w:val="5"/>
        </w:numPr>
        <w:spacing w:after="90" w:line="276"/>
      </w:pPr>
      <w:r>
        <w:rPr>
          <w:rFonts w:ascii="Calibri" w:cs="Calibri" w:eastAsia="Calibri" w:hAnsi="Calibri"/>
          <w:sz w:val="21"/>
          <w:szCs w:val="21"/>
        </w:rPr>
        <w:t xml:space="preserve">Las fechas dentro de los documentos y planillas están actualizadas al período nuevo (títulos, encabezados, columnas comparativas).</w:t>
      </w:r>
    </w:p>
    <w:p>
      <w:pPr>
        <w:pStyle w:val="ListParagraph"/>
        <w:numPr>
          <w:ilvl w:val="0"/>
          <w:numId w:val="5"/>
        </w:numPr>
        <w:spacing w:after="90" w:line="276"/>
      </w:pPr>
      <w:r>
        <w:rPr>
          <w:rFonts w:ascii="Calibri" w:cs="Calibri" w:eastAsia="Calibri" w:hAnsi="Calibri"/>
          <w:sz w:val="21"/>
          <w:szCs w:val="21"/>
        </w:rPr>
        <w:t xml:space="preserve">Document Health no reporta enlaces rotos ni fechas inconsistentes.</w:t>
      </w:r>
    </w:p>
    <w:p>
      <w:pPr>
        <w:pStyle w:val="ListParagraph"/>
        <w:numPr>
          <w:ilvl w:val="0"/>
          <w:numId w:val="5"/>
        </w:numPr>
        <w:spacing w:after="90" w:line="276"/>
      </w:pPr>
      <w:r>
        <w:rPr>
          <w:rFonts w:ascii="Calibri" w:cs="Calibri" w:eastAsia="Calibri" w:hAnsi="Calibri"/>
          <w:sz w:val="21"/>
          <w:szCs w:val="21"/>
        </w:rPr>
        <w:t xml:space="preserve">Las automatizaciones copiadas apuntan a los archivos del período nuevo.</w:t>
      </w:r>
    </w:p>
    <w:p>
      <w:pPr>
        <w:pStyle w:val="ListParagraph"/>
        <w:numPr>
          <w:ilvl w:val="0"/>
          <w:numId w:val="5"/>
        </w:numPr>
        <w:spacing w:after="90" w:line="276"/>
      </w:pPr>
      <w:r>
        <w:rPr>
          <w:rFonts w:ascii="Calibri" w:cs="Calibri" w:eastAsia="Calibri" w:hAnsi="Calibri"/>
          <w:sz w:val="21"/>
          <w:szCs w:val="21"/>
        </w:rPr>
        <w:t xml:space="preserve">Los permisos del equipo quedaron correctos sobre la carpeta nueva.</w:t>
      </w:r>
    </w:p>
    <w:p>
      <w:pPr>
        <w:pStyle w:val="ListParagraph"/>
        <w:numPr>
          <w:ilvl w:val="0"/>
          <w:numId w:val="5"/>
        </w:numPr>
        <w:spacing w:after="90" w:line="276"/>
      </w:pPr>
      <w:r>
        <w:rPr>
          <w:rFonts w:ascii="Calibri" w:cs="Calibri" w:eastAsia="Calibri" w:hAnsi="Calibri"/>
          <w:sz w:val="21"/>
          <w:szCs w:val="21"/>
        </w:rPr>
        <w:t xml:space="preserve">Si se copiaron comentarios, etiquetas o markup por error, resolverlos ahora o rehacer la copia — no dejarlos “para después”.</w:t>
      </w:r>
    </w:p>
    <w:p>
      <w:pPr>
        <w:pStyle w:val="ListParagraph"/>
        <w:numPr>
          <w:ilvl w:val="0"/>
          <w:numId w:val="5"/>
        </w:numPr>
        <w:spacing w:after="90" w:line="276"/>
      </w:pPr>
      <w:r>
        <w:rPr>
          <w:rFonts w:ascii="Calibri" w:cs="Calibri" w:eastAsia="Calibri" w:hAnsi="Calibri"/>
          <w:sz w:val="21"/>
          <w:szCs w:val="21"/>
        </w:rPr>
        <w:t xml:space="preserve">Avisar al equipo cuál es la carpeta vigente del mes.</w:t>
      </w:r>
    </w:p>
    <w:p>
      <w:pPr>
        <w:pStyle w:val="Heading1"/>
        <w:pBdr>
          <w:bottom w:val="single" w:color="2E5C9A" w:sz="8" w:space="4"/>
        </w:pBdr>
        <w:spacing w:after="160" w:before="320"/>
      </w:pPr>
      <w:r>
        <w:rPr>
          <w:rFonts w:ascii="Calibri" w:cs="Calibri" w:eastAsia="Calibri" w:hAnsi="Calibri"/>
          <w:b/>
          <w:bCs/>
          <w:color w:val="1F3864"/>
          <w:sz w:val="30"/>
          <w:szCs w:val="30"/>
        </w:rPr>
        <w:t xml:space="preserve">12. Errores frecuentes y cómo resolverlos</w:t>
      </w:r>
    </w:p>
    <w:tbl>
      <w:tblPr>
        <w:tblW w:type="dxa" w:w="10080"/>
        <w:tblBorders>
          <w:top w:val="single" w:color="AAB7CE" w:sz="4"/>
          <w:left w:val="single" w:color="AAB7CE" w:sz="4"/>
          <w:bottom w:val="single" w:color="AAB7CE" w:sz="4"/>
          <w:right w:val="single" w:color="AAB7CE" w:sz="4"/>
          <w:insideH w:val="single" w:color="AAB7CE" w:sz="4"/>
          <w:insideV w:val="single" w:color="AAB7CE" w:sz="4"/>
        </w:tblBorders>
      </w:tblPr>
      <w:tblGrid>
        <w:gridCol w:w="3200"/>
        <w:gridCol w:w="3300"/>
        <w:gridCol w:w="3580"/>
      </w:tblGrid>
      <w:tr>
        <w:trPr>
          <w:tblHeader/>
        </w:trPr>
        <w:tc>
          <w:tcPr>
            <w:tcW w:type="dxa" w:w="3200"/>
            <w:shd w:fill="D9E1F2" w:color="auto" w:val="clear"/>
            <w:tcMar>
              <w:top w:type="dxa" w:w="80"/>
              <w:left w:type="dxa" w:w="110"/>
              <w:bottom w:type="dxa" w:w="80"/>
              <w:right w:type="dxa" w:w="110"/>
            </w:tcMar>
          </w:tcPr>
          <w:p>
            <w:pPr>
              <w:spacing w:after="0" w:line="260"/>
            </w:pPr>
            <w:r>
              <w:rPr>
                <w:rFonts w:ascii="Calibri" w:cs="Calibri" w:eastAsia="Calibri" w:hAnsi="Calibri"/>
                <w:b/>
                <w:bCs/>
                <w:color w:val="1F3864"/>
                <w:sz w:val="19"/>
                <w:szCs w:val="19"/>
              </w:rPr>
              <w:t xml:space="preserve">Síntoma</w:t>
            </w:r>
          </w:p>
        </w:tc>
        <w:tc>
          <w:tcPr>
            <w:tcW w:type="dxa" w:w="3300"/>
            <w:shd w:fill="D9E1F2" w:color="auto" w:val="clear"/>
            <w:tcMar>
              <w:top w:type="dxa" w:w="80"/>
              <w:left w:type="dxa" w:w="110"/>
              <w:bottom w:type="dxa" w:w="80"/>
              <w:right w:type="dxa" w:w="110"/>
            </w:tcMar>
          </w:tcPr>
          <w:p>
            <w:pPr>
              <w:spacing w:after="0" w:line="260"/>
            </w:pPr>
            <w:r>
              <w:rPr>
                <w:rFonts w:ascii="Calibri" w:cs="Calibri" w:eastAsia="Calibri" w:hAnsi="Calibri"/>
                <w:b/>
                <w:bCs/>
                <w:color w:val="1F3864"/>
                <w:sz w:val="19"/>
                <w:szCs w:val="19"/>
              </w:rPr>
              <w:t xml:space="preserve">Causa habitual</w:t>
            </w:r>
          </w:p>
        </w:tc>
        <w:tc>
          <w:tcPr>
            <w:tcW w:type="dxa" w:w="3580"/>
            <w:shd w:fill="D9E1F2" w:color="auto" w:val="clear"/>
            <w:tcMar>
              <w:top w:type="dxa" w:w="80"/>
              <w:left w:type="dxa" w:w="110"/>
              <w:bottom w:type="dxa" w:w="80"/>
              <w:right w:type="dxa" w:w="110"/>
            </w:tcMar>
          </w:tcPr>
          <w:p>
            <w:pPr>
              <w:spacing w:after="0" w:line="260"/>
            </w:pPr>
            <w:r>
              <w:rPr>
                <w:rFonts w:ascii="Calibri" w:cs="Calibri" w:eastAsia="Calibri" w:hAnsi="Calibri"/>
                <w:b/>
                <w:bCs/>
                <w:color w:val="1F3864"/>
                <w:sz w:val="19"/>
                <w:szCs w:val="19"/>
              </w:rPr>
              <w:t xml:space="preserve">Solución</w:t>
            </w:r>
          </w:p>
        </w:tc>
      </w:tr>
      <w:tr>
        <w:tc>
          <w:tcPr>
            <w:tcW w:type="dxa" w:w="3200"/>
            <w:tcMar>
              <w:top w:type="dxa" w:w="80"/>
              <w:left w:type="dxa" w:w="110"/>
              <w:bottom w:type="dxa" w:w="80"/>
              <w:right w:type="dxa" w:w="110"/>
            </w:tcMar>
          </w:tcPr>
          <w:p>
            <w:pPr>
              <w:spacing w:after="0" w:line="260"/>
            </w:pPr>
            <w:r>
              <w:rPr>
                <w:rFonts w:ascii="Calibri" w:cs="Calibri" w:eastAsia="Calibri" w:hAnsi="Calibri"/>
                <w:sz w:val="19"/>
                <w:szCs w:val="19"/>
              </w:rPr>
              <w:t xml:space="preserve">No aparece Copy en el menú</w:t>
            </w:r>
          </w:p>
        </w:tc>
        <w:tc>
          <w:tcPr>
            <w:tcW w:type="dxa" w:w="3300"/>
            <w:tcMar>
              <w:top w:type="dxa" w:w="80"/>
              <w:left w:type="dxa" w:w="110"/>
              <w:bottom w:type="dxa" w:w="80"/>
              <w:right w:type="dxa" w:w="110"/>
            </w:tcMar>
          </w:tcPr>
          <w:p>
            <w:pPr>
              <w:spacing w:after="0" w:line="260"/>
            </w:pPr>
            <w:r>
              <w:rPr>
                <w:rFonts w:ascii="Calibri" w:cs="Calibri" w:eastAsia="Calibri" w:hAnsi="Calibri"/>
                <w:sz w:val="19"/>
                <w:szCs w:val="19"/>
              </w:rPr>
              <w:t xml:space="preserve">Permisos insuficientes sobre la carpeta o el destino</w:t>
            </w:r>
          </w:p>
        </w:tc>
        <w:tc>
          <w:tcPr>
            <w:tcW w:type="dxa" w:w="3580"/>
            <w:tcMar>
              <w:top w:type="dxa" w:w="80"/>
              <w:left w:type="dxa" w:w="110"/>
              <w:bottom w:type="dxa" w:w="80"/>
              <w:right w:type="dxa" w:w="110"/>
            </w:tcMar>
          </w:tcPr>
          <w:p>
            <w:pPr>
              <w:spacing w:after="0" w:line="260"/>
            </w:pPr>
            <w:r>
              <w:rPr>
                <w:rFonts w:ascii="Calibri" w:cs="Calibri" w:eastAsia="Calibri" w:hAnsi="Calibri"/>
                <w:sz w:val="19"/>
                <w:szCs w:val="19"/>
              </w:rPr>
              <w:t xml:space="preserve">Pedir permiso de Owner o Editor, o pedirle la copia a quien lo tenga</w:t>
            </w:r>
          </w:p>
        </w:tc>
      </w:tr>
      <w:tr>
        <w:tc>
          <w:tcPr>
            <w:tcW w:type="dxa" w:w="32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Faltan archivos en la copia</w:t>
            </w:r>
          </w:p>
        </w:tc>
        <w:tc>
          <w:tcPr>
            <w:tcW w:type="dxa" w:w="33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Sin permiso sobre esos archivos, o eran Filings (que no se copian)</w:t>
            </w:r>
          </w:p>
        </w:tc>
        <w:tc>
          <w:tcPr>
            <w:tcW w:type="dxa" w:w="35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Conseguir permisos y copiar aparte; los Filings se generan de nuevo desde la copia</w:t>
            </w:r>
          </w:p>
        </w:tc>
      </w:tr>
      <w:tr>
        <w:tc>
          <w:tcPr>
            <w:tcW w:type="dxa" w:w="3200"/>
            <w:tcMar>
              <w:top w:type="dxa" w:w="80"/>
              <w:left w:type="dxa" w:w="110"/>
              <w:bottom w:type="dxa" w:w="80"/>
              <w:right w:type="dxa" w:w="110"/>
            </w:tcMar>
          </w:tcPr>
          <w:p>
            <w:pPr>
              <w:spacing w:after="0" w:line="260"/>
            </w:pPr>
            <w:r>
              <w:rPr>
                <w:rFonts w:ascii="Calibri" w:cs="Calibri" w:eastAsia="Calibri" w:hAnsi="Calibri"/>
                <w:sz w:val="19"/>
                <w:szCs w:val="19"/>
              </w:rPr>
              <w:t xml:space="preserve">Las cifras del mes nuevo no cambian nunca</w:t>
            </w:r>
          </w:p>
        </w:tc>
        <w:tc>
          <w:tcPr>
            <w:tcW w:type="dxa" w:w="3300"/>
            <w:tcMar>
              <w:top w:type="dxa" w:w="80"/>
              <w:left w:type="dxa" w:w="110"/>
              <w:bottom w:type="dxa" w:w="80"/>
              <w:right w:type="dxa" w:w="110"/>
            </w:tcMar>
          </w:tcPr>
          <w:p>
            <w:pPr>
              <w:spacing w:after="0" w:line="260"/>
            </w:pPr>
            <w:r>
              <w:rPr>
                <w:rFonts w:ascii="Calibri" w:cs="Calibri" w:eastAsia="Calibri" w:hAnsi="Calibri"/>
                <w:sz w:val="19"/>
                <w:szCs w:val="19"/>
              </w:rPr>
              <w:t xml:space="preserve">Se dejó “Keep links to original source files” cuando las fuentes sí debían duplicarse</w:t>
            </w:r>
          </w:p>
        </w:tc>
        <w:tc>
          <w:tcPr>
            <w:tcW w:type="dxa" w:w="3580"/>
            <w:tcMar>
              <w:top w:type="dxa" w:w="80"/>
              <w:left w:type="dxa" w:w="110"/>
              <w:bottom w:type="dxa" w:w="80"/>
              <w:right w:type="dxa" w:w="110"/>
            </w:tcMar>
          </w:tcPr>
          <w:p>
            <w:pPr>
              <w:spacing w:after="0" w:line="260"/>
            </w:pPr>
            <w:r>
              <w:rPr>
                <w:rFonts w:ascii="Calibri" w:cs="Calibri" w:eastAsia="Calibri" w:hAnsi="Calibri"/>
                <w:sz w:val="19"/>
                <w:szCs w:val="19"/>
              </w:rPr>
              <w:t xml:space="preserve">Rehacer la copia con “Create copies of all source files” o reapuntar los enlaces uno por uno</w:t>
            </w:r>
          </w:p>
        </w:tc>
      </w:tr>
      <w:tr>
        <w:tc>
          <w:tcPr>
            <w:tcW w:type="dxa" w:w="32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Al editar la copia se alteró el mes anterior</w:t>
            </w:r>
          </w:p>
        </w:tc>
        <w:tc>
          <w:tcPr>
            <w:tcW w:type="dxa" w:w="33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La copia quedó enlazada a las mismas fuentes originales</w:t>
            </w:r>
          </w:p>
        </w:tc>
        <w:tc>
          <w:tcPr>
            <w:tcW w:type="dxa" w:w="35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Reapuntar los enlaces de la copia a las fuentes del período nuevo</w:t>
            </w:r>
          </w:p>
        </w:tc>
      </w:tr>
      <w:tr>
        <w:tc>
          <w:tcPr>
            <w:tcW w:type="dxa" w:w="3200"/>
            <w:tcMar>
              <w:top w:type="dxa" w:w="80"/>
              <w:left w:type="dxa" w:w="110"/>
              <w:bottom w:type="dxa" w:w="80"/>
              <w:right w:type="dxa" w:w="110"/>
            </w:tcMar>
          </w:tcPr>
          <w:p>
            <w:pPr>
              <w:spacing w:after="0" w:line="260"/>
            </w:pPr>
            <w:r>
              <w:rPr>
                <w:rFonts w:ascii="Calibri" w:cs="Calibri" w:eastAsia="Calibri" w:hAnsi="Calibri"/>
                <w:sz w:val="19"/>
                <w:szCs w:val="19"/>
              </w:rPr>
              <w:t xml:space="preserve">Se duplicaron archivos fuente que no correspondía</w:t>
            </w:r>
          </w:p>
        </w:tc>
        <w:tc>
          <w:tcPr>
            <w:tcW w:type="dxa" w:w="3300"/>
            <w:tcMar>
              <w:top w:type="dxa" w:w="80"/>
              <w:left w:type="dxa" w:w="110"/>
              <w:bottom w:type="dxa" w:w="80"/>
              <w:right w:type="dxa" w:w="110"/>
            </w:tcMar>
          </w:tcPr>
          <w:p>
            <w:pPr>
              <w:spacing w:after="0" w:line="260"/>
            </w:pPr>
            <w:r>
              <w:rPr>
                <w:rFonts w:ascii="Calibri" w:cs="Calibri" w:eastAsia="Calibri" w:hAnsi="Calibri"/>
                <w:sz w:val="19"/>
                <w:szCs w:val="19"/>
              </w:rPr>
              <w:t xml:space="preserve">Se dejó el desplegable en su valor por defecto sin revisarlo</w:t>
            </w:r>
          </w:p>
        </w:tc>
        <w:tc>
          <w:tcPr>
            <w:tcW w:type="dxa" w:w="3580"/>
            <w:tcMar>
              <w:top w:type="dxa" w:w="80"/>
              <w:left w:type="dxa" w:w="110"/>
              <w:bottom w:type="dxa" w:w="80"/>
              <w:right w:type="dxa" w:w="110"/>
            </w:tcMar>
          </w:tcPr>
          <w:p>
            <w:pPr>
              <w:spacing w:after="0" w:line="260"/>
            </w:pPr>
            <w:r>
              <w:rPr>
                <w:rFonts w:ascii="Calibri" w:cs="Calibri" w:eastAsia="Calibri" w:hAnsi="Calibri"/>
                <w:sz w:val="19"/>
                <w:szCs w:val="19"/>
              </w:rPr>
              <w:t xml:space="preserve">Eliminar los duplicados sobrantes y reapuntar los enlaces a la fuente única</w:t>
            </w:r>
          </w:p>
        </w:tc>
      </w:tr>
      <w:tr>
        <w:tc>
          <w:tcPr>
            <w:tcW w:type="dxa" w:w="32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La copia trae comentarios y marcas viejas</w:t>
            </w:r>
          </w:p>
        </w:tc>
        <w:tc>
          <w:tcPr>
            <w:tcW w:type="dxa" w:w="33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All comments / Document Markup marcados</w:t>
            </w:r>
          </w:p>
        </w:tc>
        <w:tc>
          <w:tcPr>
            <w:tcW w:type="dxa" w:w="35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Resolver en masa o rehacer la copia con esas casillas desmarcadas</w:t>
            </w:r>
          </w:p>
        </w:tc>
      </w:tr>
      <w:tr>
        <w:tc>
          <w:tcPr>
            <w:tcW w:type="dxa" w:w="3200"/>
            <w:tcMar>
              <w:top w:type="dxa" w:w="80"/>
              <w:left w:type="dxa" w:w="110"/>
              <w:bottom w:type="dxa" w:w="80"/>
              <w:right w:type="dxa" w:w="110"/>
            </w:tcMar>
          </w:tcPr>
          <w:p>
            <w:pPr>
              <w:spacing w:after="0" w:line="260"/>
            </w:pPr>
            <w:r>
              <w:rPr>
                <w:rFonts w:ascii="Calibri" w:cs="Calibri" w:eastAsia="Calibri" w:hAnsi="Calibri"/>
                <w:sz w:val="19"/>
                <w:szCs w:val="19"/>
              </w:rPr>
              <w:t xml:space="preserve">Las conexiones de un placeholder siguen apuntando al original</w:t>
            </w:r>
          </w:p>
        </w:tc>
        <w:tc>
          <w:tcPr>
            <w:tcW w:type="dxa" w:w="3300"/>
            <w:tcMar>
              <w:top w:type="dxa" w:w="80"/>
              <w:left w:type="dxa" w:w="110"/>
              <w:bottom w:type="dxa" w:w="80"/>
              <w:right w:type="dxa" w:w="110"/>
            </w:tcMar>
          </w:tcPr>
          <w:p>
            <w:pPr>
              <w:spacing w:after="0" w:line="260"/>
            </w:pPr>
            <w:r>
              <w:rPr>
                <w:rFonts w:ascii="Calibri" w:cs="Calibri" w:eastAsia="Calibri" w:hAnsi="Calibri"/>
                <w:sz w:val="19"/>
                <w:szCs w:val="19"/>
              </w:rPr>
              <w:t xml:space="preserve">La planilla del placeholder quedó fuera de la carpeta copiada</w:t>
            </w:r>
          </w:p>
        </w:tc>
        <w:tc>
          <w:tcPr>
            <w:tcW w:type="dxa" w:w="3580"/>
            <w:tcMar>
              <w:top w:type="dxa" w:w="80"/>
              <w:left w:type="dxa" w:w="110"/>
              <w:bottom w:type="dxa" w:w="80"/>
              <w:right w:type="dxa" w:w="110"/>
            </w:tcMar>
          </w:tcPr>
          <w:p>
            <w:pPr>
              <w:spacing w:after="0" w:line="260"/>
            </w:pPr>
            <w:r>
              <w:rPr>
                <w:rFonts w:ascii="Calibri" w:cs="Calibri" w:eastAsia="Calibri" w:hAnsi="Calibri"/>
                <w:sz w:val="19"/>
                <w:szCs w:val="19"/>
              </w:rPr>
              <w:t xml:space="preserve">Incluir esa planilla en la copia, o reconfigurar la conexión a mano</w:t>
            </w:r>
          </w:p>
        </w:tc>
      </w:tr>
      <w:tr>
        <w:tc>
          <w:tcPr>
            <w:tcW w:type="dxa" w:w="32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La copia demora mucho</w:t>
            </w:r>
          </w:p>
        </w:tc>
        <w:tc>
          <w:tcPr>
            <w:tcW w:type="dxa" w:w="33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Carpeta grande con muchas fuentes duplicándose</w:t>
            </w:r>
          </w:p>
        </w:tc>
        <w:tc>
          <w:tcPr>
            <w:tcW w:type="dxa" w:w="35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Es normal: espere la notificación y el correo antes de reintentar; reintentar genera copias duplicadas</w:t>
            </w:r>
          </w:p>
        </w:tc>
      </w:tr>
      <w:tr>
        <w:tc>
          <w:tcPr>
            <w:tcW w:type="dxa" w:w="3200"/>
            <w:tcMar>
              <w:top w:type="dxa" w:w="80"/>
              <w:left w:type="dxa" w:w="110"/>
              <w:bottom w:type="dxa" w:w="80"/>
              <w:right w:type="dxa" w:w="110"/>
            </w:tcMar>
          </w:tcPr>
          <w:p>
            <w:pPr>
              <w:spacing w:after="0" w:line="260"/>
            </w:pPr>
            <w:r>
              <w:rPr>
                <w:rFonts w:ascii="Calibri" w:cs="Calibri" w:eastAsia="Calibri" w:hAnsi="Calibri"/>
                <w:sz w:val="19"/>
                <w:szCs w:val="19"/>
              </w:rPr>
              <w:t xml:space="preserve">Los valores de entrada aparecen vacíos</w:t>
            </w:r>
          </w:p>
        </w:tc>
        <w:tc>
          <w:tcPr>
            <w:tcW w:type="dxa" w:w="3300"/>
            <w:tcMar>
              <w:top w:type="dxa" w:w="80"/>
              <w:left w:type="dxa" w:w="110"/>
              <w:bottom w:type="dxa" w:w="80"/>
              <w:right w:type="dxa" w:w="110"/>
            </w:tcMar>
          </w:tcPr>
          <w:p>
            <w:pPr>
              <w:spacing w:after="0" w:line="260"/>
            </w:pPr>
            <w:r>
              <w:rPr>
                <w:rFonts w:ascii="Calibri" w:cs="Calibri" w:eastAsia="Calibri" w:hAnsi="Calibri"/>
                <w:sz w:val="19"/>
                <w:szCs w:val="19"/>
              </w:rPr>
              <w:t xml:space="preserve">Input cell values desmarcada (comportamiento por defecto)</w:t>
            </w:r>
          </w:p>
        </w:tc>
        <w:tc>
          <w:tcPr>
            <w:tcW w:type="dxa" w:w="3580"/>
            <w:tcMar>
              <w:top w:type="dxa" w:w="80"/>
              <w:left w:type="dxa" w:w="110"/>
              <w:bottom w:type="dxa" w:w="80"/>
              <w:right w:type="dxa" w:w="110"/>
            </w:tcMar>
          </w:tcPr>
          <w:p>
            <w:pPr>
              <w:spacing w:after="0" w:line="260"/>
            </w:pPr>
            <w:r>
              <w:rPr>
                <w:rFonts w:ascii="Calibri" w:cs="Calibri" w:eastAsia="Calibri" w:hAnsi="Calibri"/>
                <w:sz w:val="19"/>
                <w:szCs w:val="19"/>
              </w:rPr>
              <w:t xml:space="preserve">Si los necesitaba, rehacer la copia con esa casilla marcada</w:t>
            </w:r>
          </w:p>
        </w:tc>
      </w:tr>
    </w:tbl>
    <w:p>
      <w:pPr>
        <w:pStyle w:val="Heading1"/>
        <w:pBdr>
          <w:bottom w:val="single" w:color="2E5C9A" w:sz="8" w:space="4"/>
        </w:pBdr>
        <w:spacing w:after="160" w:before="320"/>
      </w:pPr>
      <w:r>
        <w:rPr>
          <w:rFonts w:ascii="Calibri" w:cs="Calibri" w:eastAsia="Calibri" w:hAnsi="Calibri"/>
          <w:b/>
          <w:bCs/>
          <w:color w:val="1F3864"/>
          <w:sz w:val="30"/>
          <w:szCs w:val="30"/>
        </w:rPr>
        <w:t xml:space="preserve">13. Diferencias al copiar un archivo suelto en vez de una carpeta</w:t>
      </w:r>
    </w:p>
    <w:p>
      <w:pPr>
        <w:spacing w:after="120" w:line="276"/>
      </w:pPr>
      <w:r>
        <w:rPr>
          <w:rFonts w:ascii="Calibri" w:cs="Calibri" w:eastAsia="Calibri" w:hAnsi="Calibri"/>
          <w:sz w:val="21"/>
          <w:szCs w:val="21"/>
        </w:rPr>
        <w:t xml:space="preserve">El procedimiento es el mismo; cambian tres detalles:</w:t>
      </w:r>
    </w:p>
    <w:p>
      <w:pPr>
        <w:pStyle w:val="ListParagraph"/>
        <w:numPr>
          <w:ilvl w:val="0"/>
          <w:numId w:val="6"/>
        </w:numPr>
        <w:spacing w:after="90" w:line="276"/>
      </w:pPr>
      <w:r>
        <w:rPr>
          <w:rFonts w:ascii="Calibri" w:cs="Calibri" w:eastAsia="Calibri" w:hAnsi="Calibri"/>
          <w:sz w:val="21"/>
          <w:szCs w:val="21"/>
        </w:rPr>
        <w:t xml:space="preserve">El campo de nombre se llama </w:t>
      </w:r>
      <w:r>
        <w:rPr>
          <w:rFonts w:ascii="Calibri" w:cs="Calibri" w:eastAsia="Calibri" w:hAnsi="Calibri"/>
          <w:b/>
          <w:bCs/>
          <w:sz w:val="21"/>
          <w:szCs w:val="21"/>
        </w:rPr>
        <w:t xml:space="preserve">New File Name</w:t>
      </w:r>
      <w:r>
        <w:rPr>
          <w:rFonts w:ascii="Calibri" w:cs="Calibri" w:eastAsia="Calibri" w:hAnsi="Calibri"/>
          <w:sz w:val="21"/>
          <w:szCs w:val="21"/>
        </w:rPr>
        <w:t xml:space="preserve"> en lugar de New Folder Name.</w:t>
      </w:r>
    </w:p>
    <w:p>
      <w:pPr>
        <w:pStyle w:val="ListParagraph"/>
        <w:numPr>
          <w:ilvl w:val="0"/>
          <w:numId w:val="6"/>
        </w:numPr>
        <w:spacing w:after="90" w:line="276"/>
      </w:pPr>
      <w:r>
        <w:rPr>
          <w:rFonts w:ascii="Calibri" w:cs="Calibri" w:eastAsia="Calibri" w:hAnsi="Calibri"/>
          <w:sz w:val="21"/>
          <w:szCs w:val="21"/>
        </w:rPr>
        <w:t xml:space="preserve">Las opciones propias de planillas —</w:t>
      </w:r>
      <w:r>
        <w:rPr>
          <w:rFonts w:ascii="Calibri" w:cs="Calibri" w:eastAsia="Calibri" w:hAnsi="Calibri"/>
          <w:b/>
          <w:bCs/>
          <w:sz w:val="21"/>
          <w:szCs w:val="21"/>
        </w:rPr>
        <w:t xml:space="preserve">Input cell values</w:t>
      </w:r>
      <w:r>
        <w:rPr>
          <w:rFonts w:ascii="Calibri" w:cs="Calibri" w:eastAsia="Calibri" w:hAnsi="Calibri"/>
          <w:sz w:val="21"/>
          <w:szCs w:val="21"/>
        </w:rPr>
        <w:t xml:space="preserve"> e </w:t>
      </w:r>
      <w:r>
        <w:rPr>
          <w:rFonts w:ascii="Calibri" w:cs="Calibri" w:eastAsia="Calibri" w:hAnsi="Calibri"/>
          <w:b/>
          <w:bCs/>
          <w:sz w:val="21"/>
          <w:szCs w:val="21"/>
        </w:rPr>
        <w:t xml:space="preserve">Input mode in enabled sections</w:t>
      </w:r>
      <w:r>
        <w:rPr>
          <w:rFonts w:ascii="Calibri" w:cs="Calibri" w:eastAsia="Calibri" w:hAnsi="Calibri"/>
          <w:sz w:val="21"/>
          <w:szCs w:val="21"/>
        </w:rPr>
        <w:t xml:space="preserve">— solo tienen efecto si el archivo es una planilla.</w:t>
      </w:r>
    </w:p>
    <w:p>
      <w:pPr>
        <w:pStyle w:val="ListParagraph"/>
        <w:numPr>
          <w:ilvl w:val="0"/>
          <w:numId w:val="6"/>
        </w:numPr>
        <w:spacing w:after="90" w:line="276"/>
      </w:pPr>
      <w:r>
        <w:rPr>
          <w:rFonts w:ascii="Calibri" w:cs="Calibri" w:eastAsia="Calibri" w:hAnsi="Calibri"/>
          <w:sz w:val="21"/>
          <w:szCs w:val="21"/>
        </w:rPr>
        <w:t xml:space="preserve">El manejo de enlaces se vuelve más delicado: al copiar un solo archivo, todas sus fuentes están </w:t>
      </w:r>
      <w:r>
        <w:rPr>
          <w:rFonts w:ascii="Calibri" w:cs="Calibri" w:eastAsia="Calibri" w:hAnsi="Calibri"/>
          <w:b/>
          <w:bCs/>
          <w:sz w:val="21"/>
          <w:szCs w:val="21"/>
        </w:rPr>
        <w:t xml:space="preserve">fuera</w:t>
      </w:r>
      <w:r>
        <w:rPr>
          <w:rFonts w:ascii="Calibri" w:cs="Calibri" w:eastAsia="Calibri" w:hAnsi="Calibri"/>
          <w:sz w:val="21"/>
          <w:szCs w:val="21"/>
        </w:rPr>
        <w:t xml:space="preserve"> de la selección. Con “Create copies of all source files” se duplicarán esas fuentes aunque usted solo quería un archivo; con “Keep links” la copia quedará leyendo de las fuentes originales. Por eso, cuando varios archivos están enlazados entre sí, conviene copiar la carpeta completa en una sola operación.</w:t>
      </w:r>
    </w:p>
    <w:p>
      <w:pPr>
        <w:pStyle w:val="Heading1"/>
        <w:pBdr>
          <w:bottom w:val="single" w:color="2E5C9A" w:sz="8" w:space="4"/>
        </w:pBdr>
        <w:spacing w:after="160" w:before="320"/>
      </w:pPr>
      <w:r>
        <w:rPr>
          <w:rFonts w:ascii="Calibri" w:cs="Calibri" w:eastAsia="Calibri" w:hAnsi="Calibri"/>
          <w:b/>
          <w:bCs/>
          <w:color w:val="1F3864"/>
          <w:sz w:val="30"/>
          <w:szCs w:val="30"/>
        </w:rPr>
        <w:t xml:space="preserve">14. Nomenclatura CGE y su efecto en los scripts del Auditor</w:t>
      </w:r>
    </w:p>
    <w:p>
      <w:pPr>
        <w:spacing w:after="120" w:line="276"/>
      </w:pPr>
      <w:r>
        <w:rPr>
          <w:rFonts w:ascii="Calibri" w:cs="Calibri" w:eastAsia="Calibri" w:hAnsi="Calibri"/>
          <w:sz w:val="21"/>
          <w:szCs w:val="21"/>
        </w:rPr>
        <w:t xml:space="preserve">Las copias no solo afectan a quien trabaja en Workiva: también afectan a las automatizaciones del Auditor (Verificar Workiva, Llenar Comparativos, Validar Comparativos y Extractor de Flujo de Efectivo), que identifican los archivos por su nombre.</w:t>
      </w:r>
    </w:p>
    <w:p>
      <w:pPr>
        <w:pStyle w:val="ListParagraph"/>
        <w:numPr>
          <w:ilvl w:val="0"/>
          <w:numId w:val="3"/>
        </w:numPr>
        <w:spacing w:after="80" w:line="276"/>
      </w:pPr>
      <w:r>
        <w:rPr>
          <w:rFonts w:ascii="Calibri" w:cs="Calibri" w:eastAsia="Calibri" w:hAnsi="Calibri"/>
          <w:sz w:val="21"/>
          <w:szCs w:val="21"/>
        </w:rPr>
        <w:t xml:space="preserve">Los archivos fuente se reconocen por el prefijo (CHN) o (LC) en el nombre. Si la copia altera o pierde ese prefijo, el script deja de reconocerlos como fuente.</w:t>
      </w:r>
    </w:p>
    <w:p>
      <w:pPr>
        <w:pStyle w:val="ListParagraph"/>
        <w:numPr>
          <w:ilvl w:val="0"/>
          <w:numId w:val="3"/>
        </w:numPr>
        <w:spacing w:after="80" w:line="276"/>
      </w:pPr>
      <w:r>
        <w:rPr>
          <w:rFonts w:ascii="Calibri" w:cs="Calibri" w:eastAsia="Calibri" w:hAnsi="Calibri"/>
          <w:sz w:val="21"/>
          <w:szCs w:val="21"/>
        </w:rPr>
        <w:t xml:space="preserve">Los archivos objetivo (target) son los que no llevan ese prefijo: un nombre con “Copy of …” antepuesto puede hacer que un archivo se clasifique mal.</w:t>
      </w:r>
    </w:p>
    <w:p>
      <w:pPr>
        <w:pStyle w:val="ListParagraph"/>
        <w:numPr>
          <w:ilvl w:val="0"/>
          <w:numId w:val="3"/>
        </w:numPr>
        <w:spacing w:after="80" w:line="276"/>
      </w:pPr>
      <w:r>
        <w:rPr>
          <w:rFonts w:ascii="Calibri" w:cs="Calibri" w:eastAsia="Calibri" w:hAnsi="Calibri"/>
          <w:sz w:val="21"/>
          <w:szCs w:val="21"/>
        </w:rPr>
        <w:t xml:space="preserve">Mantenga el código de sociedad al inicio del nombre (E110, E200, E205, E211, E215, E230, E244, E514) y cambie solo la parte del período.</w:t>
      </w:r>
    </w:p>
    <w:p>
      <w:pPr>
        <w:pStyle w:val="ListParagraph"/>
        <w:numPr>
          <w:ilvl w:val="0"/>
          <w:numId w:val="3"/>
        </w:numPr>
        <w:spacing w:after="80" w:line="276"/>
      </w:pPr>
      <w:r>
        <w:rPr>
          <w:rFonts w:ascii="Calibri" w:cs="Calibri" w:eastAsia="Calibri" w:hAnsi="Calibri"/>
          <w:sz w:val="21"/>
          <w:szCs w:val="21"/>
        </w:rPr>
        <w:t xml:space="preserve">Evite dobles espacios y cambios de tildes o puntuación al renombrar: son diferencias invisibles a la vista que sí afectan la búsqueda por nombre.</w:t>
      </w:r>
    </w:p>
    <w:p>
      <w:pPr>
        <w:pStyle w:val="ListParagraph"/>
        <w:numPr>
          <w:ilvl w:val="0"/>
          <w:numId w:val="3"/>
        </w:numPr>
        <w:spacing w:after="80" w:line="276"/>
      </w:pPr>
      <w:r>
        <w:rPr>
          <w:rFonts w:ascii="Calibri" w:cs="Calibri" w:eastAsia="Calibri" w:hAnsi="Calibri"/>
          <w:sz w:val="21"/>
          <w:szCs w:val="21"/>
        </w:rPr>
        <w:t xml:space="preserve">Si la copia se hizo con “Keep links to original source files” y las fuentes eran del período anterior, los comparativos se llenarán con cifras viejas aunque todo parezca correcto.</w:t>
      </w:r>
    </w:p>
    <w:p>
      <w:pPr>
        <w:spacing w:after="60"/>
      </w:pPr>
    </w:p>
    <w:p>
      <w:pPr>
        <w:pStyle w:val="Heading2"/>
        <w:spacing w:after="120" w:before="260"/>
      </w:pPr>
      <w:r>
        <w:rPr>
          <w:rFonts w:ascii="Calibri" w:cs="Calibri" w:eastAsia="Calibri" w:hAnsi="Calibri"/>
          <w:b/>
          <w:bCs/>
          <w:color w:val="2E5C9A"/>
          <w:sz w:val="25"/>
          <w:szCs w:val="25"/>
        </w:rPr>
        <w:t xml:space="preserve">Orden de trabajo recomendado para el período</w:t>
      </w:r>
    </w:p>
    <w:p>
      <w:pPr>
        <w:pStyle w:val="ListParagraph"/>
        <w:numPr>
          <w:ilvl w:val="0"/>
          <w:numId w:val="7"/>
        </w:numPr>
        <w:spacing w:after="90" w:line="276"/>
      </w:pPr>
      <w:r>
        <w:rPr>
          <w:rFonts w:ascii="Calibri" w:cs="Calibri" w:eastAsia="Calibri" w:hAnsi="Calibri"/>
          <w:sz w:val="21"/>
          <w:szCs w:val="21"/>
        </w:rPr>
        <w:t xml:space="preserve">Cerrar y publicar el período anterior, sin enlaces rotos.</w:t>
      </w:r>
    </w:p>
    <w:p>
      <w:pPr>
        <w:pStyle w:val="ListParagraph"/>
        <w:numPr>
          <w:ilvl w:val="0"/>
          <w:numId w:val="7"/>
        </w:numPr>
        <w:spacing w:after="90" w:line="276"/>
      </w:pPr>
      <w:r>
        <w:rPr>
          <w:rFonts w:ascii="Calibri" w:cs="Calibri" w:eastAsia="Calibri" w:hAnsi="Calibri"/>
          <w:sz w:val="21"/>
          <w:szCs w:val="21"/>
        </w:rPr>
        <w:t xml:space="preserve">Copiar la carpeta del mes con las opciones de la hoja de referencia rápida (capítulo 10).</w:t>
      </w:r>
    </w:p>
    <w:p>
      <w:pPr>
        <w:pStyle w:val="ListParagraph"/>
        <w:numPr>
          <w:ilvl w:val="0"/>
          <w:numId w:val="7"/>
        </w:numPr>
        <w:spacing w:after="90" w:line="276"/>
      </w:pPr>
      <w:r>
        <w:rPr>
          <w:rFonts w:ascii="Calibri" w:cs="Calibri" w:eastAsia="Calibri" w:hAnsi="Calibri"/>
          <w:sz w:val="21"/>
          <w:szCs w:val="21"/>
        </w:rPr>
        <w:t xml:space="preserve">Renombrar carpeta y archivos al período nuevo respetando la nomenclatura.</w:t>
      </w:r>
    </w:p>
    <w:p>
      <w:pPr>
        <w:pStyle w:val="ListParagraph"/>
        <w:numPr>
          <w:ilvl w:val="0"/>
          <w:numId w:val="7"/>
        </w:numPr>
        <w:spacing w:after="90" w:line="276"/>
      </w:pPr>
      <w:r>
        <w:rPr>
          <w:rFonts w:ascii="Calibri" w:cs="Calibri" w:eastAsia="Calibri" w:hAnsi="Calibri"/>
          <w:sz w:val="21"/>
          <w:szCs w:val="21"/>
        </w:rPr>
        <w:t xml:space="preserve">Actualizar fechas y revisar Document Health.</w:t>
      </w:r>
    </w:p>
    <w:p>
      <w:pPr>
        <w:pStyle w:val="ListParagraph"/>
        <w:numPr>
          <w:ilvl w:val="0"/>
          <w:numId w:val="7"/>
        </w:numPr>
        <w:spacing w:after="90" w:line="276"/>
      </w:pPr>
      <w:r>
        <w:rPr>
          <w:rFonts w:ascii="Calibri" w:cs="Calibri" w:eastAsia="Calibri" w:hAnsi="Calibri"/>
          <w:sz w:val="21"/>
          <w:szCs w:val="21"/>
        </w:rPr>
        <w:t xml:space="preserve">Cargar los insumos del período en los archivos fuente y publicarlos.</w:t>
      </w:r>
    </w:p>
    <w:p>
      <w:pPr>
        <w:pStyle w:val="ListParagraph"/>
        <w:numPr>
          <w:ilvl w:val="0"/>
          <w:numId w:val="7"/>
        </w:numPr>
        <w:spacing w:after="90" w:line="276"/>
      </w:pPr>
      <w:r>
        <w:rPr>
          <w:rFonts w:ascii="Calibri" w:cs="Calibri" w:eastAsia="Calibri" w:hAnsi="Calibri"/>
          <w:sz w:val="21"/>
          <w:szCs w:val="21"/>
        </w:rPr>
        <w:t xml:space="preserve">Ejecutar Llenar Comparativos y luego Validar Comparativos desde el Auditor.</w:t>
      </w:r>
    </w:p>
    <w:p>
      <w:pPr>
        <w:pStyle w:val="ListParagraph"/>
        <w:numPr>
          <w:ilvl w:val="0"/>
          <w:numId w:val="7"/>
        </w:numPr>
        <w:spacing w:after="90" w:line="276"/>
      </w:pPr>
      <w:r>
        <w:rPr>
          <w:rFonts w:ascii="Calibri" w:cs="Calibri" w:eastAsia="Calibri" w:hAnsi="Calibri"/>
          <w:sz w:val="21"/>
          <w:szCs w:val="21"/>
        </w:rPr>
        <w:t xml:space="preserve">Comunicar al equipo que la carpeta nueva es la vigente.</w:t>
      </w:r>
    </w:p>
    <w:p>
      <w:pPr>
        <w:pStyle w:val="Heading1"/>
        <w:pBdr>
          <w:bottom w:val="single" w:color="2E5C9A" w:sz="8" w:space="4"/>
        </w:pBdr>
        <w:spacing w:after="160" w:before="320"/>
      </w:pPr>
      <w:r>
        <w:rPr>
          <w:rFonts w:ascii="Calibri" w:cs="Calibri" w:eastAsia="Calibri" w:hAnsi="Calibri"/>
          <w:b/>
          <w:bCs/>
          <w:color w:val="1F3864"/>
          <w:sz w:val="30"/>
          <w:szCs w:val="30"/>
        </w:rPr>
        <w:t xml:space="preserve">15. Glosario y referencias</w:t>
      </w:r>
    </w:p>
    <w:tbl>
      <w:tblPr>
        <w:tblW w:type="dxa" w:w="10080"/>
        <w:tblBorders>
          <w:top w:val="single" w:color="AAB7CE" w:sz="4"/>
          <w:left w:val="single" w:color="AAB7CE" w:sz="4"/>
          <w:bottom w:val="single" w:color="AAB7CE" w:sz="4"/>
          <w:right w:val="single" w:color="AAB7CE" w:sz="4"/>
          <w:insideH w:val="single" w:color="AAB7CE" w:sz="4"/>
          <w:insideV w:val="single" w:color="AAB7CE" w:sz="4"/>
        </w:tblBorders>
      </w:tblPr>
      <w:tblGrid>
        <w:gridCol w:w="2900"/>
        <w:gridCol w:w="7180"/>
      </w:tblGrid>
      <w:tr>
        <w:trPr>
          <w:tblHeader/>
        </w:trPr>
        <w:tc>
          <w:tcPr>
            <w:tcW w:type="dxa" w:w="2900"/>
            <w:shd w:fill="D9E1F2" w:color="auto" w:val="clear"/>
            <w:tcMar>
              <w:top w:type="dxa" w:w="80"/>
              <w:left w:type="dxa" w:w="110"/>
              <w:bottom w:type="dxa" w:w="80"/>
              <w:right w:type="dxa" w:w="110"/>
            </w:tcMar>
          </w:tcPr>
          <w:p>
            <w:pPr>
              <w:spacing w:after="0" w:line="260"/>
            </w:pPr>
            <w:r>
              <w:rPr>
                <w:rFonts w:ascii="Calibri" w:cs="Calibri" w:eastAsia="Calibri" w:hAnsi="Calibri"/>
                <w:b/>
                <w:bCs/>
                <w:color w:val="1F3864"/>
                <w:sz w:val="19"/>
                <w:szCs w:val="19"/>
              </w:rPr>
              <w:t xml:space="preserve">Término</w:t>
            </w:r>
          </w:p>
        </w:tc>
        <w:tc>
          <w:tcPr>
            <w:tcW w:type="dxa" w:w="7180"/>
            <w:shd w:fill="D9E1F2" w:color="auto" w:val="clear"/>
            <w:tcMar>
              <w:top w:type="dxa" w:w="80"/>
              <w:left w:type="dxa" w:w="110"/>
              <w:bottom w:type="dxa" w:w="80"/>
              <w:right w:type="dxa" w:w="110"/>
            </w:tcMar>
          </w:tcPr>
          <w:p>
            <w:pPr>
              <w:spacing w:after="0" w:line="260"/>
            </w:pPr>
            <w:r>
              <w:rPr>
                <w:rFonts w:ascii="Calibri" w:cs="Calibri" w:eastAsia="Calibri" w:hAnsi="Calibri"/>
                <w:b/>
                <w:bCs/>
                <w:color w:val="1F3864"/>
                <w:sz w:val="19"/>
                <w:szCs w:val="19"/>
              </w:rPr>
              <w:t xml:space="preserve">Definición</w:t>
            </w:r>
          </w:p>
        </w:tc>
      </w:tr>
      <w:tr>
        <w:tc>
          <w:tcPr>
            <w:tcW w:type="dxa" w:w="2900"/>
            <w:tcMar>
              <w:top w:type="dxa" w:w="80"/>
              <w:left w:type="dxa" w:w="110"/>
              <w:bottom w:type="dxa" w:w="80"/>
              <w:right w:type="dxa" w:w="110"/>
            </w:tcMar>
          </w:tcPr>
          <w:p>
            <w:pPr>
              <w:spacing w:after="0" w:line="260"/>
            </w:pPr>
            <w:r>
              <w:rPr>
                <w:rFonts w:ascii="Calibri" w:cs="Calibri" w:eastAsia="Calibri" w:hAnsi="Calibri"/>
                <w:sz w:val="19"/>
                <w:szCs w:val="19"/>
              </w:rPr>
              <w:t xml:space="preserve">Copy includes</w:t>
            </w:r>
          </w:p>
        </w:tc>
        <w:tc>
          <w:tcPr>
            <w:tcW w:type="dxa" w:w="7180"/>
            <w:tcMar>
              <w:top w:type="dxa" w:w="80"/>
              <w:left w:type="dxa" w:w="110"/>
              <w:bottom w:type="dxa" w:w="80"/>
              <w:right w:type="dxa" w:w="110"/>
            </w:tcMar>
          </w:tcPr>
          <w:p>
            <w:pPr>
              <w:spacing w:after="0" w:line="260"/>
            </w:pPr>
            <w:r>
              <w:rPr>
                <w:rFonts w:ascii="Calibri" w:cs="Calibri" w:eastAsia="Calibri" w:hAnsi="Calibri"/>
                <w:sz w:val="19"/>
                <w:szCs w:val="19"/>
              </w:rPr>
              <w:t xml:space="preserve">Bloque de casillas que define qué se copia junto con los archivos.</w:t>
            </w:r>
          </w:p>
        </w:tc>
      </w:tr>
      <w:tr>
        <w:tc>
          <w:tcPr>
            <w:tcW w:type="dxa" w:w="29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Create copies of all source files</w:t>
            </w:r>
          </w:p>
        </w:tc>
        <w:tc>
          <w:tcPr>
            <w:tcW w:type="dxa" w:w="71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Opción que duplica también los archivos fuente y reapunta los enlaces a esas copias. Es el valor por defecto.</w:t>
            </w:r>
          </w:p>
        </w:tc>
      </w:tr>
      <w:tr>
        <w:tc>
          <w:tcPr>
            <w:tcW w:type="dxa" w:w="2900"/>
            <w:tcMar>
              <w:top w:type="dxa" w:w="80"/>
              <w:left w:type="dxa" w:w="110"/>
              <w:bottom w:type="dxa" w:w="80"/>
              <w:right w:type="dxa" w:w="110"/>
            </w:tcMar>
          </w:tcPr>
          <w:p>
            <w:pPr>
              <w:spacing w:after="0" w:line="260"/>
            </w:pPr>
            <w:r>
              <w:rPr>
                <w:rFonts w:ascii="Calibri" w:cs="Calibri" w:eastAsia="Calibri" w:hAnsi="Calibri"/>
                <w:sz w:val="19"/>
                <w:szCs w:val="19"/>
              </w:rPr>
              <w:t xml:space="preserve">Keep links to original source files</w:t>
            </w:r>
          </w:p>
        </w:tc>
        <w:tc>
          <w:tcPr>
            <w:tcW w:type="dxa" w:w="7180"/>
            <w:tcMar>
              <w:top w:type="dxa" w:w="80"/>
              <w:left w:type="dxa" w:w="110"/>
              <w:bottom w:type="dxa" w:w="80"/>
              <w:right w:type="dxa" w:w="110"/>
            </w:tcMar>
          </w:tcPr>
          <w:p>
            <w:pPr>
              <w:spacing w:after="0" w:line="260"/>
            </w:pPr>
            <w:r>
              <w:rPr>
                <w:rFonts w:ascii="Calibri" w:cs="Calibri" w:eastAsia="Calibri" w:hAnsi="Calibri"/>
                <w:sz w:val="19"/>
                <w:szCs w:val="19"/>
              </w:rPr>
              <w:t xml:space="preserve">Opción que no duplica ninguna fuente: la copia sigue leyendo de las originales.</w:t>
            </w:r>
          </w:p>
        </w:tc>
      </w:tr>
      <w:tr>
        <w:tc>
          <w:tcPr>
            <w:tcW w:type="dxa" w:w="29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Smart links</w:t>
            </w:r>
          </w:p>
        </w:tc>
        <w:tc>
          <w:tcPr>
            <w:tcW w:type="dxa" w:w="71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Enlaces inteligentes con nombre y descripción propios, que facilitan rastrear el origen de un dato.</w:t>
            </w:r>
          </w:p>
        </w:tc>
      </w:tr>
      <w:tr>
        <w:tc>
          <w:tcPr>
            <w:tcW w:type="dxa" w:w="2900"/>
            <w:tcMar>
              <w:top w:type="dxa" w:w="80"/>
              <w:left w:type="dxa" w:w="110"/>
              <w:bottom w:type="dxa" w:w="80"/>
              <w:right w:type="dxa" w:w="110"/>
            </w:tcMar>
          </w:tcPr>
          <w:p>
            <w:pPr>
              <w:spacing w:after="0" w:line="260"/>
            </w:pPr>
            <w:r>
              <w:rPr>
                <w:rFonts w:ascii="Calibri" w:cs="Calibri" w:eastAsia="Calibri" w:hAnsi="Calibri"/>
                <w:sz w:val="19"/>
                <w:szCs w:val="19"/>
              </w:rPr>
              <w:t xml:space="preserve">Managed destination links</w:t>
            </w:r>
          </w:p>
        </w:tc>
        <w:tc>
          <w:tcPr>
            <w:tcW w:type="dxa" w:w="7180"/>
            <w:tcMar>
              <w:top w:type="dxa" w:w="80"/>
              <w:left w:type="dxa" w:w="110"/>
              <w:bottom w:type="dxa" w:w="80"/>
              <w:right w:type="dxa" w:w="110"/>
            </w:tcMar>
          </w:tcPr>
          <w:p>
            <w:pPr>
              <w:spacing w:after="0" w:line="260"/>
            </w:pPr>
            <w:r>
              <w:rPr>
                <w:rFonts w:ascii="Calibri" w:cs="Calibri" w:eastAsia="Calibri" w:hAnsi="Calibri"/>
                <w:sz w:val="19"/>
                <w:szCs w:val="19"/>
              </w:rPr>
              <w:t xml:space="preserve">Enlaces de destino administrados: mantienen la copia como destino formal de un dato de origen.</w:t>
            </w:r>
          </w:p>
        </w:tc>
      </w:tr>
      <w:tr>
        <w:tc>
          <w:tcPr>
            <w:tcW w:type="dxa" w:w="29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Connections</w:t>
            </w:r>
          </w:p>
        </w:tc>
        <w:tc>
          <w:tcPr>
            <w:tcW w:type="dxa" w:w="71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Conexiones entre consultas y tablas de Wdata, reportes y hojas.</w:t>
            </w:r>
          </w:p>
        </w:tc>
      </w:tr>
      <w:tr>
        <w:tc>
          <w:tcPr>
            <w:tcW w:type="dxa" w:w="2900"/>
            <w:tcMar>
              <w:top w:type="dxa" w:w="80"/>
              <w:left w:type="dxa" w:w="110"/>
              <w:bottom w:type="dxa" w:w="80"/>
              <w:right w:type="dxa" w:w="110"/>
            </w:tcMar>
          </w:tcPr>
          <w:p>
            <w:pPr>
              <w:spacing w:after="0" w:line="260"/>
            </w:pPr>
            <w:r>
              <w:rPr>
                <w:rFonts w:ascii="Calibri" w:cs="Calibri" w:eastAsia="Calibri" w:hAnsi="Calibri"/>
                <w:sz w:val="19"/>
                <w:szCs w:val="19"/>
              </w:rPr>
              <w:t xml:space="preserve">Input Mode</w:t>
            </w:r>
          </w:p>
        </w:tc>
        <w:tc>
          <w:tcPr>
            <w:tcW w:type="dxa" w:w="7180"/>
            <w:tcMar>
              <w:top w:type="dxa" w:w="80"/>
              <w:left w:type="dxa" w:w="110"/>
              <w:bottom w:type="dxa" w:w="80"/>
              <w:right w:type="dxa" w:w="110"/>
            </w:tcMar>
          </w:tcPr>
          <w:p>
            <w:pPr>
              <w:spacing w:after="0" w:line="260"/>
            </w:pPr>
            <w:r>
              <w:rPr>
                <w:rFonts w:ascii="Calibri" w:cs="Calibri" w:eastAsia="Calibri" w:hAnsi="Calibri"/>
                <w:sz w:val="19"/>
                <w:szCs w:val="19"/>
              </w:rPr>
              <w:t xml:space="preserve">Modo de carga de datos habilitado en hojas específicas de una planilla.</w:t>
            </w:r>
          </w:p>
        </w:tc>
      </w:tr>
      <w:tr>
        <w:tc>
          <w:tcPr>
            <w:tcW w:type="dxa" w:w="29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Document Markup</w:t>
            </w:r>
          </w:p>
        </w:tc>
        <w:tc>
          <w:tcPr>
            <w:tcW w:type="dxa" w:w="71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Marcas de revisión sobre el documento (tick marks, resaltados, anotaciones).</w:t>
            </w:r>
          </w:p>
        </w:tc>
      </w:tr>
      <w:tr>
        <w:tc>
          <w:tcPr>
            <w:tcW w:type="dxa" w:w="2900"/>
            <w:tcMar>
              <w:top w:type="dxa" w:w="80"/>
              <w:left w:type="dxa" w:w="110"/>
              <w:bottom w:type="dxa" w:w="80"/>
              <w:right w:type="dxa" w:w="110"/>
            </w:tcMar>
          </w:tcPr>
          <w:p>
            <w:pPr>
              <w:spacing w:after="0" w:line="260"/>
            </w:pPr>
            <w:r>
              <w:rPr>
                <w:rFonts w:ascii="Calibri" w:cs="Calibri" w:eastAsia="Calibri" w:hAnsi="Calibri"/>
                <w:sz w:val="19"/>
                <w:szCs w:val="19"/>
              </w:rPr>
              <w:t xml:space="preserve">Filing</w:t>
            </w:r>
          </w:p>
        </w:tc>
        <w:tc>
          <w:tcPr>
            <w:tcW w:type="dxa" w:w="7180"/>
            <w:tcMar>
              <w:top w:type="dxa" w:w="80"/>
              <w:left w:type="dxa" w:w="110"/>
              <w:bottom w:type="dxa" w:w="80"/>
              <w:right w:type="dxa" w:w="110"/>
            </w:tcMar>
          </w:tcPr>
          <w:p>
            <w:pPr>
              <w:spacing w:after="0" w:line="260"/>
            </w:pPr>
            <w:r>
              <w:rPr>
                <w:rFonts w:ascii="Calibri" w:cs="Calibri" w:eastAsia="Calibri" w:hAnsi="Calibri"/>
                <w:sz w:val="19"/>
                <w:szCs w:val="19"/>
              </w:rPr>
              <w:t xml:space="preserve">Presentación regulatoria generada desde Workiva. Nunca se incluye en una copia.</w:t>
            </w:r>
          </w:p>
        </w:tc>
      </w:tr>
      <w:tr>
        <w:tc>
          <w:tcPr>
            <w:tcW w:type="dxa" w:w="29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Linked Files Report</w:t>
            </w:r>
          </w:p>
        </w:tc>
        <w:tc>
          <w:tcPr>
            <w:tcW w:type="dxa" w:w="71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Reporte del menú contextual que muestra con qué archivos está enlazado el que va a copiar.</w:t>
            </w:r>
          </w:p>
        </w:tc>
      </w:tr>
      <w:tr>
        <w:tc>
          <w:tcPr>
            <w:tcW w:type="dxa" w:w="2900"/>
            <w:tcMar>
              <w:top w:type="dxa" w:w="80"/>
              <w:left w:type="dxa" w:w="110"/>
              <w:bottom w:type="dxa" w:w="80"/>
              <w:right w:type="dxa" w:w="110"/>
            </w:tcMar>
          </w:tcPr>
          <w:p>
            <w:pPr>
              <w:spacing w:after="0" w:line="260"/>
            </w:pPr>
            <w:r>
              <w:rPr>
                <w:rFonts w:ascii="Calibri" w:cs="Calibri" w:eastAsia="Calibri" w:hAnsi="Calibri"/>
                <w:sz w:val="19"/>
                <w:szCs w:val="19"/>
              </w:rPr>
              <w:t xml:space="preserve">Document Health</w:t>
            </w:r>
          </w:p>
        </w:tc>
        <w:tc>
          <w:tcPr>
            <w:tcW w:type="dxa" w:w="7180"/>
            <w:tcMar>
              <w:top w:type="dxa" w:w="80"/>
              <w:left w:type="dxa" w:w="110"/>
              <w:bottom w:type="dxa" w:w="80"/>
              <w:right w:type="dxa" w:w="110"/>
            </w:tcMar>
          </w:tcPr>
          <w:p>
            <w:pPr>
              <w:spacing w:after="0" w:line="260"/>
            </w:pPr>
            <w:r>
              <w:rPr>
                <w:rFonts w:ascii="Calibri" w:cs="Calibri" w:eastAsia="Calibri" w:hAnsi="Calibri"/>
                <w:sz w:val="19"/>
                <w:szCs w:val="19"/>
              </w:rPr>
              <w:t xml:space="preserve">Panel de diagnóstico de enlaces, fechas y consistencia del documento.</w:t>
            </w:r>
          </w:p>
        </w:tc>
      </w:tr>
      <w:tr>
        <w:tc>
          <w:tcPr>
            <w:tcW w:type="dxa" w:w="290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Publish</w:t>
            </w:r>
          </w:p>
        </w:tc>
        <w:tc>
          <w:tcPr>
            <w:tcW w:type="dxa" w:w="7180"/>
            <w:shd w:fill="F2F5FA" w:color="auto" w:val="clear"/>
            <w:tcMar>
              <w:top w:type="dxa" w:w="80"/>
              <w:left w:type="dxa" w:w="110"/>
              <w:bottom w:type="dxa" w:w="80"/>
              <w:right w:type="dxa" w:w="110"/>
            </w:tcMar>
          </w:tcPr>
          <w:p>
            <w:pPr>
              <w:spacing w:after="0" w:line="260"/>
            </w:pPr>
            <w:r>
              <w:rPr>
                <w:rFonts w:ascii="Calibri" w:cs="Calibri" w:eastAsia="Calibri" w:hAnsi="Calibri"/>
                <w:sz w:val="19"/>
                <w:szCs w:val="19"/>
              </w:rPr>
              <w:t xml:space="preserve">Acción que actualiza los valores enlazados desde la fuente hacia sus destinos.</w:t>
            </w:r>
          </w:p>
        </w:tc>
      </w:tr>
    </w:tbl>
    <w:p>
      <w:pPr>
        <w:spacing w:after="120"/>
      </w:pPr>
    </w:p>
    <w:p>
      <w:pPr>
        <w:spacing w:after="120" w:line="276"/>
      </w:pPr>
      <w:r>
        <w:rPr>
          <w:rFonts w:ascii="Calibri" w:cs="Calibri" w:eastAsia="Calibri" w:hAnsi="Calibri"/>
          <w:sz w:val="21"/>
          <w:szCs w:val="21"/>
        </w:rPr>
        <w:t xml:space="preserve">Documentación oficial consultada (Workiva Support Center):</w:t>
      </w:r>
    </w:p>
    <w:p>
      <w:pPr>
        <w:pStyle w:val="ListParagraph"/>
        <w:numPr>
          <w:ilvl w:val="0"/>
          <w:numId w:val="3"/>
        </w:numPr>
        <w:spacing w:after="80" w:line="276"/>
      </w:pPr>
      <w:r>
        <w:rPr>
          <w:rFonts w:ascii="Calibri" w:cs="Calibri" w:eastAsia="Calibri" w:hAnsi="Calibri"/>
          <w:sz w:val="21"/>
          <w:szCs w:val="21"/>
        </w:rPr>
        <w:t xml:space="preserve">Copy a file or folder — support.workiva.com/hc/en-us/articles/360035639992</w:t>
      </w:r>
    </w:p>
    <w:p>
      <w:pPr>
        <w:pStyle w:val="ListParagraph"/>
        <w:numPr>
          <w:ilvl w:val="0"/>
          <w:numId w:val="3"/>
        </w:numPr>
        <w:spacing w:after="80" w:line="276"/>
      </w:pPr>
      <w:r>
        <w:rPr>
          <w:rFonts w:ascii="Calibri" w:cs="Calibri" w:eastAsia="Calibri" w:hAnsi="Calibri"/>
          <w:sz w:val="21"/>
          <w:szCs w:val="21"/>
        </w:rPr>
        <w:t xml:space="preserve">Roll forward a folder — support.workiva.com/hc/en-us/articles/360046881351</w:t>
      </w:r>
    </w:p>
    <w:p>
      <w:pPr>
        <w:pStyle w:val="ListParagraph"/>
        <w:numPr>
          <w:ilvl w:val="0"/>
          <w:numId w:val="3"/>
        </w:numPr>
        <w:spacing w:after="80" w:line="276"/>
      </w:pPr>
      <w:r>
        <w:rPr>
          <w:rFonts w:ascii="Calibri" w:cs="Calibri" w:eastAsia="Calibri" w:hAnsi="Calibri"/>
          <w:sz w:val="21"/>
          <w:szCs w:val="21"/>
        </w:rPr>
        <w:t xml:space="preserve">Manage source links — support.workiva.com/hc/en-us/articles/360046357671</w:t>
      </w:r>
    </w:p>
    <w:p>
      <w:pPr>
        <w:pStyle w:val="ListParagraph"/>
        <w:numPr>
          <w:ilvl w:val="0"/>
          <w:numId w:val="3"/>
        </w:numPr>
        <w:spacing w:after="80" w:line="276"/>
      </w:pPr>
      <w:r>
        <w:rPr>
          <w:rFonts w:ascii="Calibri" w:cs="Calibri" w:eastAsia="Calibri" w:hAnsi="Calibri"/>
          <w:sz w:val="21"/>
          <w:szCs w:val="21"/>
        </w:rPr>
        <w:t xml:space="preserve">Intro to smart links — support.workiva.com/hc/en-us/articles/17197053356052</w:t>
      </w:r>
    </w:p>
    <w:p>
      <w:pPr>
        <w:pStyle w:val="ListParagraph"/>
        <w:numPr>
          <w:ilvl w:val="0"/>
          <w:numId w:val="3"/>
        </w:numPr>
        <w:spacing w:after="80" w:line="276"/>
      </w:pPr>
      <w:r>
        <w:rPr>
          <w:rFonts w:ascii="Calibri" w:cs="Calibri" w:eastAsia="Calibri" w:hAnsi="Calibri"/>
          <w:sz w:val="21"/>
          <w:szCs w:val="21"/>
        </w:rPr>
        <w:t xml:space="preserve">Use Input Mode — support.workiva.com/hc/en-us/articles/4413294005780</w:t>
      </w:r>
    </w:p>
    <w:p>
      <w:pPr>
        <w:pStyle w:val="ListParagraph"/>
        <w:numPr>
          <w:ilvl w:val="0"/>
          <w:numId w:val="3"/>
        </w:numPr>
        <w:spacing w:after="80" w:line="276"/>
      </w:pPr>
      <w:r>
        <w:rPr>
          <w:rFonts w:ascii="Calibri" w:cs="Calibri" w:eastAsia="Calibri" w:hAnsi="Calibri"/>
          <w:sz w:val="21"/>
          <w:szCs w:val="21"/>
        </w:rPr>
        <w:t xml:space="preserve">Attachments in Documents — support.workiva.com/hc/en-us/articles/360041247532</w:t>
      </w:r>
    </w:p>
    <w:p>
      <w:pPr>
        <w:pStyle w:val="ListParagraph"/>
        <w:numPr>
          <w:ilvl w:val="0"/>
          <w:numId w:val="3"/>
        </w:numPr>
        <w:spacing w:after="80" w:line="276"/>
      </w:pPr>
      <w:r>
        <w:rPr>
          <w:rFonts w:ascii="Calibri" w:cs="Calibri" w:eastAsia="Calibri" w:hAnsi="Calibri"/>
          <w:sz w:val="21"/>
          <w:szCs w:val="21"/>
        </w:rPr>
        <w:t xml:space="preserve">Move or copy a file to another workspace — support.workiva.com/hc/en-us/articles/360035642472</w:t>
      </w:r>
    </w:p>
    <w:p>
      <w:pPr>
        <w:spacing w:after="140"/>
      </w:pPr>
    </w:p>
    <w:p>
      <w:pPr>
        <w:spacing w:after="120" w:line="276"/>
      </w:pPr>
      <w:r>
        <w:rPr>
          <w:rFonts w:ascii="Calibri" w:cs="Calibri" w:eastAsia="Calibri" w:hAnsi="Calibri"/>
          <w:i/>
          <w:iCs/>
          <w:color w:val="666666"/>
          <w:sz w:val="21"/>
          <w:szCs w:val="21"/>
        </w:rPr>
        <w:t xml:space="preserve">Las pantallas de Workiva cambian con las versiones. Si aparece una opción nueva o con otro nombre, verifique el artículo de soporte correspondiente y actualice esta guía.</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77777"/>
        <w:sz w:val="17"/>
        <w:szCs w:val="17"/>
      </w:rPr>
      <w:t xml:space="preserve">Cómo hacer copias en Workiva — CGE   |   Página </w:t>
    </w:r>
    <w:r>
      <w:rPr>
        <w:rFonts w:ascii="Calibri" w:cs="Calibri" w:eastAsia="Calibri" w:hAnsi="Calibri"/>
        <w:color w:val="777777"/>
        <w:sz w:val="17"/>
        <w:szCs w:val="17"/>
      </w:rPr>
      <w:fldChar w:fldCharType="begin"/>
      <w:instrText xml:space="preserve">PAGE</w:instrText>
      <w:fldChar w:fldCharType="separate"/>
      <w:fldChar w:fldCharType="end"/>
    </w:r>
    <w:r>
      <w:rPr>
        <w:rFonts w:ascii="Calibri" w:cs="Calibri" w:eastAsia="Calibri" w:hAnsi="Calibri"/>
        <w:color w:val="777777"/>
        <w:sz w:val="17"/>
        <w:szCs w:val="17"/>
      </w:rPr>
      <w:t xml:space="preserve"> de </w:t>
    </w:r>
    <w:r>
      <w:rPr>
        <w:rFonts w:ascii="Calibri" w:cs="Calibri" w:eastAsia="Calibri" w:hAnsi="Calibri"/>
        <w:color w:val="777777"/>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0"/>
      </w:pPr>
    </w:lvl>
    <w:lvl w:ilvl="1" w15:tentative="1">
      <w:start w:val="1"/>
      <w:numFmt w:val="bullet"/>
      <w:lvlText w:val="–"/>
      <w:lvlJc w:val="left"/>
      <w:pPr>
        <w:ind w:left="900" w:hanging="25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abstractNum w:abstractNumId="6" w15:restartNumberingAfterBreak="0">
    <w:multiLevelType w:val="hybridMultilevel"/>
    <w:lvl w:ilvl="0" w15:tentative="1">
      <w:start w:val="1"/>
      <w:numFmt w:val="decimal"/>
      <w:lvlText w:val="%1."/>
      <w:lvlJc w:val="left"/>
      <w:pPr>
        <w:ind w:left="460" w:hanging="300"/>
      </w:pPr>
    </w:lvl>
  </w:abstractNum>
  <w:abstractNum w:abstractNumId="7"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 w:numId="5">
    <w:abstractNumId w:val="5"/>
    <w:lvlOverride w:ilvl="0">
      <w:startOverride w:val="1"/>
    </w:lvlOverride>
  </w:num>
  <w:num w:numId="6">
    <w:abstractNumId w:val="7"/>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Cómo hacer copias en Workiva — paso a paso</dc:title>
  <dc:creator>Auditoría CGE</dc:creator>
  <dc:description>Procedimiento detallado de copia de carpetas y archivos en Workiva, opción por opción</dc:description>
  <cp:lastModifiedBy>Un-named</cp:lastModifiedBy>
  <cp:revision>1</cp:revision>
  <dcterms:created xsi:type="dcterms:W3CDTF">2026-08-25T20:09:40.279Z</dcterms:created>
  <dcterms:modified xsi:type="dcterms:W3CDTF">2026-08-25T20:09:40.280Z</dcterms:modified>
</cp:coreProperties>
</file>

<file path=docProps/custom.xml><?xml version="1.0" encoding="utf-8"?>
<Properties xmlns="http://schemas.openxmlformats.org/officeDocument/2006/custom-properties" xmlns:vt="http://schemas.openxmlformats.org/officeDocument/2006/docPropsVTypes"/>
</file>